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kh5"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698D2" w14:textId="77777777" w:rsidR="00087A17" w:rsidRDefault="00087A17" w:rsidP="00087A17">
      <w:pPr>
        <w:pStyle w:val="NoSpacing"/>
      </w:pPr>
      <w:bookmarkStart w:id="0" w:name="_Hlk29915385"/>
      <w:bookmarkEnd w:id="0"/>
    </w:p>
    <w:p w14:paraId="7861A1CD" w14:textId="77777777" w:rsidR="000A7F42" w:rsidRDefault="000A7F42" w:rsidP="00087A17">
      <w:pPr>
        <w:pStyle w:val="NoSpacing"/>
      </w:pPr>
    </w:p>
    <w:p w14:paraId="54893CCB" w14:textId="77777777" w:rsidR="008730AF" w:rsidRDefault="004E2E7D" w:rsidP="00302ECA">
      <w:r w:rsidRPr="00586151">
        <w:t xml:space="preserve"> </w:t>
      </w:r>
    </w:p>
    <w:p w14:paraId="0D497E47" w14:textId="77777777" w:rsidR="00087A17" w:rsidRDefault="00087A17" w:rsidP="008730AF">
      <w:pPr>
        <w:tabs>
          <w:tab w:val="center" w:pos="5103"/>
        </w:tabs>
      </w:pPr>
    </w:p>
    <w:p w14:paraId="1D5AE48D" w14:textId="77777777" w:rsidR="00722B09" w:rsidRPr="00722B09" w:rsidRDefault="00722B09" w:rsidP="005E032F"/>
    <w:p w14:paraId="3EC8AAA1" w14:textId="77777777" w:rsidR="00722B09" w:rsidRPr="00722B09" w:rsidRDefault="00722B09" w:rsidP="005E032F"/>
    <w:p w14:paraId="3D406257" w14:textId="77777777" w:rsidR="00722B09" w:rsidRPr="00722B09" w:rsidRDefault="00722B09" w:rsidP="005E032F"/>
    <w:p w14:paraId="0A0FC53A" w14:textId="77777777" w:rsidR="00722B09" w:rsidRPr="00722B09" w:rsidRDefault="00722B09" w:rsidP="005E032F"/>
    <w:p w14:paraId="245E0FDC" w14:textId="77777777" w:rsidR="00722B09" w:rsidRPr="00722B09" w:rsidRDefault="00722B09" w:rsidP="005E032F"/>
    <w:p w14:paraId="774EC3AF" w14:textId="77777777" w:rsidR="00722B09" w:rsidRPr="00722B09" w:rsidRDefault="00722B09" w:rsidP="005E032F"/>
    <w:p w14:paraId="16926360" w14:textId="77777777" w:rsidR="00722B09" w:rsidRDefault="00722B09" w:rsidP="00722B09"/>
    <w:p w14:paraId="3502275C" w14:textId="77777777" w:rsidR="00722B09" w:rsidRDefault="00722B09" w:rsidP="005E032F">
      <w:pPr>
        <w:jc w:val="center"/>
      </w:pPr>
    </w:p>
    <w:p w14:paraId="50427625" w14:textId="77777777" w:rsidR="006513B2" w:rsidRDefault="00722B09">
      <w:pPr>
        <w:tabs>
          <w:tab w:val="center" w:pos="5103"/>
        </w:tabs>
      </w:pPr>
      <w:r>
        <w:tab/>
      </w:r>
    </w:p>
    <w:p w14:paraId="4C5B83F5" w14:textId="77777777" w:rsidR="00043D11" w:rsidRPr="005009E0" w:rsidRDefault="00043D11" w:rsidP="00067C12"/>
    <w:p w14:paraId="1605D354" w14:textId="77777777" w:rsidR="00043D11" w:rsidRPr="00E412C9" w:rsidRDefault="00043D11" w:rsidP="00067C12"/>
    <w:p w14:paraId="39050CC6" w14:textId="77777777" w:rsidR="00043D11" w:rsidRPr="00443040" w:rsidRDefault="00043D11" w:rsidP="00067C12"/>
    <w:p w14:paraId="3A6CA86A" w14:textId="77777777" w:rsidR="00043D11" w:rsidRPr="004C0CC7" w:rsidRDefault="00043D11" w:rsidP="00067C12"/>
    <w:p w14:paraId="2654ACD1" w14:textId="77777777" w:rsidR="00043D11" w:rsidRPr="00067C12" w:rsidRDefault="00043D11" w:rsidP="00067C12"/>
    <w:p w14:paraId="77C9DEFA" w14:textId="77777777" w:rsidR="00043D11" w:rsidRPr="00067C12" w:rsidRDefault="00043D11" w:rsidP="00067C12"/>
    <w:p w14:paraId="2FF41DA3" w14:textId="77777777" w:rsidR="00043D11" w:rsidRPr="00067C12" w:rsidRDefault="00043D11" w:rsidP="00067C12"/>
    <w:p w14:paraId="03515999" w14:textId="77777777" w:rsidR="00043D11" w:rsidRPr="00067C12" w:rsidRDefault="00043D11" w:rsidP="00067C12"/>
    <w:p w14:paraId="519A0DB3" w14:textId="77777777" w:rsidR="00043D11" w:rsidRPr="00067C12" w:rsidRDefault="00043D11" w:rsidP="00067C12"/>
    <w:p w14:paraId="5F02AC6B" w14:textId="77777777" w:rsidR="00043D11" w:rsidRPr="00067C12" w:rsidRDefault="00043D11" w:rsidP="00067C12"/>
    <w:p w14:paraId="27FBD31D" w14:textId="77777777" w:rsidR="00043D11" w:rsidRPr="00067C12" w:rsidRDefault="00043D11" w:rsidP="00067C12"/>
    <w:p w14:paraId="379FA812" w14:textId="77777777" w:rsidR="00043D11" w:rsidRPr="00067C12" w:rsidRDefault="00043D11" w:rsidP="00067C12"/>
    <w:p w14:paraId="1E20A1A1" w14:textId="77777777" w:rsidR="00043D11" w:rsidRPr="00067C12" w:rsidRDefault="00043D11" w:rsidP="00067C12"/>
    <w:p w14:paraId="4CB91865" w14:textId="77777777" w:rsidR="00043D11" w:rsidRPr="00067C12" w:rsidRDefault="00043D11" w:rsidP="00067C12"/>
    <w:p w14:paraId="6A2C7B24" w14:textId="77777777" w:rsidR="00043D11" w:rsidRDefault="00043D11" w:rsidP="00043D11"/>
    <w:p w14:paraId="23496DCC" w14:textId="77777777" w:rsidR="00043D11" w:rsidRDefault="00043D11" w:rsidP="00043D11"/>
    <w:p w14:paraId="269D0B1C" w14:textId="77777777" w:rsidR="00043D11" w:rsidRDefault="00043D11" w:rsidP="00043D11"/>
    <w:p w14:paraId="2FEE1362" w14:textId="5305F536" w:rsidR="00043D11" w:rsidRPr="00067C12" w:rsidRDefault="00043D11" w:rsidP="00067C12">
      <w:pPr>
        <w:sectPr w:rsidR="00043D11" w:rsidRPr="00067C12" w:rsidSect="00087A17">
          <w:headerReference w:type="even" r:id="rId12"/>
          <w:headerReference w:type="default" r:id="rId13"/>
          <w:headerReference w:type="first" r:id="rId14"/>
          <w:pgSz w:w="11907" w:h="16840" w:code="9"/>
          <w:pgMar w:top="1134" w:right="567" w:bottom="567" w:left="1134" w:header="567" w:footer="567" w:gutter="0"/>
          <w:cols w:space="708"/>
          <w:docGrid w:linePitch="360"/>
        </w:sectPr>
      </w:pPr>
    </w:p>
    <w:tbl>
      <w:tblPr>
        <w:tblStyle w:val="TableClear"/>
        <w:tblpPr w:leftFromText="181" w:rightFromText="181" w:vertAnchor="page" w:horzAnchor="page" w:tblpX="3743" w:tblpY="15055"/>
        <w:tblW w:w="7031" w:type="dxa"/>
        <w:tblLayout w:type="fixed"/>
        <w:tblLook w:val="04A0" w:firstRow="1" w:lastRow="0" w:firstColumn="1" w:lastColumn="0" w:noHBand="0" w:noVBand="1"/>
      </w:tblPr>
      <w:tblGrid>
        <w:gridCol w:w="7031"/>
      </w:tblGrid>
      <w:tr w:rsidR="00087A17" w:rsidRPr="00586151" w14:paraId="1E400707" w14:textId="77777777" w:rsidTr="00A96BD6">
        <w:trPr>
          <w:trHeight w:hRule="exact" w:val="851"/>
        </w:trPr>
        <w:tc>
          <w:tcPr>
            <w:tcW w:w="7031" w:type="dxa"/>
            <w:vAlign w:val="bottom"/>
          </w:tcPr>
          <w:p w14:paraId="5B6A760F" w14:textId="77777777" w:rsidR="001513FD" w:rsidRPr="008730AF" w:rsidRDefault="001513FD" w:rsidP="001513FD">
            <w:pPr>
              <w:pStyle w:val="SmallSpacer"/>
            </w:pPr>
          </w:p>
        </w:tc>
      </w:tr>
      <w:tr w:rsidR="00087A17" w:rsidRPr="00586151" w14:paraId="37983504" w14:textId="77777777" w:rsidTr="00A96BD6">
        <w:tc>
          <w:tcPr>
            <w:tcW w:w="7031" w:type="dxa"/>
            <w:vAlign w:val="bottom"/>
          </w:tcPr>
          <w:p w14:paraId="195A4866" w14:textId="77777777" w:rsidR="00087A17" w:rsidRPr="00FE13C2" w:rsidRDefault="00087A17" w:rsidP="00FE13C2">
            <w:pPr>
              <w:pStyle w:val="DocFileRef"/>
            </w:pPr>
          </w:p>
        </w:tc>
      </w:tr>
    </w:tbl>
    <w:p w14:paraId="6536AAA0" w14:textId="77777777" w:rsidR="000A7F42" w:rsidRDefault="00265B08" w:rsidP="003C4650">
      <w:r>
        <w:rPr>
          <w:noProof/>
          <w:lang w:eastAsia="en-GB"/>
        </w:rPr>
        <mc:AlternateContent>
          <mc:Choice Requires="wps">
            <w:drawing>
              <wp:anchor distT="0" distB="0" distL="114300" distR="114300" simplePos="0" relativeHeight="251659776" behindDoc="0" locked="1" layoutInCell="1" allowOverlap="1" wp14:anchorId="66DE18BB" wp14:editId="172FED0A">
                <wp:simplePos x="0" y="0"/>
                <wp:positionH relativeFrom="margin">
                  <wp:posOffset>3479</wp:posOffset>
                </wp:positionH>
                <wp:positionV relativeFrom="page">
                  <wp:posOffset>2878372</wp:posOffset>
                </wp:positionV>
                <wp:extent cx="1515110" cy="7559675"/>
                <wp:effectExtent l="0" t="0" r="8890" b="3175"/>
                <wp:wrapNone/>
                <wp:docPr id="41" name="LeftBox"/>
                <wp:cNvGraphicFramePr/>
                <a:graphic xmlns:a="http://schemas.openxmlformats.org/drawingml/2006/main">
                  <a:graphicData uri="http://schemas.microsoft.com/office/word/2010/wordprocessingShape">
                    <wps:wsp>
                      <wps:cNvSpPr txBox="1"/>
                      <wps:spPr>
                        <a:xfrm>
                          <a:off x="0" y="0"/>
                          <a:ext cx="1515110" cy="75596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Clear"/>
                              <w:tblW w:w="2268" w:type="dxa"/>
                              <w:tblLayout w:type="fixed"/>
                              <w:tblLook w:val="04A0" w:firstRow="1" w:lastRow="0" w:firstColumn="1" w:lastColumn="0" w:noHBand="0" w:noVBand="1"/>
                            </w:tblPr>
                            <w:tblGrid>
                              <w:gridCol w:w="2268"/>
                            </w:tblGrid>
                            <w:tr w:rsidR="00926BB1" w:rsidRPr="00931A42" w14:paraId="1B972FD6" w14:textId="77777777" w:rsidTr="001678E3">
                              <w:trPr>
                                <w:trHeight w:val="5557"/>
                              </w:trPr>
                              <w:tc>
                                <w:tcPr>
                                  <w:tcW w:w="2268" w:type="dxa"/>
                                </w:tcPr>
                                <w:p w14:paraId="136F3DC1" w14:textId="77777777" w:rsidR="00926BB1" w:rsidRPr="00931A42" w:rsidRDefault="00926BB1">
                                  <w:pPr>
                                    <w:pStyle w:val="Address"/>
                                  </w:pPr>
                                  <w:r w:rsidRPr="00931A42">
                                    <w:t>Mott MacDonald</w:t>
                                  </w:r>
                                </w:p>
                                <w:p w14:paraId="0B5EC47D" w14:textId="77777777" w:rsidR="00926BB1" w:rsidRPr="00931A42" w:rsidRDefault="00926BB1">
                                  <w:pPr>
                                    <w:pStyle w:val="Address"/>
                                  </w:pPr>
                                  <w:r w:rsidRPr="00931A42">
                                    <w:t>35 Newhall Street</w:t>
                                  </w:r>
                                </w:p>
                                <w:p w14:paraId="3353EDC5" w14:textId="4DA4ACDA" w:rsidR="00926BB1" w:rsidRPr="00931A42" w:rsidRDefault="00926BB1">
                                  <w:pPr>
                                    <w:pStyle w:val="Address"/>
                                  </w:pPr>
                                  <w:r w:rsidRPr="00931A42">
                                    <w:t>Birmingham B3 3PU</w:t>
                                  </w:r>
                                </w:p>
                                <w:p w14:paraId="35D56B85" w14:textId="77777777" w:rsidR="00926BB1" w:rsidRPr="00931A42" w:rsidRDefault="00926BB1">
                                  <w:pPr>
                                    <w:pStyle w:val="Address"/>
                                  </w:pPr>
                                  <w:r w:rsidRPr="00931A42">
                                    <w:t>United Kingdom</w:t>
                                  </w:r>
                                </w:p>
                                <w:p w14:paraId="578A95B2" w14:textId="77777777" w:rsidR="00926BB1" w:rsidRPr="00931A42" w:rsidRDefault="00926BB1" w:rsidP="00BC2F54">
                                  <w:pPr>
                                    <w:pStyle w:val="Address"/>
                                  </w:pPr>
                                </w:p>
                                <w:p w14:paraId="7A9DB955" w14:textId="77777777" w:rsidR="00926BB1" w:rsidRPr="00931A42" w:rsidRDefault="00926BB1" w:rsidP="00BC2F54">
                                  <w:pPr>
                                    <w:pStyle w:val="Address"/>
                                  </w:pPr>
                                  <w:r w:rsidRPr="00931A42">
                                    <w:t>T +44 (0)121 234 1500</w:t>
                                  </w:r>
                                </w:p>
                                <w:p w14:paraId="0FDBF2C2" w14:textId="7EDF62AB" w:rsidR="00926BB1" w:rsidRPr="00931A42" w:rsidRDefault="00926BB1" w:rsidP="007842B0">
                                  <w:pPr>
                                    <w:pStyle w:val="Address"/>
                                    <w:rPr>
                                      <w:vanish/>
                                    </w:rPr>
                                  </w:pPr>
                                </w:p>
                                <w:p w14:paraId="03FCC024" w14:textId="77777777" w:rsidR="00926BB1" w:rsidRPr="00931A42" w:rsidRDefault="00926BB1" w:rsidP="00BC2F54">
                                  <w:pPr>
                                    <w:pStyle w:val="Address"/>
                                  </w:pPr>
                                  <w:r w:rsidRPr="00931A42">
                                    <w:t>mottmac.com</w:t>
                                  </w:r>
                                </w:p>
                                <w:p w14:paraId="1263D962" w14:textId="77777777" w:rsidR="00926BB1" w:rsidRPr="00931A42" w:rsidRDefault="00926BB1" w:rsidP="00BC2F54">
                                  <w:pPr>
                                    <w:pStyle w:val="Address"/>
                                  </w:pPr>
                                </w:p>
                              </w:tc>
                            </w:tr>
                            <w:tr w:rsidR="00926BB1" w:rsidRPr="00931A42" w14:paraId="4B8245E9" w14:textId="77777777" w:rsidTr="001678E3">
                              <w:trPr>
                                <w:trHeight w:val="1701"/>
                              </w:trPr>
                              <w:tc>
                                <w:tcPr>
                                  <w:tcW w:w="2268" w:type="dxa"/>
                                </w:tcPr>
                                <w:p w14:paraId="2ABD029D" w14:textId="77777777" w:rsidR="00926BB1" w:rsidRPr="00931A42" w:rsidRDefault="00926BB1">
                                  <w:pPr>
                                    <w:pStyle w:val="ClientName"/>
                                  </w:pPr>
                                  <w:r w:rsidRPr="00931A42">
                                    <w:t xml:space="preserve">Chichester District Council </w:t>
                                  </w:r>
                                </w:p>
                                <w:p w14:paraId="6FCBAB7E" w14:textId="77777777" w:rsidR="00926BB1" w:rsidRPr="00931A42" w:rsidRDefault="00926BB1">
                                  <w:pPr>
                                    <w:pStyle w:val="ClientName"/>
                                  </w:pPr>
                                  <w:r w:rsidRPr="00931A42">
                                    <w:t xml:space="preserve">East Pallant House </w:t>
                                  </w:r>
                                </w:p>
                                <w:p w14:paraId="65CEDC9C" w14:textId="77777777" w:rsidR="00926BB1" w:rsidRPr="00931A42" w:rsidRDefault="00926BB1">
                                  <w:pPr>
                                    <w:pStyle w:val="ClientName"/>
                                  </w:pPr>
                                  <w:r w:rsidRPr="00931A42">
                                    <w:t xml:space="preserve">1 East Pallant </w:t>
                                  </w:r>
                                </w:p>
                                <w:p w14:paraId="255A2EA4" w14:textId="77777777" w:rsidR="00926BB1" w:rsidRPr="00931A42" w:rsidRDefault="00926BB1">
                                  <w:pPr>
                                    <w:pStyle w:val="ClientName"/>
                                  </w:pPr>
                                  <w:r w:rsidRPr="00931A42">
                                    <w:t xml:space="preserve">Chichester </w:t>
                                  </w:r>
                                </w:p>
                                <w:p w14:paraId="0B368F8F" w14:textId="0FBC10FD" w:rsidR="00926BB1" w:rsidRPr="00931A42" w:rsidRDefault="00926BB1">
                                  <w:pPr>
                                    <w:pStyle w:val="ClientName"/>
                                  </w:pPr>
                                  <w:r w:rsidRPr="00931A42">
                                    <w:t xml:space="preserve">PO19 </w:t>
                                  </w:r>
                                </w:p>
                                <w:p w14:paraId="472E04FD" w14:textId="77777777" w:rsidR="00926BB1" w:rsidRPr="00931A42" w:rsidRDefault="00926BB1" w:rsidP="00D3113B">
                                  <w:pPr>
                                    <w:pStyle w:val="Address"/>
                                  </w:pPr>
                                </w:p>
                              </w:tc>
                            </w:tr>
                            <w:tr w:rsidR="00926BB1" w:rsidRPr="00931A42" w14:paraId="6DDD88AC" w14:textId="77777777" w:rsidTr="000F7766">
                              <w:trPr>
                                <w:trHeight w:val="4451"/>
                              </w:trPr>
                              <w:tc>
                                <w:tcPr>
                                  <w:tcW w:w="2268" w:type="dxa"/>
                                  <w:vAlign w:val="bottom"/>
                                </w:tcPr>
                                <w:p w14:paraId="5FC0D9FA" w14:textId="77777777" w:rsidR="00926BB1" w:rsidRPr="00931A42" w:rsidRDefault="00926BB1">
                                  <w:pPr>
                                    <w:pStyle w:val="LegalFooter"/>
                                  </w:pPr>
                                  <w:r w:rsidRPr="00931A42">
                                    <w:t>Mott MacDonald Limited. Registered in England and Wales no. 1243967. Registered office: Mott MacDonald House, 8-10 Sydenham Road, Croydon CR0 2EE, United Kingdom</w:t>
                                  </w:r>
                                </w:p>
                                <w:p w14:paraId="04773FF7" w14:textId="77777777" w:rsidR="00926BB1" w:rsidRPr="00931A42" w:rsidRDefault="00926BB1" w:rsidP="00D3113B">
                                  <w:pPr>
                                    <w:pStyle w:val="LegalFooter"/>
                                  </w:pPr>
                                </w:p>
                              </w:tc>
                            </w:tr>
                          </w:tbl>
                          <w:p w14:paraId="66D11330" w14:textId="77777777" w:rsidR="00926BB1" w:rsidRPr="00931A42" w:rsidRDefault="00926BB1" w:rsidP="00D3113B">
                            <w:pPr>
                              <w:pStyle w:val="Addres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LeftBox" o:spid="_x0000_s1026" type="#_x0000_t202" style="position:absolute;margin-left:.25pt;margin-top:226.65pt;width:119.3pt;height:595.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" filled="f" fillcolor="white [3201]" stroked="f" strokeweight=".5pt">
                <v:textbox inset="0,0,0,0">
                  <w:txbxContent>
                    <w:tbl>
                      <w:tblPr>
                        <w:tblStyle w:val="TableClear"/>
                        <w:tblW w:w="2268" w:type="dxa"/>
                        <w:tblLayout w:type="fixed"/>
                        <w:tblLook w:val="04A0" w:firstRow="1" w:lastRow="0" w:firstColumn="1" w:lastColumn="0" w:noHBand="0" w:noVBand="1"/>
                      </w:tblPr>
                      <w:tblGrid>
                        <w:gridCol w:w="2268"/>
                      </w:tblGrid>
                      <w:tr w:rsidR="00926BB1" w:rsidRPr="00931A42" w14:paraId="1B972FD6" w14:textId="77777777" w:rsidTr="001678E3">
                        <w:trPr>
                          <w:trHeight w:val="5557"/>
                        </w:trPr>
                        <w:tc>
                          <w:tcPr>
                            <w:tcW w:w="2268" w:type="dxa"/>
                          </w:tcPr>
                          <w:p w14:paraId="136F3DC1" w14:textId="77777777" w:rsidR="00926BB1" w:rsidRPr="00931A42" w:rsidRDefault="00926BB1">
                            <w:pPr>
                              <w:pStyle w:val="Address"/>
                            </w:pPr>
                            <w:r w:rsidRPr="00931A42">
                              <w:t>Mott MacDonald</w:t>
                            </w:r>
                          </w:p>
                          <w:p w14:paraId="0B5EC47D" w14:textId="77777777" w:rsidR="00926BB1" w:rsidRPr="00931A42" w:rsidRDefault="00926BB1">
                            <w:pPr>
                              <w:pStyle w:val="Address"/>
                            </w:pPr>
                            <w:r w:rsidRPr="00931A42">
                              <w:t>35 Newhall Street</w:t>
                            </w:r>
                          </w:p>
                          <w:p w14:paraId="3353EDC5" w14:textId="4DA4ACDA" w:rsidR="00926BB1" w:rsidRPr="00931A42" w:rsidRDefault="00926BB1">
                            <w:pPr>
                              <w:pStyle w:val="Address"/>
                            </w:pPr>
                            <w:r w:rsidRPr="00931A42">
                              <w:t>Birmingham B3 3PU</w:t>
                            </w:r>
                          </w:p>
                          <w:p w14:paraId="35D56B85" w14:textId="77777777" w:rsidR="00926BB1" w:rsidRPr="00931A42" w:rsidRDefault="00926BB1">
                            <w:pPr>
                              <w:pStyle w:val="Address"/>
                            </w:pPr>
                            <w:r w:rsidRPr="00931A42">
                              <w:t>United Kingdom</w:t>
                            </w:r>
                          </w:p>
                          <w:p w14:paraId="578A95B2" w14:textId="77777777" w:rsidR="00926BB1" w:rsidRPr="00931A42" w:rsidRDefault="00926BB1" w:rsidP="00BC2F54">
                            <w:pPr>
                              <w:pStyle w:val="Address"/>
                            </w:pPr>
                          </w:p>
                          <w:p w14:paraId="7A9DB955" w14:textId="77777777" w:rsidR="00926BB1" w:rsidRPr="00931A42" w:rsidRDefault="00926BB1" w:rsidP="00BC2F54">
                            <w:pPr>
                              <w:pStyle w:val="Address"/>
                            </w:pPr>
                            <w:r w:rsidRPr="00931A42">
                              <w:t>T +44 (0)121 234 1500</w:t>
                            </w:r>
                          </w:p>
                          <w:p w14:paraId="0FDBF2C2" w14:textId="7EDF62AB" w:rsidR="00926BB1" w:rsidRPr="00931A42" w:rsidRDefault="00926BB1" w:rsidP="007842B0">
                            <w:pPr>
                              <w:pStyle w:val="Address"/>
                              <w:rPr>
                                <w:vanish/>
                              </w:rPr>
                            </w:pPr>
                          </w:p>
                          <w:p w14:paraId="03FCC024" w14:textId="77777777" w:rsidR="00926BB1" w:rsidRPr="00931A42" w:rsidRDefault="00926BB1" w:rsidP="00BC2F54">
                            <w:pPr>
                              <w:pStyle w:val="Address"/>
                            </w:pPr>
                            <w:r w:rsidRPr="00931A42">
                              <w:t>mottmac.com</w:t>
                            </w:r>
                          </w:p>
                          <w:p w14:paraId="1263D962" w14:textId="77777777" w:rsidR="00926BB1" w:rsidRPr="00931A42" w:rsidRDefault="00926BB1" w:rsidP="00BC2F54">
                            <w:pPr>
                              <w:pStyle w:val="Address"/>
                            </w:pPr>
                          </w:p>
                        </w:tc>
                      </w:tr>
                      <w:tr w:rsidR="00926BB1" w:rsidRPr="00931A42" w14:paraId="4B8245E9" w14:textId="77777777" w:rsidTr="001678E3">
                        <w:trPr>
                          <w:trHeight w:val="1701"/>
                        </w:trPr>
                        <w:tc>
                          <w:tcPr>
                            <w:tcW w:w="2268" w:type="dxa"/>
                          </w:tcPr>
                          <w:p w14:paraId="2ABD029D" w14:textId="77777777" w:rsidR="00926BB1" w:rsidRPr="00931A42" w:rsidRDefault="00926BB1">
                            <w:pPr>
                              <w:pStyle w:val="ClientName"/>
                            </w:pPr>
                            <w:r w:rsidRPr="00931A42">
                              <w:t xml:space="preserve">Chichester District Council </w:t>
                            </w:r>
                          </w:p>
                          <w:p w14:paraId="6FCBAB7E" w14:textId="77777777" w:rsidR="00926BB1" w:rsidRPr="00931A42" w:rsidRDefault="00926BB1">
                            <w:pPr>
                              <w:pStyle w:val="ClientName"/>
                            </w:pPr>
                            <w:r w:rsidRPr="00931A42">
                              <w:t xml:space="preserve">East Pallant House </w:t>
                            </w:r>
                          </w:p>
                          <w:p w14:paraId="65CEDC9C" w14:textId="77777777" w:rsidR="00926BB1" w:rsidRPr="00931A42" w:rsidRDefault="00926BB1">
                            <w:pPr>
                              <w:pStyle w:val="ClientName"/>
                            </w:pPr>
                            <w:r w:rsidRPr="00931A42">
                              <w:t xml:space="preserve">1 East Pallant </w:t>
                            </w:r>
                          </w:p>
                          <w:p w14:paraId="255A2EA4" w14:textId="77777777" w:rsidR="00926BB1" w:rsidRPr="00931A42" w:rsidRDefault="00926BB1">
                            <w:pPr>
                              <w:pStyle w:val="ClientName"/>
                            </w:pPr>
                            <w:r w:rsidRPr="00931A42">
                              <w:t xml:space="preserve">Chichester </w:t>
                            </w:r>
                          </w:p>
                          <w:p w14:paraId="0B368F8F" w14:textId="0FBC10FD" w:rsidR="00926BB1" w:rsidRPr="00931A42" w:rsidRDefault="00926BB1">
                            <w:pPr>
                              <w:pStyle w:val="ClientName"/>
                            </w:pPr>
                            <w:r w:rsidRPr="00931A42">
                              <w:t xml:space="preserve">PO19 </w:t>
                            </w:r>
                          </w:p>
                          <w:p w14:paraId="472E04FD" w14:textId="77777777" w:rsidR="00926BB1" w:rsidRPr="00931A42" w:rsidRDefault="00926BB1" w:rsidP="00D3113B">
                            <w:pPr>
                              <w:pStyle w:val="Address"/>
                            </w:pPr>
                          </w:p>
                        </w:tc>
                      </w:tr>
                      <w:tr w:rsidR="00926BB1" w:rsidRPr="00931A42" w14:paraId="6DDD88AC" w14:textId="77777777" w:rsidTr="000F7766">
                        <w:trPr>
                          <w:trHeight w:val="4451"/>
                        </w:trPr>
                        <w:tc>
                          <w:tcPr>
                            <w:tcW w:w="2268" w:type="dxa"/>
                            <w:vAlign w:val="bottom"/>
                          </w:tcPr>
                          <w:p w14:paraId="5FC0D9FA" w14:textId="77777777" w:rsidR="00926BB1" w:rsidRPr="00931A42" w:rsidRDefault="00926BB1">
                            <w:pPr>
                              <w:pStyle w:val="LegalFooter"/>
                            </w:pPr>
                            <w:r w:rsidRPr="00931A42">
                              <w:t>Mott MacDonald Limited. Registered in England and Wales no. 1243967. Registered office: Mott MacDonald House, 8-10 Sydenham Road, Croydon CR0 2EE, United Kingdom</w:t>
                            </w:r>
                          </w:p>
                          <w:p w14:paraId="04773FF7" w14:textId="77777777" w:rsidR="00926BB1" w:rsidRPr="00931A42" w:rsidRDefault="00926BB1" w:rsidP="00D3113B">
                            <w:pPr>
                              <w:pStyle w:val="LegalFooter"/>
                            </w:pPr>
                          </w:p>
                        </w:tc>
                      </w:tr>
                    </w:tbl>
                    <w:p w14:paraId="66D11330" w14:textId="77777777" w:rsidR="00926BB1" w:rsidRPr="00931A42" w:rsidRDefault="00926BB1" w:rsidP="00D3113B">
                      <w:pPr>
                        <w:pStyle w:val="Address"/>
                      </w:pPr>
                    </w:p>
                  </w:txbxContent>
                </v:textbox>
                <w10:wrap anchorx="margin" anchory="page"/>
                <w10:anchorlock/>
              </v:shape>
            </w:pict>
          </mc:Fallback>
        </mc:AlternateContent>
      </w:r>
    </w:p>
    <w:p w14:paraId="7D3CA399" w14:textId="77777777" w:rsidR="001933A2" w:rsidRDefault="001933A2" w:rsidP="003C4650"/>
    <w:p w14:paraId="1A5D1EDE" w14:textId="77777777" w:rsidR="001933A2" w:rsidRDefault="001933A2" w:rsidP="003C4650"/>
    <w:p w14:paraId="0175EEEA" w14:textId="77777777" w:rsidR="00783A04" w:rsidRDefault="00783A04" w:rsidP="003C4650"/>
    <w:p w14:paraId="245B2654" w14:textId="77777777" w:rsidR="001933A2" w:rsidRDefault="00FD3EAF" w:rsidP="003C4650">
      <w:r>
        <w:rPr>
          <w:noProof/>
          <w:lang w:eastAsia="en-GB"/>
        </w:rPr>
        <mc:AlternateContent>
          <mc:Choice Requires="wps">
            <w:drawing>
              <wp:anchor distT="0" distB="0" distL="114300" distR="114300" simplePos="0" relativeHeight="251660800" behindDoc="0" locked="1" layoutInCell="1" allowOverlap="1" wp14:anchorId="332CDF71" wp14:editId="329D7467">
                <wp:simplePos x="0" y="0"/>
                <wp:positionH relativeFrom="page">
                  <wp:posOffset>2353310</wp:posOffset>
                </wp:positionH>
                <wp:positionV relativeFrom="page">
                  <wp:posOffset>6397625</wp:posOffset>
                </wp:positionV>
                <wp:extent cx="5198110" cy="1868170"/>
                <wp:effectExtent l="0" t="0" r="2540" b="11430"/>
                <wp:wrapNone/>
                <wp:docPr id="27" name="Titlebox"/>
                <wp:cNvGraphicFramePr/>
                <a:graphic xmlns:a="http://schemas.openxmlformats.org/drawingml/2006/main">
                  <a:graphicData uri="http://schemas.microsoft.com/office/word/2010/wordprocessingShape">
                    <wps:wsp>
                      <wps:cNvSpPr txBox="1"/>
                      <wps:spPr>
                        <a:xfrm>
                          <a:off x="0" y="0"/>
                          <a:ext cx="5198110" cy="186817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tbl>
                            <w:tblPr>
                              <w:tblStyle w:val="TableClear"/>
                              <w:tblW w:w="7031" w:type="dxa"/>
                              <w:tblLayout w:type="fixed"/>
                              <w:tblCellMar>
                                <w:bottom w:w="198" w:type="dxa"/>
                              </w:tblCellMar>
                              <w:tblLook w:val="04A0" w:firstRow="1" w:lastRow="0" w:firstColumn="1" w:lastColumn="0" w:noHBand="0" w:noVBand="1"/>
                            </w:tblPr>
                            <w:tblGrid>
                              <w:gridCol w:w="7031"/>
                            </w:tblGrid>
                            <w:tr w:rsidR="00926BB1" w:rsidRPr="00931A42" w14:paraId="28E05710" w14:textId="77777777" w:rsidTr="000A5025">
                              <w:tc>
                                <w:tcPr>
                                  <w:tcW w:w="7031" w:type="dxa"/>
                                </w:tcPr>
                                <w:p w14:paraId="68553BB4" w14:textId="410C2725" w:rsidR="00926BB1" w:rsidRPr="00931A42" w:rsidRDefault="00926BB1">
                                  <w:pPr>
                                    <w:pStyle w:val="DocTitle"/>
                                  </w:pPr>
                                  <w:r w:rsidRPr="00931A42">
                                    <w:t xml:space="preserve">Tangmere Strategic Development Location </w:t>
                                  </w:r>
                                  <w:r w:rsidR="0092054A">
                                    <w:t xml:space="preserve"> </w:t>
                                  </w:r>
                                  <w:r w:rsidRPr="00931A42">
                                    <w:t>Compulsory Purchase Order</w:t>
                                  </w:r>
                                </w:p>
                              </w:tc>
                            </w:tr>
                            <w:tr w:rsidR="00926BB1" w:rsidRPr="00931A42" w14:paraId="504A19CD" w14:textId="77777777" w:rsidTr="000A5025">
                              <w:tc>
                                <w:tcPr>
                                  <w:tcW w:w="7031" w:type="dxa"/>
                                </w:tcPr>
                                <w:p w14:paraId="4178BF27" w14:textId="77777777" w:rsidR="00926BB1" w:rsidRPr="00931A42" w:rsidRDefault="00926BB1">
                                  <w:pPr>
                                    <w:pStyle w:val="DocSubTitle"/>
                                  </w:pPr>
                                  <w:r w:rsidRPr="00931A42">
                                    <w:t xml:space="preserve">Equality Impact Assessment </w:t>
                                  </w:r>
                                </w:p>
                              </w:tc>
                            </w:tr>
                            <w:tr w:rsidR="00926BB1" w:rsidRPr="00931A42" w14:paraId="5999FE72" w14:textId="77777777" w:rsidTr="000A5025">
                              <w:tc>
                                <w:tcPr>
                                  <w:tcW w:w="7031" w:type="dxa"/>
                                  <w:shd w:val="clear" w:color="auto" w:fill="auto"/>
                                  <w:tcMar>
                                    <w:bottom w:w="85" w:type="dxa"/>
                                  </w:tcMar>
                                </w:tcPr>
                                <w:p w14:paraId="45CCB71F" w14:textId="6DAC79FB" w:rsidR="00926BB1" w:rsidRPr="00931A42" w:rsidRDefault="00E14F50" w:rsidP="00A434AB">
                                  <w:pPr>
                                    <w:pStyle w:val="DocDate"/>
                                  </w:pPr>
                                  <w:r>
                                    <w:t>7</w:t>
                                  </w:r>
                                  <w:r w:rsidR="00291134">
                                    <w:t xml:space="preserve"> February 202</w:t>
                                  </w:r>
                                  <w:r w:rsidR="004E08FF">
                                    <w:t>0</w:t>
                                  </w:r>
                                </w:p>
                              </w:tc>
                            </w:tr>
                          </w:tbl>
                          <w:p w14:paraId="7C4B99DD" w14:textId="77777777" w:rsidR="00926BB1" w:rsidRPr="00931A42" w:rsidRDefault="00926BB1"/>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itlebox" o:spid="_x0000_s1027" type="#_x0000_t202" style="position:absolute;margin-left:185.3pt;margin-top:503.75pt;width:409.3pt;height:147.1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" filled="f" fillcolor="white [3201]" stroked="f" strokeweight=".5pt">
                <v:textbox style="mso-fit-shape-to-text:t" inset="0,0,0,0">
                  <w:txbxContent>
                    <w:tbl>
                      <w:tblPr>
                        <w:tblStyle w:val="TableClear"/>
                        <w:tblW w:w="7031" w:type="dxa"/>
                        <w:tblLayout w:type="fixed"/>
                        <w:tblCellMar>
                          <w:bottom w:w="198" w:type="dxa"/>
                        </w:tblCellMar>
                        <w:tblLook w:val="04A0" w:firstRow="1" w:lastRow="0" w:firstColumn="1" w:lastColumn="0" w:noHBand="0" w:noVBand="1"/>
                      </w:tblPr>
                      <w:tblGrid>
                        <w:gridCol w:w="7031"/>
                      </w:tblGrid>
                      <w:tr w:rsidR="00926BB1" w:rsidRPr="00931A42" w14:paraId="28E05710" w14:textId="77777777" w:rsidTr="000A5025">
                        <w:tc>
                          <w:tcPr>
                            <w:tcW w:w="7031" w:type="dxa"/>
                          </w:tcPr>
                          <w:p w14:paraId="68553BB4" w14:textId="410C2725" w:rsidR="00926BB1" w:rsidRPr="00931A42" w:rsidRDefault="00926BB1">
                            <w:pPr>
                              <w:pStyle w:val="DocTitle"/>
                            </w:pPr>
                            <w:r w:rsidRPr="00931A42">
                              <w:t xml:space="preserve">Tangmere Strategic Development Location </w:t>
                            </w:r>
                            <w:r w:rsidR="0092054A">
                              <w:t xml:space="preserve"> </w:t>
                            </w:r>
                            <w:r w:rsidRPr="00931A42">
                              <w:t>Compulsory Purchase Order</w:t>
                            </w:r>
                          </w:p>
                        </w:tc>
                      </w:tr>
                      <w:tr w:rsidR="00926BB1" w:rsidRPr="00931A42" w14:paraId="504A19CD" w14:textId="77777777" w:rsidTr="000A5025">
                        <w:tc>
                          <w:tcPr>
                            <w:tcW w:w="7031" w:type="dxa"/>
                          </w:tcPr>
                          <w:p w14:paraId="4178BF27" w14:textId="77777777" w:rsidR="00926BB1" w:rsidRPr="00931A42" w:rsidRDefault="00926BB1">
                            <w:pPr>
                              <w:pStyle w:val="DocSubTitle"/>
                            </w:pPr>
                            <w:r w:rsidRPr="00931A42">
                              <w:t xml:space="preserve">Equality Impact Assessment </w:t>
                            </w:r>
                          </w:p>
                        </w:tc>
                      </w:tr>
                      <w:tr w:rsidR="00926BB1" w:rsidRPr="00931A42" w14:paraId="5999FE72" w14:textId="77777777" w:rsidTr="000A5025">
                        <w:tc>
                          <w:tcPr>
                            <w:tcW w:w="7031" w:type="dxa"/>
                            <w:shd w:val="clear" w:color="auto" w:fill="auto"/>
                            <w:tcMar>
                              <w:bottom w:w="85" w:type="dxa"/>
                            </w:tcMar>
                          </w:tcPr>
                          <w:p w14:paraId="45CCB71F" w14:textId="6DAC79FB" w:rsidR="00926BB1" w:rsidRPr="00931A42" w:rsidRDefault="00E14F50" w:rsidP="00A434AB">
                            <w:pPr>
                              <w:pStyle w:val="DocDate"/>
                            </w:pPr>
                            <w:r>
                              <w:t>7</w:t>
                            </w:r>
                            <w:r w:rsidR="00291134">
                              <w:t xml:space="preserve"> February 202</w:t>
                            </w:r>
                            <w:r w:rsidR="004E08FF">
                              <w:t>0</w:t>
                            </w:r>
                          </w:p>
                        </w:tc>
                      </w:tr>
                    </w:tbl>
                    <w:p w14:paraId="7C4B99DD" w14:textId="77777777" w:rsidR="00926BB1" w:rsidRPr="00931A42" w:rsidRDefault="00926BB1"/>
                  </w:txbxContent>
                </v:textbox>
                <w10:wrap anchorx="page" anchory="page"/>
                <w10:anchorlock/>
              </v:shape>
            </w:pict>
          </mc:Fallback>
        </mc:AlternateContent>
      </w:r>
    </w:p>
    <w:p w14:paraId="57DA3B82" w14:textId="77777777" w:rsidR="00087A17" w:rsidRPr="00204BB8" w:rsidRDefault="003C4650" w:rsidP="003C4650">
      <w:pPr>
        <w:sectPr w:rsidR="00087A17" w:rsidRPr="00204BB8" w:rsidSect="00BF455A">
          <w:headerReference w:type="default" r:id="rId15"/>
          <w:footerReference w:type="default" r:id="rId16"/>
          <w:headerReference w:type="first" r:id="rId17"/>
          <w:footerReference w:type="first" r:id="rId18"/>
          <w:type w:val="oddPage"/>
          <w:pgSz w:w="11907" w:h="16840" w:code="9"/>
          <w:pgMar w:top="1134" w:right="567" w:bottom="567" w:left="1134" w:header="567" w:footer="567" w:gutter="0"/>
          <w:cols w:space="708"/>
          <w:docGrid w:linePitch="360"/>
        </w:sectPr>
      </w:pPr>
      <w:r w:rsidRPr="00586151">
        <w:t xml:space="preserve"> </w:t>
      </w:r>
      <w:r w:rsidR="00082C50">
        <w:t xml:space="preserve"> </w:t>
      </w:r>
    </w:p>
    <w:p w14:paraId="6A29CB25" w14:textId="77777777" w:rsidR="00F53982" w:rsidRDefault="000C30BC">
      <w:pPr>
        <w:pStyle w:val="SecHeadNonToc"/>
      </w:pPr>
      <w:r>
        <w:lastRenderedPageBreak/>
        <w:t>Issue and Revision Record</w:t>
      </w:r>
    </w:p>
    <w:tbl>
      <w:tblPr>
        <w:tblStyle w:val="MMTable"/>
        <w:tblW w:w="5000" w:type="pct"/>
        <w:tblBorders>
          <w:top w:val="single" w:sz="4" w:space="0" w:color="2FB6BC" w:themeColor="accent1"/>
          <w:bottom w:val="single" w:sz="4" w:space="0" w:color="2FB6BC" w:themeColor="accent1"/>
          <w:insideH w:val="single" w:sz="4" w:space="0" w:color="2FB6BC" w:themeColor="accent1"/>
        </w:tblBorders>
        <w:shd w:val="clear" w:color="000000" w:fill="auto"/>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LineSpacing&quot;:{},&quot;Alignment&quot;:{&quot;Horizontal&quot;:&quot;Left&quot;},&quot;Margin&quot;:{&quot;Left&quot;:5.4,&quot;Top&quot;:2.0,&quot;Right&quot;:5.4,&quot;Bottom&quot;:2.0},&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Ccs&quot;:{&quot;HeaderText&quot;:&quot;1, 1, 1, 1&quot;,&quot;FontText&quot;:&quot;Black&quot;,&quot;NoFill&quot;:&quot;Transparent&quot;,&quot;MiddleLines&quot;:&quot;1, 1, 1, 1&quot;,&quot;TopLine&quot;:&quot;Black&quot;,&quot;Banded&quot;:&quot;221, 220, 220&quot;,&quot;ButtomLine&quot;:&quot;Black&quot;},&quot;Cop&quot;:{&quot;FirstRow&quot;:true,&quot;LastRow&quot;:true,&quot;FirstColumn&quot;:true,&quot;BandedRows&quot;:true}}"/>
      </w:tblPr>
      <w:tblGrid>
        <w:gridCol w:w="1089"/>
        <w:gridCol w:w="966"/>
        <w:gridCol w:w="1209"/>
        <w:gridCol w:w="1208"/>
        <w:gridCol w:w="1330"/>
        <w:gridCol w:w="2703"/>
      </w:tblGrid>
      <w:tr w:rsidR="00557365" w:rsidRPr="00C13D2F" w14:paraId="6C2336B2" w14:textId="77777777" w:rsidTr="00C13D2F">
        <w:trPr>
          <w:cnfStyle w:val="100000000000" w:firstRow="1" w:lastRow="0" w:firstColumn="0" w:lastColumn="0" w:oddVBand="0" w:evenVBand="0" w:oddHBand="0" w:evenHBand="0" w:firstRowFirstColumn="0" w:firstRowLastColumn="0" w:lastRowFirstColumn="0" w:lastRowLastColumn="0"/>
        </w:trPr>
        <w:tc>
          <w:tcPr>
            <w:tcW w:w="640" w:type="pct"/>
            <w:tcBorders>
              <w:bottom w:val="single" w:sz="4" w:space="0" w:color="000000"/>
            </w:tcBorders>
            <w:shd w:val="clear" w:color="000000" w:fill="auto"/>
          </w:tcPr>
          <w:p w14:paraId="60633596" w14:textId="77777777" w:rsidR="00087A17" w:rsidRPr="00C13D2F" w:rsidRDefault="004B5721" w:rsidP="00C13D2F">
            <w:pPr>
              <w:pStyle w:val="TableHeadingLeft"/>
              <w:rPr>
                <w:rFonts w:cs="Arial"/>
              </w:rPr>
            </w:pPr>
            <w:r>
              <w:t>Revision</w:t>
            </w:r>
          </w:p>
        </w:tc>
        <w:tc>
          <w:tcPr>
            <w:tcW w:w="568" w:type="pct"/>
            <w:tcBorders>
              <w:bottom w:val="single" w:sz="4" w:space="0" w:color="000000"/>
            </w:tcBorders>
            <w:shd w:val="clear" w:color="000000" w:fill="auto"/>
          </w:tcPr>
          <w:p w14:paraId="590BB1F4" w14:textId="77777777" w:rsidR="00087A17" w:rsidRPr="00C13D2F" w:rsidRDefault="004B5721" w:rsidP="00C13D2F">
            <w:pPr>
              <w:pStyle w:val="TableHeadingLeft"/>
              <w:rPr>
                <w:rFonts w:cs="Arial"/>
              </w:rPr>
            </w:pPr>
            <w:r>
              <w:t>Date</w:t>
            </w:r>
          </w:p>
        </w:tc>
        <w:tc>
          <w:tcPr>
            <w:tcW w:w="711" w:type="pct"/>
            <w:tcBorders>
              <w:bottom w:val="single" w:sz="4" w:space="0" w:color="000000"/>
            </w:tcBorders>
            <w:shd w:val="clear" w:color="000000" w:fill="auto"/>
          </w:tcPr>
          <w:p w14:paraId="30B6BE26" w14:textId="77777777" w:rsidR="00087A17" w:rsidRPr="00C13D2F" w:rsidRDefault="004B5721" w:rsidP="00C13D2F">
            <w:pPr>
              <w:pStyle w:val="TableHeadingLeft"/>
              <w:rPr>
                <w:rFonts w:cs="Arial"/>
              </w:rPr>
            </w:pPr>
            <w:r>
              <w:t>Originator</w:t>
            </w:r>
          </w:p>
        </w:tc>
        <w:tc>
          <w:tcPr>
            <w:tcW w:w="710" w:type="pct"/>
            <w:tcBorders>
              <w:bottom w:val="single" w:sz="4" w:space="0" w:color="000000"/>
            </w:tcBorders>
            <w:shd w:val="clear" w:color="000000" w:fill="auto"/>
          </w:tcPr>
          <w:p w14:paraId="6DA98FD8" w14:textId="77777777" w:rsidR="00087A17" w:rsidRPr="00C13D2F" w:rsidRDefault="004B5721" w:rsidP="00C13D2F">
            <w:pPr>
              <w:pStyle w:val="TableHeadingLeft"/>
              <w:rPr>
                <w:rFonts w:cs="Arial"/>
              </w:rPr>
            </w:pPr>
            <w:r>
              <w:t>Checker</w:t>
            </w:r>
          </w:p>
        </w:tc>
        <w:tc>
          <w:tcPr>
            <w:tcW w:w="782" w:type="pct"/>
            <w:tcBorders>
              <w:bottom w:val="single" w:sz="4" w:space="0" w:color="000000"/>
            </w:tcBorders>
            <w:shd w:val="clear" w:color="000000" w:fill="auto"/>
          </w:tcPr>
          <w:p w14:paraId="1D003BB8" w14:textId="77777777" w:rsidR="00087A17" w:rsidRPr="00C13D2F" w:rsidRDefault="004B5721" w:rsidP="00C13D2F">
            <w:pPr>
              <w:pStyle w:val="TableHeadingLeft"/>
              <w:rPr>
                <w:rFonts w:cs="Arial"/>
              </w:rPr>
            </w:pPr>
            <w:r>
              <w:t>Approver</w:t>
            </w:r>
          </w:p>
        </w:tc>
        <w:tc>
          <w:tcPr>
            <w:tcW w:w="1589" w:type="pct"/>
            <w:tcBorders>
              <w:bottom w:val="single" w:sz="4" w:space="0" w:color="000000"/>
            </w:tcBorders>
            <w:shd w:val="clear" w:color="000000" w:fill="auto"/>
          </w:tcPr>
          <w:p w14:paraId="2CFFCB33" w14:textId="77777777" w:rsidR="00087A17" w:rsidRPr="00C13D2F" w:rsidRDefault="004B5721" w:rsidP="00C13D2F">
            <w:pPr>
              <w:pStyle w:val="TableHeadingLeft"/>
              <w:rPr>
                <w:rFonts w:cs="Arial"/>
              </w:rPr>
            </w:pPr>
            <w:r>
              <w:t>Description</w:t>
            </w:r>
          </w:p>
        </w:tc>
      </w:tr>
      <w:tr w:rsidR="00C13D2F" w:rsidRPr="00C13D2F" w14:paraId="05B75CDF" w14:textId="77777777" w:rsidTr="00C13D2F">
        <w:trPr>
          <w:cnfStyle w:val="000000100000" w:firstRow="0" w:lastRow="0" w:firstColumn="0" w:lastColumn="0" w:oddVBand="0" w:evenVBand="0" w:oddHBand="1" w:evenHBand="0" w:firstRowFirstColumn="0" w:firstRowLastColumn="0" w:lastRowFirstColumn="0" w:lastRowLastColumn="0"/>
        </w:trPr>
        <w:tc>
          <w:tcPr>
            <w:tcW w:w="640" w:type="pct"/>
            <w:tcBorders>
              <w:top w:val="single" w:sz="4" w:space="0" w:color="000000"/>
            </w:tcBorders>
            <w:shd w:val="clear" w:color="000000" w:fill="DDDCDC"/>
          </w:tcPr>
          <w:p w14:paraId="1DF63C55" w14:textId="471DE1D6" w:rsidR="00087A17" w:rsidRPr="00C13D2F" w:rsidRDefault="004F06CB" w:rsidP="00C13D2F">
            <w:pPr>
              <w:pStyle w:val="TableTextLeft"/>
              <w:rPr>
                <w:rFonts w:cs="Arial"/>
                <w:color w:val="000000"/>
              </w:rPr>
            </w:pPr>
            <w:r>
              <w:rPr>
                <w:rFonts w:cs="Arial"/>
                <w:color w:val="000000"/>
              </w:rPr>
              <w:t>A</w:t>
            </w:r>
          </w:p>
        </w:tc>
        <w:tc>
          <w:tcPr>
            <w:tcW w:w="568" w:type="pct"/>
            <w:tcBorders>
              <w:top w:val="single" w:sz="4" w:space="0" w:color="000000"/>
            </w:tcBorders>
            <w:shd w:val="clear" w:color="000000" w:fill="DDDCDC"/>
          </w:tcPr>
          <w:p w14:paraId="0A75517D" w14:textId="4BA825CC" w:rsidR="00087A17" w:rsidRPr="00C13D2F" w:rsidRDefault="00643495" w:rsidP="00C13D2F">
            <w:pPr>
              <w:pStyle w:val="TableTextLeft"/>
              <w:rPr>
                <w:rFonts w:cs="Arial"/>
                <w:color w:val="000000"/>
              </w:rPr>
            </w:pPr>
            <w:r>
              <w:rPr>
                <w:rFonts w:cs="Arial"/>
                <w:color w:val="000000"/>
              </w:rPr>
              <w:t>24</w:t>
            </w:r>
            <w:r w:rsidR="00C81C24">
              <w:rPr>
                <w:rFonts w:cs="Arial"/>
                <w:color w:val="000000"/>
              </w:rPr>
              <w:t xml:space="preserve"> Jan 20</w:t>
            </w:r>
            <w:r w:rsidR="007915BF">
              <w:rPr>
                <w:rFonts w:cs="Arial"/>
                <w:color w:val="000000"/>
              </w:rPr>
              <w:t>20</w:t>
            </w:r>
          </w:p>
        </w:tc>
        <w:tc>
          <w:tcPr>
            <w:tcW w:w="711" w:type="pct"/>
            <w:tcBorders>
              <w:top w:val="single" w:sz="4" w:space="0" w:color="000000"/>
            </w:tcBorders>
            <w:shd w:val="clear" w:color="000000" w:fill="DDDCDC"/>
          </w:tcPr>
          <w:p w14:paraId="387177D0" w14:textId="5F74C9A8" w:rsidR="00807257" w:rsidRDefault="00807257" w:rsidP="00C13D2F">
            <w:pPr>
              <w:pStyle w:val="TableTextLeft"/>
              <w:rPr>
                <w:rFonts w:cs="Arial"/>
                <w:color w:val="000000"/>
              </w:rPr>
            </w:pPr>
            <w:r>
              <w:rPr>
                <w:rFonts w:cs="Arial"/>
                <w:color w:val="000000"/>
              </w:rPr>
              <w:t>Cristina Cojocaru</w:t>
            </w:r>
          </w:p>
          <w:p w14:paraId="51C3DC43" w14:textId="06E32755" w:rsidR="00096847" w:rsidRPr="00C13D2F" w:rsidRDefault="007915BF" w:rsidP="004F06CB">
            <w:pPr>
              <w:pStyle w:val="TableTextLeft"/>
              <w:rPr>
                <w:rFonts w:cs="Arial"/>
                <w:color w:val="000000"/>
              </w:rPr>
            </w:pPr>
            <w:r>
              <w:rPr>
                <w:rFonts w:cs="Arial"/>
                <w:color w:val="000000"/>
              </w:rPr>
              <w:t xml:space="preserve">Osman Kocini </w:t>
            </w:r>
          </w:p>
        </w:tc>
        <w:tc>
          <w:tcPr>
            <w:tcW w:w="710" w:type="pct"/>
            <w:tcBorders>
              <w:top w:val="single" w:sz="4" w:space="0" w:color="000000"/>
            </w:tcBorders>
            <w:shd w:val="clear" w:color="000000" w:fill="DDDCDC"/>
          </w:tcPr>
          <w:p w14:paraId="298FCCA0" w14:textId="77777777" w:rsidR="00087A17" w:rsidRDefault="00096847" w:rsidP="00C13D2F">
            <w:pPr>
              <w:pStyle w:val="TableTextLeft"/>
              <w:rPr>
                <w:rFonts w:cs="Arial"/>
                <w:color w:val="000000"/>
              </w:rPr>
            </w:pPr>
            <w:r>
              <w:rPr>
                <w:rFonts w:cs="Arial"/>
                <w:color w:val="000000"/>
              </w:rPr>
              <w:t>Hannah Grounds</w:t>
            </w:r>
          </w:p>
          <w:p w14:paraId="61E5C47D" w14:textId="32E3674C" w:rsidR="00096847" w:rsidRPr="00C13D2F" w:rsidRDefault="00096847" w:rsidP="00C13D2F">
            <w:pPr>
              <w:pStyle w:val="TableTextLeft"/>
              <w:rPr>
                <w:rFonts w:cs="Arial"/>
                <w:color w:val="000000"/>
              </w:rPr>
            </w:pPr>
          </w:p>
        </w:tc>
        <w:tc>
          <w:tcPr>
            <w:tcW w:w="782" w:type="pct"/>
            <w:tcBorders>
              <w:top w:val="single" w:sz="4" w:space="0" w:color="000000"/>
            </w:tcBorders>
            <w:shd w:val="clear" w:color="000000" w:fill="DDDCDC"/>
          </w:tcPr>
          <w:p w14:paraId="46AFDA8F" w14:textId="20C4197E" w:rsidR="00087A17" w:rsidRPr="00C13D2F" w:rsidRDefault="00096847" w:rsidP="00C13D2F">
            <w:pPr>
              <w:pStyle w:val="TableTextLeft"/>
              <w:rPr>
                <w:rFonts w:cs="Arial"/>
                <w:color w:val="000000"/>
              </w:rPr>
            </w:pPr>
            <w:r>
              <w:rPr>
                <w:rFonts w:cs="Arial"/>
                <w:color w:val="000000"/>
              </w:rPr>
              <w:t>James Beard</w:t>
            </w:r>
          </w:p>
        </w:tc>
        <w:tc>
          <w:tcPr>
            <w:tcW w:w="1589" w:type="pct"/>
            <w:tcBorders>
              <w:top w:val="single" w:sz="4" w:space="0" w:color="000000"/>
            </w:tcBorders>
            <w:shd w:val="clear" w:color="000000" w:fill="DDDCDC"/>
          </w:tcPr>
          <w:p w14:paraId="6360700C" w14:textId="32419778" w:rsidR="00087A17" w:rsidRPr="00C13D2F" w:rsidRDefault="004F06CB" w:rsidP="00C13D2F">
            <w:pPr>
              <w:pStyle w:val="TableTextLeft"/>
              <w:rPr>
                <w:rFonts w:cs="Arial"/>
                <w:color w:val="000000"/>
              </w:rPr>
            </w:pPr>
            <w:r>
              <w:rPr>
                <w:rFonts w:cs="Arial"/>
                <w:color w:val="000000"/>
              </w:rPr>
              <w:t xml:space="preserve">Draft </w:t>
            </w:r>
            <w:proofErr w:type="spellStart"/>
            <w:r>
              <w:rPr>
                <w:rFonts w:cs="Arial"/>
                <w:color w:val="000000"/>
              </w:rPr>
              <w:t>EqIA</w:t>
            </w:r>
            <w:proofErr w:type="spellEnd"/>
            <w:r>
              <w:rPr>
                <w:rFonts w:cs="Arial"/>
                <w:color w:val="000000"/>
              </w:rPr>
              <w:t xml:space="preserve"> update</w:t>
            </w:r>
          </w:p>
        </w:tc>
      </w:tr>
      <w:tr w:rsidR="000D1D4A" w:rsidRPr="00C13D2F" w14:paraId="42871ABF" w14:textId="77777777" w:rsidTr="00C13D2F">
        <w:tc>
          <w:tcPr>
            <w:tcW w:w="640" w:type="pct"/>
            <w:tcBorders>
              <w:bottom w:val="single" w:sz="4" w:space="0" w:color="2FB6BC" w:themeColor="accent1"/>
            </w:tcBorders>
            <w:shd w:val="clear" w:color="000000" w:fill="auto"/>
          </w:tcPr>
          <w:p w14:paraId="667288B0" w14:textId="0ED2E621" w:rsidR="000D1D4A" w:rsidRPr="00C13D2F" w:rsidRDefault="000D1D4A" w:rsidP="000D1D4A">
            <w:pPr>
              <w:pStyle w:val="TableTextLeft"/>
              <w:rPr>
                <w:rFonts w:cs="Arial"/>
                <w:color w:val="000000"/>
              </w:rPr>
            </w:pPr>
            <w:r>
              <w:rPr>
                <w:rFonts w:cs="Arial"/>
                <w:color w:val="000000"/>
              </w:rPr>
              <w:t>B</w:t>
            </w:r>
          </w:p>
        </w:tc>
        <w:tc>
          <w:tcPr>
            <w:tcW w:w="568" w:type="pct"/>
            <w:tcBorders>
              <w:bottom w:val="single" w:sz="4" w:space="0" w:color="2FB6BC" w:themeColor="accent1"/>
            </w:tcBorders>
            <w:shd w:val="clear" w:color="000000" w:fill="auto"/>
          </w:tcPr>
          <w:p w14:paraId="52F2B22F" w14:textId="52C3D2CB" w:rsidR="000D1D4A" w:rsidRPr="00C13D2F" w:rsidRDefault="000D1D4A" w:rsidP="000D1D4A">
            <w:pPr>
              <w:pStyle w:val="TableTextLeft"/>
              <w:rPr>
                <w:rFonts w:cs="Arial"/>
                <w:color w:val="000000"/>
              </w:rPr>
            </w:pPr>
            <w:r>
              <w:rPr>
                <w:rFonts w:cs="Arial"/>
                <w:color w:val="000000"/>
              </w:rPr>
              <w:t>5 Feb 2020</w:t>
            </w:r>
          </w:p>
        </w:tc>
        <w:tc>
          <w:tcPr>
            <w:tcW w:w="711" w:type="pct"/>
            <w:tcBorders>
              <w:bottom w:val="single" w:sz="4" w:space="0" w:color="2FB6BC" w:themeColor="accent1"/>
            </w:tcBorders>
            <w:shd w:val="clear" w:color="000000" w:fill="auto"/>
          </w:tcPr>
          <w:p w14:paraId="43AAA4A4" w14:textId="0CFA3C4B" w:rsidR="000D1D4A" w:rsidRPr="00C13D2F" w:rsidRDefault="000D1D4A" w:rsidP="000D1D4A">
            <w:pPr>
              <w:pStyle w:val="TableTextLeft"/>
              <w:rPr>
                <w:rFonts w:cs="Arial"/>
                <w:color w:val="000000"/>
              </w:rPr>
            </w:pPr>
            <w:r>
              <w:rPr>
                <w:rFonts w:cs="Arial"/>
                <w:color w:val="000000"/>
              </w:rPr>
              <w:t xml:space="preserve">Osman Kocini </w:t>
            </w:r>
          </w:p>
        </w:tc>
        <w:tc>
          <w:tcPr>
            <w:tcW w:w="710" w:type="pct"/>
            <w:tcBorders>
              <w:bottom w:val="single" w:sz="4" w:space="0" w:color="2FB6BC" w:themeColor="accent1"/>
            </w:tcBorders>
            <w:shd w:val="clear" w:color="000000" w:fill="auto"/>
          </w:tcPr>
          <w:p w14:paraId="76E7BCF2" w14:textId="77777777" w:rsidR="000D1D4A" w:rsidRDefault="000D1D4A" w:rsidP="000D1D4A">
            <w:pPr>
              <w:pStyle w:val="TableTextLeft"/>
              <w:rPr>
                <w:rFonts w:cs="Arial"/>
                <w:color w:val="000000"/>
              </w:rPr>
            </w:pPr>
            <w:r>
              <w:rPr>
                <w:rFonts w:cs="Arial"/>
                <w:color w:val="000000"/>
              </w:rPr>
              <w:t>Hannah Grounds</w:t>
            </w:r>
          </w:p>
          <w:p w14:paraId="047B132E" w14:textId="77777777" w:rsidR="000D1D4A" w:rsidRPr="00C13D2F" w:rsidRDefault="000D1D4A" w:rsidP="000D1D4A">
            <w:pPr>
              <w:pStyle w:val="TableTextLeft"/>
              <w:rPr>
                <w:rFonts w:cs="Arial"/>
                <w:color w:val="000000"/>
              </w:rPr>
            </w:pPr>
          </w:p>
        </w:tc>
        <w:tc>
          <w:tcPr>
            <w:tcW w:w="782" w:type="pct"/>
            <w:tcBorders>
              <w:bottom w:val="single" w:sz="4" w:space="0" w:color="2FB6BC" w:themeColor="accent1"/>
            </w:tcBorders>
            <w:shd w:val="clear" w:color="000000" w:fill="auto"/>
          </w:tcPr>
          <w:p w14:paraId="009B78E6" w14:textId="3348767E" w:rsidR="000D1D4A" w:rsidRPr="00C13D2F" w:rsidRDefault="000D1D4A" w:rsidP="000D1D4A">
            <w:pPr>
              <w:pStyle w:val="TableTextLeft"/>
              <w:rPr>
                <w:rFonts w:cs="Arial"/>
                <w:color w:val="000000"/>
              </w:rPr>
            </w:pPr>
            <w:r>
              <w:rPr>
                <w:rFonts w:cs="Arial"/>
                <w:color w:val="000000"/>
              </w:rPr>
              <w:t>James Beard</w:t>
            </w:r>
          </w:p>
        </w:tc>
        <w:tc>
          <w:tcPr>
            <w:tcW w:w="1589" w:type="pct"/>
            <w:tcBorders>
              <w:bottom w:val="single" w:sz="4" w:space="0" w:color="2FB6BC" w:themeColor="accent1"/>
            </w:tcBorders>
            <w:shd w:val="clear" w:color="000000" w:fill="auto"/>
          </w:tcPr>
          <w:p w14:paraId="6779B0F8" w14:textId="11A2BC56" w:rsidR="000D1D4A" w:rsidRPr="00C13D2F" w:rsidRDefault="000D1D4A" w:rsidP="000D1D4A">
            <w:pPr>
              <w:pStyle w:val="TableTextLeft"/>
              <w:rPr>
                <w:rFonts w:cs="Arial"/>
                <w:color w:val="000000"/>
              </w:rPr>
            </w:pPr>
            <w:proofErr w:type="spellStart"/>
            <w:r>
              <w:rPr>
                <w:rFonts w:cs="Arial"/>
                <w:color w:val="000000"/>
              </w:rPr>
              <w:t>EqIA</w:t>
            </w:r>
            <w:proofErr w:type="spellEnd"/>
            <w:r>
              <w:rPr>
                <w:rFonts w:cs="Arial"/>
                <w:color w:val="000000"/>
              </w:rPr>
              <w:t xml:space="preserve"> update following client comments</w:t>
            </w:r>
          </w:p>
        </w:tc>
      </w:tr>
      <w:tr w:rsidR="00E14F50" w:rsidRPr="00C13D2F" w14:paraId="6258AB51" w14:textId="77777777" w:rsidTr="00C13D2F">
        <w:trPr>
          <w:cnfStyle w:val="000000100000" w:firstRow="0" w:lastRow="0" w:firstColumn="0" w:lastColumn="0" w:oddVBand="0" w:evenVBand="0" w:oddHBand="1" w:evenHBand="0" w:firstRowFirstColumn="0" w:firstRowLastColumn="0" w:lastRowFirstColumn="0" w:lastRowLastColumn="0"/>
        </w:trPr>
        <w:tc>
          <w:tcPr>
            <w:tcW w:w="640" w:type="pct"/>
            <w:shd w:val="clear" w:color="000000" w:fill="DDDCDC"/>
          </w:tcPr>
          <w:p w14:paraId="5419F1F8" w14:textId="0CD092FD" w:rsidR="00E14F50" w:rsidRPr="00C13D2F" w:rsidRDefault="00E14F50" w:rsidP="00E14F50">
            <w:pPr>
              <w:pStyle w:val="TableTextLeft"/>
              <w:rPr>
                <w:rFonts w:cs="Arial"/>
                <w:color w:val="000000"/>
              </w:rPr>
            </w:pPr>
            <w:r>
              <w:rPr>
                <w:rFonts w:cs="Arial"/>
                <w:color w:val="000000"/>
              </w:rPr>
              <w:t>C</w:t>
            </w:r>
          </w:p>
        </w:tc>
        <w:tc>
          <w:tcPr>
            <w:tcW w:w="568" w:type="pct"/>
            <w:shd w:val="clear" w:color="000000" w:fill="DDDCDC"/>
          </w:tcPr>
          <w:p w14:paraId="0264961B" w14:textId="2176A320" w:rsidR="00E14F50" w:rsidRPr="00C13D2F" w:rsidRDefault="00E14F50" w:rsidP="00E14F50">
            <w:pPr>
              <w:pStyle w:val="TableTextLeft"/>
              <w:rPr>
                <w:rFonts w:cs="Arial"/>
                <w:color w:val="000000"/>
              </w:rPr>
            </w:pPr>
            <w:r>
              <w:rPr>
                <w:rFonts w:cs="Arial"/>
                <w:color w:val="000000"/>
              </w:rPr>
              <w:t>7 Feb 2020</w:t>
            </w:r>
          </w:p>
        </w:tc>
        <w:tc>
          <w:tcPr>
            <w:tcW w:w="711" w:type="pct"/>
            <w:shd w:val="clear" w:color="000000" w:fill="DDDCDC"/>
          </w:tcPr>
          <w:p w14:paraId="67DF4992" w14:textId="10807DD2" w:rsidR="00E14F50" w:rsidRPr="00C13D2F" w:rsidRDefault="00E14F50" w:rsidP="00E14F50">
            <w:pPr>
              <w:pStyle w:val="TableTextLeft"/>
              <w:rPr>
                <w:rFonts w:cs="Arial"/>
                <w:color w:val="000000"/>
              </w:rPr>
            </w:pPr>
            <w:r>
              <w:rPr>
                <w:rFonts w:cs="Arial"/>
                <w:color w:val="000000"/>
              </w:rPr>
              <w:t>Hannah Grounds</w:t>
            </w:r>
          </w:p>
        </w:tc>
        <w:tc>
          <w:tcPr>
            <w:tcW w:w="710" w:type="pct"/>
            <w:shd w:val="clear" w:color="000000" w:fill="DDDCDC"/>
          </w:tcPr>
          <w:p w14:paraId="7C1655FB" w14:textId="119E37AC" w:rsidR="00E14F50" w:rsidRPr="00C13D2F" w:rsidRDefault="00E14F50" w:rsidP="00E14F50">
            <w:pPr>
              <w:pStyle w:val="TableTextLeft"/>
              <w:rPr>
                <w:rFonts w:cs="Arial"/>
                <w:color w:val="000000"/>
              </w:rPr>
            </w:pPr>
            <w:r>
              <w:rPr>
                <w:rFonts w:cs="Arial"/>
                <w:color w:val="000000"/>
              </w:rPr>
              <w:t>Hannah Grounds</w:t>
            </w:r>
          </w:p>
        </w:tc>
        <w:tc>
          <w:tcPr>
            <w:tcW w:w="782" w:type="pct"/>
            <w:shd w:val="clear" w:color="000000" w:fill="DDDCDC"/>
          </w:tcPr>
          <w:p w14:paraId="7FED7D42" w14:textId="4945B0D8" w:rsidR="00E14F50" w:rsidRPr="00C13D2F" w:rsidRDefault="00E14F50" w:rsidP="00E14F50">
            <w:pPr>
              <w:pStyle w:val="TableTextLeft"/>
              <w:rPr>
                <w:rFonts w:cs="Arial"/>
                <w:color w:val="000000"/>
              </w:rPr>
            </w:pPr>
            <w:r>
              <w:rPr>
                <w:rFonts w:cs="Arial"/>
                <w:color w:val="000000"/>
              </w:rPr>
              <w:t>James Beard</w:t>
            </w:r>
          </w:p>
        </w:tc>
        <w:tc>
          <w:tcPr>
            <w:tcW w:w="1589" w:type="pct"/>
            <w:shd w:val="clear" w:color="000000" w:fill="DDDCDC"/>
          </w:tcPr>
          <w:p w14:paraId="54EB4F93" w14:textId="1C2C507A" w:rsidR="00E14F50" w:rsidRPr="00C13D2F" w:rsidRDefault="00E14F50" w:rsidP="00E14F50">
            <w:pPr>
              <w:pStyle w:val="TableTextLeft"/>
              <w:rPr>
                <w:rFonts w:cs="Arial"/>
                <w:color w:val="000000"/>
              </w:rPr>
            </w:pPr>
            <w:r>
              <w:rPr>
                <w:rFonts w:cs="Arial"/>
                <w:color w:val="000000"/>
              </w:rPr>
              <w:t xml:space="preserve">Final </w:t>
            </w:r>
            <w:proofErr w:type="spellStart"/>
            <w:r>
              <w:rPr>
                <w:rFonts w:cs="Arial"/>
                <w:color w:val="000000"/>
              </w:rPr>
              <w:t>EqIA</w:t>
            </w:r>
            <w:proofErr w:type="spellEnd"/>
            <w:r>
              <w:rPr>
                <w:rFonts w:cs="Arial"/>
                <w:color w:val="000000"/>
              </w:rPr>
              <w:t xml:space="preserve"> update following client comments</w:t>
            </w:r>
          </w:p>
        </w:tc>
      </w:tr>
      <w:tr w:rsidR="00E14F50" w:rsidRPr="00C13D2F" w14:paraId="26BCAC75" w14:textId="77777777" w:rsidTr="00C13D2F">
        <w:tc>
          <w:tcPr>
            <w:tcW w:w="640" w:type="pct"/>
            <w:tcBorders>
              <w:bottom w:val="single" w:sz="4" w:space="0" w:color="2FB6BC" w:themeColor="accent1"/>
            </w:tcBorders>
            <w:shd w:val="clear" w:color="000000" w:fill="auto"/>
          </w:tcPr>
          <w:p w14:paraId="7EB1385C" w14:textId="77777777" w:rsidR="00E14F50" w:rsidRPr="00C13D2F" w:rsidRDefault="00E14F50" w:rsidP="00E14F50">
            <w:pPr>
              <w:pStyle w:val="TableTextLeft"/>
              <w:rPr>
                <w:rFonts w:cs="Arial"/>
                <w:color w:val="000000"/>
              </w:rPr>
            </w:pPr>
          </w:p>
        </w:tc>
        <w:tc>
          <w:tcPr>
            <w:tcW w:w="568" w:type="pct"/>
            <w:tcBorders>
              <w:bottom w:val="single" w:sz="4" w:space="0" w:color="2FB6BC" w:themeColor="accent1"/>
            </w:tcBorders>
            <w:shd w:val="clear" w:color="000000" w:fill="auto"/>
          </w:tcPr>
          <w:p w14:paraId="6FCC1DE0" w14:textId="77777777" w:rsidR="00E14F50" w:rsidRPr="00C13D2F" w:rsidRDefault="00E14F50" w:rsidP="00E14F50">
            <w:pPr>
              <w:pStyle w:val="TableTextLeft"/>
              <w:rPr>
                <w:rFonts w:cs="Arial"/>
                <w:color w:val="000000"/>
              </w:rPr>
            </w:pPr>
          </w:p>
        </w:tc>
        <w:tc>
          <w:tcPr>
            <w:tcW w:w="711" w:type="pct"/>
            <w:tcBorders>
              <w:bottom w:val="single" w:sz="4" w:space="0" w:color="2FB6BC" w:themeColor="accent1"/>
            </w:tcBorders>
            <w:shd w:val="clear" w:color="000000" w:fill="auto"/>
          </w:tcPr>
          <w:p w14:paraId="04A30F58" w14:textId="77777777" w:rsidR="00E14F50" w:rsidRPr="00C13D2F" w:rsidRDefault="00E14F50" w:rsidP="00E14F50">
            <w:pPr>
              <w:pStyle w:val="TableTextLeft"/>
              <w:rPr>
                <w:rFonts w:cs="Arial"/>
                <w:color w:val="000000"/>
              </w:rPr>
            </w:pPr>
          </w:p>
        </w:tc>
        <w:tc>
          <w:tcPr>
            <w:tcW w:w="710" w:type="pct"/>
            <w:tcBorders>
              <w:bottom w:val="single" w:sz="4" w:space="0" w:color="2FB6BC" w:themeColor="accent1"/>
            </w:tcBorders>
            <w:shd w:val="clear" w:color="000000" w:fill="auto"/>
          </w:tcPr>
          <w:p w14:paraId="7E9044E8" w14:textId="77777777" w:rsidR="00E14F50" w:rsidRPr="00C13D2F" w:rsidRDefault="00E14F50" w:rsidP="00E14F50">
            <w:pPr>
              <w:pStyle w:val="TableTextLeft"/>
              <w:rPr>
                <w:rFonts w:cs="Arial"/>
                <w:color w:val="000000"/>
              </w:rPr>
            </w:pPr>
          </w:p>
        </w:tc>
        <w:tc>
          <w:tcPr>
            <w:tcW w:w="782" w:type="pct"/>
            <w:tcBorders>
              <w:bottom w:val="single" w:sz="4" w:space="0" w:color="2FB6BC" w:themeColor="accent1"/>
            </w:tcBorders>
            <w:shd w:val="clear" w:color="000000" w:fill="auto"/>
          </w:tcPr>
          <w:p w14:paraId="7FB08358" w14:textId="77777777" w:rsidR="00E14F50" w:rsidRPr="00C13D2F" w:rsidRDefault="00E14F50" w:rsidP="00E14F50">
            <w:pPr>
              <w:pStyle w:val="TableTextLeft"/>
              <w:rPr>
                <w:rFonts w:cs="Arial"/>
                <w:color w:val="000000"/>
              </w:rPr>
            </w:pPr>
          </w:p>
        </w:tc>
        <w:tc>
          <w:tcPr>
            <w:tcW w:w="1589" w:type="pct"/>
            <w:tcBorders>
              <w:bottom w:val="single" w:sz="4" w:space="0" w:color="2FB6BC" w:themeColor="accent1"/>
            </w:tcBorders>
            <w:shd w:val="clear" w:color="000000" w:fill="auto"/>
          </w:tcPr>
          <w:p w14:paraId="31ABCBF8" w14:textId="77777777" w:rsidR="00E14F50" w:rsidRPr="00C13D2F" w:rsidRDefault="00E14F50" w:rsidP="00E14F50">
            <w:pPr>
              <w:pStyle w:val="TableTextLeft"/>
              <w:rPr>
                <w:rFonts w:cs="Arial"/>
                <w:color w:val="000000"/>
              </w:rPr>
            </w:pPr>
          </w:p>
        </w:tc>
      </w:tr>
      <w:tr w:rsidR="00E14F50" w:rsidRPr="00C13D2F" w14:paraId="0FB54715" w14:textId="77777777" w:rsidTr="00C13D2F">
        <w:trPr>
          <w:cnfStyle w:val="000000100000" w:firstRow="0" w:lastRow="0" w:firstColumn="0" w:lastColumn="0" w:oddVBand="0" w:evenVBand="0" w:oddHBand="1" w:evenHBand="0" w:firstRowFirstColumn="0" w:firstRowLastColumn="0" w:lastRowFirstColumn="0" w:lastRowLastColumn="0"/>
        </w:trPr>
        <w:tc>
          <w:tcPr>
            <w:tcW w:w="640" w:type="pct"/>
            <w:shd w:val="clear" w:color="000000" w:fill="DDDCDC"/>
          </w:tcPr>
          <w:p w14:paraId="2F30C34C" w14:textId="77777777" w:rsidR="00E14F50" w:rsidRPr="00C13D2F" w:rsidRDefault="00E14F50" w:rsidP="00E14F50">
            <w:pPr>
              <w:pStyle w:val="TableTextLeft"/>
              <w:rPr>
                <w:rFonts w:cs="Arial"/>
                <w:color w:val="000000"/>
              </w:rPr>
            </w:pPr>
          </w:p>
        </w:tc>
        <w:tc>
          <w:tcPr>
            <w:tcW w:w="568" w:type="pct"/>
            <w:shd w:val="clear" w:color="000000" w:fill="DDDCDC"/>
          </w:tcPr>
          <w:p w14:paraId="7CC0F653" w14:textId="77777777" w:rsidR="00E14F50" w:rsidRPr="00C13D2F" w:rsidRDefault="00E14F50" w:rsidP="00E14F50">
            <w:pPr>
              <w:pStyle w:val="TableTextLeft"/>
              <w:rPr>
                <w:rFonts w:cs="Arial"/>
                <w:color w:val="000000"/>
              </w:rPr>
            </w:pPr>
          </w:p>
        </w:tc>
        <w:tc>
          <w:tcPr>
            <w:tcW w:w="711" w:type="pct"/>
            <w:shd w:val="clear" w:color="000000" w:fill="DDDCDC"/>
          </w:tcPr>
          <w:p w14:paraId="11B6C571" w14:textId="77777777" w:rsidR="00E14F50" w:rsidRPr="00C13D2F" w:rsidRDefault="00E14F50" w:rsidP="00E14F50">
            <w:pPr>
              <w:pStyle w:val="TableTextLeft"/>
              <w:rPr>
                <w:rFonts w:cs="Arial"/>
                <w:color w:val="000000"/>
              </w:rPr>
            </w:pPr>
          </w:p>
        </w:tc>
        <w:tc>
          <w:tcPr>
            <w:tcW w:w="710" w:type="pct"/>
            <w:shd w:val="clear" w:color="000000" w:fill="DDDCDC"/>
          </w:tcPr>
          <w:p w14:paraId="2BC13A1F" w14:textId="77777777" w:rsidR="00E14F50" w:rsidRPr="00C13D2F" w:rsidRDefault="00E14F50" w:rsidP="00E14F50">
            <w:pPr>
              <w:pStyle w:val="TableTextLeft"/>
              <w:rPr>
                <w:rFonts w:cs="Arial"/>
                <w:color w:val="000000"/>
              </w:rPr>
            </w:pPr>
          </w:p>
        </w:tc>
        <w:tc>
          <w:tcPr>
            <w:tcW w:w="782" w:type="pct"/>
            <w:shd w:val="clear" w:color="000000" w:fill="DDDCDC"/>
          </w:tcPr>
          <w:p w14:paraId="2EDF8856" w14:textId="77777777" w:rsidR="00E14F50" w:rsidRPr="00C13D2F" w:rsidRDefault="00E14F50" w:rsidP="00E14F50">
            <w:pPr>
              <w:pStyle w:val="TableTextLeft"/>
              <w:rPr>
                <w:rFonts w:cs="Arial"/>
                <w:color w:val="000000"/>
              </w:rPr>
            </w:pPr>
          </w:p>
        </w:tc>
        <w:tc>
          <w:tcPr>
            <w:tcW w:w="1589" w:type="pct"/>
            <w:shd w:val="clear" w:color="000000" w:fill="DDDCDC"/>
          </w:tcPr>
          <w:p w14:paraId="507E133F" w14:textId="77777777" w:rsidR="00E14F50" w:rsidRPr="00C13D2F" w:rsidRDefault="00E14F50" w:rsidP="00E14F50">
            <w:pPr>
              <w:pStyle w:val="TableTextLeft"/>
              <w:rPr>
                <w:rFonts w:cs="Arial"/>
                <w:color w:val="000000"/>
              </w:rPr>
            </w:pPr>
          </w:p>
        </w:tc>
      </w:tr>
      <w:tr w:rsidR="00E14F50" w:rsidRPr="00C13D2F" w14:paraId="48E57AF3" w14:textId="77777777" w:rsidTr="00C13D2F">
        <w:tc>
          <w:tcPr>
            <w:tcW w:w="640" w:type="pct"/>
            <w:tcBorders>
              <w:bottom w:val="single" w:sz="4" w:space="0" w:color="2FB6BC" w:themeColor="accent1"/>
            </w:tcBorders>
            <w:shd w:val="clear" w:color="000000" w:fill="auto"/>
          </w:tcPr>
          <w:p w14:paraId="3874B963" w14:textId="77777777" w:rsidR="00E14F50" w:rsidRPr="00C13D2F" w:rsidRDefault="00E14F50" w:rsidP="00E14F50">
            <w:pPr>
              <w:pStyle w:val="TableTextLeft"/>
              <w:rPr>
                <w:rFonts w:cs="Arial"/>
                <w:color w:val="000000"/>
              </w:rPr>
            </w:pPr>
          </w:p>
        </w:tc>
        <w:tc>
          <w:tcPr>
            <w:tcW w:w="568" w:type="pct"/>
            <w:tcBorders>
              <w:bottom w:val="single" w:sz="4" w:space="0" w:color="2FB6BC" w:themeColor="accent1"/>
            </w:tcBorders>
            <w:shd w:val="clear" w:color="000000" w:fill="auto"/>
          </w:tcPr>
          <w:p w14:paraId="70F8CCC0" w14:textId="77777777" w:rsidR="00E14F50" w:rsidRPr="00C13D2F" w:rsidRDefault="00E14F50" w:rsidP="00E14F50">
            <w:pPr>
              <w:pStyle w:val="TableTextLeft"/>
              <w:rPr>
                <w:rFonts w:cs="Arial"/>
                <w:color w:val="000000"/>
              </w:rPr>
            </w:pPr>
          </w:p>
        </w:tc>
        <w:tc>
          <w:tcPr>
            <w:tcW w:w="711" w:type="pct"/>
            <w:tcBorders>
              <w:bottom w:val="single" w:sz="4" w:space="0" w:color="2FB6BC" w:themeColor="accent1"/>
            </w:tcBorders>
            <w:shd w:val="clear" w:color="000000" w:fill="auto"/>
          </w:tcPr>
          <w:p w14:paraId="13D3CE06" w14:textId="77777777" w:rsidR="00E14F50" w:rsidRPr="00C13D2F" w:rsidRDefault="00E14F50" w:rsidP="00E14F50">
            <w:pPr>
              <w:pStyle w:val="TableTextLeft"/>
              <w:rPr>
                <w:rFonts w:cs="Arial"/>
                <w:color w:val="000000"/>
              </w:rPr>
            </w:pPr>
          </w:p>
        </w:tc>
        <w:tc>
          <w:tcPr>
            <w:tcW w:w="710" w:type="pct"/>
            <w:tcBorders>
              <w:bottom w:val="single" w:sz="4" w:space="0" w:color="2FB6BC" w:themeColor="accent1"/>
            </w:tcBorders>
            <w:shd w:val="clear" w:color="000000" w:fill="auto"/>
          </w:tcPr>
          <w:p w14:paraId="3F9381CA" w14:textId="77777777" w:rsidR="00E14F50" w:rsidRPr="00C13D2F" w:rsidRDefault="00E14F50" w:rsidP="00E14F50">
            <w:pPr>
              <w:pStyle w:val="TableTextLeft"/>
              <w:rPr>
                <w:rFonts w:cs="Arial"/>
                <w:color w:val="000000"/>
              </w:rPr>
            </w:pPr>
          </w:p>
        </w:tc>
        <w:tc>
          <w:tcPr>
            <w:tcW w:w="782" w:type="pct"/>
            <w:tcBorders>
              <w:bottom w:val="single" w:sz="4" w:space="0" w:color="2FB6BC" w:themeColor="accent1"/>
            </w:tcBorders>
            <w:shd w:val="clear" w:color="000000" w:fill="auto"/>
          </w:tcPr>
          <w:p w14:paraId="18E6F269" w14:textId="77777777" w:rsidR="00E14F50" w:rsidRPr="00C13D2F" w:rsidRDefault="00E14F50" w:rsidP="00E14F50">
            <w:pPr>
              <w:pStyle w:val="TableTextLeft"/>
              <w:rPr>
                <w:rFonts w:cs="Arial"/>
                <w:color w:val="000000"/>
              </w:rPr>
            </w:pPr>
          </w:p>
        </w:tc>
        <w:tc>
          <w:tcPr>
            <w:tcW w:w="1589" w:type="pct"/>
            <w:tcBorders>
              <w:bottom w:val="single" w:sz="4" w:space="0" w:color="2FB6BC" w:themeColor="accent1"/>
            </w:tcBorders>
            <w:shd w:val="clear" w:color="000000" w:fill="auto"/>
          </w:tcPr>
          <w:p w14:paraId="6EEE5951" w14:textId="77777777" w:rsidR="00E14F50" w:rsidRPr="00C13D2F" w:rsidRDefault="00E14F50" w:rsidP="00E14F50">
            <w:pPr>
              <w:pStyle w:val="TableTextLeft"/>
              <w:rPr>
                <w:rFonts w:cs="Arial"/>
                <w:color w:val="000000"/>
              </w:rPr>
            </w:pPr>
          </w:p>
        </w:tc>
      </w:tr>
      <w:tr w:rsidR="00E14F50" w:rsidRPr="00C13D2F" w14:paraId="4ED882BD" w14:textId="77777777" w:rsidTr="00C13D2F">
        <w:trPr>
          <w:cnfStyle w:val="000000100000" w:firstRow="0" w:lastRow="0" w:firstColumn="0" w:lastColumn="0" w:oddVBand="0" w:evenVBand="0" w:oddHBand="1" w:evenHBand="0" w:firstRowFirstColumn="0" w:firstRowLastColumn="0" w:lastRowFirstColumn="0" w:lastRowLastColumn="0"/>
        </w:trPr>
        <w:tc>
          <w:tcPr>
            <w:tcW w:w="640" w:type="pct"/>
            <w:shd w:val="clear" w:color="000000" w:fill="DDDCDC"/>
          </w:tcPr>
          <w:p w14:paraId="26AAA64E" w14:textId="77777777" w:rsidR="00E14F50" w:rsidRPr="00C13D2F" w:rsidRDefault="00E14F50" w:rsidP="00E14F50">
            <w:pPr>
              <w:pStyle w:val="TableTextLeft"/>
              <w:rPr>
                <w:rFonts w:cs="Arial"/>
                <w:color w:val="000000"/>
              </w:rPr>
            </w:pPr>
          </w:p>
        </w:tc>
        <w:tc>
          <w:tcPr>
            <w:tcW w:w="568" w:type="pct"/>
            <w:shd w:val="clear" w:color="000000" w:fill="DDDCDC"/>
          </w:tcPr>
          <w:p w14:paraId="7BBAB2A2" w14:textId="77777777" w:rsidR="00E14F50" w:rsidRPr="00C13D2F" w:rsidRDefault="00E14F50" w:rsidP="00E14F50">
            <w:pPr>
              <w:pStyle w:val="TableTextLeft"/>
              <w:rPr>
                <w:rFonts w:cs="Arial"/>
                <w:color w:val="000000"/>
              </w:rPr>
            </w:pPr>
          </w:p>
        </w:tc>
        <w:tc>
          <w:tcPr>
            <w:tcW w:w="711" w:type="pct"/>
            <w:shd w:val="clear" w:color="000000" w:fill="DDDCDC"/>
          </w:tcPr>
          <w:p w14:paraId="4463E8D0" w14:textId="77777777" w:rsidR="00E14F50" w:rsidRPr="00C13D2F" w:rsidRDefault="00E14F50" w:rsidP="00E14F50">
            <w:pPr>
              <w:pStyle w:val="TableTextLeft"/>
              <w:rPr>
                <w:rFonts w:cs="Arial"/>
                <w:color w:val="000000"/>
              </w:rPr>
            </w:pPr>
          </w:p>
        </w:tc>
        <w:tc>
          <w:tcPr>
            <w:tcW w:w="710" w:type="pct"/>
            <w:shd w:val="clear" w:color="000000" w:fill="DDDCDC"/>
          </w:tcPr>
          <w:p w14:paraId="47E7460F" w14:textId="77777777" w:rsidR="00E14F50" w:rsidRPr="00C13D2F" w:rsidRDefault="00E14F50" w:rsidP="00E14F50">
            <w:pPr>
              <w:pStyle w:val="TableTextLeft"/>
              <w:rPr>
                <w:rFonts w:cs="Arial"/>
                <w:color w:val="000000"/>
              </w:rPr>
            </w:pPr>
          </w:p>
        </w:tc>
        <w:tc>
          <w:tcPr>
            <w:tcW w:w="782" w:type="pct"/>
            <w:shd w:val="clear" w:color="000000" w:fill="DDDCDC"/>
          </w:tcPr>
          <w:p w14:paraId="0E7786C4" w14:textId="77777777" w:rsidR="00E14F50" w:rsidRPr="00C13D2F" w:rsidRDefault="00E14F50" w:rsidP="00E14F50">
            <w:pPr>
              <w:pStyle w:val="TableTextLeft"/>
              <w:rPr>
                <w:rFonts w:cs="Arial"/>
                <w:color w:val="000000"/>
              </w:rPr>
            </w:pPr>
          </w:p>
        </w:tc>
        <w:tc>
          <w:tcPr>
            <w:tcW w:w="1589" w:type="pct"/>
            <w:shd w:val="clear" w:color="000000" w:fill="DDDCDC"/>
          </w:tcPr>
          <w:p w14:paraId="1A79D476" w14:textId="77777777" w:rsidR="00E14F50" w:rsidRPr="00C13D2F" w:rsidRDefault="00E14F50" w:rsidP="00E14F50">
            <w:pPr>
              <w:pStyle w:val="TableTextLeft"/>
              <w:rPr>
                <w:rFonts w:cs="Arial"/>
                <w:color w:val="000000"/>
              </w:rPr>
            </w:pPr>
          </w:p>
        </w:tc>
      </w:tr>
      <w:tr w:rsidR="00E14F50" w:rsidRPr="00C13D2F" w14:paraId="7D7ABC7A" w14:textId="77777777" w:rsidTr="00C13D2F">
        <w:tc>
          <w:tcPr>
            <w:tcW w:w="640" w:type="pct"/>
            <w:tcBorders>
              <w:bottom w:val="single" w:sz="4" w:space="0" w:color="2FB6BC" w:themeColor="accent1"/>
            </w:tcBorders>
            <w:shd w:val="clear" w:color="000000" w:fill="auto"/>
          </w:tcPr>
          <w:p w14:paraId="631C7EA0" w14:textId="77777777" w:rsidR="00E14F50" w:rsidRPr="00C13D2F" w:rsidRDefault="00E14F50" w:rsidP="00E14F50">
            <w:pPr>
              <w:pStyle w:val="TableTextLeft"/>
              <w:rPr>
                <w:rFonts w:cs="Arial"/>
                <w:color w:val="000000"/>
              </w:rPr>
            </w:pPr>
          </w:p>
        </w:tc>
        <w:tc>
          <w:tcPr>
            <w:tcW w:w="568" w:type="pct"/>
            <w:tcBorders>
              <w:bottom w:val="single" w:sz="4" w:space="0" w:color="2FB6BC" w:themeColor="accent1"/>
            </w:tcBorders>
            <w:shd w:val="clear" w:color="000000" w:fill="auto"/>
          </w:tcPr>
          <w:p w14:paraId="5732A487" w14:textId="77777777" w:rsidR="00E14F50" w:rsidRPr="00C13D2F" w:rsidRDefault="00E14F50" w:rsidP="00E14F50">
            <w:pPr>
              <w:pStyle w:val="TableTextLeft"/>
              <w:rPr>
                <w:rFonts w:cs="Arial"/>
                <w:color w:val="000000"/>
              </w:rPr>
            </w:pPr>
          </w:p>
        </w:tc>
        <w:tc>
          <w:tcPr>
            <w:tcW w:w="711" w:type="pct"/>
            <w:tcBorders>
              <w:bottom w:val="single" w:sz="4" w:space="0" w:color="2FB6BC" w:themeColor="accent1"/>
            </w:tcBorders>
            <w:shd w:val="clear" w:color="000000" w:fill="auto"/>
          </w:tcPr>
          <w:p w14:paraId="4CDEB82B" w14:textId="77777777" w:rsidR="00E14F50" w:rsidRPr="00C13D2F" w:rsidRDefault="00E14F50" w:rsidP="00E14F50">
            <w:pPr>
              <w:pStyle w:val="TableTextLeft"/>
              <w:rPr>
                <w:rFonts w:cs="Arial"/>
                <w:color w:val="000000"/>
              </w:rPr>
            </w:pPr>
          </w:p>
        </w:tc>
        <w:tc>
          <w:tcPr>
            <w:tcW w:w="710" w:type="pct"/>
            <w:tcBorders>
              <w:bottom w:val="single" w:sz="4" w:space="0" w:color="2FB6BC" w:themeColor="accent1"/>
            </w:tcBorders>
            <w:shd w:val="clear" w:color="000000" w:fill="auto"/>
          </w:tcPr>
          <w:p w14:paraId="174C1D65" w14:textId="77777777" w:rsidR="00E14F50" w:rsidRPr="00C13D2F" w:rsidRDefault="00E14F50" w:rsidP="00E14F50">
            <w:pPr>
              <w:pStyle w:val="TableTextLeft"/>
              <w:rPr>
                <w:rFonts w:cs="Arial"/>
                <w:color w:val="000000"/>
              </w:rPr>
            </w:pPr>
          </w:p>
        </w:tc>
        <w:tc>
          <w:tcPr>
            <w:tcW w:w="782" w:type="pct"/>
            <w:tcBorders>
              <w:bottom w:val="single" w:sz="4" w:space="0" w:color="2FB6BC" w:themeColor="accent1"/>
            </w:tcBorders>
            <w:shd w:val="clear" w:color="000000" w:fill="auto"/>
          </w:tcPr>
          <w:p w14:paraId="5E106203" w14:textId="77777777" w:rsidR="00E14F50" w:rsidRPr="00C13D2F" w:rsidRDefault="00E14F50" w:rsidP="00E14F50">
            <w:pPr>
              <w:pStyle w:val="TableTextLeft"/>
              <w:rPr>
                <w:rFonts w:cs="Arial"/>
                <w:color w:val="000000"/>
              </w:rPr>
            </w:pPr>
          </w:p>
        </w:tc>
        <w:tc>
          <w:tcPr>
            <w:tcW w:w="1589" w:type="pct"/>
            <w:tcBorders>
              <w:bottom w:val="single" w:sz="4" w:space="0" w:color="2FB6BC" w:themeColor="accent1"/>
            </w:tcBorders>
            <w:shd w:val="clear" w:color="000000" w:fill="auto"/>
          </w:tcPr>
          <w:p w14:paraId="358D0161" w14:textId="77777777" w:rsidR="00E14F50" w:rsidRPr="00C13D2F" w:rsidRDefault="00E14F50" w:rsidP="00E14F50">
            <w:pPr>
              <w:pStyle w:val="TableTextLeft"/>
              <w:rPr>
                <w:rFonts w:cs="Arial"/>
                <w:color w:val="000000"/>
              </w:rPr>
            </w:pPr>
          </w:p>
        </w:tc>
      </w:tr>
      <w:tr w:rsidR="00E14F50" w:rsidRPr="00C13D2F" w14:paraId="2A3C5DB2" w14:textId="77777777" w:rsidTr="00C13D2F">
        <w:trPr>
          <w:cnfStyle w:val="000000100000" w:firstRow="0" w:lastRow="0" w:firstColumn="0" w:lastColumn="0" w:oddVBand="0" w:evenVBand="0" w:oddHBand="1" w:evenHBand="0" w:firstRowFirstColumn="0" w:firstRowLastColumn="0" w:lastRowFirstColumn="0" w:lastRowLastColumn="0"/>
        </w:trPr>
        <w:tc>
          <w:tcPr>
            <w:tcW w:w="640" w:type="pct"/>
            <w:tcBorders>
              <w:bottom w:val="single" w:sz="8" w:space="0" w:color="000000"/>
            </w:tcBorders>
            <w:shd w:val="clear" w:color="000000" w:fill="DDDCDC"/>
          </w:tcPr>
          <w:p w14:paraId="689D9725" w14:textId="77777777" w:rsidR="00E14F50" w:rsidRPr="00C13D2F" w:rsidRDefault="00E14F50" w:rsidP="00E14F50">
            <w:pPr>
              <w:pStyle w:val="TableTextLeft"/>
              <w:rPr>
                <w:rFonts w:cs="Arial"/>
                <w:color w:val="000000"/>
              </w:rPr>
            </w:pPr>
          </w:p>
        </w:tc>
        <w:tc>
          <w:tcPr>
            <w:tcW w:w="568" w:type="pct"/>
            <w:tcBorders>
              <w:bottom w:val="single" w:sz="8" w:space="0" w:color="000000"/>
            </w:tcBorders>
            <w:shd w:val="clear" w:color="000000" w:fill="DDDCDC"/>
          </w:tcPr>
          <w:p w14:paraId="00BC45FB" w14:textId="77777777" w:rsidR="00E14F50" w:rsidRPr="00C13D2F" w:rsidRDefault="00E14F50" w:rsidP="00E14F50">
            <w:pPr>
              <w:pStyle w:val="TableTextLeft"/>
              <w:rPr>
                <w:rFonts w:cs="Arial"/>
                <w:color w:val="000000"/>
              </w:rPr>
            </w:pPr>
          </w:p>
        </w:tc>
        <w:tc>
          <w:tcPr>
            <w:tcW w:w="711" w:type="pct"/>
            <w:tcBorders>
              <w:bottom w:val="single" w:sz="8" w:space="0" w:color="000000"/>
            </w:tcBorders>
            <w:shd w:val="clear" w:color="000000" w:fill="DDDCDC"/>
          </w:tcPr>
          <w:p w14:paraId="51D55200" w14:textId="77777777" w:rsidR="00E14F50" w:rsidRPr="00C13D2F" w:rsidRDefault="00E14F50" w:rsidP="00E14F50">
            <w:pPr>
              <w:pStyle w:val="TableTextLeft"/>
              <w:rPr>
                <w:rFonts w:cs="Arial"/>
                <w:color w:val="000000"/>
              </w:rPr>
            </w:pPr>
          </w:p>
        </w:tc>
        <w:tc>
          <w:tcPr>
            <w:tcW w:w="710" w:type="pct"/>
            <w:tcBorders>
              <w:bottom w:val="single" w:sz="8" w:space="0" w:color="000000"/>
            </w:tcBorders>
            <w:shd w:val="clear" w:color="000000" w:fill="DDDCDC"/>
          </w:tcPr>
          <w:p w14:paraId="7FB79D18" w14:textId="77777777" w:rsidR="00E14F50" w:rsidRPr="00C13D2F" w:rsidRDefault="00E14F50" w:rsidP="00E14F50">
            <w:pPr>
              <w:pStyle w:val="TableTextLeft"/>
              <w:rPr>
                <w:rFonts w:cs="Arial"/>
                <w:color w:val="000000"/>
              </w:rPr>
            </w:pPr>
          </w:p>
        </w:tc>
        <w:tc>
          <w:tcPr>
            <w:tcW w:w="782" w:type="pct"/>
            <w:tcBorders>
              <w:bottom w:val="single" w:sz="8" w:space="0" w:color="000000"/>
            </w:tcBorders>
            <w:shd w:val="clear" w:color="000000" w:fill="DDDCDC"/>
          </w:tcPr>
          <w:p w14:paraId="421297E2" w14:textId="77777777" w:rsidR="00E14F50" w:rsidRPr="00C13D2F" w:rsidRDefault="00E14F50" w:rsidP="00E14F50">
            <w:pPr>
              <w:pStyle w:val="TableTextLeft"/>
              <w:rPr>
                <w:rFonts w:cs="Arial"/>
                <w:color w:val="000000"/>
              </w:rPr>
            </w:pPr>
          </w:p>
        </w:tc>
        <w:tc>
          <w:tcPr>
            <w:tcW w:w="1589" w:type="pct"/>
            <w:tcBorders>
              <w:bottom w:val="single" w:sz="8" w:space="0" w:color="000000"/>
            </w:tcBorders>
            <w:shd w:val="clear" w:color="000000" w:fill="DDDCDC"/>
          </w:tcPr>
          <w:p w14:paraId="5E597DCF" w14:textId="77777777" w:rsidR="00E14F50" w:rsidRPr="00C13D2F" w:rsidRDefault="00E14F50" w:rsidP="00E14F50">
            <w:pPr>
              <w:pStyle w:val="TableTextLeft"/>
              <w:rPr>
                <w:rFonts w:cs="Arial"/>
                <w:color w:val="000000"/>
              </w:rPr>
            </w:pPr>
          </w:p>
        </w:tc>
      </w:tr>
    </w:tbl>
    <w:p w14:paraId="68E333ED" w14:textId="77777777" w:rsidR="00087A17" w:rsidRDefault="00087A17" w:rsidP="00087A17">
      <w:pPr>
        <w:pStyle w:val="NoSpacing"/>
      </w:pPr>
    </w:p>
    <w:tbl>
      <w:tblPr>
        <w:tblStyle w:val="TableClear"/>
        <w:tblW w:w="8505" w:type="dxa"/>
        <w:tblLook w:val="04A0" w:firstRow="1" w:lastRow="0" w:firstColumn="1" w:lastColumn="0" w:noHBand="0" w:noVBand="1"/>
      </w:tblPr>
      <w:tblGrid>
        <w:gridCol w:w="2086"/>
        <w:gridCol w:w="6419"/>
      </w:tblGrid>
      <w:tr w:rsidR="00D06D96" w14:paraId="4E5A4693" w14:textId="77777777" w:rsidTr="00685427">
        <w:trPr>
          <w:tblHeader/>
        </w:trPr>
        <w:tc>
          <w:tcPr>
            <w:tcW w:w="50" w:type="pct"/>
            <w:noWrap/>
            <w:tcMar>
              <w:right w:w="85" w:type="dxa"/>
            </w:tcMar>
          </w:tcPr>
          <w:p w14:paraId="6F4C0920" w14:textId="77777777" w:rsidR="00D06D96" w:rsidRDefault="004B5721" w:rsidP="000C30BC">
            <w:pPr>
              <w:pStyle w:val="BodyHeading"/>
            </w:pPr>
            <w:r>
              <w:t>Document reference</w:t>
            </w:r>
            <w:r w:rsidR="00D06D96">
              <w:t>:</w:t>
            </w:r>
          </w:p>
        </w:tc>
        <w:tc>
          <w:tcPr>
            <w:tcW w:w="0" w:type="auto"/>
          </w:tcPr>
          <w:p w14:paraId="5306FE65" w14:textId="4415BFBF" w:rsidR="00D06D96" w:rsidRDefault="000A7BC9" w:rsidP="000C30BC">
            <w:pPr>
              <w:spacing w:after="0"/>
            </w:pPr>
            <w:r w:rsidRPr="000A7BC9">
              <w:t>416155</w:t>
            </w:r>
            <w:r>
              <w:t xml:space="preserve"> </w:t>
            </w:r>
            <w:r w:rsidR="00C81C24">
              <w:t>| A | 1</w:t>
            </w:r>
          </w:p>
        </w:tc>
      </w:tr>
    </w:tbl>
    <w:p w14:paraId="78526617" w14:textId="77777777" w:rsidR="00D06D96" w:rsidRDefault="00D06D96" w:rsidP="00087A17">
      <w:pPr>
        <w:pStyle w:val="NoSpacing"/>
      </w:pPr>
    </w:p>
    <w:tbl>
      <w:tblPr>
        <w:tblW w:w="1463" w:type="pct"/>
        <w:tblCellMar>
          <w:left w:w="0" w:type="dxa"/>
          <w:right w:w="0" w:type="dxa"/>
        </w:tblCellMar>
        <w:tblLook w:val="04A0" w:firstRow="1" w:lastRow="0" w:firstColumn="1" w:lastColumn="0" w:noHBand="0" w:noVBand="1"/>
      </w:tblPr>
      <w:tblGrid>
        <w:gridCol w:w="1655"/>
        <w:gridCol w:w="834"/>
      </w:tblGrid>
      <w:tr w:rsidR="00087A17" w14:paraId="23B9A587" w14:textId="77777777" w:rsidTr="00421579">
        <w:tc>
          <w:tcPr>
            <w:tcW w:w="0" w:type="auto"/>
            <w:noWrap/>
          </w:tcPr>
          <w:p w14:paraId="0C2387C1" w14:textId="77777777" w:rsidR="00087A17" w:rsidRDefault="004B5721" w:rsidP="009A426D">
            <w:pPr>
              <w:pStyle w:val="Security"/>
            </w:pPr>
            <w:r>
              <w:t>Information class</w:t>
            </w:r>
            <w:r w:rsidR="00087A17">
              <w:t>:</w:t>
            </w:r>
          </w:p>
        </w:tc>
        <w:tc>
          <w:tcPr>
            <w:tcW w:w="0" w:type="auto"/>
            <w:noWrap/>
          </w:tcPr>
          <w:p w14:paraId="4A1BB348" w14:textId="77777777" w:rsidR="00087A17" w:rsidRDefault="004B5721" w:rsidP="009A426D">
            <w:pPr>
              <w:pStyle w:val="Security"/>
            </w:pPr>
            <w:r>
              <w:t>Standard</w:t>
            </w:r>
          </w:p>
        </w:tc>
      </w:tr>
    </w:tbl>
    <w:p w14:paraId="240FF3C0" w14:textId="77777777" w:rsidR="00087A17" w:rsidRDefault="00087A17" w:rsidP="00087A17">
      <w:pPr>
        <w:pStyle w:val="Spacer"/>
        <w:keepNext/>
      </w:pPr>
    </w:p>
    <w:tbl>
      <w:tblPr>
        <w:tblStyle w:val="MMTable"/>
        <w:tblpPr w:leftFromText="180" w:rightFromText="180" w:vertAnchor="text" w:tblpY="1"/>
        <w:tblOverlap w:val="never"/>
        <w:tblW w:w="5000" w:type="pct"/>
        <w:tblLayout w:type="fixed"/>
        <w:tblLook w:val="06A0" w:firstRow="1" w:lastRow="0" w:firstColumn="1" w:lastColumn="0" w:noHBand="1" w:noVBand="1"/>
      </w:tblPr>
      <w:tblGrid>
        <w:gridCol w:w="8721"/>
      </w:tblGrid>
      <w:tr w:rsidR="000606AB" w:rsidRPr="00C135AD" w14:paraId="1CFB72E9" w14:textId="77777777" w:rsidTr="00124B1F">
        <w:trPr>
          <w:cnfStyle w:val="100000000000" w:firstRow="1" w:lastRow="0" w:firstColumn="0" w:lastColumn="0" w:oddVBand="0" w:evenVBand="0" w:oddHBand="0" w:evenHBand="0" w:firstRowFirstColumn="0" w:firstRowLastColumn="0" w:lastRowFirstColumn="0" w:lastRowLastColumn="0"/>
        </w:trPr>
        <w:tc>
          <w:tcPr>
            <w:tcW w:w="5000" w:type="pct"/>
            <w:tcBorders>
              <w:top w:val="single" w:sz="8" w:space="0" w:color="auto"/>
              <w:bottom w:val="nil"/>
            </w:tcBorders>
          </w:tcPr>
          <w:p w14:paraId="0630EEEB" w14:textId="77777777" w:rsidR="00931A42" w:rsidRDefault="00931A42">
            <w:pPr>
              <w:pStyle w:val="Disclaimer"/>
            </w:pPr>
            <w:r>
              <w:t>This document is issued for the party which commissioned it and for specific purposes connected with the above-captioned project only. It should not be relied upon by any other party or used for any other purpose.</w:t>
            </w:r>
          </w:p>
          <w:p w14:paraId="1E2F2BAA" w14:textId="77777777" w:rsidR="00931A42" w:rsidRDefault="00931A42">
            <w:pPr>
              <w:pStyle w:val="Disclaimer"/>
            </w:pPr>
            <w:r>
              <w:t>We accept no responsibility for the consequences of this document being relied upon by any other party, or being used for any other purpose, or containing any error or omission which is due to an error or omission in data supplied to us by other parties.</w:t>
            </w:r>
          </w:p>
          <w:p w14:paraId="623817F1" w14:textId="3E08045B" w:rsidR="00F53982" w:rsidRDefault="00931A42">
            <w:pPr>
              <w:pStyle w:val="Disclaimer"/>
            </w:pPr>
            <w:r>
              <w:t>This document contains confidential information and proprietary intellectual property. It should not be shown to other parties without consent from us and from the party which commissioned it.</w:t>
            </w:r>
          </w:p>
        </w:tc>
      </w:tr>
      <w:tr w:rsidR="00087A17" w:rsidRPr="00586151" w14:paraId="72E648EE" w14:textId="77777777" w:rsidTr="00124B1F">
        <w:trPr>
          <w:cantSplit/>
          <w:trHeight w:hRule="exact" w:val="57"/>
        </w:trPr>
        <w:tc>
          <w:tcPr>
            <w:tcW w:w="5000" w:type="pct"/>
            <w:tcBorders>
              <w:top w:val="nil"/>
              <w:bottom w:val="single" w:sz="8" w:space="0" w:color="auto"/>
            </w:tcBorders>
          </w:tcPr>
          <w:p w14:paraId="75741FDF" w14:textId="77777777" w:rsidR="00087A17" w:rsidRPr="00612F01" w:rsidRDefault="00087A17" w:rsidP="00DB2FA5">
            <w:pPr>
              <w:pStyle w:val="Spacer"/>
              <w:shd w:val="clear" w:color="auto" w:fill="FFFFFF" w:themeFill="background1"/>
              <w:rPr>
                <w:color w:val="FFFFFF" w:themeColor="background1"/>
              </w:rPr>
            </w:pPr>
            <w:r w:rsidRPr="00C033E4">
              <w:rPr>
                <w:color w:val="FFFFFF" w:themeColor="background1"/>
              </w:rPr>
              <w:t>                                                    </w:t>
            </w:r>
            <w:r w:rsidRPr="00612F01">
              <w:rPr>
                <w:color w:val="FFFFFF" w:themeColor="background1"/>
              </w:rPr>
              <w:t>                                                                                                                                                                                                                                                                                                                                                                                                                                                                                                             </w:t>
            </w:r>
          </w:p>
          <w:p w14:paraId="02F795F1" w14:textId="77777777" w:rsidR="00087A17" w:rsidRPr="0060408A" w:rsidRDefault="00087A17" w:rsidP="00124B1F">
            <w:pPr>
              <w:pStyle w:val="Spacer"/>
            </w:pPr>
            <w:r w:rsidRPr="0060408A">
              <w:t>                                                                                                                                                                                                                                                                                                                                                                                                       </w:t>
            </w:r>
          </w:p>
          <w:p w14:paraId="6F3FEFA0" w14:textId="77777777" w:rsidR="00087A17" w:rsidRPr="0060408A" w:rsidRDefault="00087A17" w:rsidP="00124B1F">
            <w:pPr>
              <w:pStyle w:val="Spacer"/>
            </w:pPr>
            <w:r w:rsidRPr="0060408A">
              <w:t>                                                                                                                                                                                                                                        </w:t>
            </w:r>
          </w:p>
          <w:p w14:paraId="02D8CC5C" w14:textId="77777777" w:rsidR="00087A17" w:rsidRPr="0060408A" w:rsidRDefault="00087A17" w:rsidP="00124B1F">
            <w:pPr>
              <w:pStyle w:val="Spacer"/>
            </w:pPr>
            <w:r w:rsidRPr="0060408A">
              <w:t>                                                                                                                                                                                                                                                                                                                                                              </w:t>
            </w:r>
          </w:p>
          <w:p w14:paraId="522499F2" w14:textId="77777777" w:rsidR="00087A17" w:rsidRPr="0060408A" w:rsidRDefault="00087A17" w:rsidP="00124B1F">
            <w:pPr>
              <w:pStyle w:val="Spacer"/>
            </w:pPr>
            <w:r w:rsidRPr="0060408A">
              <w:t>                                                                                                                                                                                                                                                                                                                                                                                                                                                                                                                                                                                                                                                     </w:t>
            </w:r>
          </w:p>
          <w:p w14:paraId="6132BF6B" w14:textId="77777777" w:rsidR="00087A17" w:rsidRPr="0085729B" w:rsidRDefault="00087A17" w:rsidP="00124B1F">
            <w:pPr>
              <w:pStyle w:val="Spacer"/>
            </w:pPr>
            <w:r w:rsidRPr="0060408A">
              <w:t>                                                                                                                                                                                                                                                                   </w:t>
            </w:r>
          </w:p>
        </w:tc>
      </w:tr>
    </w:tbl>
    <w:p w14:paraId="0788C33B" w14:textId="77777777" w:rsidR="00087A17" w:rsidRPr="00C93D19" w:rsidRDefault="00087A17" w:rsidP="009A426D"/>
    <w:p w14:paraId="24B67026" w14:textId="77777777" w:rsidR="00F53982" w:rsidRDefault="000C30BC">
      <w:pPr>
        <w:pStyle w:val="SecHeadNonToc"/>
      </w:pPr>
      <w:r>
        <w:lastRenderedPageBreak/>
        <w:t>Contents</w:t>
      </w:r>
    </w:p>
    <w:p w14:paraId="56741ACF" w14:textId="1E3C3635" w:rsidR="00067C12" w:rsidRDefault="00665130">
      <w:pPr>
        <w:pStyle w:val="TOC1"/>
        <w:rPr>
          <w:rFonts w:asciiTheme="minorHAnsi" w:hAnsiTheme="minorHAnsi"/>
          <w:color w:val="auto"/>
          <w:sz w:val="22"/>
          <w:szCs w:val="22"/>
          <w:lang w:eastAsia="en-GB"/>
        </w:rPr>
      </w:pPr>
      <w:r>
        <w:rPr>
          <w:sz w:val="32"/>
        </w:rPr>
        <w:fldChar w:fldCharType="begin"/>
      </w:r>
      <w:r>
        <w:rPr>
          <w:sz w:val="32"/>
        </w:rPr>
        <w:instrText xml:space="preserve"> TOC \o "1-1" \h \z \u </w:instrText>
      </w:r>
      <w:r>
        <w:rPr>
          <w:sz w:val="32"/>
        </w:rPr>
        <w:fldChar w:fldCharType="separate"/>
      </w:r>
      <w:hyperlink w:anchor="_Toc31809565" w:history="1">
        <w:r w:rsidR="00067C12" w:rsidRPr="00276249">
          <w:rPr>
            <w:rStyle w:val="Hyperlink"/>
          </w:rPr>
          <w:t>1</w:t>
        </w:r>
        <w:r w:rsidR="00067C12">
          <w:rPr>
            <w:rFonts w:asciiTheme="minorHAnsi" w:hAnsiTheme="minorHAnsi"/>
            <w:color w:val="auto"/>
            <w:sz w:val="22"/>
            <w:szCs w:val="22"/>
            <w:lang w:eastAsia="en-GB"/>
          </w:rPr>
          <w:tab/>
        </w:r>
        <w:r w:rsidR="00067C12" w:rsidRPr="00276249">
          <w:rPr>
            <w:rStyle w:val="Hyperlink"/>
          </w:rPr>
          <w:t>Introduction</w:t>
        </w:r>
        <w:r w:rsidR="00067C12">
          <w:rPr>
            <w:webHidden/>
          </w:rPr>
          <w:tab/>
        </w:r>
        <w:r w:rsidR="00067C12">
          <w:rPr>
            <w:webHidden/>
          </w:rPr>
          <w:fldChar w:fldCharType="begin"/>
        </w:r>
        <w:r w:rsidR="00067C12">
          <w:rPr>
            <w:webHidden/>
          </w:rPr>
          <w:instrText xml:space="preserve"> PAGEREF _Toc31809565 \h </w:instrText>
        </w:r>
        <w:r w:rsidR="00067C12">
          <w:rPr>
            <w:webHidden/>
          </w:rPr>
        </w:r>
        <w:r w:rsidR="00067C12">
          <w:rPr>
            <w:webHidden/>
          </w:rPr>
          <w:fldChar w:fldCharType="separate"/>
        </w:r>
        <w:r w:rsidR="00067C12">
          <w:rPr>
            <w:webHidden/>
          </w:rPr>
          <w:t>1</w:t>
        </w:r>
        <w:r w:rsidR="00067C12">
          <w:rPr>
            <w:webHidden/>
          </w:rPr>
          <w:fldChar w:fldCharType="end"/>
        </w:r>
      </w:hyperlink>
    </w:p>
    <w:p w14:paraId="3F355AA1" w14:textId="7CD507A8" w:rsidR="00067C12" w:rsidRDefault="00685427">
      <w:pPr>
        <w:pStyle w:val="TOC1"/>
        <w:rPr>
          <w:rFonts w:asciiTheme="minorHAnsi" w:hAnsiTheme="minorHAnsi"/>
          <w:color w:val="auto"/>
          <w:sz w:val="22"/>
          <w:szCs w:val="22"/>
          <w:lang w:eastAsia="en-GB"/>
        </w:rPr>
      </w:pPr>
      <w:hyperlink w:anchor="_Toc31809566" w:history="1">
        <w:r w:rsidR="00067C12" w:rsidRPr="00276249">
          <w:rPr>
            <w:rStyle w:val="Hyperlink"/>
          </w:rPr>
          <w:t>2</w:t>
        </w:r>
        <w:r w:rsidR="00067C12">
          <w:rPr>
            <w:rFonts w:asciiTheme="minorHAnsi" w:hAnsiTheme="minorHAnsi"/>
            <w:color w:val="auto"/>
            <w:sz w:val="22"/>
            <w:szCs w:val="22"/>
            <w:lang w:eastAsia="en-GB"/>
          </w:rPr>
          <w:tab/>
        </w:r>
        <w:r w:rsidR="00067C12" w:rsidRPr="00276249">
          <w:rPr>
            <w:rStyle w:val="Hyperlink"/>
          </w:rPr>
          <w:t>Tangmere Strategic Development Location: redevelopment context</w:t>
        </w:r>
        <w:r w:rsidR="00067C12">
          <w:rPr>
            <w:webHidden/>
          </w:rPr>
          <w:tab/>
        </w:r>
        <w:r w:rsidR="00067C12">
          <w:rPr>
            <w:webHidden/>
          </w:rPr>
          <w:fldChar w:fldCharType="begin"/>
        </w:r>
        <w:r w:rsidR="00067C12">
          <w:rPr>
            <w:webHidden/>
          </w:rPr>
          <w:instrText xml:space="preserve"> PAGEREF _Toc31809566 \h </w:instrText>
        </w:r>
        <w:r w:rsidR="00067C12">
          <w:rPr>
            <w:webHidden/>
          </w:rPr>
        </w:r>
        <w:r w:rsidR="00067C12">
          <w:rPr>
            <w:webHidden/>
          </w:rPr>
          <w:fldChar w:fldCharType="separate"/>
        </w:r>
        <w:r w:rsidR="00067C12">
          <w:rPr>
            <w:webHidden/>
          </w:rPr>
          <w:t>5</w:t>
        </w:r>
        <w:r w:rsidR="00067C12">
          <w:rPr>
            <w:webHidden/>
          </w:rPr>
          <w:fldChar w:fldCharType="end"/>
        </w:r>
      </w:hyperlink>
    </w:p>
    <w:p w14:paraId="7CE2ADBF" w14:textId="4196DE71" w:rsidR="00067C12" w:rsidRDefault="00685427">
      <w:pPr>
        <w:pStyle w:val="TOC1"/>
        <w:rPr>
          <w:rFonts w:asciiTheme="minorHAnsi" w:hAnsiTheme="minorHAnsi"/>
          <w:color w:val="auto"/>
          <w:sz w:val="22"/>
          <w:szCs w:val="22"/>
          <w:lang w:eastAsia="en-GB"/>
        </w:rPr>
      </w:pPr>
      <w:hyperlink w:anchor="_Toc31809576" w:history="1">
        <w:r w:rsidR="00067C12" w:rsidRPr="00276249">
          <w:rPr>
            <w:rStyle w:val="Hyperlink"/>
          </w:rPr>
          <w:t>3</w:t>
        </w:r>
        <w:r w:rsidR="00067C12">
          <w:rPr>
            <w:rFonts w:asciiTheme="minorHAnsi" w:hAnsiTheme="minorHAnsi"/>
            <w:color w:val="auto"/>
            <w:sz w:val="22"/>
            <w:szCs w:val="22"/>
            <w:lang w:eastAsia="en-GB"/>
          </w:rPr>
          <w:tab/>
        </w:r>
        <w:r w:rsidR="00067C12" w:rsidRPr="00276249">
          <w:rPr>
            <w:rStyle w:val="Hyperlink"/>
          </w:rPr>
          <w:t>Area profile</w:t>
        </w:r>
        <w:r w:rsidR="00067C12">
          <w:rPr>
            <w:webHidden/>
          </w:rPr>
          <w:tab/>
        </w:r>
        <w:r w:rsidR="00067C12">
          <w:rPr>
            <w:webHidden/>
          </w:rPr>
          <w:fldChar w:fldCharType="begin"/>
        </w:r>
        <w:r w:rsidR="00067C12">
          <w:rPr>
            <w:webHidden/>
          </w:rPr>
          <w:instrText xml:space="preserve"> PAGEREF _Toc31809576 \h </w:instrText>
        </w:r>
        <w:r w:rsidR="00067C12">
          <w:rPr>
            <w:webHidden/>
          </w:rPr>
        </w:r>
        <w:r w:rsidR="00067C12">
          <w:rPr>
            <w:webHidden/>
          </w:rPr>
          <w:fldChar w:fldCharType="separate"/>
        </w:r>
        <w:r w:rsidR="00067C12">
          <w:rPr>
            <w:webHidden/>
          </w:rPr>
          <w:t>13</w:t>
        </w:r>
        <w:r w:rsidR="00067C12">
          <w:rPr>
            <w:webHidden/>
          </w:rPr>
          <w:fldChar w:fldCharType="end"/>
        </w:r>
      </w:hyperlink>
    </w:p>
    <w:p w14:paraId="1F3081BC" w14:textId="124A2CA6" w:rsidR="00067C12" w:rsidRDefault="00685427">
      <w:pPr>
        <w:pStyle w:val="TOC1"/>
        <w:rPr>
          <w:rFonts w:asciiTheme="minorHAnsi" w:hAnsiTheme="minorHAnsi"/>
          <w:color w:val="auto"/>
          <w:sz w:val="22"/>
          <w:szCs w:val="22"/>
          <w:lang w:eastAsia="en-GB"/>
        </w:rPr>
      </w:pPr>
      <w:hyperlink w:anchor="_Toc31809577" w:history="1">
        <w:r w:rsidR="00067C12" w:rsidRPr="00276249">
          <w:rPr>
            <w:rStyle w:val="Hyperlink"/>
          </w:rPr>
          <w:t>4</w:t>
        </w:r>
        <w:r w:rsidR="00067C12">
          <w:rPr>
            <w:rFonts w:asciiTheme="minorHAnsi" w:hAnsiTheme="minorHAnsi"/>
            <w:color w:val="auto"/>
            <w:sz w:val="22"/>
            <w:szCs w:val="22"/>
            <w:lang w:eastAsia="en-GB"/>
          </w:rPr>
          <w:tab/>
        </w:r>
        <w:r w:rsidR="00067C12" w:rsidRPr="00276249">
          <w:rPr>
            <w:rStyle w:val="Hyperlink"/>
          </w:rPr>
          <w:t>Impact assessment</w:t>
        </w:r>
        <w:r w:rsidR="00067C12">
          <w:rPr>
            <w:webHidden/>
          </w:rPr>
          <w:tab/>
        </w:r>
        <w:r w:rsidR="00067C12">
          <w:rPr>
            <w:webHidden/>
          </w:rPr>
          <w:fldChar w:fldCharType="begin"/>
        </w:r>
        <w:r w:rsidR="00067C12">
          <w:rPr>
            <w:webHidden/>
          </w:rPr>
          <w:instrText xml:space="preserve"> PAGEREF _Toc31809577 \h </w:instrText>
        </w:r>
        <w:r w:rsidR="00067C12">
          <w:rPr>
            <w:webHidden/>
          </w:rPr>
        </w:r>
        <w:r w:rsidR="00067C12">
          <w:rPr>
            <w:webHidden/>
          </w:rPr>
          <w:fldChar w:fldCharType="separate"/>
        </w:r>
        <w:r w:rsidR="00067C12">
          <w:rPr>
            <w:webHidden/>
          </w:rPr>
          <w:t>19</w:t>
        </w:r>
        <w:r w:rsidR="00067C12">
          <w:rPr>
            <w:webHidden/>
          </w:rPr>
          <w:fldChar w:fldCharType="end"/>
        </w:r>
      </w:hyperlink>
    </w:p>
    <w:p w14:paraId="22EDBAD4" w14:textId="6145EC2F" w:rsidR="00067C12" w:rsidRDefault="00685427">
      <w:pPr>
        <w:pStyle w:val="TOC1"/>
        <w:rPr>
          <w:rFonts w:asciiTheme="minorHAnsi" w:hAnsiTheme="minorHAnsi"/>
          <w:color w:val="auto"/>
          <w:sz w:val="22"/>
          <w:szCs w:val="22"/>
          <w:lang w:eastAsia="en-GB"/>
        </w:rPr>
      </w:pPr>
      <w:hyperlink w:anchor="_Toc31809578" w:history="1">
        <w:r w:rsidR="00067C12" w:rsidRPr="00276249">
          <w:rPr>
            <w:rStyle w:val="Hyperlink"/>
          </w:rPr>
          <w:t>5</w:t>
        </w:r>
        <w:r w:rsidR="00067C12">
          <w:rPr>
            <w:rFonts w:asciiTheme="minorHAnsi" w:hAnsiTheme="minorHAnsi"/>
            <w:color w:val="auto"/>
            <w:sz w:val="22"/>
            <w:szCs w:val="22"/>
            <w:lang w:eastAsia="en-GB"/>
          </w:rPr>
          <w:tab/>
        </w:r>
        <w:r w:rsidR="00067C12" w:rsidRPr="00276249">
          <w:rPr>
            <w:rStyle w:val="Hyperlink"/>
          </w:rPr>
          <w:t>Conclusions and action plan</w:t>
        </w:r>
        <w:r w:rsidR="00067C12">
          <w:rPr>
            <w:webHidden/>
          </w:rPr>
          <w:tab/>
        </w:r>
        <w:r w:rsidR="00067C12">
          <w:rPr>
            <w:webHidden/>
          </w:rPr>
          <w:fldChar w:fldCharType="begin"/>
        </w:r>
        <w:r w:rsidR="00067C12">
          <w:rPr>
            <w:webHidden/>
          </w:rPr>
          <w:instrText xml:space="preserve"> PAGEREF _Toc31809578 \h </w:instrText>
        </w:r>
        <w:r w:rsidR="00067C12">
          <w:rPr>
            <w:webHidden/>
          </w:rPr>
        </w:r>
        <w:r w:rsidR="00067C12">
          <w:rPr>
            <w:webHidden/>
          </w:rPr>
          <w:fldChar w:fldCharType="separate"/>
        </w:r>
        <w:r w:rsidR="00067C12">
          <w:rPr>
            <w:webHidden/>
          </w:rPr>
          <w:t>27</w:t>
        </w:r>
        <w:r w:rsidR="00067C12">
          <w:rPr>
            <w:webHidden/>
          </w:rPr>
          <w:fldChar w:fldCharType="end"/>
        </w:r>
      </w:hyperlink>
    </w:p>
    <w:p w14:paraId="15250CF8" w14:textId="1EC2BDA3" w:rsidR="00067C12" w:rsidRDefault="00685427">
      <w:pPr>
        <w:pStyle w:val="TOC1"/>
        <w:rPr>
          <w:rFonts w:asciiTheme="minorHAnsi" w:hAnsiTheme="minorHAnsi"/>
          <w:color w:val="auto"/>
          <w:sz w:val="22"/>
          <w:szCs w:val="22"/>
          <w:lang w:eastAsia="en-GB"/>
        </w:rPr>
      </w:pPr>
      <w:hyperlink w:anchor="_Toc31809579" w:history="1">
        <w:r w:rsidR="00067C12" w:rsidRPr="00276249">
          <w:rPr>
            <w:rStyle w:val="Hyperlink"/>
          </w:rPr>
          <w:t>Appendices</w:t>
        </w:r>
        <w:r w:rsidR="00067C12">
          <w:rPr>
            <w:webHidden/>
          </w:rPr>
          <w:tab/>
        </w:r>
        <w:r w:rsidR="00067C12">
          <w:rPr>
            <w:webHidden/>
          </w:rPr>
          <w:fldChar w:fldCharType="begin"/>
        </w:r>
        <w:r w:rsidR="00067C12">
          <w:rPr>
            <w:webHidden/>
          </w:rPr>
          <w:instrText xml:space="preserve"> PAGEREF _Toc31809579 \h </w:instrText>
        </w:r>
        <w:r w:rsidR="00067C12">
          <w:rPr>
            <w:webHidden/>
          </w:rPr>
        </w:r>
        <w:r w:rsidR="00067C12">
          <w:rPr>
            <w:webHidden/>
          </w:rPr>
          <w:fldChar w:fldCharType="separate"/>
        </w:r>
        <w:r w:rsidR="00067C12">
          <w:rPr>
            <w:webHidden/>
          </w:rPr>
          <w:t>31</w:t>
        </w:r>
        <w:r w:rsidR="00067C12">
          <w:rPr>
            <w:webHidden/>
          </w:rPr>
          <w:fldChar w:fldCharType="end"/>
        </w:r>
      </w:hyperlink>
    </w:p>
    <w:p w14:paraId="496F312D" w14:textId="44950F89" w:rsidR="00067C12" w:rsidRDefault="00685427">
      <w:pPr>
        <w:pStyle w:val="TOC1"/>
        <w:rPr>
          <w:rFonts w:asciiTheme="minorHAnsi" w:hAnsiTheme="minorHAnsi"/>
          <w:color w:val="auto"/>
          <w:sz w:val="22"/>
          <w:szCs w:val="22"/>
          <w:lang w:eastAsia="en-GB"/>
        </w:rPr>
      </w:pPr>
      <w:hyperlink w:anchor="_Toc31809580" w:history="1">
        <w:r w:rsidR="00067C12" w:rsidRPr="00276249">
          <w:rPr>
            <w:rStyle w:val="Hyperlink"/>
            <w:bCs/>
          </w:rPr>
          <w:t>A.</w:t>
        </w:r>
        <w:r w:rsidR="00067C12">
          <w:rPr>
            <w:rFonts w:asciiTheme="minorHAnsi" w:hAnsiTheme="minorHAnsi"/>
            <w:color w:val="auto"/>
            <w:sz w:val="22"/>
            <w:szCs w:val="22"/>
            <w:lang w:eastAsia="en-GB"/>
          </w:rPr>
          <w:tab/>
        </w:r>
        <w:r w:rsidR="00067C12" w:rsidRPr="00276249">
          <w:rPr>
            <w:rStyle w:val="Hyperlink"/>
          </w:rPr>
          <w:t>Bibliography</w:t>
        </w:r>
        <w:r w:rsidR="00067C12">
          <w:rPr>
            <w:webHidden/>
          </w:rPr>
          <w:tab/>
        </w:r>
        <w:r w:rsidR="00067C12">
          <w:rPr>
            <w:webHidden/>
          </w:rPr>
          <w:fldChar w:fldCharType="begin"/>
        </w:r>
        <w:r w:rsidR="00067C12">
          <w:rPr>
            <w:webHidden/>
          </w:rPr>
          <w:instrText xml:space="preserve"> PAGEREF _Toc31809580 \h </w:instrText>
        </w:r>
        <w:r w:rsidR="00067C12">
          <w:rPr>
            <w:webHidden/>
          </w:rPr>
        </w:r>
        <w:r w:rsidR="00067C12">
          <w:rPr>
            <w:webHidden/>
          </w:rPr>
          <w:fldChar w:fldCharType="separate"/>
        </w:r>
        <w:r w:rsidR="00067C12">
          <w:rPr>
            <w:webHidden/>
          </w:rPr>
          <w:t>32</w:t>
        </w:r>
        <w:r w:rsidR="00067C12">
          <w:rPr>
            <w:webHidden/>
          </w:rPr>
          <w:fldChar w:fldCharType="end"/>
        </w:r>
      </w:hyperlink>
    </w:p>
    <w:p w14:paraId="49BE7632" w14:textId="2A246822" w:rsidR="00067C12" w:rsidRDefault="00685427">
      <w:pPr>
        <w:pStyle w:val="TOC1"/>
        <w:rPr>
          <w:rFonts w:asciiTheme="minorHAnsi" w:hAnsiTheme="minorHAnsi"/>
          <w:color w:val="auto"/>
          <w:sz w:val="22"/>
          <w:szCs w:val="22"/>
          <w:lang w:eastAsia="en-GB"/>
        </w:rPr>
      </w:pPr>
      <w:hyperlink w:anchor="_Toc31809581" w:history="1">
        <w:r w:rsidR="00067C12" w:rsidRPr="00276249">
          <w:rPr>
            <w:rStyle w:val="Hyperlink"/>
            <w:bCs/>
          </w:rPr>
          <w:t>B.</w:t>
        </w:r>
        <w:r w:rsidR="00067C12">
          <w:rPr>
            <w:rFonts w:asciiTheme="minorHAnsi" w:hAnsiTheme="minorHAnsi"/>
            <w:color w:val="auto"/>
            <w:sz w:val="22"/>
            <w:szCs w:val="22"/>
            <w:lang w:eastAsia="en-GB"/>
          </w:rPr>
          <w:tab/>
        </w:r>
        <w:r w:rsidR="00067C12" w:rsidRPr="00276249">
          <w:rPr>
            <w:rStyle w:val="Hyperlink"/>
          </w:rPr>
          <w:t>Demographic mapping</w:t>
        </w:r>
        <w:r w:rsidR="00067C12">
          <w:rPr>
            <w:webHidden/>
          </w:rPr>
          <w:tab/>
        </w:r>
        <w:r w:rsidR="00067C12">
          <w:rPr>
            <w:webHidden/>
          </w:rPr>
          <w:fldChar w:fldCharType="begin"/>
        </w:r>
        <w:r w:rsidR="00067C12">
          <w:rPr>
            <w:webHidden/>
          </w:rPr>
          <w:instrText xml:space="preserve"> PAGEREF _Toc31809581 \h </w:instrText>
        </w:r>
        <w:r w:rsidR="00067C12">
          <w:rPr>
            <w:webHidden/>
          </w:rPr>
        </w:r>
        <w:r w:rsidR="00067C12">
          <w:rPr>
            <w:webHidden/>
          </w:rPr>
          <w:fldChar w:fldCharType="separate"/>
        </w:r>
        <w:r w:rsidR="00067C12">
          <w:rPr>
            <w:webHidden/>
          </w:rPr>
          <w:t>34</w:t>
        </w:r>
        <w:r w:rsidR="00067C12">
          <w:rPr>
            <w:webHidden/>
          </w:rPr>
          <w:fldChar w:fldCharType="end"/>
        </w:r>
      </w:hyperlink>
    </w:p>
    <w:p w14:paraId="1BE9B3AE" w14:textId="7FBAAA35" w:rsidR="006C1876" w:rsidRDefault="00665130" w:rsidP="00665130">
      <w:pPr>
        <w:pStyle w:val="TOC5"/>
      </w:pPr>
      <w:r>
        <w:rPr>
          <w:sz w:val="32"/>
        </w:rPr>
        <w:fldChar w:fldCharType="end"/>
      </w:r>
    </w:p>
    <w:p w14:paraId="6F9ED507" w14:textId="77777777" w:rsidR="00F12212" w:rsidRPr="00E73816" w:rsidRDefault="004B5721" w:rsidP="00F12212">
      <w:pPr>
        <w:pStyle w:val="TOC6"/>
      </w:pPr>
      <w:r>
        <w:t>Tables</w:t>
      </w:r>
    </w:p>
    <w:p w14:paraId="556B3BE2" w14:textId="6DE52E14" w:rsidR="00067C12" w:rsidRDefault="00F12212">
      <w:pPr>
        <w:pStyle w:val="TableofFigures"/>
        <w:rPr>
          <w:rFonts w:cstheme="minorBidi"/>
          <w:sz w:val="22"/>
          <w:szCs w:val="22"/>
          <w:lang w:eastAsia="en-GB"/>
        </w:rPr>
      </w:pPr>
      <w:r w:rsidRPr="00E73816">
        <w:rPr>
          <w:rFonts w:asciiTheme="majorHAnsi" w:hAnsiTheme="majorHAnsi"/>
        </w:rPr>
        <w:fldChar w:fldCharType="begin"/>
      </w:r>
      <w:r w:rsidRPr="00E73816">
        <w:rPr>
          <w:rFonts w:asciiTheme="majorHAnsi" w:hAnsiTheme="majorHAnsi"/>
        </w:rPr>
        <w:instrText xml:space="preserve"> TOC \h \z \c "Table" </w:instrText>
      </w:r>
      <w:r w:rsidRPr="00E73816">
        <w:rPr>
          <w:rFonts w:asciiTheme="majorHAnsi" w:hAnsiTheme="majorHAnsi"/>
        </w:rPr>
        <w:fldChar w:fldCharType="separate"/>
      </w:r>
      <w:hyperlink w:anchor="_Toc31809582" w:history="1">
        <w:r w:rsidR="00067C12" w:rsidRPr="0027564E">
          <w:rPr>
            <w:rStyle w:val="Hyperlink"/>
          </w:rPr>
          <w:t>Table 3.1: Population by age group</w:t>
        </w:r>
        <w:r w:rsidR="00067C12">
          <w:rPr>
            <w:webHidden/>
          </w:rPr>
          <w:tab/>
        </w:r>
        <w:r w:rsidR="00067C12">
          <w:rPr>
            <w:webHidden/>
          </w:rPr>
          <w:fldChar w:fldCharType="begin"/>
        </w:r>
        <w:r w:rsidR="00067C12">
          <w:rPr>
            <w:webHidden/>
          </w:rPr>
          <w:instrText xml:space="preserve"> PAGEREF _Toc31809582 \h </w:instrText>
        </w:r>
        <w:r w:rsidR="00067C12">
          <w:rPr>
            <w:webHidden/>
          </w:rPr>
        </w:r>
        <w:r w:rsidR="00067C12">
          <w:rPr>
            <w:webHidden/>
          </w:rPr>
          <w:fldChar w:fldCharType="separate"/>
        </w:r>
        <w:r w:rsidR="00067C12">
          <w:rPr>
            <w:webHidden/>
          </w:rPr>
          <w:t>13</w:t>
        </w:r>
        <w:r w:rsidR="00067C12">
          <w:rPr>
            <w:webHidden/>
          </w:rPr>
          <w:fldChar w:fldCharType="end"/>
        </w:r>
      </w:hyperlink>
    </w:p>
    <w:p w14:paraId="0DE53E8C" w14:textId="5C720B82" w:rsidR="00067C12" w:rsidRDefault="00685427">
      <w:pPr>
        <w:pStyle w:val="TableofFigures"/>
        <w:rPr>
          <w:rFonts w:cstheme="minorBidi"/>
          <w:sz w:val="22"/>
          <w:szCs w:val="22"/>
          <w:lang w:eastAsia="en-GB"/>
        </w:rPr>
      </w:pPr>
      <w:hyperlink w:anchor="_Toc31809583" w:history="1">
        <w:r w:rsidR="00067C12" w:rsidRPr="0027564E">
          <w:rPr>
            <w:rStyle w:val="Hyperlink"/>
          </w:rPr>
          <w:t>Table 3.2: Population by disability</w:t>
        </w:r>
        <w:r w:rsidR="00067C12">
          <w:rPr>
            <w:webHidden/>
          </w:rPr>
          <w:tab/>
        </w:r>
        <w:r w:rsidR="00067C12">
          <w:rPr>
            <w:webHidden/>
          </w:rPr>
          <w:fldChar w:fldCharType="begin"/>
        </w:r>
        <w:r w:rsidR="00067C12">
          <w:rPr>
            <w:webHidden/>
          </w:rPr>
          <w:instrText xml:space="preserve"> PAGEREF _Toc31809583 \h </w:instrText>
        </w:r>
        <w:r w:rsidR="00067C12">
          <w:rPr>
            <w:webHidden/>
          </w:rPr>
        </w:r>
        <w:r w:rsidR="00067C12">
          <w:rPr>
            <w:webHidden/>
          </w:rPr>
          <w:fldChar w:fldCharType="separate"/>
        </w:r>
        <w:r w:rsidR="00067C12">
          <w:rPr>
            <w:webHidden/>
          </w:rPr>
          <w:t>14</w:t>
        </w:r>
        <w:r w:rsidR="00067C12">
          <w:rPr>
            <w:webHidden/>
          </w:rPr>
          <w:fldChar w:fldCharType="end"/>
        </w:r>
      </w:hyperlink>
    </w:p>
    <w:p w14:paraId="2E9D347D" w14:textId="64AFD0B1" w:rsidR="00067C12" w:rsidRDefault="00685427">
      <w:pPr>
        <w:pStyle w:val="TableofFigures"/>
        <w:rPr>
          <w:rFonts w:cstheme="minorBidi"/>
          <w:sz w:val="22"/>
          <w:szCs w:val="22"/>
          <w:lang w:eastAsia="en-GB"/>
        </w:rPr>
      </w:pPr>
      <w:hyperlink w:anchor="_Toc31809584" w:history="1">
        <w:r w:rsidR="00067C12" w:rsidRPr="0027564E">
          <w:rPr>
            <w:rStyle w:val="Hyperlink"/>
          </w:rPr>
          <w:t>Table 3.3: Population by birth and fertility rates</w:t>
        </w:r>
        <w:r w:rsidR="00067C12">
          <w:rPr>
            <w:webHidden/>
          </w:rPr>
          <w:tab/>
        </w:r>
        <w:r w:rsidR="00067C12">
          <w:rPr>
            <w:webHidden/>
          </w:rPr>
          <w:fldChar w:fldCharType="begin"/>
        </w:r>
        <w:r w:rsidR="00067C12">
          <w:rPr>
            <w:webHidden/>
          </w:rPr>
          <w:instrText xml:space="preserve"> PAGEREF _Toc31809584 \h </w:instrText>
        </w:r>
        <w:r w:rsidR="00067C12">
          <w:rPr>
            <w:webHidden/>
          </w:rPr>
        </w:r>
        <w:r w:rsidR="00067C12">
          <w:rPr>
            <w:webHidden/>
          </w:rPr>
          <w:fldChar w:fldCharType="separate"/>
        </w:r>
        <w:r w:rsidR="00067C12">
          <w:rPr>
            <w:webHidden/>
          </w:rPr>
          <w:t>14</w:t>
        </w:r>
        <w:r w:rsidR="00067C12">
          <w:rPr>
            <w:webHidden/>
          </w:rPr>
          <w:fldChar w:fldCharType="end"/>
        </w:r>
      </w:hyperlink>
    </w:p>
    <w:p w14:paraId="5FF358A7" w14:textId="1AA5EC88" w:rsidR="00067C12" w:rsidRDefault="00685427">
      <w:pPr>
        <w:pStyle w:val="TableofFigures"/>
        <w:rPr>
          <w:rFonts w:cstheme="minorBidi"/>
          <w:sz w:val="22"/>
          <w:szCs w:val="22"/>
          <w:lang w:eastAsia="en-GB"/>
        </w:rPr>
      </w:pPr>
      <w:hyperlink w:anchor="_Toc31809585" w:history="1">
        <w:r w:rsidR="00067C12" w:rsidRPr="0027564E">
          <w:rPr>
            <w:rStyle w:val="Hyperlink"/>
          </w:rPr>
          <w:t>Table 3.4: Population by race and ethnicity</w:t>
        </w:r>
        <w:r w:rsidR="00067C12">
          <w:rPr>
            <w:webHidden/>
          </w:rPr>
          <w:tab/>
        </w:r>
        <w:r w:rsidR="00067C12">
          <w:rPr>
            <w:webHidden/>
          </w:rPr>
          <w:fldChar w:fldCharType="begin"/>
        </w:r>
        <w:r w:rsidR="00067C12">
          <w:rPr>
            <w:webHidden/>
          </w:rPr>
          <w:instrText xml:space="preserve"> PAGEREF _Toc31809585 \h </w:instrText>
        </w:r>
        <w:r w:rsidR="00067C12">
          <w:rPr>
            <w:webHidden/>
          </w:rPr>
        </w:r>
        <w:r w:rsidR="00067C12">
          <w:rPr>
            <w:webHidden/>
          </w:rPr>
          <w:fldChar w:fldCharType="separate"/>
        </w:r>
        <w:r w:rsidR="00067C12">
          <w:rPr>
            <w:webHidden/>
          </w:rPr>
          <w:t>15</w:t>
        </w:r>
        <w:r w:rsidR="00067C12">
          <w:rPr>
            <w:webHidden/>
          </w:rPr>
          <w:fldChar w:fldCharType="end"/>
        </w:r>
      </w:hyperlink>
    </w:p>
    <w:p w14:paraId="159CF62E" w14:textId="1823B8FF" w:rsidR="00067C12" w:rsidRDefault="00685427">
      <w:pPr>
        <w:pStyle w:val="TableofFigures"/>
        <w:rPr>
          <w:rFonts w:cstheme="minorBidi"/>
          <w:sz w:val="22"/>
          <w:szCs w:val="22"/>
          <w:lang w:eastAsia="en-GB"/>
        </w:rPr>
      </w:pPr>
      <w:hyperlink w:anchor="_Toc31809586" w:history="1">
        <w:r w:rsidR="00067C12" w:rsidRPr="0027564E">
          <w:rPr>
            <w:rStyle w:val="Hyperlink"/>
          </w:rPr>
          <w:t>Table 3.5: Population by religion and belief</w:t>
        </w:r>
        <w:r w:rsidR="00067C12">
          <w:rPr>
            <w:webHidden/>
          </w:rPr>
          <w:tab/>
        </w:r>
        <w:r w:rsidR="00067C12">
          <w:rPr>
            <w:webHidden/>
          </w:rPr>
          <w:fldChar w:fldCharType="begin"/>
        </w:r>
        <w:r w:rsidR="00067C12">
          <w:rPr>
            <w:webHidden/>
          </w:rPr>
          <w:instrText xml:space="preserve"> PAGEREF _Toc31809586 \h </w:instrText>
        </w:r>
        <w:r w:rsidR="00067C12">
          <w:rPr>
            <w:webHidden/>
          </w:rPr>
        </w:r>
        <w:r w:rsidR="00067C12">
          <w:rPr>
            <w:webHidden/>
          </w:rPr>
          <w:fldChar w:fldCharType="separate"/>
        </w:r>
        <w:r w:rsidR="00067C12">
          <w:rPr>
            <w:webHidden/>
          </w:rPr>
          <w:t>16</w:t>
        </w:r>
        <w:r w:rsidR="00067C12">
          <w:rPr>
            <w:webHidden/>
          </w:rPr>
          <w:fldChar w:fldCharType="end"/>
        </w:r>
      </w:hyperlink>
    </w:p>
    <w:p w14:paraId="419D11B0" w14:textId="2F6D8F8C" w:rsidR="00067C12" w:rsidRDefault="00685427">
      <w:pPr>
        <w:pStyle w:val="TableofFigures"/>
        <w:rPr>
          <w:rFonts w:cstheme="minorBidi"/>
          <w:sz w:val="22"/>
          <w:szCs w:val="22"/>
          <w:lang w:eastAsia="en-GB"/>
        </w:rPr>
      </w:pPr>
      <w:hyperlink w:anchor="_Toc31809587" w:history="1">
        <w:r w:rsidR="00067C12" w:rsidRPr="0027564E">
          <w:rPr>
            <w:rStyle w:val="Hyperlink"/>
          </w:rPr>
          <w:t>Table 3.6: Population by sex</w:t>
        </w:r>
        <w:r w:rsidR="00067C12">
          <w:rPr>
            <w:webHidden/>
          </w:rPr>
          <w:tab/>
        </w:r>
        <w:r w:rsidR="00067C12">
          <w:rPr>
            <w:webHidden/>
          </w:rPr>
          <w:fldChar w:fldCharType="begin"/>
        </w:r>
        <w:r w:rsidR="00067C12">
          <w:rPr>
            <w:webHidden/>
          </w:rPr>
          <w:instrText xml:space="preserve"> PAGEREF _Toc31809587 \h </w:instrText>
        </w:r>
        <w:r w:rsidR="00067C12">
          <w:rPr>
            <w:webHidden/>
          </w:rPr>
        </w:r>
        <w:r w:rsidR="00067C12">
          <w:rPr>
            <w:webHidden/>
          </w:rPr>
          <w:fldChar w:fldCharType="separate"/>
        </w:r>
        <w:r w:rsidR="00067C12">
          <w:rPr>
            <w:webHidden/>
          </w:rPr>
          <w:t>16</w:t>
        </w:r>
        <w:r w:rsidR="00067C12">
          <w:rPr>
            <w:webHidden/>
          </w:rPr>
          <w:fldChar w:fldCharType="end"/>
        </w:r>
      </w:hyperlink>
    </w:p>
    <w:p w14:paraId="41BC51A6" w14:textId="0B2F6B90" w:rsidR="00067C12" w:rsidRDefault="00685427">
      <w:pPr>
        <w:pStyle w:val="TableofFigures"/>
        <w:rPr>
          <w:rFonts w:cstheme="minorBidi"/>
          <w:sz w:val="22"/>
          <w:szCs w:val="22"/>
          <w:lang w:eastAsia="en-GB"/>
        </w:rPr>
      </w:pPr>
      <w:hyperlink w:anchor="_Toc31809588" w:history="1">
        <w:r w:rsidR="00067C12" w:rsidRPr="0027564E">
          <w:rPr>
            <w:rStyle w:val="Hyperlink"/>
          </w:rPr>
          <w:t>Table 3.7: Employment rate of population</w:t>
        </w:r>
        <w:r w:rsidR="00067C12">
          <w:rPr>
            <w:webHidden/>
          </w:rPr>
          <w:tab/>
        </w:r>
        <w:r w:rsidR="00067C12">
          <w:rPr>
            <w:webHidden/>
          </w:rPr>
          <w:fldChar w:fldCharType="begin"/>
        </w:r>
        <w:r w:rsidR="00067C12">
          <w:rPr>
            <w:webHidden/>
          </w:rPr>
          <w:instrText xml:space="preserve"> PAGEREF _Toc31809588 \h </w:instrText>
        </w:r>
        <w:r w:rsidR="00067C12">
          <w:rPr>
            <w:webHidden/>
          </w:rPr>
        </w:r>
        <w:r w:rsidR="00067C12">
          <w:rPr>
            <w:webHidden/>
          </w:rPr>
          <w:fldChar w:fldCharType="separate"/>
        </w:r>
        <w:r w:rsidR="00067C12">
          <w:rPr>
            <w:webHidden/>
          </w:rPr>
          <w:t>17</w:t>
        </w:r>
        <w:r w:rsidR="00067C12">
          <w:rPr>
            <w:webHidden/>
          </w:rPr>
          <w:fldChar w:fldCharType="end"/>
        </w:r>
      </w:hyperlink>
    </w:p>
    <w:p w14:paraId="7095166F" w14:textId="1ED5D132" w:rsidR="00067C12" w:rsidRDefault="00685427">
      <w:pPr>
        <w:pStyle w:val="TableofFigures"/>
        <w:rPr>
          <w:rFonts w:cstheme="minorBidi"/>
          <w:sz w:val="22"/>
          <w:szCs w:val="22"/>
          <w:lang w:eastAsia="en-GB"/>
        </w:rPr>
      </w:pPr>
      <w:hyperlink w:anchor="_Toc31809589" w:history="1">
        <w:r w:rsidR="00067C12" w:rsidRPr="0027564E">
          <w:rPr>
            <w:rStyle w:val="Hyperlink"/>
          </w:rPr>
          <w:t>Table 3.8: Summary of demographic groups</w:t>
        </w:r>
        <w:r w:rsidR="00067C12">
          <w:rPr>
            <w:webHidden/>
          </w:rPr>
          <w:tab/>
        </w:r>
        <w:r w:rsidR="00067C12">
          <w:rPr>
            <w:webHidden/>
          </w:rPr>
          <w:fldChar w:fldCharType="begin"/>
        </w:r>
        <w:r w:rsidR="00067C12">
          <w:rPr>
            <w:webHidden/>
          </w:rPr>
          <w:instrText xml:space="preserve"> PAGEREF _Toc31809589 \h </w:instrText>
        </w:r>
        <w:r w:rsidR="00067C12">
          <w:rPr>
            <w:webHidden/>
          </w:rPr>
        </w:r>
        <w:r w:rsidR="00067C12">
          <w:rPr>
            <w:webHidden/>
          </w:rPr>
          <w:fldChar w:fldCharType="separate"/>
        </w:r>
        <w:r w:rsidR="00067C12">
          <w:rPr>
            <w:webHidden/>
          </w:rPr>
          <w:t>17</w:t>
        </w:r>
        <w:r w:rsidR="00067C12">
          <w:rPr>
            <w:webHidden/>
          </w:rPr>
          <w:fldChar w:fldCharType="end"/>
        </w:r>
      </w:hyperlink>
    </w:p>
    <w:p w14:paraId="228A84F4" w14:textId="1A216FBD" w:rsidR="00067C12" w:rsidRDefault="00685427">
      <w:pPr>
        <w:pStyle w:val="TableofFigures"/>
        <w:rPr>
          <w:rFonts w:cstheme="minorBidi"/>
          <w:sz w:val="22"/>
          <w:szCs w:val="22"/>
          <w:lang w:eastAsia="en-GB"/>
        </w:rPr>
      </w:pPr>
      <w:hyperlink w:anchor="_Toc31809590" w:history="1">
        <w:r w:rsidR="00067C12" w:rsidRPr="0027564E">
          <w:rPr>
            <w:rStyle w:val="Hyperlink"/>
          </w:rPr>
          <w:t>Table 4.1: Impact assessment</w:t>
        </w:r>
        <w:r w:rsidR="00067C12">
          <w:rPr>
            <w:webHidden/>
          </w:rPr>
          <w:tab/>
        </w:r>
        <w:r w:rsidR="00067C12">
          <w:rPr>
            <w:webHidden/>
          </w:rPr>
          <w:fldChar w:fldCharType="begin"/>
        </w:r>
        <w:r w:rsidR="00067C12">
          <w:rPr>
            <w:webHidden/>
          </w:rPr>
          <w:instrText xml:space="preserve"> PAGEREF _Toc31809590 \h </w:instrText>
        </w:r>
        <w:r w:rsidR="00067C12">
          <w:rPr>
            <w:webHidden/>
          </w:rPr>
        </w:r>
        <w:r w:rsidR="00067C12">
          <w:rPr>
            <w:webHidden/>
          </w:rPr>
          <w:fldChar w:fldCharType="separate"/>
        </w:r>
        <w:r w:rsidR="00067C12">
          <w:rPr>
            <w:webHidden/>
          </w:rPr>
          <w:t>19</w:t>
        </w:r>
        <w:r w:rsidR="00067C12">
          <w:rPr>
            <w:webHidden/>
          </w:rPr>
          <w:fldChar w:fldCharType="end"/>
        </w:r>
      </w:hyperlink>
    </w:p>
    <w:p w14:paraId="371B5C62" w14:textId="4D88DC3F" w:rsidR="00067C12" w:rsidRDefault="00685427">
      <w:pPr>
        <w:pStyle w:val="TableofFigures"/>
        <w:rPr>
          <w:rFonts w:cstheme="minorBidi"/>
          <w:sz w:val="22"/>
          <w:szCs w:val="22"/>
          <w:lang w:eastAsia="en-GB"/>
        </w:rPr>
      </w:pPr>
      <w:hyperlink w:anchor="_Toc31809591" w:history="1">
        <w:r w:rsidR="00067C12" w:rsidRPr="0027564E">
          <w:rPr>
            <w:rStyle w:val="Hyperlink"/>
          </w:rPr>
          <w:t>Table 5.1: Summary of potential impacts, mitigations and recommendations</w:t>
        </w:r>
        <w:r w:rsidR="00067C12">
          <w:rPr>
            <w:webHidden/>
          </w:rPr>
          <w:tab/>
        </w:r>
        <w:r w:rsidR="00067C12">
          <w:rPr>
            <w:webHidden/>
          </w:rPr>
          <w:fldChar w:fldCharType="begin"/>
        </w:r>
        <w:r w:rsidR="00067C12">
          <w:rPr>
            <w:webHidden/>
          </w:rPr>
          <w:instrText xml:space="preserve"> PAGEREF _Toc31809591 \h </w:instrText>
        </w:r>
        <w:r w:rsidR="00067C12">
          <w:rPr>
            <w:webHidden/>
          </w:rPr>
        </w:r>
        <w:r w:rsidR="00067C12">
          <w:rPr>
            <w:webHidden/>
          </w:rPr>
          <w:fldChar w:fldCharType="separate"/>
        </w:r>
        <w:r w:rsidR="00067C12">
          <w:rPr>
            <w:webHidden/>
          </w:rPr>
          <w:t>27</w:t>
        </w:r>
        <w:r w:rsidR="00067C12">
          <w:rPr>
            <w:webHidden/>
          </w:rPr>
          <w:fldChar w:fldCharType="end"/>
        </w:r>
      </w:hyperlink>
    </w:p>
    <w:p w14:paraId="2FB3E9FA" w14:textId="431E60A2" w:rsidR="00067C12" w:rsidRDefault="00685427">
      <w:pPr>
        <w:pStyle w:val="TableofFigures"/>
        <w:rPr>
          <w:rFonts w:cstheme="minorBidi"/>
          <w:sz w:val="22"/>
          <w:szCs w:val="22"/>
          <w:lang w:eastAsia="en-GB"/>
        </w:rPr>
      </w:pPr>
      <w:hyperlink w:anchor="_Toc31809592" w:history="1">
        <w:r w:rsidR="00067C12" w:rsidRPr="0027564E">
          <w:rPr>
            <w:rStyle w:val="Hyperlink"/>
          </w:rPr>
          <w:t>Table 5.2: Action Plan</w:t>
        </w:r>
        <w:r w:rsidR="00067C12">
          <w:rPr>
            <w:webHidden/>
          </w:rPr>
          <w:tab/>
        </w:r>
        <w:r w:rsidR="00067C12">
          <w:rPr>
            <w:webHidden/>
          </w:rPr>
          <w:fldChar w:fldCharType="begin"/>
        </w:r>
        <w:r w:rsidR="00067C12">
          <w:rPr>
            <w:webHidden/>
          </w:rPr>
          <w:instrText xml:space="preserve"> PAGEREF _Toc31809592 \h </w:instrText>
        </w:r>
        <w:r w:rsidR="00067C12">
          <w:rPr>
            <w:webHidden/>
          </w:rPr>
        </w:r>
        <w:r w:rsidR="00067C12">
          <w:rPr>
            <w:webHidden/>
          </w:rPr>
          <w:fldChar w:fldCharType="separate"/>
        </w:r>
        <w:r w:rsidR="00067C12">
          <w:rPr>
            <w:webHidden/>
          </w:rPr>
          <w:t>29</w:t>
        </w:r>
        <w:r w:rsidR="00067C12">
          <w:rPr>
            <w:webHidden/>
          </w:rPr>
          <w:fldChar w:fldCharType="end"/>
        </w:r>
      </w:hyperlink>
    </w:p>
    <w:p w14:paraId="54A38558" w14:textId="7FA0E7D6" w:rsidR="00F12212" w:rsidRPr="00E73816" w:rsidRDefault="00F12212" w:rsidP="00F12212">
      <w:r w:rsidRPr="00E73816">
        <w:rPr>
          <w:rFonts w:asciiTheme="majorHAnsi" w:hAnsiTheme="majorHAnsi"/>
        </w:rPr>
        <w:fldChar w:fldCharType="end"/>
      </w:r>
    </w:p>
    <w:p w14:paraId="203F73E9" w14:textId="77777777" w:rsidR="00F12212" w:rsidRPr="00E73816" w:rsidRDefault="004B5721" w:rsidP="00F12212">
      <w:pPr>
        <w:pStyle w:val="TOC6"/>
      </w:pPr>
      <w:r>
        <w:t>Figures</w:t>
      </w:r>
    </w:p>
    <w:p w14:paraId="36E22378" w14:textId="6CF9282E" w:rsidR="00067C12" w:rsidRDefault="00F12212">
      <w:pPr>
        <w:pStyle w:val="TableofFigures"/>
        <w:rPr>
          <w:rFonts w:cstheme="minorBidi"/>
          <w:sz w:val="22"/>
          <w:szCs w:val="22"/>
          <w:lang w:eastAsia="en-GB"/>
        </w:rPr>
      </w:pPr>
      <w:r w:rsidRPr="00E73816">
        <w:rPr>
          <w:rFonts w:asciiTheme="majorHAnsi" w:hAnsiTheme="majorHAnsi"/>
        </w:rPr>
        <w:fldChar w:fldCharType="begin"/>
      </w:r>
      <w:r w:rsidRPr="00E73816">
        <w:rPr>
          <w:rFonts w:asciiTheme="majorHAnsi" w:hAnsiTheme="majorHAnsi"/>
        </w:rPr>
        <w:instrText xml:space="preserve"> TOC \h \z \c "Figure" </w:instrText>
      </w:r>
      <w:r w:rsidRPr="00E73816">
        <w:rPr>
          <w:rFonts w:asciiTheme="majorHAnsi" w:hAnsiTheme="majorHAnsi"/>
        </w:rPr>
        <w:fldChar w:fldCharType="separate"/>
      </w:r>
      <w:hyperlink w:anchor="_Toc31809593" w:history="1">
        <w:r w:rsidR="00067C12" w:rsidRPr="00196C9E">
          <w:rPr>
            <w:rStyle w:val="Hyperlink"/>
          </w:rPr>
          <w:t>Figure 1.1: Article 149 of the Equality Act 2010: The Public Sector Equality Duty</w:t>
        </w:r>
        <w:r w:rsidR="00067C12">
          <w:rPr>
            <w:webHidden/>
          </w:rPr>
          <w:tab/>
        </w:r>
        <w:r w:rsidR="00067C12">
          <w:rPr>
            <w:webHidden/>
          </w:rPr>
          <w:fldChar w:fldCharType="begin"/>
        </w:r>
        <w:r w:rsidR="00067C12">
          <w:rPr>
            <w:webHidden/>
          </w:rPr>
          <w:instrText xml:space="preserve"> PAGEREF _Toc31809593 \h </w:instrText>
        </w:r>
        <w:r w:rsidR="00067C12">
          <w:rPr>
            <w:webHidden/>
          </w:rPr>
        </w:r>
        <w:r w:rsidR="00067C12">
          <w:rPr>
            <w:webHidden/>
          </w:rPr>
          <w:fldChar w:fldCharType="separate"/>
        </w:r>
        <w:r w:rsidR="00067C12">
          <w:rPr>
            <w:webHidden/>
          </w:rPr>
          <w:t>1</w:t>
        </w:r>
        <w:r w:rsidR="00067C12">
          <w:rPr>
            <w:webHidden/>
          </w:rPr>
          <w:fldChar w:fldCharType="end"/>
        </w:r>
      </w:hyperlink>
    </w:p>
    <w:p w14:paraId="1C77817F" w14:textId="03496AE5" w:rsidR="00067C12" w:rsidRDefault="00685427">
      <w:pPr>
        <w:pStyle w:val="TableofFigures"/>
        <w:rPr>
          <w:rFonts w:cstheme="minorBidi"/>
          <w:sz w:val="22"/>
          <w:szCs w:val="22"/>
          <w:lang w:eastAsia="en-GB"/>
        </w:rPr>
      </w:pPr>
      <w:hyperlink w:anchor="_Toc31809594" w:history="1">
        <w:r w:rsidR="00067C12" w:rsidRPr="00196C9E">
          <w:rPr>
            <w:rStyle w:val="Hyperlink"/>
          </w:rPr>
          <w:t>Figure 2.1: Tangmere Strategic Development Location red line boundary</w:t>
        </w:r>
        <w:r w:rsidR="00067C12">
          <w:rPr>
            <w:webHidden/>
          </w:rPr>
          <w:tab/>
        </w:r>
        <w:r w:rsidR="00067C12">
          <w:rPr>
            <w:webHidden/>
          </w:rPr>
          <w:fldChar w:fldCharType="begin"/>
        </w:r>
        <w:r w:rsidR="00067C12">
          <w:rPr>
            <w:webHidden/>
          </w:rPr>
          <w:instrText xml:space="preserve"> PAGEREF _Toc31809594 \h </w:instrText>
        </w:r>
        <w:r w:rsidR="00067C12">
          <w:rPr>
            <w:webHidden/>
          </w:rPr>
        </w:r>
        <w:r w:rsidR="00067C12">
          <w:rPr>
            <w:webHidden/>
          </w:rPr>
          <w:fldChar w:fldCharType="separate"/>
        </w:r>
        <w:r w:rsidR="00067C12">
          <w:rPr>
            <w:webHidden/>
          </w:rPr>
          <w:t>5</w:t>
        </w:r>
        <w:r w:rsidR="00067C12">
          <w:rPr>
            <w:webHidden/>
          </w:rPr>
          <w:fldChar w:fldCharType="end"/>
        </w:r>
      </w:hyperlink>
    </w:p>
    <w:p w14:paraId="2FAFA2E1" w14:textId="3F23B8F8" w:rsidR="00067C12" w:rsidRDefault="00685427">
      <w:pPr>
        <w:pStyle w:val="TableofFigures"/>
        <w:rPr>
          <w:rFonts w:cstheme="minorBidi"/>
          <w:sz w:val="22"/>
          <w:szCs w:val="22"/>
          <w:lang w:eastAsia="en-GB"/>
        </w:rPr>
      </w:pPr>
      <w:hyperlink w:anchor="_Toc31809595" w:history="1">
        <w:r w:rsidR="00067C12" w:rsidRPr="00196C9E">
          <w:rPr>
            <w:rStyle w:val="Hyperlink"/>
          </w:rPr>
          <w:t>Figure 2.2: Community resources in Tangmere</w:t>
        </w:r>
        <w:r w:rsidR="00067C12">
          <w:rPr>
            <w:webHidden/>
          </w:rPr>
          <w:tab/>
        </w:r>
        <w:r w:rsidR="00067C12">
          <w:rPr>
            <w:webHidden/>
          </w:rPr>
          <w:fldChar w:fldCharType="begin"/>
        </w:r>
        <w:r w:rsidR="00067C12">
          <w:rPr>
            <w:webHidden/>
          </w:rPr>
          <w:instrText xml:space="preserve"> PAGEREF _Toc31809595 \h </w:instrText>
        </w:r>
        <w:r w:rsidR="00067C12">
          <w:rPr>
            <w:webHidden/>
          </w:rPr>
        </w:r>
        <w:r w:rsidR="00067C12">
          <w:rPr>
            <w:webHidden/>
          </w:rPr>
          <w:fldChar w:fldCharType="separate"/>
        </w:r>
        <w:r w:rsidR="00067C12">
          <w:rPr>
            <w:webHidden/>
          </w:rPr>
          <w:t>6</w:t>
        </w:r>
        <w:r w:rsidR="00067C12">
          <w:rPr>
            <w:webHidden/>
          </w:rPr>
          <w:fldChar w:fldCharType="end"/>
        </w:r>
      </w:hyperlink>
    </w:p>
    <w:p w14:paraId="00085EFE" w14:textId="0FDF3A6C" w:rsidR="00067C12" w:rsidRDefault="00685427">
      <w:pPr>
        <w:pStyle w:val="TableofFigures"/>
        <w:rPr>
          <w:rFonts w:cstheme="minorBidi"/>
          <w:sz w:val="22"/>
          <w:szCs w:val="22"/>
          <w:lang w:eastAsia="en-GB"/>
        </w:rPr>
      </w:pPr>
      <w:hyperlink w:anchor="_Toc31809596" w:history="1">
        <w:r w:rsidR="00067C12" w:rsidRPr="00196C9E">
          <w:rPr>
            <w:rStyle w:val="Hyperlink"/>
          </w:rPr>
          <w:t>Figure 5.1: Proportion of total population aged 0-15</w:t>
        </w:r>
        <w:r w:rsidR="00067C12">
          <w:rPr>
            <w:webHidden/>
          </w:rPr>
          <w:tab/>
        </w:r>
        <w:r w:rsidR="00067C12">
          <w:rPr>
            <w:webHidden/>
          </w:rPr>
          <w:fldChar w:fldCharType="begin"/>
        </w:r>
        <w:r w:rsidR="00067C12">
          <w:rPr>
            <w:webHidden/>
          </w:rPr>
          <w:instrText xml:space="preserve"> PAGEREF _Toc31809596 \h </w:instrText>
        </w:r>
        <w:r w:rsidR="00067C12">
          <w:rPr>
            <w:webHidden/>
          </w:rPr>
        </w:r>
        <w:r w:rsidR="00067C12">
          <w:rPr>
            <w:webHidden/>
          </w:rPr>
          <w:fldChar w:fldCharType="separate"/>
        </w:r>
        <w:r w:rsidR="00067C12">
          <w:rPr>
            <w:webHidden/>
          </w:rPr>
          <w:t>34</w:t>
        </w:r>
        <w:r w:rsidR="00067C12">
          <w:rPr>
            <w:webHidden/>
          </w:rPr>
          <w:fldChar w:fldCharType="end"/>
        </w:r>
      </w:hyperlink>
    </w:p>
    <w:p w14:paraId="5C30F42A" w14:textId="6E59C518" w:rsidR="00067C12" w:rsidRDefault="00685427">
      <w:pPr>
        <w:pStyle w:val="TableofFigures"/>
        <w:rPr>
          <w:rFonts w:cstheme="minorBidi"/>
          <w:sz w:val="22"/>
          <w:szCs w:val="22"/>
          <w:lang w:eastAsia="en-GB"/>
        </w:rPr>
      </w:pPr>
      <w:hyperlink w:anchor="_Toc31809597" w:history="1">
        <w:r w:rsidR="00067C12" w:rsidRPr="00196C9E">
          <w:rPr>
            <w:rStyle w:val="Hyperlink"/>
          </w:rPr>
          <w:t>Figure 5.2: Proportion of total population aged 16-24</w:t>
        </w:r>
        <w:r w:rsidR="00067C12">
          <w:rPr>
            <w:webHidden/>
          </w:rPr>
          <w:tab/>
        </w:r>
        <w:r w:rsidR="00067C12">
          <w:rPr>
            <w:webHidden/>
          </w:rPr>
          <w:fldChar w:fldCharType="begin"/>
        </w:r>
        <w:r w:rsidR="00067C12">
          <w:rPr>
            <w:webHidden/>
          </w:rPr>
          <w:instrText xml:space="preserve"> PAGEREF _Toc31809597 \h </w:instrText>
        </w:r>
        <w:r w:rsidR="00067C12">
          <w:rPr>
            <w:webHidden/>
          </w:rPr>
        </w:r>
        <w:r w:rsidR="00067C12">
          <w:rPr>
            <w:webHidden/>
          </w:rPr>
          <w:fldChar w:fldCharType="separate"/>
        </w:r>
        <w:r w:rsidR="00067C12">
          <w:rPr>
            <w:webHidden/>
          </w:rPr>
          <w:t>35</w:t>
        </w:r>
        <w:r w:rsidR="00067C12">
          <w:rPr>
            <w:webHidden/>
          </w:rPr>
          <w:fldChar w:fldCharType="end"/>
        </w:r>
      </w:hyperlink>
    </w:p>
    <w:p w14:paraId="5D13CA72" w14:textId="5BB501BD" w:rsidR="00067C12" w:rsidRDefault="00685427">
      <w:pPr>
        <w:pStyle w:val="TableofFigures"/>
        <w:rPr>
          <w:rFonts w:cstheme="minorBidi"/>
          <w:sz w:val="22"/>
          <w:szCs w:val="22"/>
          <w:lang w:eastAsia="en-GB"/>
        </w:rPr>
      </w:pPr>
      <w:hyperlink w:anchor="_Toc31809598" w:history="1">
        <w:r w:rsidR="00067C12" w:rsidRPr="00196C9E">
          <w:rPr>
            <w:rStyle w:val="Hyperlink"/>
          </w:rPr>
          <w:t>Figure 5.3: Proportion of total population aged 65 and over</w:t>
        </w:r>
        <w:r w:rsidR="00067C12">
          <w:rPr>
            <w:webHidden/>
          </w:rPr>
          <w:tab/>
        </w:r>
        <w:r w:rsidR="00067C12">
          <w:rPr>
            <w:webHidden/>
          </w:rPr>
          <w:fldChar w:fldCharType="begin"/>
        </w:r>
        <w:r w:rsidR="00067C12">
          <w:rPr>
            <w:webHidden/>
          </w:rPr>
          <w:instrText xml:space="preserve"> PAGEREF _Toc31809598 \h </w:instrText>
        </w:r>
        <w:r w:rsidR="00067C12">
          <w:rPr>
            <w:webHidden/>
          </w:rPr>
        </w:r>
        <w:r w:rsidR="00067C12">
          <w:rPr>
            <w:webHidden/>
          </w:rPr>
          <w:fldChar w:fldCharType="separate"/>
        </w:r>
        <w:r w:rsidR="00067C12">
          <w:rPr>
            <w:webHidden/>
          </w:rPr>
          <w:t>36</w:t>
        </w:r>
        <w:r w:rsidR="00067C12">
          <w:rPr>
            <w:webHidden/>
          </w:rPr>
          <w:fldChar w:fldCharType="end"/>
        </w:r>
      </w:hyperlink>
    </w:p>
    <w:p w14:paraId="5B4A6110" w14:textId="672525AF" w:rsidR="00067C12" w:rsidRDefault="00685427">
      <w:pPr>
        <w:pStyle w:val="TableofFigures"/>
        <w:rPr>
          <w:rFonts w:cstheme="minorBidi"/>
          <w:sz w:val="22"/>
          <w:szCs w:val="22"/>
          <w:lang w:eastAsia="en-GB"/>
        </w:rPr>
      </w:pPr>
      <w:hyperlink w:anchor="_Toc31809599" w:history="1">
        <w:r w:rsidR="00067C12" w:rsidRPr="00196C9E">
          <w:rPr>
            <w:rStyle w:val="Hyperlink"/>
          </w:rPr>
          <w:t>Figure 5.4: Proportion of total residents with a long-term health problem or disability</w:t>
        </w:r>
        <w:r w:rsidR="00067C12">
          <w:rPr>
            <w:webHidden/>
          </w:rPr>
          <w:tab/>
        </w:r>
        <w:r w:rsidR="00067C12">
          <w:rPr>
            <w:webHidden/>
          </w:rPr>
          <w:fldChar w:fldCharType="begin"/>
        </w:r>
        <w:r w:rsidR="00067C12">
          <w:rPr>
            <w:webHidden/>
          </w:rPr>
          <w:instrText xml:space="preserve"> PAGEREF _Toc31809599 \h </w:instrText>
        </w:r>
        <w:r w:rsidR="00067C12">
          <w:rPr>
            <w:webHidden/>
          </w:rPr>
        </w:r>
        <w:r w:rsidR="00067C12">
          <w:rPr>
            <w:webHidden/>
          </w:rPr>
          <w:fldChar w:fldCharType="separate"/>
        </w:r>
        <w:r w:rsidR="00067C12">
          <w:rPr>
            <w:webHidden/>
          </w:rPr>
          <w:t>37</w:t>
        </w:r>
        <w:r w:rsidR="00067C12">
          <w:rPr>
            <w:webHidden/>
          </w:rPr>
          <w:fldChar w:fldCharType="end"/>
        </w:r>
      </w:hyperlink>
    </w:p>
    <w:p w14:paraId="4F7A80FF" w14:textId="5DA5D667" w:rsidR="00067C12" w:rsidRDefault="00685427">
      <w:pPr>
        <w:pStyle w:val="TableofFigures"/>
        <w:rPr>
          <w:rFonts w:cstheme="minorBidi"/>
          <w:sz w:val="22"/>
          <w:szCs w:val="22"/>
          <w:lang w:eastAsia="en-GB"/>
        </w:rPr>
      </w:pPr>
      <w:hyperlink w:anchor="_Toc31809600" w:history="1">
        <w:r w:rsidR="00067C12" w:rsidRPr="00196C9E">
          <w:rPr>
            <w:rStyle w:val="Hyperlink"/>
          </w:rPr>
          <w:t>Figure 5.5: Proportion of total residents who are from a Black, Asian or minority ethnic (BAME) background</w:t>
        </w:r>
        <w:r w:rsidR="00067C12">
          <w:rPr>
            <w:webHidden/>
          </w:rPr>
          <w:tab/>
        </w:r>
        <w:r w:rsidR="00067C12">
          <w:rPr>
            <w:webHidden/>
          </w:rPr>
          <w:fldChar w:fldCharType="begin"/>
        </w:r>
        <w:r w:rsidR="00067C12">
          <w:rPr>
            <w:webHidden/>
          </w:rPr>
          <w:instrText xml:space="preserve"> PAGEREF _Toc31809600 \h </w:instrText>
        </w:r>
        <w:r w:rsidR="00067C12">
          <w:rPr>
            <w:webHidden/>
          </w:rPr>
        </w:r>
        <w:r w:rsidR="00067C12">
          <w:rPr>
            <w:webHidden/>
          </w:rPr>
          <w:fldChar w:fldCharType="separate"/>
        </w:r>
        <w:r w:rsidR="00067C12">
          <w:rPr>
            <w:webHidden/>
          </w:rPr>
          <w:t>38</w:t>
        </w:r>
        <w:r w:rsidR="00067C12">
          <w:rPr>
            <w:webHidden/>
          </w:rPr>
          <w:fldChar w:fldCharType="end"/>
        </w:r>
      </w:hyperlink>
    </w:p>
    <w:p w14:paraId="07333DC7" w14:textId="66FB5264" w:rsidR="00F12212" w:rsidRPr="00E73816" w:rsidRDefault="00F12212" w:rsidP="00F12212">
      <w:r w:rsidRPr="00E73816">
        <w:rPr>
          <w:rFonts w:asciiTheme="majorHAnsi" w:hAnsiTheme="majorHAnsi"/>
        </w:rPr>
        <w:fldChar w:fldCharType="end"/>
      </w:r>
    </w:p>
    <w:p w14:paraId="0DDED9C2" w14:textId="1740A778" w:rsidR="00F12212" w:rsidRPr="00E73816" w:rsidRDefault="00F12212" w:rsidP="00F12212"/>
    <w:p w14:paraId="3954B2A1" w14:textId="77777777" w:rsidR="0021220C" w:rsidRDefault="0021220C" w:rsidP="00087A17"/>
    <w:p w14:paraId="0155AB73" w14:textId="77777777" w:rsidR="00087A17" w:rsidRPr="00586151" w:rsidRDefault="00087A17" w:rsidP="00087A17">
      <w:pPr>
        <w:sectPr w:rsidR="00087A17" w:rsidRPr="00586151" w:rsidSect="00BF455A">
          <w:headerReference w:type="default" r:id="rId19"/>
          <w:footerReference w:type="default" r:id="rId20"/>
          <w:headerReference w:type="first" r:id="rId21"/>
          <w:footerReference w:type="first" r:id="rId22"/>
          <w:type w:val="oddPage"/>
          <w:pgSz w:w="11907" w:h="16840" w:code="9"/>
          <w:pgMar w:top="1752" w:right="2268" w:bottom="1905" w:left="1134" w:header="567" w:footer="567" w:gutter="0"/>
          <w:pgNumType w:fmt="lowerRoman"/>
          <w:cols w:space="708"/>
          <w:docGrid w:linePitch="360"/>
        </w:sectPr>
      </w:pPr>
      <w:r w:rsidRPr="00586151">
        <w:t xml:space="preserve"> </w:t>
      </w:r>
      <w:r w:rsidR="00082C50">
        <w:t xml:space="preserve"> </w:t>
      </w:r>
    </w:p>
    <w:p w14:paraId="5FC8DFF7" w14:textId="77777777" w:rsidR="00087A17" w:rsidRDefault="008521CE" w:rsidP="00530427">
      <w:pPr>
        <w:pStyle w:val="Heading1"/>
      </w:pPr>
      <w:bookmarkStart w:id="2" w:name="_Toc31809565"/>
      <w:r>
        <w:lastRenderedPageBreak/>
        <w:t>Introduction</w:t>
      </w:r>
      <w:bookmarkEnd w:id="2"/>
      <w:r>
        <w:t xml:space="preserve"> </w:t>
      </w:r>
    </w:p>
    <w:p w14:paraId="3844FB8B" w14:textId="77777777" w:rsidR="008521CE" w:rsidRPr="008521CE" w:rsidRDefault="008521CE" w:rsidP="00C14767">
      <w:pPr>
        <w:pStyle w:val="Heading2"/>
      </w:pPr>
      <w:r>
        <w:t xml:space="preserve">Overview </w:t>
      </w:r>
    </w:p>
    <w:p w14:paraId="4972E427" w14:textId="63841BF2" w:rsidR="00345479" w:rsidRDefault="008521CE" w:rsidP="000C30BC">
      <w:r>
        <w:t xml:space="preserve">This report presents the findings </w:t>
      </w:r>
      <w:r w:rsidR="007A432A">
        <w:t xml:space="preserve">of the </w:t>
      </w:r>
      <w:r w:rsidR="001F2F1C">
        <w:t>Equality Impact Assessment</w:t>
      </w:r>
      <w:r w:rsidR="00B54DD9">
        <w:t xml:space="preserve"> (</w:t>
      </w:r>
      <w:proofErr w:type="spellStart"/>
      <w:r w:rsidR="00B54DD9">
        <w:t>EqIA</w:t>
      </w:r>
      <w:proofErr w:type="spellEnd"/>
      <w:r w:rsidR="00B54DD9">
        <w:t>)</w:t>
      </w:r>
      <w:r w:rsidR="001F2F1C">
        <w:t xml:space="preserve"> </w:t>
      </w:r>
      <w:r>
        <w:t xml:space="preserve">for the making of the Chichester District Council (Tangmere) Compulsory Purchase Order </w:t>
      </w:r>
      <w:r w:rsidR="00804761">
        <w:t>2020</w:t>
      </w:r>
      <w:r>
        <w:t xml:space="preserve">. </w:t>
      </w:r>
      <w:r w:rsidR="0015765D">
        <w:t>The Compulsory Purchase Order (</w:t>
      </w:r>
      <w:r>
        <w:t>CPO</w:t>
      </w:r>
      <w:r w:rsidR="0015765D">
        <w:t>)</w:t>
      </w:r>
      <w:r>
        <w:t xml:space="preserve"> is a key tool in the delivery of housing and other development upon land at Tangmere, referred to within the C</w:t>
      </w:r>
      <w:r w:rsidR="00D40AFD">
        <w:t>hichester District Council’s (</w:t>
      </w:r>
      <w:r w:rsidR="006543EA">
        <w:t>‘</w:t>
      </w:r>
      <w:r w:rsidR="00D40AFD">
        <w:t>the Council</w:t>
      </w:r>
      <w:r w:rsidR="006543EA">
        <w:t>’</w:t>
      </w:r>
      <w:r w:rsidR="00D40AFD">
        <w:t xml:space="preserve">) </w:t>
      </w:r>
      <w:r>
        <w:t>Local Plan as the Tangmere Strategic Development Location</w:t>
      </w:r>
      <w:r w:rsidR="000C30BC">
        <w:t xml:space="preserve"> (TSDL)</w:t>
      </w:r>
      <w:r>
        <w:t>.</w:t>
      </w:r>
    </w:p>
    <w:p w14:paraId="57A79225" w14:textId="0FBC953D" w:rsidR="00C417F0" w:rsidRDefault="00C417F0" w:rsidP="000C30BC">
      <w:r>
        <w:t xml:space="preserve">The report sets out a summary of the background of the </w:t>
      </w:r>
      <w:r w:rsidR="00F432E8">
        <w:t>TSDL</w:t>
      </w:r>
      <w:r>
        <w:t>, the requirement</w:t>
      </w:r>
      <w:r w:rsidR="001B50BC">
        <w:t>s</w:t>
      </w:r>
      <w:r>
        <w:t xml:space="preserve"> of the Equality Act 2010</w:t>
      </w:r>
      <w:r w:rsidR="00B54DD9">
        <w:t xml:space="preserve"> (</w:t>
      </w:r>
      <w:r w:rsidR="006543EA">
        <w:t>‘Equality Act’)</w:t>
      </w:r>
      <w:r>
        <w:t xml:space="preserve">, and the potential impacts of the </w:t>
      </w:r>
      <w:r w:rsidR="003C111E">
        <w:t>TSDL</w:t>
      </w:r>
      <w:r>
        <w:t xml:space="preserve"> on people with characteristics protected under the </w:t>
      </w:r>
      <w:r w:rsidR="006543EA">
        <w:t xml:space="preserve">Equality </w:t>
      </w:r>
      <w:r>
        <w:t>Act.</w:t>
      </w:r>
    </w:p>
    <w:p w14:paraId="080CB3EB" w14:textId="22C48391" w:rsidR="00CC6F6E" w:rsidRDefault="00CC6F6E" w:rsidP="00CC6F6E">
      <w:r>
        <w:t xml:space="preserve">The </w:t>
      </w:r>
      <w:proofErr w:type="spellStart"/>
      <w:r>
        <w:t>EqIA</w:t>
      </w:r>
      <w:proofErr w:type="spellEnd"/>
      <w:r>
        <w:t xml:space="preserve"> present</w:t>
      </w:r>
      <w:r w:rsidR="00CD03DF">
        <w:t>s</w:t>
      </w:r>
      <w:r>
        <w:t xml:space="preserve"> a comprehensive view of potential effects </w:t>
      </w:r>
      <w:r w:rsidR="00D937DA">
        <w:t>of the CPO for the TSDL</w:t>
      </w:r>
      <w:r w:rsidR="00056DBA">
        <w:t xml:space="preserve"> and explores strategies which may help to mitigate any adverse effects of developm</w:t>
      </w:r>
      <w:r w:rsidR="0057605C">
        <w:t>ent</w:t>
      </w:r>
      <w:r w:rsidR="00D91228">
        <w:t>, using suitable literature.</w:t>
      </w:r>
      <w:r w:rsidR="002D0228">
        <w:t xml:space="preserve"> </w:t>
      </w:r>
      <w:r w:rsidR="005009E0">
        <w:t>It</w:t>
      </w:r>
      <w:r>
        <w:t xml:space="preserve"> is</w:t>
      </w:r>
      <w:r w:rsidR="00B66447">
        <w:t xml:space="preserve"> </w:t>
      </w:r>
      <w:r>
        <w:t xml:space="preserve">intended to </w:t>
      </w:r>
      <w:r w:rsidR="002D0228">
        <w:t>anal</w:t>
      </w:r>
      <w:r w:rsidR="009F27D2">
        <w:t>yse</w:t>
      </w:r>
      <w:r>
        <w:t xml:space="preserve"> the effects of the development to a level proportionate to the associated activities.</w:t>
      </w:r>
      <w:r w:rsidR="00BD1D03">
        <w:t xml:space="preserve">   </w:t>
      </w:r>
    </w:p>
    <w:p w14:paraId="6A5EFBF6" w14:textId="6E4DBE4C" w:rsidR="00CC6F6E" w:rsidRPr="007768B2" w:rsidRDefault="00CC6F6E" w:rsidP="00CC6F6E">
      <w:r>
        <w:t xml:space="preserve">The assessment is focussed on the actual and potential impacts (both positive and negative) arising from the </w:t>
      </w:r>
      <w:r w:rsidR="00BC02EC">
        <w:t>development</w:t>
      </w:r>
      <w:r>
        <w:t xml:space="preserve">, likely to be experienced by people in light of their protected characteristics. The report sets out the measures put in place by </w:t>
      </w:r>
      <w:r w:rsidR="00832263">
        <w:t>the Council</w:t>
      </w:r>
      <w:r>
        <w:t xml:space="preserve"> and provides recommendations on how any remaining impacts can be managed or mitigated.</w:t>
      </w:r>
    </w:p>
    <w:p w14:paraId="245940BC" w14:textId="33F11C0F" w:rsidR="007915BF" w:rsidRDefault="007915BF" w:rsidP="007915BF">
      <w:pPr>
        <w:pStyle w:val="Heading2"/>
      </w:pPr>
      <w:r>
        <w:t xml:space="preserve">The </w:t>
      </w:r>
      <w:r w:rsidR="00623919">
        <w:t>Equality Impact Assessment</w:t>
      </w:r>
      <w:r>
        <w:t xml:space="preserve"> </w:t>
      </w:r>
    </w:p>
    <w:p w14:paraId="0F152A7E" w14:textId="654FAF35" w:rsidR="007915BF" w:rsidRDefault="007915BF" w:rsidP="007915BF">
      <w:r>
        <w:t xml:space="preserve">The </w:t>
      </w:r>
      <w:proofErr w:type="spellStart"/>
      <w:r w:rsidR="00F32260">
        <w:t>EqIA</w:t>
      </w:r>
      <w:proofErr w:type="spellEnd"/>
      <w:r>
        <w:t xml:space="preserve"> has been undertaken in support of </w:t>
      </w:r>
      <w:r w:rsidR="00F32260">
        <w:t>the Council’s</w:t>
      </w:r>
      <w:r>
        <w:t xml:space="preserve"> obligations under UK equality legislation, and in particular the Equality Act. The Act </w:t>
      </w:r>
      <w:r w:rsidR="001C3D80">
        <w:t>s</w:t>
      </w:r>
      <w:r>
        <w:t xml:space="preserve">ets out a Public Sector Equality Duty (PSED), at section 149, and is set out in the Figure below. </w:t>
      </w:r>
    </w:p>
    <w:p w14:paraId="35A85A2D" w14:textId="3D016583" w:rsidR="002B764A" w:rsidRDefault="00CF6464" w:rsidP="00084457">
      <w:pPr>
        <w:pStyle w:val="Caption"/>
      </w:pPr>
      <w:bookmarkStart w:id="3" w:name="_Toc31809593"/>
      <w:r>
        <w:t>Figure</w:t>
      </w:r>
      <w:r w:rsidR="002B764A" w:rsidRPr="00702568">
        <w:t xml:space="preserve"> </w:t>
      </w:r>
      <w:r w:rsidR="002B764A">
        <w:rPr>
          <w:noProof/>
        </w:rPr>
        <w:fldChar w:fldCharType="begin"/>
      </w:r>
      <w:r w:rsidR="002B764A">
        <w:rPr>
          <w:noProof/>
        </w:rPr>
        <w:instrText xml:space="preserve"> STYLEREF 1 \s </w:instrText>
      </w:r>
      <w:r w:rsidR="002B764A">
        <w:rPr>
          <w:noProof/>
        </w:rPr>
        <w:fldChar w:fldCharType="separate"/>
      </w:r>
      <w:r>
        <w:rPr>
          <w:noProof/>
        </w:rPr>
        <w:t>1</w:t>
      </w:r>
      <w:r w:rsidR="002B764A">
        <w:rPr>
          <w:noProof/>
        </w:rPr>
        <w:fldChar w:fldCharType="end"/>
      </w:r>
      <w:r w:rsidR="002B764A">
        <w:t>.</w:t>
      </w:r>
      <w:r w:rsidR="002B764A">
        <w:rPr>
          <w:noProof/>
        </w:rPr>
        <w:fldChar w:fldCharType="begin"/>
      </w:r>
      <w:r w:rsidR="002B764A">
        <w:rPr>
          <w:noProof/>
        </w:rPr>
        <w:instrText xml:space="preserve"> SEQ Figure \* ARABIC \s 1 </w:instrText>
      </w:r>
      <w:r w:rsidR="002B764A">
        <w:rPr>
          <w:noProof/>
        </w:rPr>
        <w:fldChar w:fldCharType="separate"/>
      </w:r>
      <w:r>
        <w:rPr>
          <w:noProof/>
        </w:rPr>
        <w:t>1</w:t>
      </w:r>
      <w:r w:rsidR="002B764A">
        <w:rPr>
          <w:noProof/>
        </w:rPr>
        <w:fldChar w:fldCharType="end"/>
      </w:r>
      <w:r w:rsidR="002B764A">
        <w:rPr>
          <w:noProof/>
        </w:rPr>
        <w:t>:</w:t>
      </w:r>
      <w:r w:rsidR="002B764A">
        <w:t xml:space="preserve"> </w:t>
      </w:r>
      <w:r w:rsidR="00084457">
        <w:fldChar w:fldCharType="begin">
          <w:ffData>
            <w:name w:val=""/>
            <w:enabled/>
            <w:calcOnExit w:val="0"/>
            <w:textInput>
              <w:default w:val="Article 149 of the Equality Act 2010: The Public Sector Equality Duty "/>
            </w:textInput>
          </w:ffData>
        </w:fldChar>
      </w:r>
      <w:r w:rsidR="00084457">
        <w:instrText xml:space="preserve"> FORMTEXT </w:instrText>
      </w:r>
      <w:r w:rsidR="00084457">
        <w:fldChar w:fldCharType="separate"/>
      </w:r>
      <w:r>
        <w:rPr>
          <w:noProof/>
        </w:rPr>
        <w:t>Article 149 of the Equality Act 2010: The Public Sector Equality Duty</w:t>
      </w:r>
      <w:bookmarkEnd w:id="3"/>
      <w:r>
        <w:rPr>
          <w:noProof/>
        </w:rPr>
        <w:t xml:space="preserve"> </w:t>
      </w:r>
      <w:r w:rsidR="00084457">
        <w:fldChar w:fldCharType="end"/>
      </w:r>
    </w:p>
    <w:p w14:paraId="71EED3B2" w14:textId="77777777" w:rsidR="007915BF" w:rsidRDefault="00346D32" w:rsidP="007915BF">
      <w:pPr>
        <w:tabs>
          <w:tab w:val="left" w:pos="1352"/>
        </w:tabs>
      </w:pPr>
      <w:r>
        <w:rPr>
          <w:noProof/>
          <w:lang w:eastAsia="en-GB"/>
        </w:rPr>
        <mc:AlternateContent>
          <mc:Choice Requires="wps">
            <w:drawing>
              <wp:anchor distT="0" distB="0" distL="114300" distR="114300" simplePos="0" relativeHeight="251661824" behindDoc="0" locked="0" layoutInCell="1" allowOverlap="1" wp14:anchorId="4F31A83B" wp14:editId="7202083F">
                <wp:simplePos x="0" y="0"/>
                <wp:positionH relativeFrom="margin">
                  <wp:posOffset>13855</wp:posOffset>
                </wp:positionH>
                <wp:positionV relativeFrom="paragraph">
                  <wp:posOffset>43527</wp:posOffset>
                </wp:positionV>
                <wp:extent cx="5414838" cy="3140765"/>
                <wp:effectExtent l="0" t="0" r="14605" b="21590"/>
                <wp:wrapNone/>
                <wp:docPr id="1" name="Rectangle 1"/>
                <wp:cNvGraphicFramePr/>
                <a:graphic xmlns:a="http://schemas.openxmlformats.org/drawingml/2006/main">
                  <a:graphicData uri="http://schemas.microsoft.com/office/word/2010/wordprocessingShape">
                    <wps:wsp>
                      <wps:cNvSpPr/>
                      <wps:spPr>
                        <a:xfrm>
                          <a:off x="0" y="0"/>
                          <a:ext cx="5414838" cy="31407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2430D2" w14:textId="77777777" w:rsidR="00926BB1" w:rsidRPr="00931A42" w:rsidRDefault="00926BB1" w:rsidP="007915BF">
                            <w:pPr>
                              <w:rPr>
                                <w:b/>
                                <w:sz w:val="16"/>
                                <w:szCs w:val="16"/>
                              </w:rPr>
                            </w:pPr>
                            <w:r w:rsidRPr="00931A42">
                              <w:rPr>
                                <w:b/>
                                <w:sz w:val="16"/>
                                <w:szCs w:val="16"/>
                              </w:rPr>
                              <w:t xml:space="preserve">(1) A public authority must, in the exercise of its functions, have due regard to the need to </w:t>
                            </w:r>
                          </w:p>
                          <w:p w14:paraId="2071D982" w14:textId="77777777" w:rsidR="00926BB1" w:rsidRPr="00931A42" w:rsidRDefault="00926BB1" w:rsidP="007915BF">
                            <w:pPr>
                              <w:rPr>
                                <w:b/>
                                <w:sz w:val="16"/>
                                <w:szCs w:val="16"/>
                              </w:rPr>
                            </w:pPr>
                            <w:r w:rsidRPr="00931A42">
                              <w:rPr>
                                <w:b/>
                                <w:sz w:val="16"/>
                                <w:szCs w:val="16"/>
                              </w:rPr>
                              <w:t xml:space="preserve">(a) eliminate discrimination, harassment, victimisation and any other conduct that is prohibited by or under this Act; </w:t>
                            </w:r>
                          </w:p>
                          <w:p w14:paraId="4AB21563" w14:textId="77777777" w:rsidR="00926BB1" w:rsidRPr="00931A42" w:rsidRDefault="00926BB1" w:rsidP="007915BF">
                            <w:pPr>
                              <w:rPr>
                                <w:b/>
                                <w:sz w:val="16"/>
                                <w:szCs w:val="16"/>
                              </w:rPr>
                            </w:pPr>
                            <w:r w:rsidRPr="00931A42">
                              <w:rPr>
                                <w:b/>
                                <w:sz w:val="16"/>
                                <w:szCs w:val="16"/>
                              </w:rPr>
                              <w:t xml:space="preserve">(b) advance equality of opportunity between persons who share a relevant protected characteristics and persons who do not share it. </w:t>
                            </w:r>
                          </w:p>
                          <w:p w14:paraId="2CEB438B" w14:textId="6904DE5F" w:rsidR="00926BB1" w:rsidRPr="00931A42" w:rsidRDefault="00926BB1" w:rsidP="007915BF">
                            <w:pPr>
                              <w:rPr>
                                <w:b/>
                                <w:sz w:val="16"/>
                                <w:szCs w:val="16"/>
                              </w:rPr>
                            </w:pPr>
                            <w:r w:rsidRPr="00931A42">
                              <w:rPr>
                                <w:b/>
                                <w:sz w:val="16"/>
                                <w:szCs w:val="16"/>
                              </w:rPr>
                              <w:t xml:space="preserve">(2) A person who is not a public authority but who exercises public functions must, in the exercise </w:t>
                            </w:r>
                            <w:r>
                              <w:rPr>
                                <w:b/>
                                <w:sz w:val="16"/>
                                <w:szCs w:val="16"/>
                              </w:rPr>
                              <w:t>o</w:t>
                            </w:r>
                            <w:r w:rsidRPr="00931A42">
                              <w:rPr>
                                <w:b/>
                                <w:sz w:val="16"/>
                                <w:szCs w:val="16"/>
                              </w:rPr>
                              <w:t xml:space="preserve">f those functions, have due regard to the matters mentioned in subsection (1). </w:t>
                            </w:r>
                          </w:p>
                          <w:p w14:paraId="588AF766" w14:textId="77777777" w:rsidR="00926BB1" w:rsidRPr="00931A42" w:rsidRDefault="00926BB1" w:rsidP="007915BF">
                            <w:pPr>
                              <w:rPr>
                                <w:b/>
                                <w:sz w:val="16"/>
                                <w:szCs w:val="16"/>
                              </w:rPr>
                            </w:pPr>
                            <w:r w:rsidRPr="00931A42">
                              <w:rPr>
                                <w:b/>
                                <w:sz w:val="16"/>
                                <w:szCs w:val="16"/>
                              </w:rPr>
                              <w:t xml:space="preserve">(3) Having due regard to the need to advance equality of opportunity between persons who share a relevant protected characteristic and persons who do not share it involves having due regard, in particular, to the need to – </w:t>
                            </w:r>
                          </w:p>
                          <w:p w14:paraId="6641DDF7" w14:textId="776A7D1E" w:rsidR="00926BB1" w:rsidRPr="00931A42" w:rsidRDefault="00926BB1" w:rsidP="007915BF">
                            <w:pPr>
                              <w:rPr>
                                <w:b/>
                                <w:sz w:val="16"/>
                                <w:szCs w:val="16"/>
                              </w:rPr>
                            </w:pPr>
                            <w:r w:rsidRPr="00931A42">
                              <w:rPr>
                                <w:b/>
                                <w:sz w:val="16"/>
                                <w:szCs w:val="16"/>
                              </w:rPr>
                              <w:t xml:space="preserve">(a) remove or minimise disadvantages suffered by persons who share a relevant protected characteristic that are connected to that characteristic; </w:t>
                            </w:r>
                          </w:p>
                          <w:p w14:paraId="07ED4BBD" w14:textId="77777777" w:rsidR="00926BB1" w:rsidRPr="00931A42" w:rsidRDefault="00926BB1" w:rsidP="007915BF">
                            <w:pPr>
                              <w:rPr>
                                <w:b/>
                                <w:sz w:val="16"/>
                                <w:szCs w:val="16"/>
                              </w:rPr>
                            </w:pPr>
                            <w:r w:rsidRPr="00931A42">
                              <w:rPr>
                                <w:b/>
                                <w:sz w:val="16"/>
                                <w:szCs w:val="16"/>
                              </w:rPr>
                              <w:t xml:space="preserve">(b) take steps to meet the needs of persons who share a relevant protected characteristic that are different form the needs of persons who do not share it; </w:t>
                            </w:r>
                          </w:p>
                          <w:p w14:paraId="357F4091" w14:textId="77777777" w:rsidR="00926BB1" w:rsidRPr="00931A42" w:rsidRDefault="00926BB1" w:rsidP="007915BF">
                            <w:pPr>
                              <w:rPr>
                                <w:b/>
                                <w:sz w:val="16"/>
                                <w:szCs w:val="16"/>
                              </w:rPr>
                            </w:pPr>
                            <w:r w:rsidRPr="00931A42">
                              <w:rPr>
                                <w:b/>
                                <w:sz w:val="16"/>
                                <w:szCs w:val="16"/>
                              </w:rPr>
                              <w:t xml:space="preserve">(c) encourage persons who share a relevant protected characteristic to participate in public life or in any other activity in which participation by such persons is disproportionately low. </w:t>
                            </w:r>
                          </w:p>
                          <w:p w14:paraId="6DDCC946" w14:textId="77777777" w:rsidR="00926BB1" w:rsidRPr="00931A42" w:rsidRDefault="00926BB1" w:rsidP="007915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31A83B" id="Rectangle 1" o:spid="_x0000_s1028" style="position:absolute;margin-left:1.1pt;margin-top:3.45pt;width:426.35pt;height:247.3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" fillcolor="#2fb6bc [3204]" strokecolor="#175a5d [1604]" strokeweight="1pt">
                <v:textbox>
                  <w:txbxContent>
                    <w:p w14:paraId="6D2430D2" w14:textId="77777777" w:rsidR="00926BB1" w:rsidRPr="00931A42" w:rsidRDefault="00926BB1" w:rsidP="007915BF">
                      <w:pPr>
                        <w:rPr>
                          <w:b/>
                          <w:sz w:val="16"/>
                          <w:szCs w:val="16"/>
                        </w:rPr>
                      </w:pPr>
                      <w:r w:rsidRPr="00931A42">
                        <w:rPr>
                          <w:b/>
                          <w:sz w:val="16"/>
                          <w:szCs w:val="16"/>
                        </w:rPr>
                        <w:t xml:space="preserve">(1) A public authority must, in the exercise of its functions, have due regard to the need to </w:t>
                      </w:r>
                    </w:p>
                    <w:p w14:paraId="2071D982" w14:textId="77777777" w:rsidR="00926BB1" w:rsidRPr="00931A42" w:rsidRDefault="00926BB1" w:rsidP="007915BF">
                      <w:pPr>
                        <w:rPr>
                          <w:b/>
                          <w:sz w:val="16"/>
                          <w:szCs w:val="16"/>
                        </w:rPr>
                      </w:pPr>
                      <w:r w:rsidRPr="00931A42">
                        <w:rPr>
                          <w:b/>
                          <w:sz w:val="16"/>
                          <w:szCs w:val="16"/>
                        </w:rPr>
                        <w:t xml:space="preserve">(a) eliminate discrimination, harassment, victimisation and any other conduct that is prohibited by or under this Act; </w:t>
                      </w:r>
                    </w:p>
                    <w:p w14:paraId="4AB21563" w14:textId="77777777" w:rsidR="00926BB1" w:rsidRPr="00931A42" w:rsidRDefault="00926BB1" w:rsidP="007915BF">
                      <w:pPr>
                        <w:rPr>
                          <w:b/>
                          <w:sz w:val="16"/>
                          <w:szCs w:val="16"/>
                        </w:rPr>
                      </w:pPr>
                      <w:r w:rsidRPr="00931A42">
                        <w:rPr>
                          <w:b/>
                          <w:sz w:val="16"/>
                          <w:szCs w:val="16"/>
                        </w:rPr>
                        <w:t xml:space="preserve">(b) advance equality of opportunity between persons who share a relevant protected characteristics and persons who do not share it. </w:t>
                      </w:r>
                    </w:p>
                    <w:p w14:paraId="2CEB438B" w14:textId="6904DE5F" w:rsidR="00926BB1" w:rsidRPr="00931A42" w:rsidRDefault="00926BB1" w:rsidP="007915BF">
                      <w:pPr>
                        <w:rPr>
                          <w:b/>
                          <w:sz w:val="16"/>
                          <w:szCs w:val="16"/>
                        </w:rPr>
                      </w:pPr>
                      <w:r w:rsidRPr="00931A42">
                        <w:rPr>
                          <w:b/>
                          <w:sz w:val="16"/>
                          <w:szCs w:val="16"/>
                        </w:rPr>
                        <w:t xml:space="preserve">(2) A person who is not a public authority but who exercises public functions must, in the exercise </w:t>
                      </w:r>
                      <w:r>
                        <w:rPr>
                          <w:b/>
                          <w:sz w:val="16"/>
                          <w:szCs w:val="16"/>
                        </w:rPr>
                        <w:t>o</w:t>
                      </w:r>
                      <w:r w:rsidRPr="00931A42">
                        <w:rPr>
                          <w:b/>
                          <w:sz w:val="16"/>
                          <w:szCs w:val="16"/>
                        </w:rPr>
                        <w:t xml:space="preserve">f those functions, have due regard to the matters mentioned in subsection (1). </w:t>
                      </w:r>
                    </w:p>
                    <w:p w14:paraId="588AF766" w14:textId="77777777" w:rsidR="00926BB1" w:rsidRPr="00931A42" w:rsidRDefault="00926BB1" w:rsidP="007915BF">
                      <w:pPr>
                        <w:rPr>
                          <w:b/>
                          <w:sz w:val="16"/>
                          <w:szCs w:val="16"/>
                        </w:rPr>
                      </w:pPr>
                      <w:r w:rsidRPr="00931A42">
                        <w:rPr>
                          <w:b/>
                          <w:sz w:val="16"/>
                          <w:szCs w:val="16"/>
                        </w:rPr>
                        <w:t xml:space="preserve">(3) Having due regard to the need to advance equality of opportunity between persons who share a relevant protected characteristic and persons who do not share it involves having due regard, in particular, to the need to – </w:t>
                      </w:r>
                    </w:p>
                    <w:p w14:paraId="6641DDF7" w14:textId="776A7D1E" w:rsidR="00926BB1" w:rsidRPr="00931A42" w:rsidRDefault="00926BB1" w:rsidP="007915BF">
                      <w:pPr>
                        <w:rPr>
                          <w:b/>
                          <w:sz w:val="16"/>
                          <w:szCs w:val="16"/>
                        </w:rPr>
                      </w:pPr>
                      <w:r w:rsidRPr="00931A42">
                        <w:rPr>
                          <w:b/>
                          <w:sz w:val="16"/>
                          <w:szCs w:val="16"/>
                        </w:rPr>
                        <w:t xml:space="preserve">(a) remove or minimise disadvantages suffered by persons who share a relevant protected characteristic that are connected to that characteristic; </w:t>
                      </w:r>
                    </w:p>
                    <w:p w14:paraId="07ED4BBD" w14:textId="77777777" w:rsidR="00926BB1" w:rsidRPr="00931A42" w:rsidRDefault="00926BB1" w:rsidP="007915BF">
                      <w:pPr>
                        <w:rPr>
                          <w:b/>
                          <w:sz w:val="16"/>
                          <w:szCs w:val="16"/>
                        </w:rPr>
                      </w:pPr>
                      <w:r w:rsidRPr="00931A42">
                        <w:rPr>
                          <w:b/>
                          <w:sz w:val="16"/>
                          <w:szCs w:val="16"/>
                        </w:rPr>
                        <w:t xml:space="preserve">(b) take steps to meet the needs of persons who share a relevant protected characteristic that are different form the needs of persons who do not share it; </w:t>
                      </w:r>
                    </w:p>
                    <w:p w14:paraId="357F4091" w14:textId="77777777" w:rsidR="00926BB1" w:rsidRPr="00931A42" w:rsidRDefault="00926BB1" w:rsidP="007915BF">
                      <w:pPr>
                        <w:rPr>
                          <w:b/>
                          <w:sz w:val="16"/>
                          <w:szCs w:val="16"/>
                        </w:rPr>
                      </w:pPr>
                      <w:r w:rsidRPr="00931A42">
                        <w:rPr>
                          <w:b/>
                          <w:sz w:val="16"/>
                          <w:szCs w:val="16"/>
                        </w:rPr>
                        <w:t xml:space="preserve">(c) encourage persons who share a relevant protected characteristic to participate in public life or in any other activity in which participation by such persons is disproportionately low. </w:t>
                      </w:r>
                    </w:p>
                    <w:p w14:paraId="6DDCC946" w14:textId="77777777" w:rsidR="00926BB1" w:rsidRPr="00931A42" w:rsidRDefault="00926BB1" w:rsidP="007915BF"/>
                  </w:txbxContent>
                </v:textbox>
                <w10:wrap anchorx="margin"/>
              </v:rect>
            </w:pict>
          </mc:Fallback>
        </mc:AlternateContent>
      </w:r>
      <w:r w:rsidR="007915BF">
        <w:tab/>
      </w:r>
    </w:p>
    <w:p w14:paraId="3FA59902" w14:textId="4EA1B6DE" w:rsidR="00346D32" w:rsidRDefault="00346D32"/>
    <w:p w14:paraId="4140211C" w14:textId="77777777" w:rsidR="00346D32" w:rsidRDefault="00346D32"/>
    <w:p w14:paraId="2CC8B23A" w14:textId="5F3A9FAC" w:rsidR="00346D32" w:rsidRDefault="00346D32"/>
    <w:p w14:paraId="4440C590" w14:textId="77777777" w:rsidR="00346D32" w:rsidRDefault="00346D32"/>
    <w:p w14:paraId="75C711C0" w14:textId="5E7BF254" w:rsidR="00346D32" w:rsidRDefault="00346D32"/>
    <w:p w14:paraId="4CDCC7BB" w14:textId="77777777" w:rsidR="00346D32" w:rsidRDefault="00346D32"/>
    <w:p w14:paraId="5D212B6D" w14:textId="3F9BAE98" w:rsidR="00346D32" w:rsidRDefault="00346D32"/>
    <w:p w14:paraId="7BCEA118" w14:textId="77777777" w:rsidR="00346D32" w:rsidRDefault="00346D32"/>
    <w:p w14:paraId="49ACBBCA" w14:textId="3951B005" w:rsidR="00346D32" w:rsidRDefault="00346D32"/>
    <w:p w14:paraId="43ED938B" w14:textId="77777777" w:rsidR="00346D32" w:rsidRDefault="00346D32"/>
    <w:p w14:paraId="5DF74FE4" w14:textId="77777777" w:rsidR="00346D32" w:rsidRDefault="00346D32"/>
    <w:p w14:paraId="32D58018" w14:textId="63296147" w:rsidR="00346D32" w:rsidRDefault="00314338" w:rsidP="00314338">
      <w:pPr>
        <w:pStyle w:val="Caption"/>
        <w:rPr>
          <w:b w:val="0"/>
          <w:sz w:val="18"/>
        </w:rPr>
      </w:pPr>
      <w:r w:rsidRPr="0082067B">
        <w:rPr>
          <w:b w:val="0"/>
          <w:sz w:val="18"/>
        </w:rPr>
        <w:lastRenderedPageBreak/>
        <w:t>Source: Equality Act</w:t>
      </w:r>
      <w:r w:rsidR="00F412C6">
        <w:rPr>
          <w:b w:val="0"/>
          <w:sz w:val="18"/>
        </w:rPr>
        <w:t>,</w:t>
      </w:r>
      <w:r w:rsidRPr="0082067B">
        <w:rPr>
          <w:b w:val="0"/>
          <w:sz w:val="18"/>
        </w:rPr>
        <w:t xml:space="preserve"> 2010</w:t>
      </w:r>
    </w:p>
    <w:p w14:paraId="732E8305" w14:textId="41B391EC" w:rsidR="00314338" w:rsidRPr="00314338" w:rsidRDefault="00314338" w:rsidP="00314338">
      <w:r>
        <w:t>The PSED is intended to support good decision-making – it encourages public bodies such as the Council to understand how different people will be affected by their activities. This helps to ensure policies and services are appropriate and accessible to all and meet different people’s needs. The Council must have due regard to the aims of the PSED throughout the decision-making process for the redevelopment of the site. The process used to do this must take account of the protected characteristics which are identified below in the section 1.2.2.</w:t>
      </w:r>
    </w:p>
    <w:p w14:paraId="19746126" w14:textId="77777777" w:rsidR="00314338" w:rsidRDefault="00314338" w:rsidP="00314338">
      <w:pPr>
        <w:pStyle w:val="Heading3"/>
      </w:pPr>
      <w:r>
        <w:t xml:space="preserve">Assessing equality effects </w:t>
      </w:r>
    </w:p>
    <w:p w14:paraId="20BFA38E" w14:textId="4169E762" w:rsidR="00314338" w:rsidRDefault="00314338" w:rsidP="00314338">
      <w:r>
        <w:t xml:space="preserve">While the PSED does not specify a particular process for considering the likely effects of policies, programmes and projects on different sections of society for public authorities to follow, this process is usually undertaken through some form of equality analysis. </w:t>
      </w:r>
      <w:r w:rsidR="007709AF">
        <w:t xml:space="preserve">This can include </w:t>
      </w:r>
      <w:proofErr w:type="spellStart"/>
      <w:r w:rsidR="007709AF">
        <w:t>EqIA</w:t>
      </w:r>
      <w:proofErr w:type="spellEnd"/>
      <w:r w:rsidR="007709AF">
        <w:t xml:space="preserve">. </w:t>
      </w:r>
    </w:p>
    <w:p w14:paraId="72F253A0" w14:textId="77777777" w:rsidR="00314338" w:rsidRDefault="00314338" w:rsidP="00314338">
      <w:r>
        <w:t xml:space="preserve">By understanding the effect of their activities on different people, and how inclusive delivery can support and open up opportunities, public bodies can be more efficient and effective. </w:t>
      </w:r>
    </w:p>
    <w:p w14:paraId="557F278C" w14:textId="77777777" w:rsidR="00314338" w:rsidRDefault="00314338" w:rsidP="00314338">
      <w:pPr>
        <w:pStyle w:val="Heading3"/>
      </w:pPr>
      <w:r>
        <w:t xml:space="preserve">Protected characteristics </w:t>
      </w:r>
    </w:p>
    <w:p w14:paraId="0A1CFA9B" w14:textId="77777777" w:rsidR="00314338" w:rsidRDefault="00314338" w:rsidP="00314338">
      <w:r>
        <w:t xml:space="preserve">This document provides an analysis of the likely or actual effects of policies or proposals on social groups with the following protected characteristics (as defined by the Equality Act): </w:t>
      </w:r>
    </w:p>
    <w:tbl>
      <w:tblPr>
        <w:tblStyle w:val="MMTable"/>
        <w:tblW w:w="9026" w:type="dxa"/>
        <w:tblLayout w:type="fixed"/>
        <w:tblLook w:val="0620" w:firstRow="1" w:lastRow="0" w:firstColumn="0" w:lastColumn="0" w:noHBand="1" w:noVBand="1"/>
      </w:tblPr>
      <w:tblGrid>
        <w:gridCol w:w="1735"/>
        <w:gridCol w:w="7291"/>
      </w:tblGrid>
      <w:tr w:rsidR="00C71470" w:rsidRPr="005B30CA" w14:paraId="74C5C44E" w14:textId="77777777" w:rsidTr="00AB52BB">
        <w:trPr>
          <w:cnfStyle w:val="100000000000" w:firstRow="1" w:lastRow="0" w:firstColumn="0" w:lastColumn="0" w:oddVBand="0" w:evenVBand="0" w:oddHBand="0" w:evenHBand="0" w:firstRowFirstColumn="0" w:firstRowLastColumn="0" w:lastRowFirstColumn="0" w:lastRowLastColumn="0"/>
        </w:trPr>
        <w:tc>
          <w:tcPr>
            <w:tcW w:w="1735" w:type="dxa"/>
            <w:tcBorders>
              <w:bottom w:val="single" w:sz="8" w:space="0" w:color="000000" w:themeColor="text1"/>
            </w:tcBorders>
            <w:shd w:val="clear" w:color="auto" w:fill="auto"/>
          </w:tcPr>
          <w:p w14:paraId="14C6D07F" w14:textId="77777777" w:rsidR="00314338" w:rsidRPr="005B30CA" w:rsidRDefault="00314338" w:rsidP="00457F99">
            <w:pPr>
              <w:pStyle w:val="TableHeadingLeft"/>
            </w:pPr>
            <w:r w:rsidRPr="005B30CA">
              <w:t>Protected characteristic</w:t>
            </w:r>
          </w:p>
        </w:tc>
        <w:tc>
          <w:tcPr>
            <w:tcW w:w="7291" w:type="dxa"/>
            <w:tcBorders>
              <w:bottom w:val="single" w:sz="8" w:space="0" w:color="000000" w:themeColor="text1"/>
            </w:tcBorders>
            <w:shd w:val="clear" w:color="auto" w:fill="auto"/>
          </w:tcPr>
          <w:p w14:paraId="2A3956DA" w14:textId="77777777" w:rsidR="00314338" w:rsidRPr="005B30CA" w:rsidRDefault="00314338" w:rsidP="00457F99">
            <w:pPr>
              <w:pStyle w:val="TableHeadingRight"/>
              <w:jc w:val="left"/>
            </w:pPr>
            <w:r w:rsidRPr="005B30CA">
              <w:t xml:space="preserve">Equality and Human Rights </w:t>
            </w:r>
            <w:r>
              <w:t xml:space="preserve">Commission </w:t>
            </w:r>
            <w:r w:rsidRPr="005B30CA">
              <w:t>(EHRC) definition</w:t>
            </w:r>
          </w:p>
        </w:tc>
      </w:tr>
      <w:tr w:rsidR="00314338" w:rsidRPr="005B30CA" w14:paraId="02E84619" w14:textId="77777777" w:rsidTr="00457F99">
        <w:tc>
          <w:tcPr>
            <w:tcW w:w="1735" w:type="dxa"/>
            <w:tcBorders>
              <w:top w:val="single" w:sz="8" w:space="0" w:color="000000" w:themeColor="text1"/>
            </w:tcBorders>
          </w:tcPr>
          <w:p w14:paraId="6208DFBE" w14:textId="77777777" w:rsidR="00314338" w:rsidRPr="005B30CA" w:rsidRDefault="00314338" w:rsidP="00457F99">
            <w:pPr>
              <w:pStyle w:val="TableTextLeft"/>
            </w:pPr>
            <w:r w:rsidRPr="005B30CA">
              <w:t>Age</w:t>
            </w:r>
          </w:p>
        </w:tc>
        <w:tc>
          <w:tcPr>
            <w:tcW w:w="7291" w:type="dxa"/>
            <w:tcBorders>
              <w:top w:val="single" w:sz="8" w:space="0" w:color="000000" w:themeColor="text1"/>
            </w:tcBorders>
          </w:tcPr>
          <w:p w14:paraId="097C5C29" w14:textId="77777777" w:rsidR="00314338" w:rsidRPr="005B30CA" w:rsidRDefault="00314338" w:rsidP="00457F99">
            <w:pPr>
              <w:pStyle w:val="TableTextRight"/>
              <w:jc w:val="left"/>
            </w:pPr>
            <w:r w:rsidRPr="005B30CA">
              <w:t>A person belonging to a particular age (for example 32-year olds</w:t>
            </w:r>
            <w:r>
              <w:t xml:space="preserve">) or range of ages (for example </w:t>
            </w:r>
            <w:r w:rsidRPr="005B30CA">
              <w:t>18 to 30-year olds).</w:t>
            </w:r>
          </w:p>
        </w:tc>
      </w:tr>
      <w:tr w:rsidR="00314338" w:rsidRPr="005B30CA" w14:paraId="7449151F" w14:textId="77777777" w:rsidTr="00457F99">
        <w:tc>
          <w:tcPr>
            <w:tcW w:w="1735" w:type="dxa"/>
          </w:tcPr>
          <w:p w14:paraId="23D5DF36" w14:textId="77777777" w:rsidR="00314338" w:rsidRPr="005B30CA" w:rsidRDefault="00314338" w:rsidP="00457F99">
            <w:pPr>
              <w:pStyle w:val="TableTextLeft"/>
            </w:pPr>
            <w:r w:rsidRPr="005B30CA">
              <w:t>Disability</w:t>
            </w:r>
          </w:p>
        </w:tc>
        <w:tc>
          <w:tcPr>
            <w:tcW w:w="7291" w:type="dxa"/>
          </w:tcPr>
          <w:p w14:paraId="5EE0E1F3" w14:textId="77777777" w:rsidR="00314338" w:rsidRPr="005B30CA" w:rsidRDefault="00314338" w:rsidP="00457F99">
            <w:pPr>
              <w:pStyle w:val="TableTextRight"/>
              <w:jc w:val="left"/>
            </w:pPr>
            <w:r w:rsidRPr="005B30CA">
              <w:t xml:space="preserve">A person has a disability if </w:t>
            </w:r>
            <w:r>
              <w:t>they have</w:t>
            </w:r>
            <w:r w:rsidRPr="005B30CA">
              <w:t xml:space="preserve"> a physical or mental impairment which has a substantial and long-term adverse effect on that person's ability to carry out normal day-to-day activities.</w:t>
            </w:r>
          </w:p>
        </w:tc>
      </w:tr>
      <w:tr w:rsidR="00314338" w:rsidRPr="005B30CA" w14:paraId="68CE3731" w14:textId="77777777" w:rsidTr="00457F99">
        <w:tc>
          <w:tcPr>
            <w:tcW w:w="1735" w:type="dxa"/>
          </w:tcPr>
          <w:p w14:paraId="32BC2B0B" w14:textId="77777777" w:rsidR="00314338" w:rsidRPr="005B30CA" w:rsidRDefault="00314338" w:rsidP="00457F99">
            <w:pPr>
              <w:pStyle w:val="TableTextLeft"/>
            </w:pPr>
            <w:r w:rsidRPr="005B30CA">
              <w:t>Gender reassignment</w:t>
            </w:r>
          </w:p>
        </w:tc>
        <w:tc>
          <w:tcPr>
            <w:tcW w:w="7291" w:type="dxa"/>
          </w:tcPr>
          <w:p w14:paraId="77CC044F" w14:textId="77777777" w:rsidR="00314338" w:rsidRPr="005B30CA" w:rsidRDefault="00314338" w:rsidP="00457F99">
            <w:pPr>
              <w:pStyle w:val="TableTextRight"/>
              <w:jc w:val="left"/>
            </w:pPr>
            <w:r w:rsidRPr="005B30CA">
              <w:t>The process of transitioning from one gender to another.</w:t>
            </w:r>
          </w:p>
        </w:tc>
      </w:tr>
      <w:tr w:rsidR="00314338" w:rsidRPr="005B30CA" w14:paraId="5A05243E" w14:textId="77777777" w:rsidTr="00457F99">
        <w:tc>
          <w:tcPr>
            <w:tcW w:w="1735" w:type="dxa"/>
          </w:tcPr>
          <w:p w14:paraId="4A28539A" w14:textId="77777777" w:rsidR="00314338" w:rsidRPr="005B30CA" w:rsidRDefault="00314338" w:rsidP="00457F99">
            <w:pPr>
              <w:pStyle w:val="TableTextLeft"/>
            </w:pPr>
            <w:r w:rsidRPr="005B30CA">
              <w:t>Marriage and civil partnership</w:t>
            </w:r>
          </w:p>
        </w:tc>
        <w:tc>
          <w:tcPr>
            <w:tcW w:w="7291" w:type="dxa"/>
          </w:tcPr>
          <w:p w14:paraId="081C1E01" w14:textId="77777777" w:rsidR="00314338" w:rsidRPr="005B30CA" w:rsidRDefault="00314338" w:rsidP="00457F99">
            <w:pPr>
              <w:pStyle w:val="TableTextRight"/>
              <w:jc w:val="left"/>
            </w:pPr>
            <w:r w:rsidRPr="005B30CA">
              <w:t>Marriage is a union between a man and a woman or between a same-sex couple.</w:t>
            </w:r>
          </w:p>
          <w:p w14:paraId="39B7C4C9" w14:textId="77777777" w:rsidR="00314338" w:rsidRPr="005B30CA" w:rsidRDefault="00314338" w:rsidP="00457F99">
            <w:pPr>
              <w:pStyle w:val="TableTextRight"/>
              <w:jc w:val="left"/>
            </w:pPr>
            <w:r>
              <w:t>C</w:t>
            </w:r>
            <w:r w:rsidRPr="005B30CA">
              <w:t>ouples can also have their relationships legally recognised as 'civil partnerships'. Civil partners must not be treated less favourably than married couples (except where permitted by the Equality Act).</w:t>
            </w:r>
          </w:p>
        </w:tc>
      </w:tr>
      <w:tr w:rsidR="00314338" w:rsidRPr="005B30CA" w14:paraId="715EF494" w14:textId="77777777" w:rsidTr="00457F99">
        <w:tc>
          <w:tcPr>
            <w:tcW w:w="1735" w:type="dxa"/>
          </w:tcPr>
          <w:p w14:paraId="124C3478" w14:textId="77777777" w:rsidR="00314338" w:rsidRPr="005B30CA" w:rsidRDefault="00314338" w:rsidP="00457F99">
            <w:pPr>
              <w:pStyle w:val="TableTextLeft"/>
            </w:pPr>
            <w:r w:rsidRPr="005B30CA">
              <w:t>Pregnancy and maternity</w:t>
            </w:r>
          </w:p>
        </w:tc>
        <w:tc>
          <w:tcPr>
            <w:tcW w:w="7291" w:type="dxa"/>
          </w:tcPr>
          <w:p w14:paraId="1085A02F" w14:textId="77777777" w:rsidR="00314338" w:rsidRPr="005B30CA" w:rsidRDefault="00314338" w:rsidP="00457F99">
            <w:pPr>
              <w:pStyle w:val="TableTextRight"/>
              <w:jc w:val="left"/>
            </w:pPr>
            <w:r w:rsidRPr="005B30CA">
              <w:t>Pregnancy is the condition of being pregnant or expecting a baby. Maternity refers to the period after the birth and is linked to maternity leave in the employment context. In the non-work context, protection against maternity discrimination is for 26 weeks after giving birth, and this includes treating a woman unfavourably because she is breastfeeding.</w:t>
            </w:r>
          </w:p>
        </w:tc>
      </w:tr>
      <w:tr w:rsidR="00314338" w:rsidRPr="005B30CA" w14:paraId="7EC0D7F7" w14:textId="77777777" w:rsidTr="00457F99">
        <w:tc>
          <w:tcPr>
            <w:tcW w:w="1735" w:type="dxa"/>
          </w:tcPr>
          <w:p w14:paraId="62D9B2DF" w14:textId="77777777" w:rsidR="00314338" w:rsidRPr="005B30CA" w:rsidRDefault="00314338" w:rsidP="00457F99">
            <w:pPr>
              <w:pStyle w:val="TableTextLeft"/>
            </w:pPr>
            <w:r w:rsidRPr="005B30CA">
              <w:t>Race</w:t>
            </w:r>
          </w:p>
        </w:tc>
        <w:tc>
          <w:tcPr>
            <w:tcW w:w="7291" w:type="dxa"/>
          </w:tcPr>
          <w:p w14:paraId="54AFFE6F" w14:textId="77777777" w:rsidR="00314338" w:rsidRPr="005B30CA" w:rsidRDefault="00314338" w:rsidP="00457F99">
            <w:pPr>
              <w:pStyle w:val="TableTextRight"/>
              <w:jc w:val="left"/>
            </w:pPr>
            <w:r w:rsidRPr="005B30CA">
              <w:t>Refers to the protected characteristic of race. It refers to a group of people defined by their race, colour, and nationality (including citizenship) ethnic or national origins.</w:t>
            </w:r>
          </w:p>
        </w:tc>
      </w:tr>
      <w:tr w:rsidR="00314338" w:rsidRPr="005B30CA" w14:paraId="2801E14C" w14:textId="77777777" w:rsidTr="00457F99">
        <w:tc>
          <w:tcPr>
            <w:tcW w:w="1735" w:type="dxa"/>
          </w:tcPr>
          <w:p w14:paraId="472A114C" w14:textId="77777777" w:rsidR="00314338" w:rsidRPr="005B30CA" w:rsidRDefault="00314338" w:rsidP="00457F99">
            <w:pPr>
              <w:pStyle w:val="TableTextLeft"/>
            </w:pPr>
            <w:r w:rsidRPr="005B30CA">
              <w:t>Religion and belief</w:t>
            </w:r>
          </w:p>
        </w:tc>
        <w:tc>
          <w:tcPr>
            <w:tcW w:w="7291" w:type="dxa"/>
          </w:tcPr>
          <w:p w14:paraId="33E6601C" w14:textId="7706A4A1" w:rsidR="00314338" w:rsidRPr="005B30CA" w:rsidRDefault="00314338" w:rsidP="00457F99">
            <w:pPr>
              <w:pStyle w:val="TableTextRight"/>
              <w:jc w:val="left"/>
            </w:pPr>
            <w:r w:rsidRPr="005B30CA">
              <w:t xml:space="preserve">Religion has the meaning usually given to </w:t>
            </w:r>
            <w:r w:rsidR="008F45C8" w:rsidRPr="005B30CA">
              <w:t>it,</w:t>
            </w:r>
            <w:r w:rsidRPr="005B30CA">
              <w:t xml:space="preserve"> but belief includes religious and philosophical beliefs including lack of belief (such as Atheism). Generally, a belief should affect </w:t>
            </w:r>
            <w:r>
              <w:t>someone’s</w:t>
            </w:r>
            <w:r w:rsidRPr="005B30CA">
              <w:t xml:space="preserve"> life choices or the way </w:t>
            </w:r>
            <w:r>
              <w:t>they</w:t>
            </w:r>
            <w:r w:rsidRPr="005B30CA">
              <w:t xml:space="preserve"> live for it to be included in the definition.</w:t>
            </w:r>
          </w:p>
        </w:tc>
      </w:tr>
      <w:tr w:rsidR="00314338" w:rsidRPr="005B30CA" w14:paraId="717162CF" w14:textId="77777777" w:rsidTr="00457F99">
        <w:tc>
          <w:tcPr>
            <w:tcW w:w="1735" w:type="dxa"/>
          </w:tcPr>
          <w:p w14:paraId="6B2CF341" w14:textId="77777777" w:rsidR="00314338" w:rsidRPr="005B30CA" w:rsidRDefault="00314338" w:rsidP="00457F99">
            <w:pPr>
              <w:pStyle w:val="TableTextLeft"/>
            </w:pPr>
            <w:r w:rsidRPr="005B30CA">
              <w:t>Sex</w:t>
            </w:r>
          </w:p>
        </w:tc>
        <w:tc>
          <w:tcPr>
            <w:tcW w:w="7291" w:type="dxa"/>
          </w:tcPr>
          <w:p w14:paraId="367CEBDE" w14:textId="77777777" w:rsidR="00314338" w:rsidRPr="005B30CA" w:rsidRDefault="00314338" w:rsidP="00457F99">
            <w:pPr>
              <w:pStyle w:val="TableTextRight"/>
              <w:jc w:val="left"/>
            </w:pPr>
            <w:r w:rsidRPr="005B30CA">
              <w:t>A man, woman or non-binary person.</w:t>
            </w:r>
          </w:p>
        </w:tc>
      </w:tr>
      <w:tr w:rsidR="00314338" w:rsidRPr="005B30CA" w14:paraId="6B5B8E99" w14:textId="77777777" w:rsidTr="00457F99">
        <w:tc>
          <w:tcPr>
            <w:tcW w:w="1735" w:type="dxa"/>
          </w:tcPr>
          <w:p w14:paraId="25E8A420" w14:textId="77777777" w:rsidR="00314338" w:rsidRPr="005B30CA" w:rsidRDefault="00314338" w:rsidP="00457F99">
            <w:pPr>
              <w:pStyle w:val="TableTextLeft"/>
            </w:pPr>
            <w:r w:rsidRPr="005B30CA">
              <w:t>Sexual orientation</w:t>
            </w:r>
          </w:p>
        </w:tc>
        <w:tc>
          <w:tcPr>
            <w:tcW w:w="7291" w:type="dxa"/>
          </w:tcPr>
          <w:p w14:paraId="68ED1C17" w14:textId="77777777" w:rsidR="00314338" w:rsidRPr="005B30CA" w:rsidRDefault="00314338" w:rsidP="00457F99">
            <w:pPr>
              <w:pStyle w:val="TableTextRight"/>
              <w:jc w:val="left"/>
            </w:pPr>
            <w:r w:rsidRPr="005B30CA">
              <w:t>Whether a person's sexual attraction is towards their own sex, the opposite sex or to both sexes.</w:t>
            </w:r>
          </w:p>
        </w:tc>
      </w:tr>
    </w:tbl>
    <w:p w14:paraId="327A612B" w14:textId="77777777" w:rsidR="00314338" w:rsidRDefault="00314338" w:rsidP="00314338">
      <w:pPr>
        <w:spacing w:before="0" w:line="259" w:lineRule="auto"/>
      </w:pPr>
    </w:p>
    <w:p w14:paraId="1BEE8384" w14:textId="77777777" w:rsidR="00314338" w:rsidRDefault="00314338" w:rsidP="00314338">
      <w:r>
        <w:t xml:space="preserve">The analysis determines the likely or actual effects of policies or proposals on social groups by: </w:t>
      </w:r>
    </w:p>
    <w:p w14:paraId="28383114" w14:textId="77777777" w:rsidR="00314338" w:rsidRDefault="00314338" w:rsidP="00314338">
      <w:pPr>
        <w:pStyle w:val="Bullet1"/>
      </w:pPr>
      <w:r>
        <w:t xml:space="preserve">Assessing whether one or more of these groups could experience disproportionate effects (over and above the effects likely to be experienced by the rest of the population) as a result of the proposal development. </w:t>
      </w:r>
    </w:p>
    <w:p w14:paraId="0EBF82BE" w14:textId="77777777" w:rsidR="00314338" w:rsidRDefault="00314338" w:rsidP="00314338">
      <w:pPr>
        <w:pStyle w:val="Bullet1"/>
      </w:pPr>
      <w:r>
        <w:t xml:space="preserve">Identifying opportunities to promote equality more effectively. </w:t>
      </w:r>
    </w:p>
    <w:p w14:paraId="64076885" w14:textId="77777777" w:rsidR="00314338" w:rsidRDefault="00314338" w:rsidP="00314338">
      <w:pPr>
        <w:pStyle w:val="Bullet1"/>
      </w:pPr>
      <w:r>
        <w:lastRenderedPageBreak/>
        <w:t xml:space="preserve">Developing ways in which any disproportionate negative impacts could be removed or mitigated to prevent any unlawful discrimination and minimise inequality of outcomes. </w:t>
      </w:r>
    </w:p>
    <w:p w14:paraId="713DB26B" w14:textId="77777777" w:rsidR="00314338" w:rsidRDefault="00314338" w:rsidP="00314338">
      <w:pPr>
        <w:pStyle w:val="Heading2"/>
      </w:pPr>
      <w:r>
        <w:t xml:space="preserve">Approach </w:t>
      </w:r>
    </w:p>
    <w:p w14:paraId="66F2B193" w14:textId="77777777" w:rsidR="00314338" w:rsidRDefault="00314338" w:rsidP="00314338">
      <w:pPr>
        <w:pStyle w:val="Heading3"/>
      </w:pPr>
      <w:r>
        <w:t xml:space="preserve">Overall approach to the </w:t>
      </w:r>
      <w:proofErr w:type="spellStart"/>
      <w:r>
        <w:t>EqIA</w:t>
      </w:r>
      <w:proofErr w:type="spellEnd"/>
      <w:r>
        <w:t xml:space="preserve"> </w:t>
      </w:r>
    </w:p>
    <w:p w14:paraId="577C9FC8" w14:textId="37F62965" w:rsidR="000C30BC" w:rsidRDefault="00314338" w:rsidP="00314338">
      <w:r>
        <w:t xml:space="preserve">The approach to this </w:t>
      </w:r>
      <w:proofErr w:type="spellStart"/>
      <w:r w:rsidR="00A56DBE">
        <w:t>EqIA</w:t>
      </w:r>
      <w:proofErr w:type="spellEnd"/>
      <w:r>
        <w:t xml:space="preserve"> employs parts of the bespoke Mott MacDonald INCLUDE toolkit, which sets out the following steps:</w:t>
      </w:r>
      <w:r w:rsidR="00BD1D03">
        <w:t xml:space="preserve"> </w:t>
      </w:r>
      <w:r w:rsidR="00BD33A0" w:rsidRPr="004C3E21">
        <w:rPr>
          <w:noProof/>
          <w:lang w:eastAsia="en-GB"/>
        </w:rPr>
        <mc:AlternateContent>
          <mc:Choice Requires="wpg">
            <w:drawing>
              <wp:inline distT="0" distB="0" distL="0" distR="0" wp14:anchorId="5AD31220" wp14:editId="6E6B31A2">
                <wp:extent cx="6050942" cy="2138901"/>
                <wp:effectExtent l="0" t="0" r="6985" b="0"/>
                <wp:docPr id="46" name="Group 1"/>
                <wp:cNvGraphicFramePr/>
                <a:graphic xmlns:a="http://schemas.openxmlformats.org/drawingml/2006/main">
                  <a:graphicData uri="http://schemas.microsoft.com/office/word/2010/wordprocessingGroup">
                    <wpg:wgp>
                      <wpg:cNvGrpSpPr/>
                      <wpg:grpSpPr>
                        <a:xfrm>
                          <a:off x="0" y="0"/>
                          <a:ext cx="6050942" cy="2138901"/>
                          <a:chOff x="42733" y="30248"/>
                          <a:chExt cx="4903039" cy="2088745"/>
                        </a:xfrm>
                      </wpg:grpSpPr>
                      <wps:wsp>
                        <wps:cNvPr id="47" name="Rectangle 47"/>
                        <wps:cNvSpPr/>
                        <wps:spPr>
                          <a:xfrm>
                            <a:off x="3829773" y="30248"/>
                            <a:ext cx="1115999" cy="2088000"/>
                          </a:xfrm>
                          <a:prstGeom prst="rect">
                            <a:avLst/>
                          </a:prstGeom>
                          <a:solidFill>
                            <a:schemeClr val="accent2"/>
                          </a:solidFill>
                          <a:ln w="12700" cap="flat" cmpd="sng" algn="ctr">
                            <a:noFill/>
                            <a:prstDash val="solid"/>
                            <a:miter lim="800000"/>
                          </a:ln>
                          <a:effectLst/>
                        </wps:spPr>
                        <wps:txbx>
                          <w:txbxContent>
                            <w:p w14:paraId="7B60B91C" w14:textId="77777777" w:rsidR="00926BB1" w:rsidRPr="00931A42" w:rsidRDefault="00926BB1" w:rsidP="00BD33A0">
                              <w:pPr>
                                <w:pStyle w:val="NormalWeb"/>
                                <w:spacing w:before="0" w:after="0"/>
                                <w:rPr>
                                  <w:rFonts w:asciiTheme="minorHAnsi" w:hAnsi="Arial" w:cstheme="minorBidi"/>
                                  <w:color w:val="FEFFFF"/>
                                  <w:position w:val="1"/>
                                  <w:sz w:val="80"/>
                                  <w:szCs w:val="80"/>
                                </w:rPr>
                              </w:pPr>
                              <w:r w:rsidRPr="00931A42">
                                <w:rPr>
                                  <w:rFonts w:asciiTheme="minorHAnsi" w:hAnsi="Arial" w:cstheme="minorBidi"/>
                                  <w:color w:val="FEFFFF"/>
                                  <w:position w:val="1"/>
                                  <w:sz w:val="80"/>
                                  <w:szCs w:val="80"/>
                                </w:rPr>
                                <w:t>4</w:t>
                              </w:r>
                            </w:p>
                            <w:p w14:paraId="7F85D06B" w14:textId="77777777" w:rsidR="00926BB1" w:rsidRPr="00931A42" w:rsidRDefault="00926BB1" w:rsidP="00BD33A0">
                              <w:pPr>
                                <w:pStyle w:val="NormalWeb"/>
                                <w:spacing w:before="0" w:after="0"/>
                                <w:rPr>
                                  <w:rFonts w:asciiTheme="minorHAnsi" w:hAnsi="Arial" w:cstheme="minorBidi"/>
                                  <w:b/>
                                  <w:bCs/>
                                  <w:color w:val="FEFFFF"/>
                                  <w:sz w:val="16"/>
                                  <w:szCs w:val="16"/>
                                </w:rPr>
                              </w:pPr>
                              <w:r w:rsidRPr="00931A42">
                                <w:rPr>
                                  <w:rFonts w:asciiTheme="minorHAnsi" w:hAnsi="Arial" w:cstheme="minorBidi"/>
                                  <w:b/>
                                  <w:bCs/>
                                  <w:color w:val="FEFFFF"/>
                                  <w:sz w:val="16"/>
                                  <w:szCs w:val="16"/>
                                </w:rPr>
                                <w:t xml:space="preserve">Action planning. </w:t>
                              </w:r>
                            </w:p>
                            <w:p w14:paraId="48AA6F51" w14:textId="15A1E974" w:rsidR="00926BB1" w:rsidRPr="00931A42" w:rsidRDefault="00926BB1" w:rsidP="00BD33A0">
                              <w:pPr>
                                <w:pStyle w:val="NormalWeb"/>
                                <w:spacing w:before="0" w:after="0"/>
                              </w:pPr>
                              <w:r w:rsidRPr="00931A42">
                                <w:rPr>
                                  <w:rFonts w:asciiTheme="minorHAnsi" w:hAnsi="Arial" w:cstheme="minorBidi"/>
                                  <w:bCs/>
                                  <w:color w:val="FEFFFF"/>
                                  <w:sz w:val="16"/>
                                  <w:szCs w:val="16"/>
                                </w:rPr>
                                <w:t>Drawing conclusions and identifying</w:t>
                              </w:r>
                              <w:r w:rsidRPr="00931A42">
                                <w:rPr>
                                  <w:rFonts w:asciiTheme="minorHAnsi" w:hAnsi="Arial" w:cstheme="minorBidi"/>
                                  <w:color w:val="FEFFFF"/>
                                  <w:sz w:val="16"/>
                                  <w:szCs w:val="16"/>
                                </w:rPr>
                                <w:t xml:space="preserve"> opportunities and further actions to manage and mitigate and impacts. </w:t>
                              </w:r>
                            </w:p>
                            <w:p w14:paraId="4D7D51EA" w14:textId="77777777" w:rsidR="00926BB1" w:rsidRPr="00931A42" w:rsidRDefault="00926BB1" w:rsidP="00BD33A0">
                              <w:pPr>
                                <w:pStyle w:val="NormalWeb"/>
                                <w:spacing w:before="0" w:after="0"/>
                                <w:rPr>
                                  <w:rFonts w:asciiTheme="minorHAnsi" w:hAnsi="Arial" w:cstheme="minorBidi"/>
                                  <w:b/>
                                  <w:bCs/>
                                  <w:color w:val="FEFFFF"/>
                                  <w:sz w:val="16"/>
                                  <w:szCs w:val="16"/>
                                </w:rPr>
                              </w:pPr>
                            </w:p>
                            <w:p w14:paraId="5BBC4F87" w14:textId="77777777" w:rsidR="00926BB1" w:rsidRPr="00931A42" w:rsidRDefault="00926BB1" w:rsidP="00BD33A0">
                              <w:pPr>
                                <w:pStyle w:val="NormalWeb"/>
                                <w:spacing w:before="0" w:after="0"/>
                                <w:rPr>
                                  <w:rFonts w:asciiTheme="minorHAnsi" w:hAnsi="Arial" w:cstheme="minorBidi"/>
                                  <w:b/>
                                  <w:bCs/>
                                  <w:color w:val="FEFFFF"/>
                                  <w:sz w:val="16"/>
                                  <w:szCs w:val="16"/>
                                </w:rPr>
                              </w:pPr>
                            </w:p>
                            <w:p w14:paraId="6243DFDB" w14:textId="77777777" w:rsidR="00926BB1" w:rsidRPr="00931A42" w:rsidRDefault="00926BB1" w:rsidP="00BD33A0">
                              <w:pPr>
                                <w:pStyle w:val="NormalWeb"/>
                                <w:spacing w:before="0" w:after="0"/>
                                <w:rPr>
                                  <w:rFonts w:asciiTheme="minorHAnsi" w:hAnsi="Arial" w:cstheme="minorBidi"/>
                                  <w:b/>
                                  <w:bCs/>
                                  <w:color w:val="FEFFFF"/>
                                  <w:sz w:val="16"/>
                                  <w:szCs w:val="16"/>
                                </w:rPr>
                              </w:pPr>
                            </w:p>
                            <w:p w14:paraId="60EFD163" w14:textId="77777777" w:rsidR="00926BB1" w:rsidRPr="00931A42" w:rsidRDefault="00926BB1" w:rsidP="00BD33A0">
                              <w:pPr>
                                <w:pStyle w:val="NormalWeb"/>
                                <w:spacing w:before="0" w:after="0"/>
                              </w:pPr>
                            </w:p>
                          </w:txbxContent>
                        </wps:txbx>
                        <wps:bodyPr lIns="68534" tIns="34289" rIns="68534" bIns="34289" rtlCol="0" anchor="t"/>
                      </wps:wsp>
                      <wps:wsp>
                        <wps:cNvPr id="48" name="Rectangle 48"/>
                        <wps:cNvSpPr/>
                        <wps:spPr>
                          <a:xfrm>
                            <a:off x="2564630" y="30250"/>
                            <a:ext cx="1115999" cy="2088000"/>
                          </a:xfrm>
                          <a:prstGeom prst="rect">
                            <a:avLst/>
                          </a:prstGeom>
                          <a:solidFill>
                            <a:schemeClr val="accent1"/>
                          </a:solidFill>
                          <a:ln w="12700" cap="flat" cmpd="sng" algn="ctr">
                            <a:noFill/>
                            <a:prstDash val="solid"/>
                            <a:miter lim="800000"/>
                          </a:ln>
                          <a:effectLst/>
                        </wps:spPr>
                        <wps:txbx>
                          <w:txbxContent>
                            <w:p w14:paraId="2C52F3E7" w14:textId="77777777" w:rsidR="00926BB1" w:rsidRPr="00931A42" w:rsidRDefault="00926BB1" w:rsidP="00BD33A0">
                              <w:pPr>
                                <w:pStyle w:val="NormalWeb"/>
                                <w:spacing w:before="0" w:after="0"/>
                              </w:pPr>
                              <w:r w:rsidRPr="00931A42">
                                <w:rPr>
                                  <w:rFonts w:asciiTheme="minorHAnsi" w:hAnsi="Arial" w:cstheme="minorBidi"/>
                                  <w:color w:val="FEFFFF"/>
                                  <w:position w:val="1"/>
                                  <w:sz w:val="80"/>
                                  <w:szCs w:val="80"/>
                                </w:rPr>
                                <w:t>3</w:t>
                              </w:r>
                            </w:p>
                            <w:p w14:paraId="0563A24A" w14:textId="77777777" w:rsidR="00926BB1" w:rsidRPr="00931A42" w:rsidRDefault="00926BB1" w:rsidP="00BD33A0">
                              <w:pPr>
                                <w:pStyle w:val="NormalWeb"/>
                                <w:spacing w:before="0" w:after="0"/>
                              </w:pPr>
                              <w:r w:rsidRPr="00931A42">
                                <w:rPr>
                                  <w:rFonts w:asciiTheme="minorHAnsi" w:hAnsi="Arial" w:cstheme="minorBidi"/>
                                  <w:b/>
                                  <w:bCs/>
                                  <w:color w:val="FEFFFF"/>
                                  <w:sz w:val="16"/>
                                  <w:szCs w:val="16"/>
                                </w:rPr>
                                <w:t xml:space="preserve">Impact assessment. </w:t>
                              </w:r>
                              <w:r w:rsidRPr="00931A42">
                                <w:rPr>
                                  <w:rFonts w:asciiTheme="minorHAnsi" w:hAnsi="Arial" w:cstheme="minorBidi"/>
                                  <w:color w:val="FEFFFF"/>
                                  <w:sz w:val="16"/>
                                  <w:szCs w:val="16"/>
                                </w:rPr>
                                <w:t>Understanding the extent and scale of any impacts arising, taking mitigation measures into account.</w:t>
                              </w:r>
                            </w:p>
                          </w:txbxContent>
                        </wps:txbx>
                        <wps:bodyPr lIns="68534" tIns="34289" rIns="68534" bIns="34289" rtlCol="0" anchor="t"/>
                      </wps:wsp>
                      <wps:wsp>
                        <wps:cNvPr id="49" name="Rectangle 49"/>
                        <wps:cNvSpPr/>
                        <wps:spPr>
                          <a:xfrm>
                            <a:off x="1303623" y="30993"/>
                            <a:ext cx="1116000" cy="2088000"/>
                          </a:xfrm>
                          <a:prstGeom prst="rect">
                            <a:avLst/>
                          </a:prstGeom>
                          <a:solidFill>
                            <a:schemeClr val="accent2"/>
                          </a:solidFill>
                          <a:ln w="12700" cap="flat" cmpd="sng" algn="ctr">
                            <a:noFill/>
                            <a:prstDash val="solid"/>
                            <a:miter lim="800000"/>
                          </a:ln>
                          <a:effectLst/>
                        </wps:spPr>
                        <wps:txbx>
                          <w:txbxContent>
                            <w:p w14:paraId="21335EBF" w14:textId="77777777" w:rsidR="00926BB1" w:rsidRPr="00931A42" w:rsidRDefault="00926BB1" w:rsidP="00BD33A0">
                              <w:pPr>
                                <w:pStyle w:val="NormalWeb"/>
                                <w:spacing w:before="0" w:after="0"/>
                              </w:pPr>
                              <w:r w:rsidRPr="00931A42">
                                <w:rPr>
                                  <w:rFonts w:asciiTheme="minorHAnsi" w:hAnsi="Arial" w:cstheme="minorBidi"/>
                                  <w:color w:val="FEFFFF"/>
                                  <w:sz w:val="80"/>
                                  <w:szCs w:val="80"/>
                                </w:rPr>
                                <w:t>2</w:t>
                              </w:r>
                            </w:p>
                            <w:p w14:paraId="4AC67856" w14:textId="77777777" w:rsidR="00926BB1" w:rsidRPr="00931A42" w:rsidRDefault="00926BB1" w:rsidP="00BD33A0">
                              <w:pPr>
                                <w:pStyle w:val="NormalWeb"/>
                                <w:spacing w:before="0" w:after="0"/>
                              </w:pPr>
                              <w:r w:rsidRPr="00931A42">
                                <w:rPr>
                                  <w:rFonts w:asciiTheme="minorHAnsi" w:hAnsi="Arial" w:cstheme="minorBidi"/>
                                  <w:b/>
                                  <w:bCs/>
                                  <w:color w:val="FEFFFF"/>
                                  <w:sz w:val="16"/>
                                  <w:szCs w:val="16"/>
                                </w:rPr>
                                <w:t>Evidence, distribution and proportionality.</w:t>
                              </w:r>
                            </w:p>
                            <w:p w14:paraId="3B0368DD" w14:textId="07F9D9D9" w:rsidR="00926BB1" w:rsidRPr="00931A42" w:rsidRDefault="00926BB1" w:rsidP="00BD33A0">
                              <w:pPr>
                                <w:pStyle w:val="NormalWeb"/>
                                <w:spacing w:before="0" w:after="0"/>
                              </w:pPr>
                              <w:r w:rsidRPr="00931A42">
                                <w:rPr>
                                  <w:rFonts w:asciiTheme="minorHAnsi" w:hAnsi="Arial" w:cstheme="minorBidi"/>
                                  <w:color w:val="FEFFFF"/>
                                  <w:sz w:val="16"/>
                                  <w:szCs w:val="16"/>
                                </w:rPr>
                                <w:t>Review of available demographic data and other published evidence to establish the likely scope and nature of equality impacts.</w:t>
                              </w:r>
                            </w:p>
                          </w:txbxContent>
                        </wps:txbx>
                        <wps:bodyPr lIns="68534" tIns="34289" rIns="68534" bIns="34289" rtlCol="0" anchor="t"/>
                      </wps:wsp>
                      <wps:wsp>
                        <wps:cNvPr id="50" name="Rectangle 50"/>
                        <wps:cNvSpPr/>
                        <wps:spPr>
                          <a:xfrm>
                            <a:off x="42733" y="30993"/>
                            <a:ext cx="1116000" cy="2087999"/>
                          </a:xfrm>
                          <a:prstGeom prst="rect">
                            <a:avLst/>
                          </a:prstGeom>
                          <a:solidFill>
                            <a:schemeClr val="accent1"/>
                          </a:solidFill>
                          <a:ln w="12700" cap="flat" cmpd="sng" algn="ctr">
                            <a:noFill/>
                            <a:prstDash val="solid"/>
                            <a:miter lim="800000"/>
                          </a:ln>
                          <a:effectLst/>
                        </wps:spPr>
                        <wps:txbx>
                          <w:txbxContent>
                            <w:p w14:paraId="3D8B0E7F" w14:textId="77777777" w:rsidR="00926BB1" w:rsidRPr="00931A42" w:rsidRDefault="00926BB1" w:rsidP="00BD33A0">
                              <w:pPr>
                                <w:pStyle w:val="NormalWeb"/>
                                <w:spacing w:before="0" w:after="0"/>
                              </w:pPr>
                              <w:r w:rsidRPr="00931A42">
                                <w:rPr>
                                  <w:rFonts w:asciiTheme="minorHAnsi" w:hAnsi="Arial" w:cstheme="minorBidi"/>
                                  <w:color w:val="FEFFFF"/>
                                  <w:sz w:val="80"/>
                                  <w:szCs w:val="80"/>
                                </w:rPr>
                                <w:t>1</w:t>
                              </w:r>
                            </w:p>
                            <w:p w14:paraId="1AB8028B" w14:textId="77777777" w:rsidR="00926BB1" w:rsidRPr="00931A42" w:rsidRDefault="00926BB1" w:rsidP="00BD33A0">
                              <w:pPr>
                                <w:pStyle w:val="NormalWeb"/>
                                <w:spacing w:before="0" w:after="0"/>
                              </w:pPr>
                              <w:r w:rsidRPr="00931A42">
                                <w:rPr>
                                  <w:rFonts w:asciiTheme="minorHAnsi" w:hAnsi="Arial" w:cstheme="minorBidi"/>
                                  <w:b/>
                                  <w:bCs/>
                                  <w:color w:val="FEFFFF"/>
                                  <w:sz w:val="16"/>
                                  <w:szCs w:val="16"/>
                                </w:rPr>
                                <w:t>Understanding the project</w:t>
                              </w:r>
                            </w:p>
                            <w:p w14:paraId="20465142" w14:textId="070091DB" w:rsidR="00926BB1" w:rsidRPr="00931A42" w:rsidRDefault="00926BB1" w:rsidP="00BD33A0">
                              <w:pPr>
                                <w:pStyle w:val="NormalWeb"/>
                                <w:spacing w:before="0" w:after="0"/>
                              </w:pPr>
                              <w:r w:rsidRPr="00931A42">
                                <w:rPr>
                                  <w:rFonts w:asciiTheme="minorHAnsi" w:hAnsi="Arial" w:cstheme="minorBidi"/>
                                  <w:color w:val="FEFFFF"/>
                                  <w:sz w:val="16"/>
                                  <w:szCs w:val="16"/>
                                </w:rPr>
                                <w:t xml:space="preserve">Analysis of the proposals for the TSDL, the plans for CPO and any activity intended to manage impacts by the Council. </w:t>
                              </w:r>
                            </w:p>
                          </w:txbxContent>
                        </wps:txbx>
                        <wps:bodyPr lIns="68534" tIns="34289" rIns="68534" bIns="34289" rtlCol="0" anchor="t"/>
                      </wps:wsp>
                    </wpg:wg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D31220" id="Group 1" o:spid="_x0000_s1029" style="width:476.45pt;height:168.4pt;mso-position-horizontal-relative:char;mso-position-vertical-relative:line" coordorigin="427,302" coordsize="49030,20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">
                <v:rect id="Rectangle 47" o:spid="_x0000_s1030" style="position:absolute;left:38297;top:302;width:11160;height:2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" fillcolor="#009695 [3205]" stroked="f" strokeweight="1pt">
                  <v:textbox inset="1.90372mm,.95247mm,1.90372mm,.95247mm">
                    <w:txbxContent>
                      <w:p w14:paraId="7B60B91C" w14:textId="77777777" w:rsidR="00926BB1" w:rsidRPr="00931A42" w:rsidRDefault="00926BB1" w:rsidP="00BD33A0">
                        <w:pPr>
                          <w:pStyle w:val="NormalWeb"/>
                          <w:spacing w:before="0" w:after="0"/>
                          <w:rPr>
                            <w:rFonts w:asciiTheme="minorHAnsi" w:hAnsi="Arial" w:cstheme="minorBidi"/>
                            <w:color w:val="FEFFFF"/>
                            <w:position w:val="1"/>
                            <w:sz w:val="80"/>
                            <w:szCs w:val="80"/>
                          </w:rPr>
                        </w:pPr>
                        <w:r w:rsidRPr="00931A42">
                          <w:rPr>
                            <w:rFonts w:asciiTheme="minorHAnsi" w:hAnsi="Arial" w:cstheme="minorBidi"/>
                            <w:color w:val="FEFFFF"/>
                            <w:position w:val="1"/>
                            <w:sz w:val="80"/>
                            <w:szCs w:val="80"/>
                          </w:rPr>
                          <w:t>4</w:t>
                        </w:r>
                      </w:p>
                      <w:p w14:paraId="7F85D06B" w14:textId="77777777" w:rsidR="00926BB1" w:rsidRPr="00931A42" w:rsidRDefault="00926BB1" w:rsidP="00BD33A0">
                        <w:pPr>
                          <w:pStyle w:val="NormalWeb"/>
                          <w:spacing w:before="0" w:after="0"/>
                          <w:rPr>
                            <w:rFonts w:asciiTheme="minorHAnsi" w:hAnsi="Arial" w:cstheme="minorBidi"/>
                            <w:b/>
                            <w:bCs/>
                            <w:color w:val="FEFFFF"/>
                            <w:sz w:val="16"/>
                            <w:szCs w:val="16"/>
                          </w:rPr>
                        </w:pPr>
                        <w:r w:rsidRPr="00931A42">
                          <w:rPr>
                            <w:rFonts w:asciiTheme="minorHAnsi" w:hAnsi="Arial" w:cstheme="minorBidi"/>
                            <w:b/>
                            <w:bCs/>
                            <w:color w:val="FEFFFF"/>
                            <w:sz w:val="16"/>
                            <w:szCs w:val="16"/>
                          </w:rPr>
                          <w:t xml:space="preserve">Action planning. </w:t>
                        </w:r>
                      </w:p>
                      <w:p w14:paraId="48AA6F51" w14:textId="15A1E974" w:rsidR="00926BB1" w:rsidRPr="00931A42" w:rsidRDefault="00926BB1" w:rsidP="00BD33A0">
                        <w:pPr>
                          <w:pStyle w:val="NormalWeb"/>
                          <w:spacing w:before="0" w:after="0"/>
                        </w:pPr>
                        <w:r w:rsidRPr="00931A42">
                          <w:rPr>
                            <w:rFonts w:asciiTheme="minorHAnsi" w:hAnsi="Arial" w:cstheme="minorBidi"/>
                            <w:bCs/>
                            <w:color w:val="FEFFFF"/>
                            <w:sz w:val="16"/>
                            <w:szCs w:val="16"/>
                          </w:rPr>
                          <w:t>Drawing conclusions and identifying</w:t>
                        </w:r>
                        <w:r w:rsidRPr="00931A42">
                          <w:rPr>
                            <w:rFonts w:asciiTheme="minorHAnsi" w:hAnsi="Arial" w:cstheme="minorBidi"/>
                            <w:color w:val="FEFFFF"/>
                            <w:sz w:val="16"/>
                            <w:szCs w:val="16"/>
                          </w:rPr>
                          <w:t xml:space="preserve"> opportunities and further actions to manage and mitigate and impacts. </w:t>
                        </w:r>
                      </w:p>
                      <w:p w14:paraId="4D7D51EA" w14:textId="77777777" w:rsidR="00926BB1" w:rsidRPr="00931A42" w:rsidRDefault="00926BB1" w:rsidP="00BD33A0">
                        <w:pPr>
                          <w:pStyle w:val="NormalWeb"/>
                          <w:spacing w:before="0" w:after="0"/>
                          <w:rPr>
                            <w:rFonts w:asciiTheme="minorHAnsi" w:hAnsi="Arial" w:cstheme="minorBidi"/>
                            <w:b/>
                            <w:bCs/>
                            <w:color w:val="FEFFFF"/>
                            <w:sz w:val="16"/>
                            <w:szCs w:val="16"/>
                          </w:rPr>
                        </w:pPr>
                      </w:p>
                      <w:p w14:paraId="5BBC4F87" w14:textId="77777777" w:rsidR="00926BB1" w:rsidRPr="00931A42" w:rsidRDefault="00926BB1" w:rsidP="00BD33A0">
                        <w:pPr>
                          <w:pStyle w:val="NormalWeb"/>
                          <w:spacing w:before="0" w:after="0"/>
                          <w:rPr>
                            <w:rFonts w:asciiTheme="minorHAnsi" w:hAnsi="Arial" w:cstheme="minorBidi"/>
                            <w:b/>
                            <w:bCs/>
                            <w:color w:val="FEFFFF"/>
                            <w:sz w:val="16"/>
                            <w:szCs w:val="16"/>
                          </w:rPr>
                        </w:pPr>
                      </w:p>
                      <w:p w14:paraId="6243DFDB" w14:textId="77777777" w:rsidR="00926BB1" w:rsidRPr="00931A42" w:rsidRDefault="00926BB1" w:rsidP="00BD33A0">
                        <w:pPr>
                          <w:pStyle w:val="NormalWeb"/>
                          <w:spacing w:before="0" w:after="0"/>
                          <w:rPr>
                            <w:rFonts w:asciiTheme="minorHAnsi" w:hAnsi="Arial" w:cstheme="minorBidi"/>
                            <w:b/>
                            <w:bCs/>
                            <w:color w:val="FEFFFF"/>
                            <w:sz w:val="16"/>
                            <w:szCs w:val="16"/>
                          </w:rPr>
                        </w:pPr>
                      </w:p>
                      <w:p w14:paraId="60EFD163" w14:textId="77777777" w:rsidR="00926BB1" w:rsidRPr="00931A42" w:rsidRDefault="00926BB1" w:rsidP="00BD33A0">
                        <w:pPr>
                          <w:pStyle w:val="NormalWeb"/>
                          <w:spacing w:before="0" w:after="0"/>
                        </w:pPr>
                      </w:p>
                    </w:txbxContent>
                  </v:textbox>
                </v:rect>
                <v:rect id="Rectangle 48" o:spid="_x0000_s1031" style="position:absolute;left:25646;top:302;width:11160;height:2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" fillcolor="#2fb6bc [3204]" stroked="f" strokeweight="1pt">
                  <v:textbox inset="1.90372mm,.95247mm,1.90372mm,.95247mm">
                    <w:txbxContent>
                      <w:p w14:paraId="2C52F3E7" w14:textId="77777777" w:rsidR="00926BB1" w:rsidRPr="00931A42" w:rsidRDefault="00926BB1" w:rsidP="00BD33A0">
                        <w:pPr>
                          <w:pStyle w:val="NormalWeb"/>
                          <w:spacing w:before="0" w:after="0"/>
                        </w:pPr>
                        <w:r w:rsidRPr="00931A42">
                          <w:rPr>
                            <w:rFonts w:asciiTheme="minorHAnsi" w:hAnsi="Arial" w:cstheme="minorBidi"/>
                            <w:color w:val="FEFFFF"/>
                            <w:position w:val="1"/>
                            <w:sz w:val="80"/>
                            <w:szCs w:val="80"/>
                          </w:rPr>
                          <w:t>3</w:t>
                        </w:r>
                      </w:p>
                      <w:p w14:paraId="0563A24A" w14:textId="77777777" w:rsidR="00926BB1" w:rsidRPr="00931A42" w:rsidRDefault="00926BB1" w:rsidP="00BD33A0">
                        <w:pPr>
                          <w:pStyle w:val="NormalWeb"/>
                          <w:spacing w:before="0" w:after="0"/>
                        </w:pPr>
                        <w:r w:rsidRPr="00931A42">
                          <w:rPr>
                            <w:rFonts w:asciiTheme="minorHAnsi" w:hAnsi="Arial" w:cstheme="minorBidi"/>
                            <w:b/>
                            <w:bCs/>
                            <w:color w:val="FEFFFF"/>
                            <w:sz w:val="16"/>
                            <w:szCs w:val="16"/>
                          </w:rPr>
                          <w:t xml:space="preserve">Impact assessment. </w:t>
                        </w:r>
                        <w:r w:rsidRPr="00931A42">
                          <w:rPr>
                            <w:rFonts w:asciiTheme="minorHAnsi" w:hAnsi="Arial" w:cstheme="minorBidi"/>
                            <w:color w:val="FEFFFF"/>
                            <w:sz w:val="16"/>
                            <w:szCs w:val="16"/>
                          </w:rPr>
                          <w:t>Understanding the extent and scale of any impacts arising, taking mitigation measures into account.</w:t>
                        </w:r>
                      </w:p>
                    </w:txbxContent>
                  </v:textbox>
                </v:rect>
                <v:rect id="Rectangle 49" o:spid="_x0000_s1032" style="position:absolute;left:13036;top:309;width:11160;height:2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" fillcolor="#009695 [3205]" stroked="f" strokeweight="1pt">
                  <v:textbox inset="1.90372mm,.95247mm,1.90372mm,.95247mm">
                    <w:txbxContent>
                      <w:p w14:paraId="21335EBF" w14:textId="77777777" w:rsidR="00926BB1" w:rsidRPr="00931A42" w:rsidRDefault="00926BB1" w:rsidP="00BD33A0">
                        <w:pPr>
                          <w:pStyle w:val="NormalWeb"/>
                          <w:spacing w:before="0" w:after="0"/>
                        </w:pPr>
                        <w:r w:rsidRPr="00931A42">
                          <w:rPr>
                            <w:rFonts w:asciiTheme="minorHAnsi" w:hAnsi="Arial" w:cstheme="minorBidi"/>
                            <w:color w:val="FEFFFF"/>
                            <w:sz w:val="80"/>
                            <w:szCs w:val="80"/>
                          </w:rPr>
                          <w:t>2</w:t>
                        </w:r>
                      </w:p>
                      <w:p w14:paraId="4AC67856" w14:textId="77777777" w:rsidR="00926BB1" w:rsidRPr="00931A42" w:rsidRDefault="00926BB1" w:rsidP="00BD33A0">
                        <w:pPr>
                          <w:pStyle w:val="NormalWeb"/>
                          <w:spacing w:before="0" w:after="0"/>
                        </w:pPr>
                        <w:r w:rsidRPr="00931A42">
                          <w:rPr>
                            <w:rFonts w:asciiTheme="minorHAnsi" w:hAnsi="Arial" w:cstheme="minorBidi"/>
                            <w:b/>
                            <w:bCs/>
                            <w:color w:val="FEFFFF"/>
                            <w:sz w:val="16"/>
                            <w:szCs w:val="16"/>
                          </w:rPr>
                          <w:t>Evidence, distribution and proportionality.</w:t>
                        </w:r>
                      </w:p>
                      <w:p w14:paraId="3B0368DD" w14:textId="07F9D9D9" w:rsidR="00926BB1" w:rsidRPr="00931A42" w:rsidRDefault="00926BB1" w:rsidP="00BD33A0">
                        <w:pPr>
                          <w:pStyle w:val="NormalWeb"/>
                          <w:spacing w:before="0" w:after="0"/>
                        </w:pPr>
                        <w:r w:rsidRPr="00931A42">
                          <w:rPr>
                            <w:rFonts w:asciiTheme="minorHAnsi" w:hAnsi="Arial" w:cstheme="minorBidi"/>
                            <w:color w:val="FEFFFF"/>
                            <w:sz w:val="16"/>
                            <w:szCs w:val="16"/>
                          </w:rPr>
                          <w:t>Review of available demographic data and other published evidence to establish the likely scope and nature of equality impacts.</w:t>
                        </w:r>
                      </w:p>
                    </w:txbxContent>
                  </v:textbox>
                </v:rect>
                <v:rect id="Rectangle 50" o:spid="_x0000_s1033" style="position:absolute;left:427;top:309;width:11160;height:20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" fillcolor="#2fb6bc [3204]" stroked="f" strokeweight="1pt">
                  <v:textbox inset="1.90372mm,.95247mm,1.90372mm,.95247mm">
                    <w:txbxContent>
                      <w:p w14:paraId="3D8B0E7F" w14:textId="77777777" w:rsidR="00926BB1" w:rsidRPr="00931A42" w:rsidRDefault="00926BB1" w:rsidP="00BD33A0">
                        <w:pPr>
                          <w:pStyle w:val="NormalWeb"/>
                          <w:spacing w:before="0" w:after="0"/>
                        </w:pPr>
                        <w:r w:rsidRPr="00931A42">
                          <w:rPr>
                            <w:rFonts w:asciiTheme="minorHAnsi" w:hAnsi="Arial" w:cstheme="minorBidi"/>
                            <w:color w:val="FEFFFF"/>
                            <w:sz w:val="80"/>
                            <w:szCs w:val="80"/>
                          </w:rPr>
                          <w:t>1</w:t>
                        </w:r>
                      </w:p>
                      <w:p w14:paraId="1AB8028B" w14:textId="77777777" w:rsidR="00926BB1" w:rsidRPr="00931A42" w:rsidRDefault="00926BB1" w:rsidP="00BD33A0">
                        <w:pPr>
                          <w:pStyle w:val="NormalWeb"/>
                          <w:spacing w:before="0" w:after="0"/>
                        </w:pPr>
                        <w:r w:rsidRPr="00931A42">
                          <w:rPr>
                            <w:rFonts w:asciiTheme="minorHAnsi" w:hAnsi="Arial" w:cstheme="minorBidi"/>
                            <w:b/>
                            <w:bCs/>
                            <w:color w:val="FEFFFF"/>
                            <w:sz w:val="16"/>
                            <w:szCs w:val="16"/>
                          </w:rPr>
                          <w:t>Understanding the project</w:t>
                        </w:r>
                      </w:p>
                      <w:p w14:paraId="20465142" w14:textId="070091DB" w:rsidR="00926BB1" w:rsidRPr="00931A42" w:rsidRDefault="00926BB1" w:rsidP="00BD33A0">
                        <w:pPr>
                          <w:pStyle w:val="NormalWeb"/>
                          <w:spacing w:before="0" w:after="0"/>
                        </w:pPr>
                        <w:r w:rsidRPr="00931A42">
                          <w:rPr>
                            <w:rFonts w:asciiTheme="minorHAnsi" w:hAnsi="Arial" w:cstheme="minorBidi"/>
                            <w:color w:val="FEFFFF"/>
                            <w:sz w:val="16"/>
                            <w:szCs w:val="16"/>
                          </w:rPr>
                          <w:t xml:space="preserve">Analysis of the proposals for the TSDL, the plans for CPO and any activity intended to manage impacts by the Council. </w:t>
                        </w:r>
                      </w:p>
                    </w:txbxContent>
                  </v:textbox>
                </v:rect>
                <w10:anchorlock/>
              </v:group>
            </w:pict>
          </mc:Fallback>
        </mc:AlternateContent>
      </w:r>
    </w:p>
    <w:p w14:paraId="630AA9A6" w14:textId="77777777" w:rsidR="000C30BC" w:rsidRDefault="000C30BC" w:rsidP="000C30BC">
      <w:pPr>
        <w:pStyle w:val="Heading3"/>
      </w:pPr>
      <w:r>
        <w:t xml:space="preserve">Tasks undertaken </w:t>
      </w:r>
    </w:p>
    <w:p w14:paraId="2B1B3806" w14:textId="77777777" w:rsidR="000C30BC" w:rsidRDefault="000C30BC" w:rsidP="000C30BC">
      <w:r>
        <w:t xml:space="preserve">Within the steps above, the following tasks were undertaken to deliver the assessment: </w:t>
      </w:r>
    </w:p>
    <w:p w14:paraId="4E40F52D" w14:textId="4AF77E82" w:rsidR="000C30BC" w:rsidRDefault="000C30BC" w:rsidP="000C30BC">
      <w:pPr>
        <w:pStyle w:val="Heading4"/>
      </w:pPr>
      <w:r>
        <w:t xml:space="preserve">Understanding the project </w:t>
      </w:r>
    </w:p>
    <w:p w14:paraId="5B739C56" w14:textId="4ADC69BC" w:rsidR="00912EFC" w:rsidRDefault="000C30BC" w:rsidP="000C30BC">
      <w:r w:rsidRPr="00235FA7">
        <w:rPr>
          <w:color w:val="2FB6BC" w:themeColor="accent1"/>
        </w:rPr>
        <w:t xml:space="preserve">Review of redevelopment proposals: </w:t>
      </w:r>
      <w:r w:rsidR="004F582C">
        <w:t xml:space="preserve">A review of the </w:t>
      </w:r>
      <w:r w:rsidR="000C5074">
        <w:t>documents</w:t>
      </w:r>
      <w:r w:rsidR="004F582C">
        <w:t xml:space="preserve"> associated with the development </w:t>
      </w:r>
      <w:r w:rsidR="00157B3B">
        <w:t xml:space="preserve">of Tangmere CPO </w:t>
      </w:r>
      <w:r w:rsidR="006B01FF">
        <w:t>includ</w:t>
      </w:r>
      <w:r w:rsidR="00912EFC">
        <w:t>ing</w:t>
      </w:r>
      <w:r w:rsidR="006B01FF">
        <w:t xml:space="preserve"> Chichester Local Plan </w:t>
      </w:r>
      <w:r w:rsidR="00A82EEB">
        <w:t xml:space="preserve">2014-2029, </w:t>
      </w:r>
      <w:r w:rsidR="00804761">
        <w:t>the Masterplan and planning background to the scheme</w:t>
      </w:r>
      <w:r w:rsidR="00CA56F9">
        <w:t xml:space="preserve">, previous </w:t>
      </w:r>
      <w:r w:rsidR="00D2414E">
        <w:t xml:space="preserve">phases of </w:t>
      </w:r>
      <w:r w:rsidR="00CA56F9">
        <w:t xml:space="preserve">Equalities Assessments </w:t>
      </w:r>
      <w:r w:rsidR="00285B39">
        <w:t>undertaken by the Council</w:t>
      </w:r>
      <w:r w:rsidR="00372862">
        <w:t xml:space="preserve"> in 2013 and 2018.</w:t>
      </w:r>
      <w:r w:rsidR="00CB6044">
        <w:t xml:space="preserve"> </w:t>
      </w:r>
    </w:p>
    <w:p w14:paraId="4EF5B13C" w14:textId="1AAF9976" w:rsidR="0032128B" w:rsidRDefault="00CB6044" w:rsidP="000C30BC">
      <w:r>
        <w:t>In terms of consultation, evidence review</w:t>
      </w:r>
      <w:r w:rsidR="00FB0CE2">
        <w:t xml:space="preserve">ed includes </w:t>
      </w:r>
      <w:r>
        <w:t xml:space="preserve">the local </w:t>
      </w:r>
      <w:r w:rsidR="0090614A">
        <w:t>C</w:t>
      </w:r>
      <w:r>
        <w:t xml:space="preserve">onsultation </w:t>
      </w:r>
      <w:r w:rsidR="0090614A">
        <w:t>Action Plan</w:t>
      </w:r>
      <w:r w:rsidR="00A56679">
        <w:t>,</w:t>
      </w:r>
      <w:r w:rsidR="00C71012">
        <w:t xml:space="preserve"> </w:t>
      </w:r>
      <w:r w:rsidR="00FB0CE2">
        <w:t xml:space="preserve">the </w:t>
      </w:r>
      <w:r w:rsidR="00C71012">
        <w:t xml:space="preserve">Council’s </w:t>
      </w:r>
      <w:r w:rsidR="009F43E4">
        <w:t>p</w:t>
      </w:r>
      <w:r w:rsidR="00C71012">
        <w:t>re-</w:t>
      </w:r>
      <w:r w:rsidR="009F43E4">
        <w:t>s</w:t>
      </w:r>
      <w:r w:rsidR="00C71012">
        <w:t xml:space="preserve">ubmission </w:t>
      </w:r>
      <w:r w:rsidR="009F43E4">
        <w:t>N</w:t>
      </w:r>
      <w:r w:rsidR="00F65499">
        <w:t xml:space="preserve">eighbourhood </w:t>
      </w:r>
      <w:r w:rsidR="009F43E4">
        <w:t>P</w:t>
      </w:r>
      <w:r w:rsidR="00C71012">
        <w:t xml:space="preserve">lan </w:t>
      </w:r>
      <w:r w:rsidR="00FB0CE2">
        <w:t>l</w:t>
      </w:r>
      <w:r w:rsidR="00C71012">
        <w:t>etter</w:t>
      </w:r>
      <w:r w:rsidR="005C49A7">
        <w:t xml:space="preserve">, </w:t>
      </w:r>
      <w:r w:rsidR="0090614A">
        <w:t>c</w:t>
      </w:r>
      <w:r w:rsidR="00D2414E">
        <w:t xml:space="preserve">onsultation </w:t>
      </w:r>
      <w:r w:rsidR="0090614A">
        <w:t>r</w:t>
      </w:r>
      <w:r w:rsidR="00D2414E">
        <w:t xml:space="preserve">esponses </w:t>
      </w:r>
      <w:r w:rsidR="002F4D99">
        <w:t>in the Tangmere Neighbourhood Plan</w:t>
      </w:r>
      <w:r w:rsidR="00AE4003">
        <w:t xml:space="preserve">, </w:t>
      </w:r>
      <w:r w:rsidR="005C49A7">
        <w:t xml:space="preserve">stakeholder feedback on the </w:t>
      </w:r>
      <w:r w:rsidR="00E62064">
        <w:t>‘</w:t>
      </w:r>
      <w:r w:rsidR="003824B4">
        <w:t xml:space="preserve">Local Plan </w:t>
      </w:r>
      <w:r w:rsidR="00E62064">
        <w:t>Review: Preferred Approach’</w:t>
      </w:r>
      <w:r w:rsidR="008E7606">
        <w:t xml:space="preserve">, community feedback from masterplan drop-in sessions and community feedback from public </w:t>
      </w:r>
      <w:r w:rsidR="005C6888">
        <w:t>consultation events.</w:t>
      </w:r>
    </w:p>
    <w:p w14:paraId="2D0AA5A0" w14:textId="17914237" w:rsidR="000C30BC" w:rsidRDefault="00FB0CE2" w:rsidP="000C30BC">
      <w:r>
        <w:t>The w</w:t>
      </w:r>
      <w:r w:rsidR="008E08C9">
        <w:t xml:space="preserve">ebsite of the Council’s development partner, Countryside </w:t>
      </w:r>
      <w:r w:rsidR="005F323E">
        <w:t>Properties</w:t>
      </w:r>
      <w:r w:rsidR="00804761">
        <w:t xml:space="preserve"> (UK)</w:t>
      </w:r>
      <w:r w:rsidR="005F323E">
        <w:t xml:space="preserve"> </w:t>
      </w:r>
      <w:r w:rsidR="008E08C9">
        <w:t>Ltd</w:t>
      </w:r>
      <w:r w:rsidR="00804761">
        <w:t xml:space="preserve"> (</w:t>
      </w:r>
      <w:r w:rsidR="00CA1470">
        <w:t>‘</w:t>
      </w:r>
      <w:r w:rsidR="00804761">
        <w:t>Countryside</w:t>
      </w:r>
      <w:r w:rsidR="00CA1470">
        <w:t>’</w:t>
      </w:r>
      <w:r w:rsidR="00804761">
        <w:t>)</w:t>
      </w:r>
      <w:r>
        <w:t>,</w:t>
      </w:r>
      <w:r w:rsidR="008E08C9">
        <w:t xml:space="preserve"> has also been reviewed</w:t>
      </w:r>
      <w:r w:rsidR="00147A77">
        <w:t xml:space="preserve"> to crosscheck the scheme descriptions and the timeline of contractual developments</w:t>
      </w:r>
      <w:r w:rsidR="001601CE">
        <w:t>.</w:t>
      </w:r>
      <w:r w:rsidR="005F323E">
        <w:t xml:space="preserve"> </w:t>
      </w:r>
    </w:p>
    <w:p w14:paraId="0C80C2A5" w14:textId="77777777" w:rsidR="000C30BC" w:rsidRDefault="000C30BC" w:rsidP="000C30BC">
      <w:pPr>
        <w:pStyle w:val="Heading4"/>
      </w:pPr>
      <w:r>
        <w:t xml:space="preserve">Evidence, distribution and proportionality </w:t>
      </w:r>
    </w:p>
    <w:p w14:paraId="42B7ED69" w14:textId="5D9F165D" w:rsidR="000C30BC" w:rsidRDefault="000C30BC" w:rsidP="000C30BC">
      <w:r w:rsidRPr="00950E51">
        <w:rPr>
          <w:rStyle w:val="Heading4Char"/>
        </w:rPr>
        <w:t>Desk-based evidence and literature review:</w:t>
      </w:r>
      <w:r>
        <w:t xml:space="preserve"> In order to better understand the potential impacts arising from the </w:t>
      </w:r>
      <w:r w:rsidR="007E2A9F">
        <w:t>TSDL</w:t>
      </w:r>
      <w:r w:rsidR="00212EB2">
        <w:t xml:space="preserve"> and CPO</w:t>
      </w:r>
      <w:r>
        <w:t xml:space="preserve">, and </w:t>
      </w:r>
      <w:r w:rsidR="007E2A9F">
        <w:t xml:space="preserve">to </w:t>
      </w:r>
      <w:r>
        <w:t xml:space="preserve">help to identify possible mitigations and opportunities associated with the project, relevant published literature from governmental, academic and third sector sources were reviewed. This allowed for the characterisation of potential risks and impacts typically associated with </w:t>
      </w:r>
      <w:r w:rsidR="00771559">
        <w:t xml:space="preserve">housing </w:t>
      </w:r>
      <w:r>
        <w:t>development</w:t>
      </w:r>
      <w:r w:rsidR="00771559">
        <w:t>s</w:t>
      </w:r>
      <w:r>
        <w:t xml:space="preserve">, to understand whether they apply in this instance. </w:t>
      </w:r>
    </w:p>
    <w:p w14:paraId="251BBB33" w14:textId="134A77FF" w:rsidR="00950E51" w:rsidRDefault="004F582C" w:rsidP="00950E51">
      <w:r w:rsidRPr="00950E51">
        <w:rPr>
          <w:rStyle w:val="Heading4Char"/>
        </w:rPr>
        <w:lastRenderedPageBreak/>
        <w:t>Demographic analysis of the site and surrounding area:</w:t>
      </w:r>
      <w:r>
        <w:t xml:space="preserve"> A social and demographic profile of </w:t>
      </w:r>
      <w:r w:rsidR="009C1A45">
        <w:t>the local</w:t>
      </w:r>
      <w:r>
        <w:t xml:space="preserve"> area around </w:t>
      </w:r>
      <w:r w:rsidR="009C1A45">
        <w:t>the TSDL site was</w:t>
      </w:r>
      <w:r w:rsidR="00950E51">
        <w:t xml:space="preserve"> collated and compared with wider social and demographic data to </w:t>
      </w:r>
      <w:r w:rsidR="00813E4D">
        <w:t>understand the context of the area.</w:t>
      </w:r>
    </w:p>
    <w:p w14:paraId="33E95624" w14:textId="77777777" w:rsidR="00950E51" w:rsidRDefault="00950E51" w:rsidP="00950E51">
      <w:pPr>
        <w:pStyle w:val="Heading4"/>
      </w:pPr>
      <w:r>
        <w:t xml:space="preserve">Impact assessment </w:t>
      </w:r>
    </w:p>
    <w:p w14:paraId="199A68EA" w14:textId="102CD8B0" w:rsidR="00950E51" w:rsidRDefault="00950E51" w:rsidP="00950E51">
      <w:r w:rsidRPr="00B7263A">
        <w:rPr>
          <w:rStyle w:val="Heading4Char"/>
        </w:rPr>
        <w:t>Assessment of potential effects</w:t>
      </w:r>
      <w:r w:rsidRPr="00235FA7">
        <w:rPr>
          <w:color w:val="2FB6BC" w:themeColor="accent1"/>
        </w:rPr>
        <w:t>:</w:t>
      </w:r>
      <w:r>
        <w:t xml:space="preserve"> Potential impacts were identified and assessed using the research undertaken in the stages above. Assessment of impacts was undertaken in the light of sensitivity of the affected parties to the </w:t>
      </w:r>
      <w:r w:rsidR="00212EB2">
        <w:t xml:space="preserve">TSDL and </w:t>
      </w:r>
      <w:r>
        <w:t xml:space="preserve">CPO. </w:t>
      </w:r>
      <w:r w:rsidR="008969E8">
        <w:t xml:space="preserve">Both adverse and beneficial impacts were identified in the context of any mitigation measures implemented or proposed by the Council. </w:t>
      </w:r>
    </w:p>
    <w:p w14:paraId="5140F8A7" w14:textId="271ADBEE" w:rsidR="008421F7" w:rsidRDefault="008421F7" w:rsidP="008421F7">
      <w:pPr>
        <w:pStyle w:val="Heading4"/>
      </w:pPr>
      <w:r>
        <w:t xml:space="preserve">Action planning </w:t>
      </w:r>
    </w:p>
    <w:p w14:paraId="63B551DF" w14:textId="0BADBDEF" w:rsidR="008421F7" w:rsidRDefault="008421F7" w:rsidP="008421F7">
      <w:r w:rsidRPr="00235FA7">
        <w:rPr>
          <w:color w:val="2FB6BC" w:themeColor="accent1"/>
        </w:rPr>
        <w:t>Making recommendations:</w:t>
      </w:r>
      <w:r>
        <w:t xml:space="preserve"> Based on the impacts identified, a series of conclusions and further recommendations were developed, to help manage CPO </w:t>
      </w:r>
      <w:r w:rsidR="00DF2443">
        <w:t>process</w:t>
      </w:r>
      <w:r w:rsidR="00735B87">
        <w:t xml:space="preserve">, the TSDL </w:t>
      </w:r>
      <w:r w:rsidR="00DF2443">
        <w:t xml:space="preserve">and the impacts identified in the local area. </w:t>
      </w:r>
    </w:p>
    <w:p w14:paraId="3A1C35C1" w14:textId="3B29C71A" w:rsidR="00A17920" w:rsidRDefault="00D94F58" w:rsidP="00A17920">
      <w:pPr>
        <w:pStyle w:val="Heading2"/>
      </w:pPr>
      <w:r>
        <w:t>Approach to</w:t>
      </w:r>
      <w:r w:rsidR="00A17920">
        <w:t xml:space="preserve"> identifying impacts </w:t>
      </w:r>
    </w:p>
    <w:p w14:paraId="5C949938" w14:textId="23FA38B6" w:rsidR="00A17920" w:rsidRDefault="00C61344" w:rsidP="00C61344">
      <w:pPr>
        <w:pStyle w:val="Heading3"/>
      </w:pPr>
      <w:r>
        <w:t xml:space="preserve">Differential impacts </w:t>
      </w:r>
    </w:p>
    <w:p w14:paraId="2FB1293D" w14:textId="6B043579" w:rsidR="00C61344" w:rsidRDefault="00C61344" w:rsidP="00C61344">
      <w:r>
        <w:t>Differential impacts occur where people with protected characteristics are likely to be affected in a different way to other members of the general population. This may be because groups have specific needs or are more susceptible to the impact due to their protected characteristics. These impact</w:t>
      </w:r>
      <w:r w:rsidR="005C4CD9">
        <w:t xml:space="preserve">s are not dependent on the number of people affected. </w:t>
      </w:r>
    </w:p>
    <w:p w14:paraId="4E313E89" w14:textId="43804E3D" w:rsidR="00D33D5D" w:rsidRDefault="00EB1746" w:rsidP="00C61344">
      <w:r>
        <w:t xml:space="preserve">The desk-based research stages of the analysis are used to explore the potential impact of the </w:t>
      </w:r>
      <w:r w:rsidR="00CD6EA9">
        <w:t>CPO</w:t>
      </w:r>
      <w:r w:rsidR="00F329F3">
        <w:t xml:space="preserve"> and TSDL</w:t>
      </w:r>
      <w:r w:rsidR="00C62E02">
        <w:t>. The output of this work identifies those protected characteristic groups that are likely to experience impacts arising from the CPO</w:t>
      </w:r>
      <w:r w:rsidR="00F329F3">
        <w:t xml:space="preserve"> and TSDL</w:t>
      </w:r>
      <w:r w:rsidR="00C62E02">
        <w:t xml:space="preserve"> and explains why. </w:t>
      </w:r>
    </w:p>
    <w:p w14:paraId="19F83081" w14:textId="77777777" w:rsidR="00D33D5D" w:rsidRDefault="00D33D5D" w:rsidP="00D33D5D">
      <w:pPr>
        <w:pStyle w:val="Heading3"/>
      </w:pPr>
      <w:r>
        <w:t xml:space="preserve">Disproportionate impacts </w:t>
      </w:r>
    </w:p>
    <w:p w14:paraId="6C1B65B6" w14:textId="04B7BEB0" w:rsidR="00EB1746" w:rsidRDefault="00D33D5D" w:rsidP="00D33D5D">
      <w:r>
        <w:t xml:space="preserve">Disproportionate impacts occur where there is likely to be a comparatively greater effect on people from a particular protected characteristic group than on </w:t>
      </w:r>
      <w:r w:rsidR="00FC0189">
        <w:t xml:space="preserve">other members of the general population. Disproportionate effects may occur if the affected </w:t>
      </w:r>
      <w:r w:rsidR="00663B43">
        <w:t xml:space="preserve">community comprises of a higher than average proportion of people </w:t>
      </w:r>
      <w:r w:rsidR="004F7D03">
        <w:t>with a particular protected characteristic, or because people from a part</w:t>
      </w:r>
      <w:r w:rsidR="006F0F23">
        <w:t xml:space="preserve">icular protected characteristic group are the primary users of an affected resource. </w:t>
      </w:r>
    </w:p>
    <w:p w14:paraId="635D0129" w14:textId="769B3066" w:rsidR="006F0F23" w:rsidRDefault="006F0F23" w:rsidP="00D33D5D">
      <w:r>
        <w:t>Ident</w:t>
      </w:r>
      <w:r w:rsidR="00627359">
        <w:t xml:space="preserve">ifying disproportionate impacts involves determining the demographic composition </w:t>
      </w:r>
      <w:r w:rsidR="00394D4A">
        <w:t xml:space="preserve">of the area where impacts are expected to arise; this work identifies the numbers and proportions of people from protected characteristic groups around </w:t>
      </w:r>
      <w:r w:rsidR="006054E7">
        <w:t>Tangmere</w:t>
      </w:r>
      <w:r w:rsidR="005A31F7">
        <w:t>, Chichester and the South East region</w:t>
      </w:r>
      <w:r w:rsidR="001A2E98">
        <w:t xml:space="preserve">. </w:t>
      </w:r>
    </w:p>
    <w:p w14:paraId="414555A4" w14:textId="77777777" w:rsidR="004E1D70" w:rsidRDefault="004E1D70" w:rsidP="00D33D5D"/>
    <w:p w14:paraId="5DAFEC16" w14:textId="77777777" w:rsidR="004E1D70" w:rsidRDefault="004E1D70" w:rsidP="00D33D5D"/>
    <w:p w14:paraId="5EE3A080" w14:textId="77777777" w:rsidR="004E1D70" w:rsidRDefault="004E1D70" w:rsidP="00D33D5D"/>
    <w:p w14:paraId="25D676FE" w14:textId="77777777" w:rsidR="004E1D70" w:rsidRDefault="004E1D70" w:rsidP="00D33D5D"/>
    <w:p w14:paraId="1E8DC091" w14:textId="77777777" w:rsidR="004E1D70" w:rsidRDefault="004E1D70" w:rsidP="00D33D5D"/>
    <w:p w14:paraId="50FC68B6" w14:textId="77777777" w:rsidR="004E1D70" w:rsidRDefault="004E1D70" w:rsidP="00D33D5D"/>
    <w:p w14:paraId="7EDC371F" w14:textId="341F8F1E" w:rsidR="004E1D70" w:rsidRDefault="008B0519" w:rsidP="004E1D70">
      <w:pPr>
        <w:pStyle w:val="Heading1"/>
      </w:pPr>
      <w:bookmarkStart w:id="4" w:name="_Toc31809566"/>
      <w:r>
        <w:lastRenderedPageBreak/>
        <w:t xml:space="preserve">Tangmere Strategic Development Location: </w:t>
      </w:r>
      <w:r w:rsidR="00075454">
        <w:t>redevelopment</w:t>
      </w:r>
      <w:r>
        <w:t xml:space="preserve"> </w:t>
      </w:r>
      <w:r w:rsidR="00F5465A">
        <w:t>context</w:t>
      </w:r>
      <w:bookmarkEnd w:id="4"/>
    </w:p>
    <w:p w14:paraId="0F7B51DD" w14:textId="073D9694" w:rsidR="00091B57" w:rsidRDefault="00091B57" w:rsidP="00091B57">
      <w:pPr>
        <w:pStyle w:val="Heading2"/>
      </w:pPr>
      <w:r>
        <w:t>Overview</w:t>
      </w:r>
    </w:p>
    <w:p w14:paraId="0F80E79C" w14:textId="56578470" w:rsidR="00501085" w:rsidRDefault="00501085" w:rsidP="00EB00CB">
      <w:r>
        <w:t xml:space="preserve">The 76.3ha TSDL is located to the immediate west of </w:t>
      </w:r>
      <w:r w:rsidR="0078769D">
        <w:t>the village of Tangmere</w:t>
      </w:r>
      <w:r>
        <w:t>. The site is greenfield</w:t>
      </w:r>
      <w:r w:rsidR="00840928">
        <w:t xml:space="preserve"> in nature</w:t>
      </w:r>
      <w:r w:rsidR="0047354F">
        <w:t xml:space="preserve">, separated into fields </w:t>
      </w:r>
      <w:r w:rsidR="002B3B0A">
        <w:t xml:space="preserve">and currently used for agricultural purposes </w:t>
      </w:r>
      <w:r w:rsidR="0047354F">
        <w:t>(</w:t>
      </w:r>
      <w:r w:rsidR="00263DE3">
        <w:t xml:space="preserve">primarily </w:t>
      </w:r>
      <w:r w:rsidR="0047354F">
        <w:t>the</w:t>
      </w:r>
      <w:r w:rsidR="00263DE3">
        <w:t xml:space="preserve"> growing of crops</w:t>
      </w:r>
      <w:r w:rsidR="0047354F">
        <w:t>)</w:t>
      </w:r>
      <w:r w:rsidR="00263DE3">
        <w:t>.</w:t>
      </w:r>
      <w:r w:rsidR="00263DE3" w:rsidRPr="00263DE3">
        <w:t xml:space="preserve"> </w:t>
      </w:r>
      <w:r w:rsidR="0047354F">
        <w:t>T</w:t>
      </w:r>
      <w:r w:rsidR="00A31A97">
        <w:t>here is no physical infrastructure present</w:t>
      </w:r>
      <w:r w:rsidR="0047354F">
        <w:t xml:space="preserve"> on the TSDL</w:t>
      </w:r>
      <w:r w:rsidR="00A31A97">
        <w:t xml:space="preserve">. </w:t>
      </w:r>
      <w:r>
        <w:t xml:space="preserve">The </w:t>
      </w:r>
      <w:r w:rsidR="0047354F">
        <w:t xml:space="preserve">extent of the </w:t>
      </w:r>
      <w:r>
        <w:t>site is defined by the red line boundary</w:t>
      </w:r>
      <w:r w:rsidR="00795BA1">
        <w:t xml:space="preserve"> (RLB)</w:t>
      </w:r>
      <w:r>
        <w:t xml:space="preserve"> as shown in Figure </w:t>
      </w:r>
      <w:r w:rsidR="004C3811">
        <w:t>2</w:t>
      </w:r>
      <w:r>
        <w:t>.1 below.</w:t>
      </w:r>
    </w:p>
    <w:p w14:paraId="413BC504" w14:textId="3A96E887" w:rsidR="00E43A0B" w:rsidRDefault="00AF65D2" w:rsidP="00D01BEC">
      <w:r>
        <w:t>T</w:t>
      </w:r>
      <w:r w:rsidR="00BD7629">
        <w:t xml:space="preserve">angmere </w:t>
      </w:r>
      <w:r>
        <w:t xml:space="preserve">is </w:t>
      </w:r>
      <w:r w:rsidR="003A0CE1">
        <w:t xml:space="preserve">a village </w:t>
      </w:r>
      <w:r>
        <w:t>located to the east of Chichester</w:t>
      </w:r>
      <w:r w:rsidR="00047C72">
        <w:t>,</w:t>
      </w:r>
      <w:r w:rsidR="006C3491">
        <w:t xml:space="preserve"> within Chichester District Council’s administrative boundary</w:t>
      </w:r>
      <w:r w:rsidR="00BD7629">
        <w:t xml:space="preserve">, in the </w:t>
      </w:r>
      <w:r w:rsidR="003D1494">
        <w:t>S</w:t>
      </w:r>
      <w:r w:rsidR="00BD7629">
        <w:t xml:space="preserve">outh </w:t>
      </w:r>
      <w:r w:rsidR="003D1494">
        <w:t>E</w:t>
      </w:r>
      <w:r w:rsidR="00BD7629">
        <w:t>ast of England</w:t>
      </w:r>
      <w:r w:rsidR="006C3491">
        <w:t>.</w:t>
      </w:r>
      <w:r w:rsidR="00C145C0">
        <w:t xml:space="preserve"> </w:t>
      </w:r>
      <w:r w:rsidR="00F248AA">
        <w:t xml:space="preserve">Several community resources are located </w:t>
      </w:r>
      <w:r w:rsidR="0047354F">
        <w:t xml:space="preserve">in Tangmere, </w:t>
      </w:r>
      <w:r w:rsidR="00117A58">
        <w:t>to the</w:t>
      </w:r>
      <w:r w:rsidR="00417C06">
        <w:t xml:space="preserve"> east of the TSDL site</w:t>
      </w:r>
      <w:r w:rsidR="003D1494">
        <w:t xml:space="preserve">, </w:t>
      </w:r>
      <w:r w:rsidR="00595923">
        <w:t>includ</w:t>
      </w:r>
      <w:r w:rsidR="003D1494">
        <w:t>ing</w:t>
      </w:r>
      <w:r w:rsidR="00595923">
        <w:t xml:space="preserve"> a children’s nursery, church, dentist, health centre, primary school and a public hall</w:t>
      </w:r>
      <w:r w:rsidR="00144673">
        <w:t xml:space="preserve">. The location of these resources is </w:t>
      </w:r>
      <w:r w:rsidR="002034EC">
        <w:t>s</w:t>
      </w:r>
      <w:r w:rsidR="00144673">
        <w:t xml:space="preserve">hown in </w:t>
      </w:r>
      <w:r w:rsidR="00595923">
        <w:t>Fig</w:t>
      </w:r>
      <w:r w:rsidR="008C792F">
        <w:t>ure</w:t>
      </w:r>
      <w:r w:rsidR="00595923">
        <w:t xml:space="preserve"> 2.2.</w:t>
      </w:r>
      <w:r w:rsidR="00A1342D">
        <w:t xml:space="preserve"> </w:t>
      </w:r>
    </w:p>
    <w:p w14:paraId="7835EF10" w14:textId="2E768444" w:rsidR="00794BEE" w:rsidRDefault="00CF6464" w:rsidP="00CA13CB">
      <w:pPr>
        <w:pStyle w:val="Caption"/>
      </w:pPr>
      <w:bookmarkStart w:id="5" w:name="_Toc31809594"/>
      <w:r>
        <w:t>Figure</w:t>
      </w:r>
      <w:r w:rsidR="00CA13CB" w:rsidRPr="00702568">
        <w:t xml:space="preserve"> </w:t>
      </w:r>
      <w:r w:rsidR="00CA13CB">
        <w:rPr>
          <w:noProof/>
        </w:rPr>
        <w:fldChar w:fldCharType="begin"/>
      </w:r>
      <w:r w:rsidR="00CA13CB">
        <w:rPr>
          <w:noProof/>
        </w:rPr>
        <w:instrText xml:space="preserve"> STYLEREF 1 \s </w:instrText>
      </w:r>
      <w:r w:rsidR="00CA13CB">
        <w:rPr>
          <w:noProof/>
        </w:rPr>
        <w:fldChar w:fldCharType="separate"/>
      </w:r>
      <w:r>
        <w:rPr>
          <w:noProof/>
        </w:rPr>
        <w:t>2</w:t>
      </w:r>
      <w:r w:rsidR="00CA13CB">
        <w:rPr>
          <w:noProof/>
        </w:rPr>
        <w:fldChar w:fldCharType="end"/>
      </w:r>
      <w:r w:rsidR="00CA13CB">
        <w:t>.</w:t>
      </w:r>
      <w:r w:rsidR="00CA13CB">
        <w:rPr>
          <w:noProof/>
        </w:rPr>
        <w:fldChar w:fldCharType="begin"/>
      </w:r>
      <w:r w:rsidR="00CA13CB">
        <w:rPr>
          <w:noProof/>
        </w:rPr>
        <w:instrText xml:space="preserve"> SEQ Figure \* ARABIC \s 1 </w:instrText>
      </w:r>
      <w:r w:rsidR="00CA13CB">
        <w:rPr>
          <w:noProof/>
        </w:rPr>
        <w:fldChar w:fldCharType="separate"/>
      </w:r>
      <w:r>
        <w:rPr>
          <w:noProof/>
        </w:rPr>
        <w:t>1</w:t>
      </w:r>
      <w:r w:rsidR="00CA13CB">
        <w:rPr>
          <w:noProof/>
        </w:rPr>
        <w:fldChar w:fldCharType="end"/>
      </w:r>
      <w:r w:rsidR="00CA13CB">
        <w:rPr>
          <w:noProof/>
        </w:rPr>
        <w:t>:</w:t>
      </w:r>
      <w:r w:rsidR="00CA13CB">
        <w:t xml:space="preserve"> </w:t>
      </w:r>
      <w:r w:rsidR="00CA13CB">
        <w:fldChar w:fldCharType="begin">
          <w:ffData>
            <w:name w:val=""/>
            <w:enabled/>
            <w:calcOnExit w:val="0"/>
            <w:textInput>
              <w:default w:val="Tangmere Strategic Development Location red line boundary"/>
            </w:textInput>
          </w:ffData>
        </w:fldChar>
      </w:r>
      <w:r w:rsidR="00CA13CB">
        <w:instrText xml:space="preserve"> FORMTEXT </w:instrText>
      </w:r>
      <w:r w:rsidR="00CA13CB">
        <w:fldChar w:fldCharType="separate"/>
      </w:r>
      <w:r>
        <w:rPr>
          <w:noProof/>
        </w:rPr>
        <w:t>Tangmere Strategic Development Location red line boundary</w:t>
      </w:r>
      <w:bookmarkEnd w:id="5"/>
      <w:r w:rsidR="00CA13CB">
        <w:fldChar w:fldCharType="end"/>
      </w:r>
    </w:p>
    <w:p w14:paraId="39A42D85" w14:textId="5804EEF6" w:rsidR="00794BEE" w:rsidRDefault="006E7DDA" w:rsidP="00794BEE">
      <w:pPr>
        <w:pStyle w:val="Bullet1"/>
        <w:numPr>
          <w:ilvl w:val="0"/>
          <w:numId w:val="0"/>
        </w:numPr>
        <w:ind w:left="284" w:hanging="284"/>
      </w:pPr>
      <w:r w:rsidRPr="006E7DDA">
        <w:rPr>
          <w:noProof/>
          <w:lang w:eastAsia="en-GB"/>
        </w:rPr>
        <w:drawing>
          <wp:inline distT="0" distB="0" distL="0" distR="0" wp14:anchorId="50502CAE" wp14:editId="27EC4778">
            <wp:extent cx="6245200" cy="4509135"/>
            <wp:effectExtent l="0" t="0" r="3810" b="5715"/>
            <wp:docPr id="23" name="Picture 23" descr="Map of Tangmere ward" title="Mott Macdona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64"/>
                    <a:stretch/>
                  </pic:blipFill>
                  <pic:spPr bwMode="auto">
                    <a:xfrm>
                      <a:off x="0" y="0"/>
                      <a:ext cx="6253160" cy="4514882"/>
                    </a:xfrm>
                    <a:prstGeom prst="rect">
                      <a:avLst/>
                    </a:prstGeom>
                    <a:ln>
                      <a:noFill/>
                    </a:ln>
                    <a:extLst>
                      <a:ext uri="{53640926-AAD7-44D8-BBD7-CCE9431645EC}">
                        <a14:shadowObscured xmlns:a14="http://schemas.microsoft.com/office/drawing/2010/main"/>
                      </a:ext>
                    </a:extLst>
                  </pic:spPr>
                </pic:pic>
              </a:graphicData>
            </a:graphic>
          </wp:inline>
        </w:drawing>
      </w:r>
    </w:p>
    <w:p w14:paraId="5C088182" w14:textId="2075D2EC" w:rsidR="00794BEE" w:rsidRPr="00CA13CB" w:rsidRDefault="00CA13CB" w:rsidP="00794BEE">
      <w:pPr>
        <w:pStyle w:val="Bullet1"/>
        <w:numPr>
          <w:ilvl w:val="0"/>
          <w:numId w:val="0"/>
        </w:numPr>
        <w:ind w:left="284" w:hanging="284"/>
        <w:rPr>
          <w:sz w:val="16"/>
        </w:rPr>
      </w:pPr>
      <w:r>
        <w:rPr>
          <w:sz w:val="16"/>
        </w:rPr>
        <w:t xml:space="preserve"> </w:t>
      </w:r>
      <w:r w:rsidRPr="00CA13CB">
        <w:rPr>
          <w:sz w:val="16"/>
        </w:rPr>
        <w:t>Source: Mott MacDonald, 20</w:t>
      </w:r>
      <w:r w:rsidR="00F412C6">
        <w:rPr>
          <w:sz w:val="16"/>
        </w:rPr>
        <w:t>20</w:t>
      </w:r>
    </w:p>
    <w:p w14:paraId="6CE0321D" w14:textId="77777777" w:rsidR="00A40E04" w:rsidRDefault="00A40E04" w:rsidP="00047C72">
      <w:pPr>
        <w:pStyle w:val="Bullet1"/>
        <w:numPr>
          <w:ilvl w:val="0"/>
          <w:numId w:val="0"/>
        </w:numPr>
        <w:ind w:left="284"/>
      </w:pPr>
    </w:p>
    <w:p w14:paraId="10E4B85B" w14:textId="13BCF04F" w:rsidR="00A40E04" w:rsidRDefault="00CF6464" w:rsidP="00017673">
      <w:pPr>
        <w:pStyle w:val="Caption"/>
      </w:pPr>
      <w:bookmarkStart w:id="6" w:name="_Toc31809595"/>
      <w:r>
        <w:lastRenderedPageBreak/>
        <w:t>Figure</w:t>
      </w:r>
      <w:r w:rsidR="00017673" w:rsidRPr="00702568">
        <w:t xml:space="preserve"> </w:t>
      </w:r>
      <w:r w:rsidR="00017673">
        <w:rPr>
          <w:noProof/>
        </w:rPr>
        <w:fldChar w:fldCharType="begin"/>
      </w:r>
      <w:r w:rsidR="00017673">
        <w:rPr>
          <w:noProof/>
        </w:rPr>
        <w:instrText xml:space="preserve"> STYLEREF 1 \s </w:instrText>
      </w:r>
      <w:r w:rsidR="00017673">
        <w:rPr>
          <w:noProof/>
        </w:rPr>
        <w:fldChar w:fldCharType="separate"/>
      </w:r>
      <w:r>
        <w:rPr>
          <w:noProof/>
        </w:rPr>
        <w:t>2</w:t>
      </w:r>
      <w:r w:rsidR="00017673">
        <w:rPr>
          <w:noProof/>
        </w:rPr>
        <w:fldChar w:fldCharType="end"/>
      </w:r>
      <w:r w:rsidR="00017673">
        <w:t>.</w:t>
      </w:r>
      <w:r w:rsidR="00017673">
        <w:rPr>
          <w:noProof/>
        </w:rPr>
        <w:fldChar w:fldCharType="begin"/>
      </w:r>
      <w:r w:rsidR="00017673">
        <w:rPr>
          <w:noProof/>
        </w:rPr>
        <w:instrText xml:space="preserve"> SEQ Figure \* ARABIC \s 1 </w:instrText>
      </w:r>
      <w:r w:rsidR="00017673">
        <w:rPr>
          <w:noProof/>
        </w:rPr>
        <w:fldChar w:fldCharType="separate"/>
      </w:r>
      <w:r>
        <w:rPr>
          <w:noProof/>
        </w:rPr>
        <w:t>2</w:t>
      </w:r>
      <w:r w:rsidR="00017673">
        <w:rPr>
          <w:noProof/>
        </w:rPr>
        <w:fldChar w:fldCharType="end"/>
      </w:r>
      <w:r w:rsidR="00017673">
        <w:rPr>
          <w:noProof/>
        </w:rPr>
        <w:t>:</w:t>
      </w:r>
      <w:r w:rsidR="00017673">
        <w:t xml:space="preserve"> </w:t>
      </w:r>
      <w:r w:rsidR="00017673">
        <w:fldChar w:fldCharType="begin">
          <w:ffData>
            <w:name w:val=""/>
            <w:enabled/>
            <w:calcOnExit w:val="0"/>
            <w:textInput>
              <w:default w:val="Community resources in Tangmere"/>
            </w:textInput>
          </w:ffData>
        </w:fldChar>
      </w:r>
      <w:r w:rsidR="00017673">
        <w:instrText xml:space="preserve"> FORMTEXT </w:instrText>
      </w:r>
      <w:r w:rsidR="00017673">
        <w:fldChar w:fldCharType="separate"/>
      </w:r>
      <w:r>
        <w:rPr>
          <w:noProof/>
        </w:rPr>
        <w:t>Community resources in Tangmere</w:t>
      </w:r>
      <w:bookmarkEnd w:id="6"/>
      <w:r w:rsidR="00017673">
        <w:fldChar w:fldCharType="end"/>
      </w:r>
    </w:p>
    <w:p w14:paraId="091D073D" w14:textId="12BD2385" w:rsidR="00017673" w:rsidRPr="00AF65D2" w:rsidRDefault="00017673" w:rsidP="00794D01">
      <w:pPr>
        <w:pStyle w:val="Bullet1"/>
        <w:numPr>
          <w:ilvl w:val="0"/>
          <w:numId w:val="0"/>
        </w:numPr>
      </w:pPr>
      <w:r w:rsidRPr="00017673">
        <w:rPr>
          <w:noProof/>
          <w:lang w:eastAsia="en-GB"/>
        </w:rPr>
        <w:drawing>
          <wp:inline distT="0" distB="0" distL="0" distR="0" wp14:anchorId="7D08672D" wp14:editId="7826B5D6">
            <wp:extent cx="5914116" cy="4273550"/>
            <wp:effectExtent l="0" t="0" r="0" b="0"/>
            <wp:docPr id="25" name="Picture 25" descr="showing community resources" title="Map of Tang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43"/>
                    <a:stretch/>
                  </pic:blipFill>
                  <pic:spPr bwMode="auto">
                    <a:xfrm>
                      <a:off x="0" y="0"/>
                      <a:ext cx="5919364" cy="4277342"/>
                    </a:xfrm>
                    <a:prstGeom prst="rect">
                      <a:avLst/>
                    </a:prstGeom>
                    <a:ln>
                      <a:noFill/>
                    </a:ln>
                    <a:extLst>
                      <a:ext uri="{53640926-AAD7-44D8-BBD7-CCE9431645EC}">
                        <a14:shadowObscured xmlns:a14="http://schemas.microsoft.com/office/drawing/2010/main"/>
                      </a:ext>
                    </a:extLst>
                  </pic:spPr>
                </pic:pic>
              </a:graphicData>
            </a:graphic>
          </wp:inline>
        </w:drawing>
      </w:r>
    </w:p>
    <w:p w14:paraId="383A9187" w14:textId="5261304C" w:rsidR="00A40E04" w:rsidRPr="00CA13CB" w:rsidRDefault="00A40E04" w:rsidP="00F412C6">
      <w:pPr>
        <w:pStyle w:val="Bullet1"/>
        <w:numPr>
          <w:ilvl w:val="0"/>
          <w:numId w:val="0"/>
        </w:numPr>
        <w:ind w:left="284" w:hanging="284"/>
        <w:rPr>
          <w:sz w:val="16"/>
        </w:rPr>
      </w:pPr>
      <w:r w:rsidRPr="00CA13CB">
        <w:rPr>
          <w:sz w:val="16"/>
        </w:rPr>
        <w:t>Source: Mott MacDonald, 20</w:t>
      </w:r>
      <w:r w:rsidR="00F412C6">
        <w:rPr>
          <w:sz w:val="16"/>
        </w:rPr>
        <w:t>20</w:t>
      </w:r>
    </w:p>
    <w:p w14:paraId="6A8E42F1" w14:textId="04D139AD" w:rsidR="00335A29" w:rsidRDefault="00804761" w:rsidP="00D01BEC">
      <w:r>
        <w:t xml:space="preserve">The </w:t>
      </w:r>
      <w:r w:rsidR="00D01BEC">
        <w:t>Chichester Local Plan</w:t>
      </w:r>
      <w:r w:rsidR="005D4260">
        <w:rPr>
          <w:rStyle w:val="FootnoteReference"/>
        </w:rPr>
        <w:footnoteReference w:id="2"/>
      </w:r>
      <w:r w:rsidR="00D01BEC">
        <w:t xml:space="preserve">, adopted in 2015, sets out the key policies for the enhancement of the local community through the development of new homes, </w:t>
      </w:r>
      <w:r w:rsidR="00E412C9">
        <w:t>workspaces</w:t>
      </w:r>
      <w:r w:rsidR="00D01BEC">
        <w:t xml:space="preserve"> and improved transport connection. </w:t>
      </w:r>
      <w:r w:rsidR="00335A29">
        <w:t>The key policies that relate to Tangmere are set out below.</w:t>
      </w:r>
    </w:p>
    <w:p w14:paraId="1F68DB83" w14:textId="77777777" w:rsidR="00335A29" w:rsidRDefault="00335A29" w:rsidP="00335A29">
      <w:pPr>
        <w:pStyle w:val="Bullet1"/>
      </w:pPr>
      <w:r w:rsidRPr="005C6FFC">
        <w:rPr>
          <w:b/>
          <w:i/>
        </w:rPr>
        <w:t>Policy 2 (Development Strategy and Settlement Hierarchy)</w:t>
      </w:r>
      <w:r>
        <w:t xml:space="preserve"> of the Local Plan identifies Tangmere as being capable of accommodating further sustainable growth to enhance and develop its role as a settlement hub. </w:t>
      </w:r>
    </w:p>
    <w:p w14:paraId="14B9FC6C" w14:textId="77777777" w:rsidR="00335A29" w:rsidRDefault="00335A29" w:rsidP="00335A29">
      <w:pPr>
        <w:pStyle w:val="Bullet1"/>
      </w:pPr>
      <w:r w:rsidRPr="005C6FFC">
        <w:rPr>
          <w:b/>
          <w:i/>
        </w:rPr>
        <w:t>Policy 4 (Housing Provision)</w:t>
      </w:r>
      <w:r>
        <w:t xml:space="preserve"> states that strategic development locations are allocated in the Local Plan to accommodate 3,250 homes over the local plan period. </w:t>
      </w:r>
    </w:p>
    <w:p w14:paraId="3E1567D1" w14:textId="77777777" w:rsidR="00335A29" w:rsidRDefault="00335A29" w:rsidP="00335A29">
      <w:pPr>
        <w:pStyle w:val="Bullet1"/>
      </w:pPr>
      <w:r>
        <w:t xml:space="preserve">The TSDL is identified within </w:t>
      </w:r>
      <w:r w:rsidRPr="005C6FFC">
        <w:rPr>
          <w:b/>
          <w:i/>
        </w:rPr>
        <w:t>Local Plan Policy 18</w:t>
      </w:r>
      <w:r>
        <w:t xml:space="preserve"> for the delivery of 1,000 homes and associated infrastructure including a school, open space and community facilities. </w:t>
      </w:r>
    </w:p>
    <w:p w14:paraId="563C99B0" w14:textId="699E564C" w:rsidR="00335A29" w:rsidRDefault="00335A29" w:rsidP="00335A29">
      <w:pPr>
        <w:pStyle w:val="Bullet1"/>
      </w:pPr>
      <w:r w:rsidRPr="005C6FFC">
        <w:rPr>
          <w:b/>
          <w:i/>
        </w:rPr>
        <w:t>Policy 7 (‘</w:t>
      </w:r>
      <w:proofErr w:type="spellStart"/>
      <w:r w:rsidRPr="005C6FFC">
        <w:rPr>
          <w:b/>
          <w:i/>
        </w:rPr>
        <w:t>Masterplanning</w:t>
      </w:r>
      <w:proofErr w:type="spellEnd"/>
      <w:r w:rsidRPr="005C6FFC">
        <w:rPr>
          <w:b/>
          <w:i/>
        </w:rPr>
        <w:t xml:space="preserve"> Strategic Development’)</w:t>
      </w:r>
      <w:r>
        <w:t xml:space="preserve"> confirms that development of strategic locations identified in the Local Plan (including </w:t>
      </w:r>
      <w:r w:rsidR="00804761">
        <w:t xml:space="preserve">the </w:t>
      </w:r>
      <w:r>
        <w:t xml:space="preserve">TSDL) will be planned through a comprehensive </w:t>
      </w:r>
      <w:proofErr w:type="spellStart"/>
      <w:r>
        <w:t>masterplanning</w:t>
      </w:r>
      <w:proofErr w:type="spellEnd"/>
      <w:r>
        <w:t xml:space="preserve"> process, which will involve the active participation and input of the relevant stakeholders. </w:t>
      </w:r>
    </w:p>
    <w:p w14:paraId="2F8DF468" w14:textId="77777777" w:rsidR="00335A29" w:rsidRDefault="00335A29" w:rsidP="00D01BEC"/>
    <w:p w14:paraId="671528F5" w14:textId="09A432A0" w:rsidR="00D01BEC" w:rsidRPr="00AF65D2" w:rsidRDefault="00D01BEC" w:rsidP="00D01BEC">
      <w:r>
        <w:lastRenderedPageBreak/>
        <w:t>The Local Plan identifie</w:t>
      </w:r>
      <w:r w:rsidR="00804761">
        <w:t>s</w:t>
      </w:r>
      <w:r>
        <w:t xml:space="preserve"> Tangmere as a ‘settlement hub’ </w:t>
      </w:r>
      <w:r w:rsidR="00841855">
        <w:t>–</w:t>
      </w:r>
      <w:r>
        <w:t xml:space="preserve"> a local centre that will provide a reasonable range of employment, retail, social and community facilities that serve the community and local catchment areas. The Tangmere Neighbourhood Plan</w:t>
      </w:r>
      <w:r w:rsidR="00251222">
        <w:rPr>
          <w:rStyle w:val="FootnoteReference"/>
        </w:rPr>
        <w:footnoteReference w:id="3"/>
      </w:r>
      <w:r>
        <w:t xml:space="preserve">, </w:t>
      </w:r>
      <w:r w:rsidR="00804761">
        <w:t xml:space="preserve">which was made </w:t>
      </w:r>
      <w:r>
        <w:t xml:space="preserve"> in 2016, also sets out </w:t>
      </w:r>
      <w:r w:rsidR="0058445D">
        <w:t>a future</w:t>
      </w:r>
      <w:r>
        <w:t xml:space="preserve"> vision for the village and</w:t>
      </w:r>
      <w:r w:rsidR="004E55B2">
        <w:t xml:space="preserve"> the</w:t>
      </w:r>
      <w:r>
        <w:t xml:space="preserve"> </w:t>
      </w:r>
      <w:r w:rsidR="004E55B2">
        <w:t xml:space="preserve">necessary </w:t>
      </w:r>
      <w:r>
        <w:t>policies to achieve t</w:t>
      </w:r>
      <w:r w:rsidR="004E55B2">
        <w:t>his</w:t>
      </w:r>
      <w:r>
        <w:t xml:space="preserve">. </w:t>
      </w:r>
      <w:r w:rsidR="00804761">
        <w:t>Delivery of t</w:t>
      </w:r>
      <w:r w:rsidR="004E55B2">
        <w:t xml:space="preserve">he </w:t>
      </w:r>
      <w:r>
        <w:t>TSDL forms one of the key objectives of</w:t>
      </w:r>
      <w:r w:rsidR="00115A7F">
        <w:t xml:space="preserve"> both</w:t>
      </w:r>
      <w:r>
        <w:t xml:space="preserve"> the Chichester Local Plan and Tangmere Neighbourhood Plan</w:t>
      </w:r>
      <w:r w:rsidR="00C506A1">
        <w:t>,</w:t>
      </w:r>
      <w:r w:rsidR="00EB42FE">
        <w:t xml:space="preserve"> </w:t>
      </w:r>
      <w:r w:rsidR="00C506A1">
        <w:t xml:space="preserve">and demonstrates </w:t>
      </w:r>
      <w:r>
        <w:t>Tangmere’s role in</w:t>
      </w:r>
      <w:r w:rsidR="00C506A1">
        <w:t xml:space="preserve"> improving</w:t>
      </w:r>
      <w:r>
        <w:t xml:space="preserve"> housing provision and the community enhancement</w:t>
      </w:r>
      <w:r w:rsidR="00C506A1">
        <w:t xml:space="preserve">. </w:t>
      </w:r>
      <w:r w:rsidR="00804761">
        <w:t>The Council’s emerging Local Plan proposes to increase the number of dwellings on the TSDL from 1,000 to 1,300. In order to facilitate delivery on the site, t</w:t>
      </w:r>
      <w:r w:rsidR="00C21D91">
        <w:t xml:space="preserve">he </w:t>
      </w:r>
      <w:r>
        <w:t xml:space="preserve">Council has </w:t>
      </w:r>
      <w:r w:rsidR="00CF2262">
        <w:t>decided</w:t>
      </w:r>
      <w:r>
        <w:t xml:space="preserve"> to bring forward the comprehensive development of the TSDL. Through </w:t>
      </w:r>
      <w:r w:rsidR="00CF2262">
        <w:t>a</w:t>
      </w:r>
      <w:r>
        <w:t xml:space="preserve"> competitive tender process,</w:t>
      </w:r>
      <w:r w:rsidR="001C3D79">
        <w:t xml:space="preserve"> in February 2019</w:t>
      </w:r>
      <w:r>
        <w:t xml:space="preserve"> Countryside was </w:t>
      </w:r>
      <w:r w:rsidR="00CA1470">
        <w:t xml:space="preserve">appointed </w:t>
      </w:r>
      <w:r>
        <w:t xml:space="preserve">as the Council’s development partner to </w:t>
      </w:r>
      <w:r w:rsidR="00CF2262">
        <w:t xml:space="preserve">help </w:t>
      </w:r>
      <w:r>
        <w:t xml:space="preserve">facilitate the residential-led development of the TSDL. </w:t>
      </w:r>
    </w:p>
    <w:p w14:paraId="42FAC14C" w14:textId="7409EE20" w:rsidR="00D01BEC" w:rsidRPr="00AF65D2" w:rsidRDefault="00804761" w:rsidP="00D01BEC">
      <w:r>
        <w:t xml:space="preserve">Delivery of the </w:t>
      </w:r>
      <w:r w:rsidR="00D01BEC">
        <w:t xml:space="preserve">TSDL supports the aspiration </w:t>
      </w:r>
      <w:r w:rsidR="00095AB8">
        <w:t xml:space="preserve">of </w:t>
      </w:r>
      <w:r w:rsidR="004E19BC">
        <w:t>Tangmere Neighbourhood</w:t>
      </w:r>
      <w:r w:rsidR="00095AB8">
        <w:t xml:space="preserve"> Plan </w:t>
      </w:r>
      <w:r w:rsidR="00D01BEC">
        <w:t>for</w:t>
      </w:r>
      <w:r>
        <w:t xml:space="preserve"> a</w:t>
      </w:r>
      <w:r w:rsidR="00D01BEC">
        <w:t xml:space="preserve"> ‘One Village’</w:t>
      </w:r>
      <w:r>
        <w:t xml:space="preserve"> concept</w:t>
      </w:r>
      <w:r w:rsidR="00CF2CB0">
        <w:t>,</w:t>
      </w:r>
      <w:r w:rsidR="00260DBC">
        <w:t xml:space="preserve"> </w:t>
      </w:r>
      <w:r w:rsidR="001A1EBA">
        <w:t xml:space="preserve">using the following </w:t>
      </w:r>
      <w:r w:rsidR="00D01BEC">
        <w:t xml:space="preserve">components </w:t>
      </w:r>
      <w:r w:rsidR="001A1EBA">
        <w:t>to achieve this</w:t>
      </w:r>
      <w:r w:rsidR="00D01BEC">
        <w:t xml:space="preserve">: </w:t>
      </w:r>
    </w:p>
    <w:p w14:paraId="28D66AB6" w14:textId="64F0E2C1" w:rsidR="00D01BEC" w:rsidRPr="00AF65D2" w:rsidRDefault="00D01BEC" w:rsidP="00D01BEC">
      <w:pPr>
        <w:pStyle w:val="Bullet1"/>
      </w:pPr>
      <w:r>
        <w:t xml:space="preserve">A mixed-use ‘Village Main Street’ (approx. 0.5ha) will comprise up to 1,000 sqm of units suited to </w:t>
      </w:r>
      <w:r w:rsidR="004723DC">
        <w:t>retail and business use</w:t>
      </w:r>
      <w:r w:rsidR="000F023B">
        <w:t>.</w:t>
      </w:r>
    </w:p>
    <w:p w14:paraId="44C88363" w14:textId="7FD60776" w:rsidR="00D01BEC" w:rsidRPr="00AF65D2" w:rsidRDefault="00661DF9" w:rsidP="00D01BEC">
      <w:pPr>
        <w:pStyle w:val="Bullet1"/>
      </w:pPr>
      <w:r>
        <w:t xml:space="preserve">Up to 1,300 dwellings, </w:t>
      </w:r>
      <w:r w:rsidR="00D01BEC">
        <w:t xml:space="preserve">30% </w:t>
      </w:r>
      <w:r w:rsidR="006155AF">
        <w:t xml:space="preserve">(390 dwellings) </w:t>
      </w:r>
      <w:r>
        <w:t>of which will be affordable</w:t>
      </w:r>
      <w:r w:rsidR="006155AF">
        <w:rPr>
          <w:rStyle w:val="FootnoteReference"/>
        </w:rPr>
        <w:footnoteReference w:id="4"/>
      </w:r>
      <w:r w:rsidR="000F023B">
        <w:t>.</w:t>
      </w:r>
    </w:p>
    <w:p w14:paraId="5B653A70" w14:textId="0D47AE01" w:rsidR="00D01BEC" w:rsidRPr="00AF65D2" w:rsidRDefault="00D01BEC" w:rsidP="00D01BEC">
      <w:pPr>
        <w:pStyle w:val="Bullet1"/>
      </w:pPr>
      <w:r>
        <w:t>A two-form entry primary school including early years provision. The school site will also include additional land to be safeguarded</w:t>
      </w:r>
      <w:r w:rsidR="007508DA">
        <w:t xml:space="preserve"> </w:t>
      </w:r>
      <w:r>
        <w:t xml:space="preserve">for the </w:t>
      </w:r>
      <w:r w:rsidR="007508DA">
        <w:t xml:space="preserve">potential </w:t>
      </w:r>
      <w:r>
        <w:t xml:space="preserve">future expansion to </w:t>
      </w:r>
      <w:r w:rsidR="007508DA">
        <w:t xml:space="preserve">three </w:t>
      </w:r>
      <w:r>
        <w:t>forms</w:t>
      </w:r>
      <w:r w:rsidR="00CA1470">
        <w:t xml:space="preserve"> of</w:t>
      </w:r>
      <w:r w:rsidR="007508DA">
        <w:t xml:space="preserve"> entry</w:t>
      </w:r>
      <w:r w:rsidR="000F023B">
        <w:t>.</w:t>
      </w:r>
    </w:p>
    <w:p w14:paraId="557FD3D8" w14:textId="2E05C065" w:rsidR="00D01BEC" w:rsidRDefault="00D01BEC" w:rsidP="00D01BEC">
      <w:pPr>
        <w:pStyle w:val="Bullet1"/>
      </w:pPr>
      <w:r>
        <w:t xml:space="preserve">Multi-modal access from Tangmere Road at the south of the </w:t>
      </w:r>
      <w:r w:rsidR="00804761">
        <w:t xml:space="preserve">TSDL </w:t>
      </w:r>
      <w:r>
        <w:t xml:space="preserve">and the A27 grade-separated junction at the north of the </w:t>
      </w:r>
      <w:r w:rsidR="00804761">
        <w:t>TSDL</w:t>
      </w:r>
      <w:r w:rsidR="000F023B">
        <w:t>.</w:t>
      </w:r>
    </w:p>
    <w:p w14:paraId="23EEFAA9" w14:textId="36A4E090" w:rsidR="00D01BEC" w:rsidRPr="00AF65D2" w:rsidRDefault="00D01BEC" w:rsidP="00D01BEC">
      <w:pPr>
        <w:pStyle w:val="Bullet1"/>
      </w:pPr>
      <w:r>
        <w:t>Multi-functional public open space and green infrastructure</w:t>
      </w:r>
      <w:r w:rsidR="00BB1C43">
        <w:t xml:space="preserve">: </w:t>
      </w:r>
      <w:r w:rsidR="00CA1470">
        <w:t xml:space="preserve">including approximately </w:t>
      </w:r>
      <w:r>
        <w:t xml:space="preserve">26.5 hectares </w:t>
      </w:r>
      <w:r w:rsidR="00BB1C43">
        <w:t xml:space="preserve">of </w:t>
      </w:r>
      <w:r>
        <w:t xml:space="preserve">public open space (including amenity and open space), 1.9ha </w:t>
      </w:r>
      <w:r w:rsidR="00BB1C43">
        <w:t xml:space="preserve">of </w:t>
      </w:r>
      <w:r>
        <w:t xml:space="preserve">formal sports provision, 2.1ha </w:t>
      </w:r>
      <w:r w:rsidR="00BB1C43">
        <w:t xml:space="preserve">of </w:t>
      </w:r>
      <w:r>
        <w:t>allotments and 0.8ha of community orchard</w:t>
      </w:r>
      <w:r w:rsidR="000F023B">
        <w:t>.</w:t>
      </w:r>
    </w:p>
    <w:p w14:paraId="2212DC2B" w14:textId="0D31E5E3" w:rsidR="00D01BEC" w:rsidRDefault="00D01BEC" w:rsidP="00D01BEC">
      <w:pPr>
        <w:pStyle w:val="Bullet1"/>
      </w:pPr>
      <w:r>
        <w:t>A network of pedestrian and cycle links, including off-site cycleway improvements</w:t>
      </w:r>
      <w:r w:rsidR="000F023B">
        <w:t>.</w:t>
      </w:r>
    </w:p>
    <w:p w14:paraId="48952EFE" w14:textId="3422E17D" w:rsidR="00D01BEC" w:rsidRDefault="00D01BEC" w:rsidP="00D01BEC">
      <w:pPr>
        <w:pStyle w:val="Bullet1"/>
      </w:pPr>
      <w:r>
        <w:t xml:space="preserve">Community </w:t>
      </w:r>
      <w:r w:rsidR="0020047B">
        <w:t>centre improvements</w:t>
      </w:r>
      <w:r w:rsidR="00215CC5">
        <w:t xml:space="preserve">: two </w:t>
      </w:r>
      <w:r>
        <w:t xml:space="preserve">options </w:t>
      </w:r>
      <w:r w:rsidR="0020047B">
        <w:t xml:space="preserve">exist </w:t>
      </w:r>
      <w:r>
        <w:t>at this stage</w:t>
      </w:r>
      <w:r w:rsidR="0023521D">
        <w:t xml:space="preserve"> - to</w:t>
      </w:r>
      <w:r>
        <w:t xml:space="preserve"> deliver an expansion of the existing community centre in Tangmere, or </w:t>
      </w:r>
      <w:r w:rsidR="0023521D">
        <w:t xml:space="preserve">provide a new centre </w:t>
      </w:r>
      <w:r>
        <w:t xml:space="preserve">elsewhere (to be determined through planning application process). Facilities in the centre may include community rooms, café, indoor sports facilities and library provision. </w:t>
      </w:r>
    </w:p>
    <w:p w14:paraId="53A4C3D0" w14:textId="360F1633" w:rsidR="00A0172A" w:rsidRDefault="00C07D3F" w:rsidP="00C07D3F">
      <w:pPr>
        <w:pStyle w:val="Heading2"/>
      </w:pPr>
      <w:r>
        <w:t xml:space="preserve">Background to </w:t>
      </w:r>
      <w:r w:rsidR="006F642B">
        <w:t xml:space="preserve">the </w:t>
      </w:r>
      <w:r>
        <w:t xml:space="preserve">CPO </w:t>
      </w:r>
    </w:p>
    <w:p w14:paraId="01D4285D" w14:textId="7A11C7EA" w:rsidR="009E05FC" w:rsidRDefault="00BB01AE" w:rsidP="00C73202">
      <w:pPr>
        <w:pStyle w:val="Bullet1"/>
        <w:numPr>
          <w:ilvl w:val="0"/>
          <w:numId w:val="0"/>
        </w:numPr>
      </w:pPr>
      <w:r>
        <w:t xml:space="preserve">Section 226(1)(a) of the Town and Country Planning Act 1990 authorises a local authority to exercise its compulsory purchase powers if it considers that acquiring </w:t>
      </w:r>
      <w:r w:rsidR="00FE446D">
        <w:t>the land in question will facilitate the carrying out of development, redevelopment, or improvement on, or in relation to, the land being acquired, and it is not certain that they will be able to acquire it by agreement</w:t>
      </w:r>
      <w:r w:rsidR="002C1F52">
        <w:t>.</w:t>
      </w:r>
      <w:r w:rsidR="003E0298" w:rsidRPr="006B1F94">
        <w:rPr>
          <w:rStyle w:val="FootnoteReference"/>
        </w:rPr>
        <w:footnoteReference w:id="5"/>
      </w:r>
      <w:r w:rsidR="00FE446D" w:rsidRPr="006B1F94">
        <w:t xml:space="preserve"> </w:t>
      </w:r>
    </w:p>
    <w:p w14:paraId="619CDCF8" w14:textId="431D171B" w:rsidR="004756AB" w:rsidRDefault="001D1DD8" w:rsidP="009E05FC">
      <w:r>
        <w:t xml:space="preserve">Additionally, a local authority must not </w:t>
      </w:r>
      <w:r w:rsidR="00872800">
        <w:t xml:space="preserve">exercise the power under section 226(1)(a) of the 1990 Act unless they think that the development, re-development or improvement is likely to contribute to the achievement of </w:t>
      </w:r>
      <w:r w:rsidR="004B524F">
        <w:t xml:space="preserve">any one or more of the following objectives: </w:t>
      </w:r>
    </w:p>
    <w:p w14:paraId="4F514801" w14:textId="3B3B5B53" w:rsidR="0013533B" w:rsidRDefault="006B459D" w:rsidP="0013533B">
      <w:pPr>
        <w:pStyle w:val="Bullet1"/>
      </w:pPr>
      <w:r>
        <w:lastRenderedPageBreak/>
        <w:t>the promotion or improvement of the economic well-being of their area</w:t>
      </w:r>
      <w:r w:rsidR="00B47767">
        <w:t>;</w:t>
      </w:r>
    </w:p>
    <w:p w14:paraId="1AB41044" w14:textId="7E2B4218" w:rsidR="006B459D" w:rsidRDefault="006B459D" w:rsidP="006B459D">
      <w:pPr>
        <w:pStyle w:val="Bullet1"/>
      </w:pPr>
      <w:r>
        <w:t xml:space="preserve">the promotion </w:t>
      </w:r>
      <w:r w:rsidR="00B47767">
        <w:t xml:space="preserve">or improvement of the social well-being of their area; </w:t>
      </w:r>
    </w:p>
    <w:p w14:paraId="577BC80B" w14:textId="77777777" w:rsidR="00C618FD" w:rsidRDefault="003E4D34" w:rsidP="00C618FD">
      <w:pPr>
        <w:pStyle w:val="Bullet1"/>
      </w:pPr>
      <w:r>
        <w:t xml:space="preserve">the promotion or improvement of the environmental well-being of their area. </w:t>
      </w:r>
      <w:r w:rsidR="001E726F">
        <w:rPr>
          <w:rStyle w:val="FootnoteReference"/>
        </w:rPr>
        <w:footnoteReference w:id="6"/>
      </w:r>
    </w:p>
    <w:p w14:paraId="6C0D976D" w14:textId="4FFE2836" w:rsidR="00F84346" w:rsidRDefault="00C618FD" w:rsidP="005E032F">
      <w:r>
        <w:br/>
      </w:r>
      <w:r w:rsidR="00804761">
        <w:t xml:space="preserve">The </w:t>
      </w:r>
      <w:r w:rsidR="00550657">
        <w:t xml:space="preserve">Chichester Local Plan makes provision for the Council to deliver a total of 7,388 homes </w:t>
      </w:r>
      <w:r w:rsidR="002C1F52">
        <w:t>between 2012 and 202</w:t>
      </w:r>
      <w:r w:rsidR="00804761">
        <w:t>9</w:t>
      </w:r>
      <w:r w:rsidR="002C1F52">
        <w:t xml:space="preserve">, </w:t>
      </w:r>
      <w:r w:rsidR="00550657">
        <w:t xml:space="preserve">with </w:t>
      </w:r>
      <w:r w:rsidR="00804761">
        <w:t xml:space="preserve">3,250 dwellings are to be provided at </w:t>
      </w:r>
      <w:r w:rsidR="00550657">
        <w:t>Strategic Development Locations (SDLs)</w:t>
      </w:r>
      <w:r w:rsidR="00804761">
        <w:t>.</w:t>
      </w:r>
      <w:r w:rsidR="00550657">
        <w:t xml:space="preserve"> </w:t>
      </w:r>
      <w:r w:rsidR="00575FBA">
        <w:t xml:space="preserve">Reflecting on the larger housing development in the Local Plan, </w:t>
      </w:r>
      <w:r w:rsidR="00804761">
        <w:t xml:space="preserve">delivery of the </w:t>
      </w:r>
      <w:r w:rsidR="00575FBA">
        <w:t xml:space="preserve">TSDL is essential in ensuring that </w:t>
      </w:r>
      <w:r w:rsidR="00432968">
        <w:t xml:space="preserve">there is no shortfall in meeting the regional and wider housing target set out in the Local Plan. </w:t>
      </w:r>
      <w:r w:rsidR="00804761">
        <w:t xml:space="preserve">The </w:t>
      </w:r>
      <w:r w:rsidR="00432968">
        <w:t>TSDL is</w:t>
      </w:r>
      <w:r w:rsidR="00433210">
        <w:t xml:space="preserve"> </w:t>
      </w:r>
      <w:r w:rsidR="00432968">
        <w:t>the second largest allocation in the Local Plan</w:t>
      </w:r>
      <w:r w:rsidR="00BC52E1">
        <w:t xml:space="preserve">, </w:t>
      </w:r>
      <w:r w:rsidR="00432968">
        <w:t xml:space="preserve">accounting for approximately 14% of the housing need for the Local Plan area. </w:t>
      </w:r>
      <w:r w:rsidR="00C61429">
        <w:t>The</w:t>
      </w:r>
      <w:r w:rsidR="00480CCA">
        <w:t xml:space="preserve"> Council believes that </w:t>
      </w:r>
      <w:r w:rsidR="003A4967">
        <w:t xml:space="preserve">the </w:t>
      </w:r>
      <w:r w:rsidR="00480CCA">
        <w:t xml:space="preserve">TSDL development </w:t>
      </w:r>
      <w:r w:rsidR="000E053E">
        <w:t>will benefit the administrative area in terms o</w:t>
      </w:r>
      <w:r w:rsidR="00083AAA">
        <w:t>f</w:t>
      </w:r>
      <w:r w:rsidR="00366244">
        <w:t xml:space="preserve"> local and regional</w:t>
      </w:r>
      <w:r w:rsidR="000E053E">
        <w:t xml:space="preserve"> socio-economic development</w:t>
      </w:r>
      <w:r w:rsidR="00383B38">
        <w:t>, and will therefore exercise its CPO</w:t>
      </w:r>
      <w:r w:rsidR="00981BDD">
        <w:t xml:space="preserve"> right if this is necessa</w:t>
      </w:r>
      <w:r w:rsidR="00321FD2">
        <w:t>ry</w:t>
      </w:r>
      <w:r w:rsidR="000E053E">
        <w:t>.</w:t>
      </w:r>
      <w:bookmarkStart w:id="7" w:name="_Hlk29997753"/>
      <w:r w:rsidR="000E053E">
        <w:rPr>
          <w:rStyle w:val="FootnoteReference"/>
        </w:rPr>
        <w:footnoteReference w:id="7"/>
      </w:r>
      <w:r w:rsidR="000E053E">
        <w:t xml:space="preserve"> </w:t>
      </w:r>
      <w:bookmarkEnd w:id="7"/>
      <w:r w:rsidR="003F4EF8">
        <w:t xml:space="preserve">As a result, </w:t>
      </w:r>
      <w:r w:rsidR="00506628">
        <w:t>those that currently own the greenfield land that comprises the TSDL site</w:t>
      </w:r>
      <w:r w:rsidR="000E053E">
        <w:t xml:space="preserve"> </w:t>
      </w:r>
      <w:r w:rsidR="00AC602B">
        <w:t xml:space="preserve">may be subject to </w:t>
      </w:r>
      <w:r w:rsidR="007D0A59">
        <w:t xml:space="preserve">the Council’s CPO powers. </w:t>
      </w:r>
    </w:p>
    <w:p w14:paraId="239344AA" w14:textId="734DDC03" w:rsidR="00622C0D" w:rsidRDefault="00EA079A" w:rsidP="00622C0D">
      <w:pPr>
        <w:pStyle w:val="Heading2"/>
      </w:pPr>
      <w:r>
        <w:t>The Council</w:t>
      </w:r>
      <w:r w:rsidR="006F08C3">
        <w:t xml:space="preserve"> and </w:t>
      </w:r>
      <w:r w:rsidR="008D4677">
        <w:t>its</w:t>
      </w:r>
      <w:r w:rsidR="006F08C3">
        <w:t xml:space="preserve"> development partner’s </w:t>
      </w:r>
      <w:r w:rsidR="001E6E1E">
        <w:t>c</w:t>
      </w:r>
      <w:r>
        <w:t xml:space="preserve">ommitments </w:t>
      </w:r>
    </w:p>
    <w:p w14:paraId="4DC2907E" w14:textId="0475AB38" w:rsidR="006000DE" w:rsidRDefault="00382597">
      <w:r>
        <w:t xml:space="preserve">Countryside </w:t>
      </w:r>
      <w:r w:rsidR="00697F67">
        <w:t xml:space="preserve">have </w:t>
      </w:r>
      <w:r w:rsidR="00550E59">
        <w:t>maintained regular</w:t>
      </w:r>
      <w:r w:rsidR="00697F67">
        <w:t xml:space="preserve"> contact with the landowners and their respective representatives</w:t>
      </w:r>
      <w:r w:rsidR="008107D3">
        <w:t xml:space="preserve">, seeking </w:t>
      </w:r>
      <w:r w:rsidR="00697F67">
        <w:t>to negotiate private treaties</w:t>
      </w:r>
      <w:r w:rsidR="004B2910">
        <w:t xml:space="preserve"> in order to acquire </w:t>
      </w:r>
      <w:r w:rsidR="00102DCF">
        <w:t>interests</w:t>
      </w:r>
      <w:r w:rsidR="004D7A7B">
        <w:t xml:space="preserve">, </w:t>
      </w:r>
      <w:r w:rsidR="004D7A7B" w:rsidRPr="004D7A7B">
        <w:rPr>
          <w:rFonts w:ascii="Arial" w:hAnsi="Arial" w:cs="Arial"/>
        </w:rPr>
        <w:t>or to reach an agreement which establishes the basis on which a future transaction will be undertaken</w:t>
      </w:r>
      <w:r w:rsidR="004D7A7B" w:rsidRPr="004D7A7B">
        <w:t xml:space="preserve"> </w:t>
      </w:r>
      <w:r w:rsidR="004D7A7B">
        <w:t xml:space="preserve">to </w:t>
      </w:r>
      <w:r w:rsidR="00697F67" w:rsidRPr="004D7A7B">
        <w:t>avoid the need for the CPO.</w:t>
      </w:r>
      <w:r w:rsidR="004D7A7B">
        <w:t xml:space="preserve"> </w:t>
      </w:r>
      <w:r w:rsidR="00ED5F70">
        <w:t xml:space="preserve">Currently, no agreement has been made with </w:t>
      </w:r>
      <w:r w:rsidR="00135949">
        <w:t xml:space="preserve">landowners </w:t>
      </w:r>
      <w:r w:rsidR="006000DE">
        <w:t xml:space="preserve">regarding the voluntary acquisition of their land interests. </w:t>
      </w:r>
    </w:p>
    <w:p w14:paraId="07AA1EA2" w14:textId="31D76863" w:rsidR="00622C0D" w:rsidRDefault="00CA1470">
      <w:r>
        <w:t>Alongside these private treaty negotiations, t</w:t>
      </w:r>
      <w:r w:rsidR="006000DE">
        <w:t>he contact and communication made by Countryside with landowners and their representatives</w:t>
      </w:r>
      <w:r w:rsidR="002F352E">
        <w:t xml:space="preserve"> include</w:t>
      </w:r>
      <w:r w:rsidR="000D7DE5">
        <w:t>s</w:t>
      </w:r>
      <w:r w:rsidR="00EE11D7">
        <w:t xml:space="preserve"> the following</w:t>
      </w:r>
      <w:r w:rsidR="002F352E">
        <w:t>:</w:t>
      </w:r>
    </w:p>
    <w:p w14:paraId="16418475" w14:textId="206084E7" w:rsidR="00675650" w:rsidRDefault="00EA2A4A" w:rsidP="00EA2A4A">
      <w:pPr>
        <w:pStyle w:val="Bullet1"/>
      </w:pPr>
      <w:r>
        <w:t>Countryside has kept all of the landowners and their representatives fully updated throughout the planning process to date</w:t>
      </w:r>
      <w:r w:rsidR="00B94629">
        <w:t xml:space="preserve">. It has regularly </w:t>
      </w:r>
      <w:r w:rsidR="0055052B">
        <w:t xml:space="preserve">met with the landowners and their </w:t>
      </w:r>
      <w:r w:rsidR="00EF6BC0">
        <w:t>representatives</w:t>
      </w:r>
      <w:r w:rsidR="0055052B">
        <w:t xml:space="preserve"> as part of the ongoing negotiations in relation to land </w:t>
      </w:r>
      <w:r w:rsidR="00731CE9">
        <w:t>assembly</w:t>
      </w:r>
      <w:r w:rsidR="00CA47E0">
        <w:t xml:space="preserve">. Meetings have been used to </w:t>
      </w:r>
      <w:r w:rsidR="00CF05EA">
        <w:t>inform landowners of any updates</w:t>
      </w:r>
      <w:r w:rsidR="00377314">
        <w:t xml:space="preserve"> to the CPO or wider development plans,</w:t>
      </w:r>
      <w:r w:rsidR="00CF05EA">
        <w:t xml:space="preserve"> and </w:t>
      </w:r>
      <w:r w:rsidR="00564879">
        <w:t>to respond</w:t>
      </w:r>
      <w:r w:rsidR="00731CE9">
        <w:t xml:space="preserve"> to</w:t>
      </w:r>
      <w:r w:rsidR="00564879">
        <w:t xml:space="preserve"> any</w:t>
      </w:r>
      <w:r w:rsidR="00731CE9">
        <w:t xml:space="preserve"> queries that may arise</w:t>
      </w:r>
      <w:r w:rsidR="00EE11D7">
        <w:t xml:space="preserve">. </w:t>
      </w:r>
    </w:p>
    <w:p w14:paraId="649A52C6" w14:textId="3D2AE23F" w:rsidR="00612291" w:rsidRDefault="005115E0" w:rsidP="00EA2A4A">
      <w:pPr>
        <w:pStyle w:val="Bullet1"/>
      </w:pPr>
      <w:r>
        <w:t>The landowners have been specifically invited to each of the pub</w:t>
      </w:r>
      <w:r w:rsidR="00804761">
        <w:t>l</w:t>
      </w:r>
      <w:r>
        <w:t xml:space="preserve">ic consultation events held, </w:t>
      </w:r>
      <w:r w:rsidR="00DF2262">
        <w:t>with</w:t>
      </w:r>
      <w:r>
        <w:t xml:space="preserve"> representatives of all principal landowners </w:t>
      </w:r>
      <w:r w:rsidR="00DF2262">
        <w:t>attending</w:t>
      </w:r>
      <w:r>
        <w:t xml:space="preserve"> the public exhibition in September</w:t>
      </w:r>
      <w:r w:rsidR="00DF2262">
        <w:t xml:space="preserve"> 2019</w:t>
      </w:r>
      <w:r w:rsidR="00EE11D7">
        <w:t xml:space="preserve">. </w:t>
      </w:r>
    </w:p>
    <w:p w14:paraId="474FC2C5" w14:textId="4FE3C51D" w:rsidR="005115E0" w:rsidRDefault="005115E0" w:rsidP="00EA2A4A">
      <w:pPr>
        <w:pStyle w:val="Bullet1"/>
      </w:pPr>
      <w:r>
        <w:t xml:space="preserve">Where specific comments </w:t>
      </w:r>
      <w:r w:rsidR="00947829">
        <w:t xml:space="preserve">have been received from landowners on the </w:t>
      </w:r>
      <w:r w:rsidR="001D46C9">
        <w:t>TSDL,</w:t>
      </w:r>
      <w:r w:rsidR="0031244C">
        <w:t xml:space="preserve"> </w:t>
      </w:r>
      <w:r w:rsidR="00E416AE">
        <w:t xml:space="preserve">Countryside </w:t>
      </w:r>
      <w:r w:rsidR="0031244C">
        <w:t>have sought to address these wherever possible in the same way as all other stakeholders, taking account of the detailed technical assessments</w:t>
      </w:r>
      <w:r w:rsidR="00D23BE5">
        <w:t xml:space="preserve"> and overarching need for comprehensive redevelopment of the TSDL site</w:t>
      </w:r>
      <w:r w:rsidR="0031244C">
        <w:t xml:space="preserve">. </w:t>
      </w:r>
    </w:p>
    <w:p w14:paraId="7BD12257" w14:textId="36F5DE86" w:rsidR="00A22D24" w:rsidRPr="00A22D24" w:rsidRDefault="00404EBE" w:rsidP="00A22D24">
      <w:pPr>
        <w:pStyle w:val="Heading2"/>
      </w:pPr>
      <w:r>
        <w:t xml:space="preserve">Stakeholder Engagement </w:t>
      </w:r>
    </w:p>
    <w:p w14:paraId="2634224B" w14:textId="5C887A79" w:rsidR="007A4B10" w:rsidRPr="007A4B10" w:rsidRDefault="0042653A" w:rsidP="007A4B10">
      <w:r>
        <w:t xml:space="preserve">To date, stakeholder engagement has been undertaken for both the </w:t>
      </w:r>
      <w:r w:rsidR="00804761">
        <w:t xml:space="preserve">preparation of the </w:t>
      </w:r>
      <w:r>
        <w:t xml:space="preserve">Chichester Local Plan </w:t>
      </w:r>
      <w:r w:rsidR="00DC04EE">
        <w:t>and</w:t>
      </w:r>
      <w:r w:rsidR="00804761">
        <w:t xml:space="preserve"> Tangmere Neighbourhood Plan</w:t>
      </w:r>
      <w:r w:rsidR="00DC04EE">
        <w:t xml:space="preserve">, </w:t>
      </w:r>
      <w:r w:rsidR="00804761">
        <w:t xml:space="preserve">and </w:t>
      </w:r>
      <w:r w:rsidR="00DC04EE">
        <w:t xml:space="preserve">more </w:t>
      </w:r>
      <w:r w:rsidR="005E54C2">
        <w:t>recently</w:t>
      </w:r>
      <w:r w:rsidR="00DC04EE">
        <w:t>, the TSDL</w:t>
      </w:r>
      <w:r w:rsidR="005E54C2">
        <w:t xml:space="preserve">, specifically in relation to the preparation of the Masterplan </w:t>
      </w:r>
      <w:r w:rsidR="00CA1470">
        <w:t>for the site</w:t>
      </w:r>
      <w:r w:rsidR="00DC04EE">
        <w:t xml:space="preserve">. </w:t>
      </w:r>
      <w:r w:rsidR="00D415F8">
        <w:t xml:space="preserve">Engagement for the Local Plan was conducted </w:t>
      </w:r>
      <w:r w:rsidR="00513F3C">
        <w:t>between 2010 and 2015</w:t>
      </w:r>
      <w:r w:rsidR="00D415F8">
        <w:t xml:space="preserve">, whilst the TSDL engagement </w:t>
      </w:r>
      <w:r w:rsidR="00513F3C">
        <w:t>took place</w:t>
      </w:r>
      <w:r w:rsidR="00D415F8">
        <w:t xml:space="preserve"> throughout 2019. </w:t>
      </w:r>
      <w:r w:rsidR="005F054B">
        <w:t>A summary of both sets of engagement is provided below.</w:t>
      </w:r>
      <w:r w:rsidR="00BD1D03">
        <w:t xml:space="preserve"> </w:t>
      </w:r>
    </w:p>
    <w:p w14:paraId="0B0CCC73" w14:textId="243784B6" w:rsidR="00F91FBD" w:rsidRPr="00E0191B" w:rsidRDefault="00F91FBD" w:rsidP="00F91FBD">
      <w:pPr>
        <w:pStyle w:val="Heading3"/>
      </w:pPr>
      <w:r w:rsidRPr="00E0191B">
        <w:lastRenderedPageBreak/>
        <w:t xml:space="preserve">Previous wider </w:t>
      </w:r>
      <w:r w:rsidR="008F2FC9">
        <w:t>L</w:t>
      </w:r>
      <w:r w:rsidRPr="00E0191B">
        <w:t xml:space="preserve">ocal </w:t>
      </w:r>
      <w:r w:rsidR="008F2FC9">
        <w:t>P</w:t>
      </w:r>
      <w:r w:rsidRPr="00E0191B">
        <w:t xml:space="preserve">lan engagement </w:t>
      </w:r>
    </w:p>
    <w:p w14:paraId="6561E388" w14:textId="08A850B7" w:rsidR="0028294B" w:rsidRDefault="00D11428" w:rsidP="005E032F">
      <w:r>
        <w:t xml:space="preserve">Stakeholder engagement </w:t>
      </w:r>
      <w:r w:rsidR="0028294B">
        <w:t>took</w:t>
      </w:r>
      <w:r>
        <w:t xml:space="preserve"> place </w:t>
      </w:r>
      <w:r w:rsidR="00D1793D">
        <w:t xml:space="preserve">in line with </w:t>
      </w:r>
      <w:r w:rsidR="00400143">
        <w:t xml:space="preserve">the </w:t>
      </w:r>
      <w:r w:rsidR="00D1793D">
        <w:t xml:space="preserve">planning regulations </w:t>
      </w:r>
      <w:r w:rsidR="005E54C2">
        <w:t>throughout t</w:t>
      </w:r>
      <w:r w:rsidR="00844B1D">
        <w:t>he</w:t>
      </w:r>
      <w:r w:rsidR="005E54C2">
        <w:t xml:space="preserve"> preparation</w:t>
      </w:r>
      <w:r w:rsidR="00844B1D">
        <w:t xml:space="preserve"> of the </w:t>
      </w:r>
      <w:r w:rsidR="000F6BD3">
        <w:t xml:space="preserve">wider </w:t>
      </w:r>
      <w:r w:rsidR="00844B1D">
        <w:t>Chichester Local Plan, and the Tangmere Neighbourhood Plan</w:t>
      </w:r>
      <w:r w:rsidR="0028294B">
        <w:t>.</w:t>
      </w:r>
    </w:p>
    <w:p w14:paraId="25BAEEBE" w14:textId="65CE5492" w:rsidR="0028294B" w:rsidRDefault="009F5E5A" w:rsidP="005E032F">
      <w:r>
        <w:t>The p</w:t>
      </w:r>
      <w:r w:rsidR="00D5652A">
        <w:t xml:space="preserve">rocess of allocating the </w:t>
      </w:r>
      <w:r w:rsidR="005E54C2">
        <w:t>TSDL</w:t>
      </w:r>
      <w:r w:rsidR="00D5652A">
        <w:t xml:space="preserve"> within the adopted Chichester Local Plan </w:t>
      </w:r>
      <w:r>
        <w:t xml:space="preserve">required </w:t>
      </w:r>
      <w:r w:rsidR="00B34CF2">
        <w:t>engagement</w:t>
      </w:r>
      <w:r w:rsidR="00400143">
        <w:t xml:space="preserve"> throughout</w:t>
      </w:r>
      <w:r w:rsidR="00FB5251">
        <w:t xml:space="preserve"> various stages</w:t>
      </w:r>
      <w:r w:rsidR="00425771">
        <w:t xml:space="preserve"> including </w:t>
      </w:r>
      <w:r w:rsidR="005E54C2">
        <w:t xml:space="preserve">consultation on the Preferred Approach plan, </w:t>
      </w:r>
      <w:r w:rsidR="00830226">
        <w:t xml:space="preserve">Pre-submission consultation, </w:t>
      </w:r>
      <w:r w:rsidR="00402F1B">
        <w:t>and at Submission stage</w:t>
      </w:r>
      <w:r w:rsidR="00830226">
        <w:t xml:space="preserve">. </w:t>
      </w:r>
      <w:r w:rsidR="003538C6">
        <w:t>During the</w:t>
      </w:r>
      <w:r w:rsidR="000F6BD3">
        <w:t>se</w:t>
      </w:r>
      <w:r w:rsidR="003538C6">
        <w:t xml:space="preserve"> consultation stages, the Council </w:t>
      </w:r>
      <w:r w:rsidR="00186EFD">
        <w:t xml:space="preserve">invited residents, businesses and organisations, including statutory consultees, to make representations on the draft proposed policies, </w:t>
      </w:r>
      <w:r w:rsidR="00BD11EA">
        <w:t xml:space="preserve">sent out press releases, statutory public </w:t>
      </w:r>
      <w:r w:rsidR="008E0F4B">
        <w:t>notices in newspapers and placed notices in parish magazines</w:t>
      </w:r>
      <w:r w:rsidR="009435E3">
        <w:t>. A</w:t>
      </w:r>
      <w:r w:rsidR="00652673">
        <w:t xml:space="preserve">ll consultees </w:t>
      </w:r>
      <w:r w:rsidR="009435E3">
        <w:t xml:space="preserve">were notified </w:t>
      </w:r>
      <w:r w:rsidR="00652673">
        <w:t xml:space="preserve">on their consultation database via email </w:t>
      </w:r>
      <w:r w:rsidR="003C1DB6">
        <w:t>or</w:t>
      </w:r>
      <w:r w:rsidR="00006D02">
        <w:t xml:space="preserve"> </w:t>
      </w:r>
      <w:r w:rsidR="00652673">
        <w:t>printed letter</w:t>
      </w:r>
      <w:r w:rsidR="003C1DB6">
        <w:t>, where relevant</w:t>
      </w:r>
      <w:r w:rsidR="00652673">
        <w:t xml:space="preserve">. </w:t>
      </w:r>
      <w:r w:rsidR="0028294B">
        <w:t xml:space="preserve">Drop-in sessions </w:t>
      </w:r>
      <w:r w:rsidR="003E21B3">
        <w:t>were also held at locations across Chichester.</w:t>
      </w:r>
    </w:p>
    <w:p w14:paraId="386F216D" w14:textId="2AA7C9CA" w:rsidR="00F91FBD" w:rsidRDefault="0039669F" w:rsidP="005E032F">
      <w:r>
        <w:t xml:space="preserve">Stakeholders </w:t>
      </w:r>
      <w:r w:rsidR="0028294B">
        <w:t>from Tangmere</w:t>
      </w:r>
      <w:r>
        <w:t xml:space="preserve"> were </w:t>
      </w:r>
      <w:r w:rsidR="00844B1D">
        <w:t>also</w:t>
      </w:r>
      <w:r>
        <w:t xml:space="preserve"> previously </w:t>
      </w:r>
      <w:r w:rsidR="00383949">
        <w:t>engaged using e</w:t>
      </w:r>
      <w:r w:rsidR="003636F2">
        <w:t>-</w:t>
      </w:r>
      <w:r w:rsidR="00383949">
        <w:t>mails</w:t>
      </w:r>
      <w:r>
        <w:t xml:space="preserve"> as part of the wider consultation process</w:t>
      </w:r>
      <w:r w:rsidR="003C1DB6">
        <w:t xml:space="preserve"> on the Publication version of the Tangmere Neighbourhood Plan</w:t>
      </w:r>
      <w:r>
        <w:t xml:space="preserve"> between 30 April 2015 and 11 June 2015. Land ownership, communications </w:t>
      </w:r>
      <w:r w:rsidR="00F34AF8">
        <w:t xml:space="preserve">and the timely inclusion of stakeholder views </w:t>
      </w:r>
      <w:r w:rsidR="002D01C7">
        <w:t xml:space="preserve">in the </w:t>
      </w:r>
      <w:r w:rsidR="00A56E2D">
        <w:t>Tangmere</w:t>
      </w:r>
      <w:r w:rsidR="002D01C7">
        <w:t xml:space="preserve"> </w:t>
      </w:r>
      <w:r w:rsidR="00696410">
        <w:t>Neighbourhood Plan came across as the main issues</w:t>
      </w:r>
      <w:r w:rsidR="005E50B2">
        <w:t>. Several businesses also highlighted that the masterplan would need to consider a range of opportunities and constraints to the laying out of the infrastructure</w:t>
      </w:r>
      <w:r w:rsidR="00CC5019">
        <w:t>, services, facilities and housing</w:t>
      </w:r>
      <w:r w:rsidR="003011DE">
        <w:t xml:space="preserve">. </w:t>
      </w:r>
      <w:r w:rsidR="005730B0">
        <w:t>An issue was</w:t>
      </w:r>
      <w:r w:rsidR="00C26037">
        <w:t xml:space="preserve"> also </w:t>
      </w:r>
      <w:r w:rsidR="005730B0">
        <w:t>raised</w:t>
      </w:r>
      <w:r w:rsidR="00C26037">
        <w:t xml:space="preserve"> that given </w:t>
      </w:r>
      <w:r w:rsidR="00CB2A69">
        <w:t xml:space="preserve">that </w:t>
      </w:r>
      <w:r w:rsidR="00B94703">
        <w:t>the Neighbourhood Plan for Tangmere included the proposed allocation of small</w:t>
      </w:r>
      <w:r w:rsidR="00347A9B">
        <w:t>-</w:t>
      </w:r>
      <w:r w:rsidR="00B94703">
        <w:t xml:space="preserve">scale housing and commercial development, </w:t>
      </w:r>
      <w:r w:rsidR="005F4787">
        <w:t xml:space="preserve">it should have noted </w:t>
      </w:r>
      <w:r w:rsidR="005730B0">
        <w:t>in advance</w:t>
      </w:r>
      <w:r w:rsidR="005F4787">
        <w:t xml:space="preserve"> that this would be subject to the resolution of highway safety and accessibility issues at the planning stage</w:t>
      </w:r>
      <w:r w:rsidR="005730B0">
        <w:t>,</w:t>
      </w:r>
      <w:r w:rsidR="005F4787">
        <w:t xml:space="preserve"> or as part of the </w:t>
      </w:r>
      <w:r w:rsidR="00CB2A69">
        <w:t xml:space="preserve">consultation on Community Right to Build Order. </w:t>
      </w:r>
    </w:p>
    <w:p w14:paraId="5BC11887" w14:textId="77777777" w:rsidR="00CE6BCE" w:rsidRPr="00F91FBD" w:rsidRDefault="00CE6BCE" w:rsidP="00CE6BCE">
      <w:pPr>
        <w:pStyle w:val="Heading3"/>
      </w:pPr>
      <w:r>
        <w:t xml:space="preserve">TSDL 2019 engagement </w:t>
      </w:r>
    </w:p>
    <w:p w14:paraId="19D6D1E8" w14:textId="2E758450" w:rsidR="00CE6BCE" w:rsidRPr="00404EBE" w:rsidRDefault="00CE6BCE" w:rsidP="00CE6BCE">
      <w:r>
        <w:t xml:space="preserve">Key </w:t>
      </w:r>
      <w:r w:rsidR="003B701C">
        <w:t xml:space="preserve">events that </w:t>
      </w:r>
      <w:r w:rsidR="003A69DD">
        <w:t>took place as part of the 2019 TSDL engagement are as follows</w:t>
      </w:r>
      <w:r>
        <w:t xml:space="preserve">: </w:t>
      </w:r>
    </w:p>
    <w:p w14:paraId="2087DF98" w14:textId="655D8C8B" w:rsidR="00CA1470" w:rsidRPr="00CA1470" w:rsidRDefault="00CA1470" w:rsidP="00CE6BCE">
      <w:pPr>
        <w:pStyle w:val="Bullet1"/>
        <w:rPr>
          <w:b/>
        </w:rPr>
      </w:pPr>
      <w:r w:rsidRPr="00CA1470">
        <w:rPr>
          <w:b/>
          <w:bCs/>
        </w:rPr>
        <w:t>October 2018</w:t>
      </w:r>
      <w:r>
        <w:t xml:space="preserve"> - </w:t>
      </w:r>
      <w:r w:rsidRPr="00CA1470">
        <w:t>First introductory meeting with ward member, chair of parish council and chair of parish council environment committee</w:t>
      </w:r>
    </w:p>
    <w:p w14:paraId="2D1C9CA6" w14:textId="3E077C90" w:rsidR="00CA1470" w:rsidRPr="00CA1470" w:rsidRDefault="00CA1470" w:rsidP="00CE6BCE">
      <w:pPr>
        <w:pStyle w:val="Bullet1"/>
      </w:pPr>
      <w:r w:rsidRPr="00CA1470">
        <w:rPr>
          <w:b/>
          <w:bCs/>
        </w:rPr>
        <w:t>April 2019</w:t>
      </w:r>
      <w:r>
        <w:t xml:space="preserve"> - </w:t>
      </w:r>
      <w:r w:rsidRPr="00CA1470">
        <w:t>Meeting with ward member and chair of parish council regarding engagement strategy and programme</w:t>
      </w:r>
    </w:p>
    <w:p w14:paraId="613F631B" w14:textId="53DBAA2F" w:rsidR="00CE6BCE" w:rsidRDefault="00CE6BCE" w:rsidP="00CE6BCE">
      <w:pPr>
        <w:pStyle w:val="Bullet1"/>
      </w:pPr>
      <w:r w:rsidRPr="00645000">
        <w:rPr>
          <w:b/>
        </w:rPr>
        <w:t>April 2019</w:t>
      </w:r>
      <w:r>
        <w:t xml:space="preserve"> – Engagement website launched providing details on Countryside’s proposed programme of local engagement (</w:t>
      </w:r>
      <w:hyperlink r:id="rId25" w:history="1">
        <w:r w:rsidRPr="00AA787B">
          <w:rPr>
            <w:rStyle w:val="Hyperlink"/>
          </w:rPr>
          <w:t>www.countryside-tangmere.co.uk</w:t>
        </w:r>
      </w:hyperlink>
      <w:r>
        <w:t xml:space="preserve">). The website includes a ‘Latest News’ page where regular updates are posted, as well as advertising upcoming engagement events. </w:t>
      </w:r>
    </w:p>
    <w:p w14:paraId="57C9FAFE" w14:textId="12CB75D4" w:rsidR="00CE6BCE" w:rsidRDefault="00CE6BCE" w:rsidP="00CE6BCE">
      <w:pPr>
        <w:pStyle w:val="Bullet1"/>
      </w:pPr>
      <w:r>
        <w:rPr>
          <w:b/>
        </w:rPr>
        <w:t xml:space="preserve">April 2019 </w:t>
      </w:r>
      <w:r>
        <w:t xml:space="preserve">– Introductory article published in the bi-monthly village newsletter ‘Tangmere </w:t>
      </w:r>
      <w:r w:rsidR="00CA1470">
        <w:t>N</w:t>
      </w:r>
      <w:r>
        <w:t xml:space="preserve">ews’. </w:t>
      </w:r>
    </w:p>
    <w:p w14:paraId="4DFC6261" w14:textId="4BADE0C8" w:rsidR="00CA1470" w:rsidRPr="00CA1470" w:rsidRDefault="00CA1470" w:rsidP="00CE6BCE">
      <w:pPr>
        <w:pStyle w:val="Bullet1"/>
      </w:pPr>
      <w:r w:rsidRPr="00CA1470">
        <w:rPr>
          <w:b/>
          <w:bCs/>
        </w:rPr>
        <w:t>May 2019</w:t>
      </w:r>
      <w:r>
        <w:t xml:space="preserve"> – The first of a series of three </w:t>
      </w:r>
      <w:proofErr w:type="spellStart"/>
      <w:r>
        <w:t>masterplanning</w:t>
      </w:r>
      <w:proofErr w:type="spellEnd"/>
      <w:r>
        <w:t xml:space="preserve"> workshops was held with representatives of Tangmere Parish Council.</w:t>
      </w:r>
      <w:r w:rsidR="00EF527F">
        <w:t xml:space="preserve"> The workshop focussed on site opportunities and constraints, and Tangmere’s morphology and character, particularly any positive and negative aspects that should be considered as part of the village’s future growth.</w:t>
      </w:r>
    </w:p>
    <w:p w14:paraId="2298D1F6" w14:textId="7C8FAFFC" w:rsidR="00CA1470" w:rsidRPr="00EF527F" w:rsidRDefault="00CA1470" w:rsidP="00CE6BCE">
      <w:pPr>
        <w:pStyle w:val="Bullet1"/>
      </w:pPr>
      <w:r w:rsidRPr="00EF527F">
        <w:rPr>
          <w:b/>
          <w:bCs/>
        </w:rPr>
        <w:t>June 2019</w:t>
      </w:r>
      <w:r>
        <w:t xml:space="preserve"> – The second </w:t>
      </w:r>
      <w:proofErr w:type="spellStart"/>
      <w:r>
        <w:t>masterplanning</w:t>
      </w:r>
      <w:proofErr w:type="spellEnd"/>
      <w:r>
        <w:t xml:space="preserve"> workshop was held with representatives of Tangmere Parish Council. </w:t>
      </w:r>
      <w:r w:rsidRPr="00CA1470">
        <w:t>The workshop began by considering what makes a ‘good place’ and the implications of the ‘One Village’ vision within the Neighbourhood Plan. The workshop also looked at village-wide design objectives and principles that should inform the new development and how these would relate to the overarching vision for Tangmere</w:t>
      </w:r>
    </w:p>
    <w:p w14:paraId="7AAEC999" w14:textId="1C23C066" w:rsidR="00CE6BCE" w:rsidRDefault="00CE6BCE" w:rsidP="00CE6BCE">
      <w:pPr>
        <w:pStyle w:val="Bullet1"/>
      </w:pPr>
      <w:r>
        <w:rPr>
          <w:b/>
        </w:rPr>
        <w:t xml:space="preserve">June 2019 </w:t>
      </w:r>
      <w:r>
        <w:t xml:space="preserve">– Community drop-in events were held over the course of two days in Tangmere Village Centre where members of the project team discussed the evolution of the </w:t>
      </w:r>
      <w:r w:rsidR="00FF24D5">
        <w:t>T</w:t>
      </w:r>
      <w:r>
        <w:t xml:space="preserve">SDL Masterplan with the community. There were total of 66 attendees at the three community </w:t>
      </w:r>
      <w:r>
        <w:lastRenderedPageBreak/>
        <w:t xml:space="preserve">drop-in sessions. Landowners were informed of the drop-in events in advance via email, with the event advertised in the village via leaflet drop and consultation website. </w:t>
      </w:r>
    </w:p>
    <w:p w14:paraId="418503DE" w14:textId="4DB5053B" w:rsidR="00EF527F" w:rsidRPr="00EF527F" w:rsidRDefault="00EF527F" w:rsidP="00CE6BCE">
      <w:pPr>
        <w:pStyle w:val="Bullet1"/>
      </w:pPr>
      <w:r w:rsidRPr="00EF527F">
        <w:rPr>
          <w:b/>
          <w:bCs/>
        </w:rPr>
        <w:t>June 2019</w:t>
      </w:r>
      <w:r>
        <w:t xml:space="preserve"> – The third </w:t>
      </w:r>
      <w:proofErr w:type="spellStart"/>
      <w:r>
        <w:t>masterplanning</w:t>
      </w:r>
      <w:proofErr w:type="spellEnd"/>
      <w:r>
        <w:t xml:space="preserve"> workshop was held with representatives of Tangmere Parish Council. T</w:t>
      </w:r>
      <w:r w:rsidRPr="00EF527F">
        <w:t>he structuring principles of the neighbourhood were considered, mapping the movement network, green infrastructure, drainage, key community facilities and centres, and residential neighbourhoods.</w:t>
      </w:r>
    </w:p>
    <w:p w14:paraId="1E78DEEE" w14:textId="68954500" w:rsidR="00CE6BCE" w:rsidRDefault="00CE6BCE" w:rsidP="00CE6BCE">
      <w:pPr>
        <w:pStyle w:val="Bullet1"/>
      </w:pPr>
      <w:r>
        <w:rPr>
          <w:b/>
        </w:rPr>
        <w:t xml:space="preserve">August 2019 </w:t>
      </w:r>
      <w:r>
        <w:t xml:space="preserve">– Update article published in Tangmere News. </w:t>
      </w:r>
    </w:p>
    <w:p w14:paraId="1E0D1D1D" w14:textId="77777777" w:rsidR="00CE6BCE" w:rsidRPr="00FE54BA" w:rsidRDefault="00CE6BCE" w:rsidP="00CE6BCE">
      <w:pPr>
        <w:pStyle w:val="Bullet1"/>
      </w:pPr>
      <w:r>
        <w:rPr>
          <w:b/>
        </w:rPr>
        <w:t xml:space="preserve">August 2019 </w:t>
      </w:r>
      <w:r>
        <w:t xml:space="preserve">– Countryside wrote to residents of Saxon Meadow to provide an update on the latest </w:t>
      </w:r>
      <w:proofErr w:type="spellStart"/>
      <w:r>
        <w:t>masterplanning</w:t>
      </w:r>
      <w:proofErr w:type="spellEnd"/>
      <w:r>
        <w:t xml:space="preserve"> proposals </w:t>
      </w:r>
    </w:p>
    <w:p w14:paraId="7822B467" w14:textId="77777777" w:rsidR="00CE6BCE" w:rsidRDefault="00CE6BCE" w:rsidP="00CE6BCE">
      <w:pPr>
        <w:pStyle w:val="Bullet1"/>
      </w:pPr>
      <w:r>
        <w:rPr>
          <w:b/>
        </w:rPr>
        <w:t xml:space="preserve">September 2019 </w:t>
      </w:r>
      <w:r>
        <w:t xml:space="preserve">– Countryside hosted a stand at Tangmere Village Fair where Countryside Ltd and the project team spoke to members of the public about the emerging proposals, in advance of the public consultation the week. </w:t>
      </w:r>
    </w:p>
    <w:p w14:paraId="666FCF92" w14:textId="77777777" w:rsidR="00CE6BCE" w:rsidRDefault="00CE6BCE" w:rsidP="00CE6BCE">
      <w:pPr>
        <w:pStyle w:val="Bullet1"/>
      </w:pPr>
      <w:r w:rsidRPr="00E8657B">
        <w:rPr>
          <w:b/>
        </w:rPr>
        <w:t>September 2019</w:t>
      </w:r>
      <w:r>
        <w:t xml:space="preserve"> – A public consultation was held between 12 noon and 8pm in ‘the Hub’ at the Village Centre in Tangmere. The landowners were informed of the consultation in advance via email, and the event was advertised in the village via direct mail to householders, the consultation website and in the August 2019 edition of the Tangmere News. </w:t>
      </w:r>
    </w:p>
    <w:p w14:paraId="6A7B137D" w14:textId="77777777" w:rsidR="00CE6BCE" w:rsidRDefault="00CE6BCE" w:rsidP="00CE6BCE">
      <w:pPr>
        <w:pStyle w:val="Bullet1"/>
      </w:pPr>
      <w:r>
        <w:rPr>
          <w:b/>
        </w:rPr>
        <w:t xml:space="preserve">October 2019 </w:t>
      </w:r>
      <w:r>
        <w:t xml:space="preserve">– article published in Tangmere News </w:t>
      </w:r>
    </w:p>
    <w:p w14:paraId="0EA7A17E" w14:textId="2E9DEFFB" w:rsidR="00D60D33" w:rsidRDefault="00CE6BCE" w:rsidP="00D60D33">
      <w:pPr>
        <w:pStyle w:val="Bullet1"/>
      </w:pPr>
      <w:r>
        <w:rPr>
          <w:b/>
        </w:rPr>
        <w:t xml:space="preserve">December 2019 </w:t>
      </w:r>
      <w:r>
        <w:t xml:space="preserve">– </w:t>
      </w:r>
      <w:r w:rsidR="00CA1470">
        <w:t xml:space="preserve">Article published in Tangmere News. </w:t>
      </w:r>
      <w:r>
        <w:t xml:space="preserve">A public Parish Council meeting was held at Tangmere Village Centre where </w:t>
      </w:r>
      <w:r w:rsidR="00556FCB">
        <w:t>the submitted version</w:t>
      </w:r>
      <w:r>
        <w:t xml:space="preserve"> of the masterplan </w:t>
      </w:r>
      <w:r w:rsidR="00556FCB">
        <w:t xml:space="preserve">was presented </w:t>
      </w:r>
      <w:r>
        <w:t xml:space="preserve">to the parish council and local residents, and questions </w:t>
      </w:r>
      <w:r w:rsidR="0091432B">
        <w:t>were answered</w:t>
      </w:r>
      <w:r w:rsidR="005B50FC">
        <w:t xml:space="preserve"> from those present</w:t>
      </w:r>
      <w:r>
        <w:t xml:space="preserve">. </w:t>
      </w:r>
    </w:p>
    <w:p w14:paraId="081552A9" w14:textId="7C89E367" w:rsidR="00CA1470" w:rsidRPr="00D60D33" w:rsidRDefault="00CA1470" w:rsidP="00D60D33">
      <w:pPr>
        <w:pStyle w:val="Bullet1"/>
      </w:pPr>
      <w:r>
        <w:rPr>
          <w:b/>
        </w:rPr>
        <w:t xml:space="preserve">January 2020 </w:t>
      </w:r>
      <w:r>
        <w:t>– Article published in Tangmere News.</w:t>
      </w:r>
    </w:p>
    <w:p w14:paraId="3017D5E6" w14:textId="07C301F6" w:rsidR="00E00C2A" w:rsidRDefault="00E00C2A" w:rsidP="00E00C2A">
      <w:r>
        <w:t xml:space="preserve">As part of the </w:t>
      </w:r>
      <w:r w:rsidR="00594028">
        <w:t xml:space="preserve">2019 TSDL </w:t>
      </w:r>
      <w:r>
        <w:t xml:space="preserve">engagement process summarised above, </w:t>
      </w:r>
      <w:r w:rsidR="00B146AA">
        <w:t>both landowners and local residents have had opportunit</w:t>
      </w:r>
      <w:r w:rsidR="00E428AA">
        <w:t>ies</w:t>
      </w:r>
      <w:r w:rsidR="00B146AA">
        <w:t xml:space="preserve"> to engage </w:t>
      </w:r>
      <w:r w:rsidR="00594028">
        <w:t xml:space="preserve">as part of the consultation process – with further engagement with Parish Council and Chichester Cycle Forum, as well as various other statutory consultees. </w:t>
      </w:r>
    </w:p>
    <w:p w14:paraId="5F2EEA78" w14:textId="34016045" w:rsidR="006211D0" w:rsidRDefault="00865E5A" w:rsidP="006211D0">
      <w:pPr>
        <w:pStyle w:val="Heading4"/>
      </w:pPr>
      <w:r>
        <w:t xml:space="preserve">Key </w:t>
      </w:r>
      <w:r w:rsidR="00835591">
        <w:t xml:space="preserve">themes </w:t>
      </w:r>
      <w:r w:rsidR="002C36C9">
        <w:t>emerg</w:t>
      </w:r>
      <w:r w:rsidR="00B147AF">
        <w:t xml:space="preserve">ing </w:t>
      </w:r>
      <w:r w:rsidR="003A5799">
        <w:t>during the</w:t>
      </w:r>
      <w:r w:rsidR="002C36C9">
        <w:t xml:space="preserve"> 2019</w:t>
      </w:r>
      <w:r w:rsidR="003A5799">
        <w:t xml:space="preserve"> </w:t>
      </w:r>
      <w:r w:rsidR="00613F61">
        <w:t>engagement process</w:t>
      </w:r>
    </w:p>
    <w:p w14:paraId="46CB61F7" w14:textId="1A687DF3" w:rsidR="00613F61" w:rsidRDefault="00BA4BAA" w:rsidP="00613F61">
      <w:r>
        <w:t xml:space="preserve">The </w:t>
      </w:r>
      <w:r w:rsidR="00C63D86">
        <w:t>residents</w:t>
      </w:r>
      <w:r>
        <w:t xml:space="preserve"> of Tangmere</w:t>
      </w:r>
      <w:r w:rsidR="006849A1">
        <w:t xml:space="preserve"> and the </w:t>
      </w:r>
      <w:r w:rsidR="007C78FE">
        <w:t xml:space="preserve">TSDL </w:t>
      </w:r>
      <w:r w:rsidR="006849A1">
        <w:t xml:space="preserve">landowners are </w:t>
      </w:r>
      <w:r w:rsidR="00A97E84">
        <w:t>largely</w:t>
      </w:r>
      <w:r w:rsidR="007B244D">
        <w:t xml:space="preserve"> </w:t>
      </w:r>
      <w:r w:rsidR="00E2254D">
        <w:t>in favour of the</w:t>
      </w:r>
      <w:r w:rsidR="00FB0AC2">
        <w:t xml:space="preserve"> TSDL Masterplan</w:t>
      </w:r>
      <w:r w:rsidR="00DB0331">
        <w:t xml:space="preserve">. </w:t>
      </w:r>
      <w:r w:rsidR="00FF1735">
        <w:t xml:space="preserve">However, the </w:t>
      </w:r>
      <w:r w:rsidR="00F66212">
        <w:t>landowners</w:t>
      </w:r>
      <w:r w:rsidR="003936EA">
        <w:t xml:space="preserve"> </w:t>
      </w:r>
      <w:r w:rsidR="00D066E4">
        <w:t>expressed the desire</w:t>
      </w:r>
      <w:r w:rsidR="001D70AF">
        <w:t xml:space="preserve"> to</w:t>
      </w:r>
      <w:r w:rsidR="00D663F1">
        <w:t xml:space="preserve"> be more involved</w:t>
      </w:r>
      <w:r w:rsidR="00BD3423">
        <w:t xml:space="preserve"> </w:t>
      </w:r>
      <w:r w:rsidR="00352781">
        <w:t>in the decision</w:t>
      </w:r>
      <w:r w:rsidR="009331BA">
        <w:t>-making</w:t>
      </w:r>
      <w:r w:rsidR="00352781">
        <w:t xml:space="preserve"> process</w:t>
      </w:r>
      <w:r w:rsidR="009331BA">
        <w:t>es</w:t>
      </w:r>
      <w:r w:rsidR="00352781">
        <w:t xml:space="preserve"> </w:t>
      </w:r>
      <w:r w:rsidR="000E3E33">
        <w:t xml:space="preserve">around </w:t>
      </w:r>
      <w:r w:rsidR="00352781">
        <w:t xml:space="preserve">the design </w:t>
      </w:r>
      <w:r w:rsidR="00D066E4">
        <w:t>and</w:t>
      </w:r>
      <w:r w:rsidR="00FC531A">
        <w:t xml:space="preserve"> development</w:t>
      </w:r>
      <w:r w:rsidR="00D066E4">
        <w:t xml:space="preserve"> of the site</w:t>
      </w:r>
      <w:r w:rsidR="00ED28E5">
        <w:t xml:space="preserve">. Landowners </w:t>
      </w:r>
      <w:r w:rsidR="00B22554">
        <w:t>highlighted that</w:t>
      </w:r>
      <w:r w:rsidR="00BE4DE5">
        <w:t xml:space="preserve"> </w:t>
      </w:r>
      <w:r w:rsidR="00161FC1">
        <w:t xml:space="preserve">it </w:t>
      </w:r>
      <w:r w:rsidR="00B22554">
        <w:t xml:space="preserve">is </w:t>
      </w:r>
      <w:r w:rsidR="00BE4DE5">
        <w:t>vital that the Masterplan is market</w:t>
      </w:r>
      <w:r w:rsidR="00B22554">
        <w:t>-</w:t>
      </w:r>
      <w:r w:rsidR="00BE4DE5">
        <w:t xml:space="preserve">tested to give confidence </w:t>
      </w:r>
      <w:r w:rsidR="0091464E">
        <w:t>in terms of deliverability</w:t>
      </w:r>
      <w:r w:rsidR="00D508FC">
        <w:t xml:space="preserve">. </w:t>
      </w:r>
      <w:r w:rsidR="009C6BE6">
        <w:t xml:space="preserve">Consequently, </w:t>
      </w:r>
      <w:r w:rsidR="003936EA">
        <w:t>further engagement</w:t>
      </w:r>
      <w:r w:rsidR="0030364E">
        <w:t xml:space="preserve"> and consultation</w:t>
      </w:r>
      <w:r w:rsidR="008413A4">
        <w:t xml:space="preserve"> around the design</w:t>
      </w:r>
      <w:r w:rsidR="00E33102">
        <w:t xml:space="preserve"> </w:t>
      </w:r>
      <w:r w:rsidR="003221B9">
        <w:t>of TSDL</w:t>
      </w:r>
      <w:r w:rsidR="00302450" w:rsidRPr="00302450">
        <w:t xml:space="preserve"> </w:t>
      </w:r>
      <w:r w:rsidR="00302450">
        <w:t>would be welcome</w:t>
      </w:r>
      <w:r w:rsidR="0089796A">
        <w:t>d</w:t>
      </w:r>
      <w:r w:rsidR="00BB45C0">
        <w:t xml:space="preserve"> by landowners</w:t>
      </w:r>
      <w:r w:rsidR="0089796A">
        <w:t xml:space="preserve">. </w:t>
      </w:r>
    </w:p>
    <w:p w14:paraId="79707283" w14:textId="7C0C4633" w:rsidR="00FF7BA6" w:rsidRDefault="00FF7BA6">
      <w:r>
        <w:t xml:space="preserve">There is a </w:t>
      </w:r>
      <w:r w:rsidR="00851520">
        <w:t xml:space="preserve">high level of support for </w:t>
      </w:r>
      <w:r w:rsidR="00CF4A92">
        <w:t xml:space="preserve">the new development and </w:t>
      </w:r>
      <w:r w:rsidR="00B40601">
        <w:t>optimism</w:t>
      </w:r>
      <w:r w:rsidR="00CF4A92">
        <w:t xml:space="preserve"> that</w:t>
      </w:r>
      <w:r w:rsidR="00FB5894">
        <w:t xml:space="preserve"> the TSDL will provide </w:t>
      </w:r>
      <w:r w:rsidR="000E7911">
        <w:t>a</w:t>
      </w:r>
      <w:r w:rsidR="00FE1D5D">
        <w:t xml:space="preserve">n opportunity </w:t>
      </w:r>
      <w:r w:rsidR="002C426D">
        <w:t>to create a mixed, balanced village</w:t>
      </w:r>
      <w:r w:rsidR="00456C8E">
        <w:t xml:space="preserve"> </w:t>
      </w:r>
      <w:r w:rsidR="000B7672">
        <w:t xml:space="preserve">where young people would like to live </w:t>
      </w:r>
      <w:r w:rsidR="000F68C2">
        <w:t>and contribute to the community.</w:t>
      </w:r>
      <w:r w:rsidR="00705015">
        <w:t xml:space="preserve"> The new development </w:t>
      </w:r>
      <w:r w:rsidR="00D81DA2">
        <w:t>should provide</w:t>
      </w:r>
      <w:r w:rsidR="00547A9D">
        <w:t xml:space="preserve"> homes of an approp</w:t>
      </w:r>
      <w:r w:rsidR="004C488D">
        <w:t>riate type, size</w:t>
      </w:r>
      <w:r w:rsidR="00213EC8">
        <w:t xml:space="preserve"> and tenures</w:t>
      </w:r>
      <w:r w:rsidR="005C35EF">
        <w:t xml:space="preserve"> to</w:t>
      </w:r>
      <w:r w:rsidR="0057665A">
        <w:t xml:space="preserve"> add</w:t>
      </w:r>
      <w:r w:rsidR="00FC300B">
        <w:t xml:space="preserve">ress the identified </w:t>
      </w:r>
      <w:r w:rsidR="00345E02">
        <w:t>needs</w:t>
      </w:r>
      <w:r w:rsidR="000F00A2">
        <w:t>, as well as</w:t>
      </w:r>
      <w:r w:rsidR="001E7115">
        <w:t xml:space="preserve"> the</w:t>
      </w:r>
      <w:r w:rsidR="00345E02">
        <w:t xml:space="preserve"> market de</w:t>
      </w:r>
      <w:r w:rsidR="00D326CE">
        <w:t>mand</w:t>
      </w:r>
      <w:r w:rsidR="00DA12B9">
        <w:t>.</w:t>
      </w:r>
      <w:r w:rsidR="00BE39B9">
        <w:t xml:space="preserve"> </w:t>
      </w:r>
      <w:r w:rsidR="00BE572F">
        <w:t>Conversely</w:t>
      </w:r>
      <w:r w:rsidR="00B64431">
        <w:t xml:space="preserve">, </w:t>
      </w:r>
      <w:r w:rsidR="00EF527F">
        <w:t xml:space="preserve">some </w:t>
      </w:r>
      <w:r w:rsidR="0008710E">
        <w:t>stakeholder</w:t>
      </w:r>
      <w:r w:rsidR="00EF527F">
        <w:t>s</w:t>
      </w:r>
      <w:r w:rsidR="0008710E">
        <w:t xml:space="preserve"> expressed</w:t>
      </w:r>
      <w:r w:rsidR="0076364D">
        <w:t xml:space="preserve"> concern</w:t>
      </w:r>
      <w:r w:rsidR="003077D5">
        <w:t>s</w:t>
      </w:r>
      <w:r w:rsidR="0076364D">
        <w:t xml:space="preserve"> that</w:t>
      </w:r>
      <w:r w:rsidR="00FF7FA6">
        <w:t xml:space="preserve"> </w:t>
      </w:r>
      <w:r w:rsidR="006C64D9">
        <w:t xml:space="preserve">the percentage </w:t>
      </w:r>
      <w:r w:rsidR="003077D5">
        <w:t>of affordable houses is too high</w:t>
      </w:r>
      <w:r w:rsidR="0008710E">
        <w:t xml:space="preserve"> at 30%</w:t>
      </w:r>
      <w:r w:rsidR="003077D5">
        <w:t>, but</w:t>
      </w:r>
      <w:r w:rsidR="00263CEC">
        <w:t xml:space="preserve"> </w:t>
      </w:r>
      <w:r w:rsidR="009A5D75">
        <w:t xml:space="preserve">there </w:t>
      </w:r>
      <w:r w:rsidR="0008710E">
        <w:t>was no opposition</w:t>
      </w:r>
      <w:r w:rsidR="009A5D75">
        <w:t xml:space="preserve"> to providing specialised </w:t>
      </w:r>
      <w:r w:rsidR="00CF2AC7">
        <w:t xml:space="preserve">(e.g. accessible or adaptable) </w:t>
      </w:r>
      <w:r w:rsidR="009A5D75">
        <w:t>housing where</w:t>
      </w:r>
      <w:r w:rsidR="00CF2AC7">
        <w:t xml:space="preserve"> it</w:t>
      </w:r>
      <w:r w:rsidR="009A5D75">
        <w:t xml:space="preserve"> is deemed to</w:t>
      </w:r>
      <w:r w:rsidR="009445A8">
        <w:t xml:space="preserve"> be </w:t>
      </w:r>
      <w:r w:rsidR="001E5C70">
        <w:t>appropriate.</w:t>
      </w:r>
      <w:r w:rsidR="00997995">
        <w:t xml:space="preserve"> </w:t>
      </w:r>
      <w:r w:rsidR="004C4CD7">
        <w:t>L</w:t>
      </w:r>
      <w:r w:rsidR="00457971">
        <w:t xml:space="preserve">andowners </w:t>
      </w:r>
      <w:r w:rsidR="004C4CD7">
        <w:t xml:space="preserve">have also </w:t>
      </w:r>
      <w:r w:rsidR="001E17A6">
        <w:t>suggested</w:t>
      </w:r>
      <w:r w:rsidR="004C4CD7">
        <w:t xml:space="preserve"> that the development should strive to </w:t>
      </w:r>
      <w:r w:rsidR="005F17F0">
        <w:t xml:space="preserve">facilitate the delivery </w:t>
      </w:r>
      <w:r w:rsidR="00BC032C">
        <w:t>of 1,500 dwellings</w:t>
      </w:r>
      <w:r w:rsidR="00F04647">
        <w:t>, as opposed to 1,300</w:t>
      </w:r>
      <w:r w:rsidR="00C92E42">
        <w:t xml:space="preserve"> currently planned.</w:t>
      </w:r>
    </w:p>
    <w:p w14:paraId="2D7779E7" w14:textId="459BA897" w:rsidR="007202F3" w:rsidRDefault="007202F3">
      <w:r>
        <w:t xml:space="preserve">A </w:t>
      </w:r>
      <w:r w:rsidR="00324517">
        <w:t xml:space="preserve">petition opposing new homes behind existing housing </w:t>
      </w:r>
      <w:r w:rsidR="00D77582">
        <w:t xml:space="preserve">on Cheshire Crescent </w:t>
      </w:r>
      <w:r w:rsidR="002573F8">
        <w:t xml:space="preserve">was signed by 50 </w:t>
      </w:r>
      <w:r w:rsidR="00626EDC">
        <w:t>residents</w:t>
      </w:r>
      <w:r w:rsidR="003A6B30">
        <w:t xml:space="preserve"> concerned that </w:t>
      </w:r>
      <w:r w:rsidR="00DD7530">
        <w:t xml:space="preserve">this could encourage </w:t>
      </w:r>
      <w:r w:rsidR="002F2E86">
        <w:t>T</w:t>
      </w:r>
      <w:r w:rsidR="00DD7530">
        <w:t xml:space="preserve">raveller access and lead </w:t>
      </w:r>
      <w:r w:rsidR="00BA7AF6">
        <w:t xml:space="preserve">to further development on the proposed open space. </w:t>
      </w:r>
      <w:r w:rsidR="004B703B">
        <w:t>Stakeholders also raised the</w:t>
      </w:r>
      <w:r w:rsidR="00C6432C">
        <w:t xml:space="preserve"> concern that </w:t>
      </w:r>
      <w:r w:rsidR="00770229">
        <w:lastRenderedPageBreak/>
        <w:t xml:space="preserve">construction of new homes in this location could impact </w:t>
      </w:r>
      <w:r w:rsidR="004073A4">
        <w:t>on the outlook of the church and amenity of residents in Ches</w:t>
      </w:r>
      <w:r w:rsidR="00EA573E">
        <w:t>h</w:t>
      </w:r>
      <w:r w:rsidR="004073A4">
        <w:t>ire Crescent</w:t>
      </w:r>
      <w:r w:rsidR="00EA573E">
        <w:t>.</w:t>
      </w:r>
    </w:p>
    <w:p w14:paraId="2F34F558" w14:textId="01F50475" w:rsidR="00016A56" w:rsidRDefault="00F17366">
      <w:r>
        <w:t>M</w:t>
      </w:r>
      <w:r w:rsidR="006D0327">
        <w:t xml:space="preserve">embers of the public were supportive </w:t>
      </w:r>
      <w:r w:rsidR="008149F9">
        <w:t xml:space="preserve">of </w:t>
      </w:r>
      <w:r w:rsidR="003C1DB6">
        <w:t xml:space="preserve">the </w:t>
      </w:r>
      <w:r w:rsidR="00CC6857">
        <w:t xml:space="preserve">TSDL creating </w:t>
      </w:r>
      <w:r w:rsidR="008149F9">
        <w:t>flexible open</w:t>
      </w:r>
      <w:r w:rsidR="008D1D40">
        <w:t xml:space="preserve"> </w:t>
      </w:r>
      <w:r w:rsidR="008D1D40" w:rsidRPr="008D1D40">
        <w:t xml:space="preserve">spaces that are inclusive for </w:t>
      </w:r>
      <w:r w:rsidR="00CC6857">
        <w:t>both</w:t>
      </w:r>
      <w:r w:rsidR="00CC6857" w:rsidRPr="008D1D40">
        <w:t xml:space="preserve"> </w:t>
      </w:r>
      <w:r w:rsidR="008D1D40" w:rsidRPr="008D1D40">
        <w:t>new and existing residents, including play facilities that are suitable for children of all ages.</w:t>
      </w:r>
      <w:r w:rsidR="00D9248D">
        <w:t xml:space="preserve"> There was a high level of support</w:t>
      </w:r>
      <w:r w:rsidR="00F11CDE">
        <w:t xml:space="preserve"> for the allotments, particularly in the proposed location</w:t>
      </w:r>
      <w:r w:rsidR="001924E5">
        <w:t xml:space="preserve">, and </w:t>
      </w:r>
      <w:r w:rsidR="008B606C">
        <w:t xml:space="preserve">it </w:t>
      </w:r>
      <w:r w:rsidR="001924E5">
        <w:t xml:space="preserve">was suggested </w:t>
      </w:r>
      <w:r w:rsidR="004E15ED">
        <w:t>that the schools should have acces</w:t>
      </w:r>
      <w:r w:rsidR="00C8008F">
        <w:t>s</w:t>
      </w:r>
      <w:r w:rsidR="004E15ED">
        <w:t xml:space="preserve"> to </w:t>
      </w:r>
      <w:r w:rsidR="007F21D8">
        <w:t>a garden area in order to promote outdoor learning.</w:t>
      </w:r>
      <w:r w:rsidR="00662A1F">
        <w:t xml:space="preserve"> </w:t>
      </w:r>
      <w:r w:rsidR="005C7BDF">
        <w:t xml:space="preserve">It </w:t>
      </w:r>
      <w:r w:rsidR="007B7677">
        <w:t>was</w:t>
      </w:r>
      <w:r w:rsidR="005C7BDF">
        <w:t xml:space="preserve"> </w:t>
      </w:r>
      <w:r w:rsidR="007B7677">
        <w:t>requested that consideration be given</w:t>
      </w:r>
      <w:r w:rsidR="00C17FB2">
        <w:t xml:space="preserve"> </w:t>
      </w:r>
      <w:r w:rsidR="00147639">
        <w:t xml:space="preserve">to </w:t>
      </w:r>
      <w:r w:rsidR="00C17FB2">
        <w:t xml:space="preserve">providing open space and parks that are suitable </w:t>
      </w:r>
      <w:r w:rsidR="00267A5D">
        <w:t>for the older population in terms of design.</w:t>
      </w:r>
      <w:r w:rsidR="00804A60">
        <w:t xml:space="preserve"> Th</w:t>
      </w:r>
      <w:r w:rsidR="00100D9D">
        <w:t>ere was</w:t>
      </w:r>
      <w:r w:rsidR="00804A60">
        <w:t xml:space="preserve"> also</w:t>
      </w:r>
      <w:r w:rsidR="00100D9D">
        <w:t xml:space="preserve"> support amongst stakeholders </w:t>
      </w:r>
      <w:r w:rsidR="00804A60">
        <w:t xml:space="preserve">for </w:t>
      </w:r>
      <w:r w:rsidR="00100D9D">
        <w:t xml:space="preserve">new gym facilities, </w:t>
      </w:r>
      <w:r w:rsidR="00804A60">
        <w:t>as well as</w:t>
      </w:r>
      <w:r w:rsidR="00100D9D">
        <w:t xml:space="preserve"> a new swimming pool.</w:t>
      </w:r>
    </w:p>
    <w:p w14:paraId="64CCE9E5" w14:textId="11ACBE8D" w:rsidR="00176ADE" w:rsidRDefault="00F017BB">
      <w:r>
        <w:t>Stakeholders suggested that t</w:t>
      </w:r>
      <w:r w:rsidR="00BC2A54">
        <w:t>he new school should be delivered as soon as possible</w:t>
      </w:r>
      <w:r w:rsidR="00611F3B">
        <w:t xml:space="preserve"> to minimise the pressure on the existing school</w:t>
      </w:r>
      <w:r w:rsidR="00C02D1B">
        <w:t xml:space="preserve">, along with better parking provisions, to prevent </w:t>
      </w:r>
      <w:r w:rsidR="00F861E3">
        <w:t>the impact on the wider village at drop off and pick up times.</w:t>
      </w:r>
    </w:p>
    <w:p w14:paraId="7DBA7F6C" w14:textId="1FF7098E" w:rsidR="0018238C" w:rsidRDefault="0018238C">
      <w:r>
        <w:t xml:space="preserve">There is </w:t>
      </w:r>
      <w:r w:rsidR="00F017BB">
        <w:t xml:space="preserve">also </w:t>
      </w:r>
      <w:r>
        <w:t xml:space="preserve">public support for the creation </w:t>
      </w:r>
      <w:r w:rsidR="00EE0FC2">
        <w:t>of small workshop spaces alongside retail unit</w:t>
      </w:r>
      <w:r w:rsidR="006617A8">
        <w:t>s,</w:t>
      </w:r>
      <w:r w:rsidR="006C676B">
        <w:t xml:space="preserve"> in order to provide a variety of employment opportunities</w:t>
      </w:r>
      <w:r w:rsidR="002C0A2B">
        <w:t xml:space="preserve"> for new and existing residents.</w:t>
      </w:r>
    </w:p>
    <w:p w14:paraId="77230368" w14:textId="255B2783" w:rsidR="00C83553" w:rsidRDefault="00162974">
      <w:r>
        <w:t xml:space="preserve">Regarding </w:t>
      </w:r>
      <w:r w:rsidR="004A2824">
        <w:t>existing services</w:t>
      </w:r>
      <w:r w:rsidR="00AD2E81">
        <w:t xml:space="preserve"> in Tangmere</w:t>
      </w:r>
      <w:r w:rsidR="004A2824">
        <w:t>, such as</w:t>
      </w:r>
      <w:r w:rsidR="00AD2E81">
        <w:t xml:space="preserve"> the</w:t>
      </w:r>
      <w:r w:rsidR="004A2824">
        <w:t xml:space="preserve"> GP surgery and pumping station</w:t>
      </w:r>
      <w:r w:rsidR="005927F6">
        <w:t xml:space="preserve">, </w:t>
      </w:r>
      <w:r w:rsidR="000E6FB6">
        <w:t>stakeholders raised</w:t>
      </w:r>
      <w:r w:rsidR="009657E0">
        <w:t xml:space="preserve"> concerns that </w:t>
      </w:r>
      <w:r w:rsidR="00AD2E81">
        <w:t xml:space="preserve">these </w:t>
      </w:r>
      <w:r w:rsidR="005927F6">
        <w:t xml:space="preserve">would not have adequate capacity </w:t>
      </w:r>
      <w:r w:rsidR="006570B4">
        <w:t>to cope with additional residents</w:t>
      </w:r>
      <w:r w:rsidR="00F61318">
        <w:t>.</w:t>
      </w:r>
      <w:r w:rsidR="006570B4">
        <w:t xml:space="preserve"> </w:t>
      </w:r>
    </w:p>
    <w:p w14:paraId="319CAA6A" w14:textId="5C58025C" w:rsidR="00D23380" w:rsidRDefault="00B60638">
      <w:r>
        <w:t>Residents</w:t>
      </w:r>
      <w:r w:rsidR="00B24C0D">
        <w:t xml:space="preserve"> support</w:t>
      </w:r>
      <w:r>
        <w:t>ed</w:t>
      </w:r>
      <w:r w:rsidR="00E32C8B">
        <w:t xml:space="preserve"> the </w:t>
      </w:r>
      <w:r w:rsidR="00E32C8B" w:rsidRPr="00E32C8B">
        <w:t>creation of</w:t>
      </w:r>
      <w:r>
        <w:t xml:space="preserve"> new</w:t>
      </w:r>
      <w:r w:rsidR="00E32C8B" w:rsidRPr="00E32C8B">
        <w:t xml:space="preserve"> pedestrian and cycle ways, with respondents requesting improved sustainable links into and from the </w:t>
      </w:r>
      <w:r w:rsidR="00001B23">
        <w:t>T</w:t>
      </w:r>
      <w:r w:rsidR="00E32C8B" w:rsidRPr="00E32C8B">
        <w:t>SDL, along with improved access to surrounding villages and towns.</w:t>
      </w:r>
      <w:r>
        <w:t xml:space="preserve"> T</w:t>
      </w:r>
      <w:r w:rsidR="00F3274B">
        <w:t xml:space="preserve">he </w:t>
      </w:r>
      <w:r w:rsidR="00F3274B" w:rsidRPr="00F3274B">
        <w:t>need for more affordable public transport to and from Tangmere</w:t>
      </w:r>
      <w:r w:rsidR="00F3274B">
        <w:t xml:space="preserve"> was emphasised</w:t>
      </w:r>
      <w:r w:rsidR="00F7291A">
        <w:t>.</w:t>
      </w:r>
    </w:p>
    <w:p w14:paraId="701BE9E6" w14:textId="7DEE0072" w:rsidR="00FE38E4" w:rsidRDefault="00FE38E4">
      <w:r w:rsidRPr="00FE38E4">
        <w:t xml:space="preserve">There is support to keep traffic movements along Malcolm Road to a minimum, in order to maintain </w:t>
      </w:r>
      <w:r w:rsidR="00B60638">
        <w:t xml:space="preserve">the </w:t>
      </w:r>
      <w:r w:rsidRPr="00FE38E4">
        <w:t xml:space="preserve">character of </w:t>
      </w:r>
      <w:r w:rsidR="00B60638">
        <w:t xml:space="preserve">the </w:t>
      </w:r>
      <w:r w:rsidRPr="00FE38E4">
        <w:t xml:space="preserve">new local centre and </w:t>
      </w:r>
      <w:r w:rsidR="00135574">
        <w:t>ensure the safety of</w:t>
      </w:r>
      <w:r w:rsidR="00135574" w:rsidRPr="00FE38E4">
        <w:t xml:space="preserve"> </w:t>
      </w:r>
      <w:r w:rsidRPr="00FE38E4">
        <w:t xml:space="preserve">children at the new primary school. </w:t>
      </w:r>
      <w:r w:rsidR="00135574">
        <w:t>L</w:t>
      </w:r>
      <w:r w:rsidRPr="00FE38E4">
        <w:t>ocal residents felt that a no</w:t>
      </w:r>
      <w:r w:rsidR="006C2898">
        <w:t>-</w:t>
      </w:r>
      <w:r w:rsidRPr="00FE38E4">
        <w:t xml:space="preserve">through road would avoid congestion along Malcolm Road and improve road safety for families and children. </w:t>
      </w:r>
      <w:r w:rsidR="00950B57">
        <w:t>C</w:t>
      </w:r>
      <w:r w:rsidRPr="00FE38E4">
        <w:t>oncern</w:t>
      </w:r>
      <w:r w:rsidR="00950B57">
        <w:t xml:space="preserve">s around the potential </w:t>
      </w:r>
      <w:r w:rsidRPr="00FE38E4">
        <w:t>increase</w:t>
      </w:r>
      <w:r w:rsidR="00950B57">
        <w:t xml:space="preserve"> in </w:t>
      </w:r>
      <w:r w:rsidRPr="00FE38E4">
        <w:t>traffic levels and speeds</w:t>
      </w:r>
      <w:r w:rsidR="00733C74">
        <w:t xml:space="preserve"> (</w:t>
      </w:r>
      <w:r w:rsidRPr="00FE38E4">
        <w:t>specifically coming from the A27</w:t>
      </w:r>
      <w:r w:rsidR="00733C74">
        <w:t>)</w:t>
      </w:r>
      <w:r w:rsidRPr="00FE38E4">
        <w:t xml:space="preserve"> and </w:t>
      </w:r>
      <w:r w:rsidR="00733C74">
        <w:t>its</w:t>
      </w:r>
      <w:r w:rsidR="00733C74" w:rsidRPr="00FE38E4">
        <w:t xml:space="preserve"> </w:t>
      </w:r>
      <w:r w:rsidRPr="00FE38E4">
        <w:t xml:space="preserve">effect on pedestrian safety, </w:t>
      </w:r>
      <w:r w:rsidR="00045F17">
        <w:t xml:space="preserve">were also raised. </w:t>
      </w:r>
      <w:r w:rsidR="00082AA0">
        <w:t>Emphasis was placed on</w:t>
      </w:r>
      <w:r w:rsidRPr="00FE38E4">
        <w:t xml:space="preserve"> children </w:t>
      </w:r>
      <w:r w:rsidR="00082AA0">
        <w:t xml:space="preserve">frequently </w:t>
      </w:r>
      <w:r w:rsidRPr="00FE38E4">
        <w:t>cross</w:t>
      </w:r>
      <w:r w:rsidR="00082AA0">
        <w:t>ing</w:t>
      </w:r>
      <w:r w:rsidRPr="00FE38E4">
        <w:t xml:space="preserve"> </w:t>
      </w:r>
      <w:r w:rsidR="00082AA0">
        <w:t>M</w:t>
      </w:r>
      <w:r w:rsidRPr="00FE38E4">
        <w:t xml:space="preserve">eadow Way to get to the primary school. </w:t>
      </w:r>
      <w:r w:rsidR="00981168">
        <w:t>As such</w:t>
      </w:r>
      <w:r w:rsidRPr="00FE38E4">
        <w:t>, it was requested that a new speed limit of 20mph be introduced both in the TSDL and in the existing village.</w:t>
      </w:r>
    </w:p>
    <w:p w14:paraId="27E7E767" w14:textId="60C3133D" w:rsidR="00827CA6" w:rsidRPr="00613F61" w:rsidRDefault="00AF2123">
      <w:r>
        <w:t>C</w:t>
      </w:r>
      <w:r w:rsidR="00A85615" w:rsidRPr="00A85615">
        <w:t>oncern</w:t>
      </w:r>
      <w:r w:rsidR="00E64D2F">
        <w:t>s</w:t>
      </w:r>
      <w:r w:rsidR="00A85615" w:rsidRPr="00A85615">
        <w:t xml:space="preserve"> for the air quality and </w:t>
      </w:r>
      <w:r w:rsidR="00683B48">
        <w:t>noise</w:t>
      </w:r>
      <w:r>
        <w:t xml:space="preserve"> increase impacts</w:t>
      </w:r>
      <w:r w:rsidR="00A85615" w:rsidRPr="00A85615">
        <w:t xml:space="preserve"> in Tangmere, </w:t>
      </w:r>
      <w:r w:rsidR="00E24282">
        <w:t>resultant from the proximity to the A27</w:t>
      </w:r>
      <w:r w:rsidR="008825B9">
        <w:t xml:space="preserve">, </w:t>
      </w:r>
      <w:r w:rsidR="00A85615" w:rsidRPr="00A85615">
        <w:t>and whether this would become worse with more development and vehicles</w:t>
      </w:r>
      <w:r w:rsidR="00E64D2F">
        <w:t xml:space="preserve"> were identified</w:t>
      </w:r>
      <w:r w:rsidR="008825B9">
        <w:t xml:space="preserve">. </w:t>
      </w:r>
    </w:p>
    <w:p w14:paraId="61454588" w14:textId="3F60F474" w:rsidR="007B20BD" w:rsidRDefault="00DA6274" w:rsidP="007B20BD">
      <w:pPr>
        <w:pStyle w:val="Heading2"/>
      </w:pPr>
      <w:r>
        <w:t>Previous Equalities work</w:t>
      </w:r>
    </w:p>
    <w:p w14:paraId="433797AD" w14:textId="00FD0C01" w:rsidR="00CD0744" w:rsidRPr="00CD0744" w:rsidRDefault="7B7B6632" w:rsidP="00CD0744">
      <w:r>
        <w:t xml:space="preserve">Prior to this </w:t>
      </w:r>
      <w:proofErr w:type="spellStart"/>
      <w:r>
        <w:t>EqIA</w:t>
      </w:r>
      <w:proofErr w:type="spellEnd"/>
      <w:r>
        <w:t xml:space="preserve">, the Council carried out other forms of equalities analysis. In 2013, the ‘Chichester Local Plan </w:t>
      </w:r>
      <w:proofErr w:type="spellStart"/>
      <w:r>
        <w:t>EqIA</w:t>
      </w:r>
      <w:proofErr w:type="spellEnd"/>
      <w:r>
        <w:t xml:space="preserve"> Phase 1’</w:t>
      </w:r>
      <w:r w:rsidR="00634C4B">
        <w:t xml:space="preserve">, </w:t>
      </w:r>
      <w:r w:rsidR="00A302D2">
        <w:t xml:space="preserve">‘Chichester Local Plan </w:t>
      </w:r>
      <w:proofErr w:type="spellStart"/>
      <w:r w:rsidR="00A302D2">
        <w:t>EqIA</w:t>
      </w:r>
      <w:proofErr w:type="spellEnd"/>
      <w:r w:rsidR="00A302D2">
        <w:t xml:space="preserve"> Phase 1 </w:t>
      </w:r>
      <w:r w:rsidR="00D821D2">
        <w:t>A</w:t>
      </w:r>
      <w:r w:rsidR="00A302D2">
        <w:t xml:space="preserve">ddendum’ </w:t>
      </w:r>
      <w:r>
        <w:t xml:space="preserve">and ‘Chichester Local Plan </w:t>
      </w:r>
      <w:proofErr w:type="spellStart"/>
      <w:r>
        <w:t>EqIA</w:t>
      </w:r>
      <w:proofErr w:type="spellEnd"/>
      <w:r>
        <w:t xml:space="preserve"> Phase 2’ were produced with a focus on the potential equalities impacts of the wider Chichester Local Plan. In addition to the 2013 iterations, </w:t>
      </w:r>
      <w:r w:rsidR="006D589D">
        <w:t xml:space="preserve">the </w:t>
      </w:r>
      <w:r>
        <w:t xml:space="preserve">Local Plan Review Preferred Approach </w:t>
      </w:r>
      <w:proofErr w:type="spellStart"/>
      <w:r>
        <w:t>EqIA</w:t>
      </w:r>
      <w:proofErr w:type="spellEnd"/>
      <w:r>
        <w:t xml:space="preserve"> was undertaken in 2018. An overview of these documents is provided below.</w:t>
      </w:r>
    </w:p>
    <w:p w14:paraId="3A60DE26" w14:textId="63EC6BDD" w:rsidR="00D2761C" w:rsidRPr="00154F8B" w:rsidRDefault="00C81C79" w:rsidP="00964B8D">
      <w:pPr>
        <w:pStyle w:val="Heading3"/>
      </w:pPr>
      <w:r>
        <w:t xml:space="preserve">Local Plan Phase 1 </w:t>
      </w:r>
      <w:proofErr w:type="spellStart"/>
      <w:r>
        <w:t>EqIA</w:t>
      </w:r>
      <w:proofErr w:type="spellEnd"/>
      <w:r>
        <w:t xml:space="preserve"> </w:t>
      </w:r>
      <w:r w:rsidR="00F6101B">
        <w:t>(2013)</w:t>
      </w:r>
    </w:p>
    <w:p w14:paraId="4E1A185D" w14:textId="1D50F97E" w:rsidR="00C81C79" w:rsidRPr="00C81C79" w:rsidRDefault="0073079A" w:rsidP="00C81C79">
      <w:r>
        <w:t xml:space="preserve">Phase 1 of the Local Plan </w:t>
      </w:r>
      <w:proofErr w:type="spellStart"/>
      <w:r>
        <w:t>EqIA</w:t>
      </w:r>
      <w:proofErr w:type="spellEnd"/>
      <w:r>
        <w:t xml:space="preserve"> was produced alongside the Local Plan as a tool to assess </w:t>
      </w:r>
      <w:r w:rsidR="00D10A23">
        <w:t>the implication</w:t>
      </w:r>
      <w:r w:rsidR="00540FAD">
        <w:t>s</w:t>
      </w:r>
      <w:r w:rsidR="00D10A23">
        <w:t xml:space="preserve"> of planning policies upon the whole community. </w:t>
      </w:r>
      <w:r w:rsidR="009645B1">
        <w:t>The f</w:t>
      </w:r>
      <w:r w:rsidR="002E40C8">
        <w:t xml:space="preserve">irst submission of the </w:t>
      </w:r>
      <w:r w:rsidR="002B1FD2">
        <w:t xml:space="preserve">Phase 1 </w:t>
      </w:r>
      <w:proofErr w:type="spellStart"/>
      <w:r w:rsidR="002E40C8">
        <w:t>EqIA</w:t>
      </w:r>
      <w:proofErr w:type="spellEnd"/>
      <w:r w:rsidR="002E40C8">
        <w:t xml:space="preserve"> was in January 2013, while the second </w:t>
      </w:r>
      <w:r w:rsidR="00CC288B">
        <w:t xml:space="preserve">submission was </w:t>
      </w:r>
      <w:r w:rsidR="00426153">
        <w:t>an Addendum</w:t>
      </w:r>
      <w:r w:rsidR="00972803">
        <w:t xml:space="preserve"> in</w:t>
      </w:r>
      <w:r w:rsidR="00426153">
        <w:t xml:space="preserve"> July 2013</w:t>
      </w:r>
      <w:r w:rsidR="00BD351D">
        <w:t>.</w:t>
      </w:r>
      <w:r w:rsidR="002E40C8">
        <w:t xml:space="preserve"> </w:t>
      </w:r>
      <w:r w:rsidR="00C572BC">
        <w:t xml:space="preserve">The update to the January 2013 </w:t>
      </w:r>
      <w:proofErr w:type="spellStart"/>
      <w:r w:rsidR="00C572BC">
        <w:t>EqIA</w:t>
      </w:r>
      <w:proofErr w:type="spellEnd"/>
      <w:r w:rsidR="00C572BC">
        <w:t xml:space="preserve"> was necessary because the consultation on the </w:t>
      </w:r>
      <w:r w:rsidR="00DB6A55">
        <w:t xml:space="preserve">Local Plan </w:t>
      </w:r>
      <w:r w:rsidR="00DB6A55">
        <w:lastRenderedPageBreak/>
        <w:t>Pre</w:t>
      </w:r>
      <w:r w:rsidR="00CD749B">
        <w:t xml:space="preserve">ferred Approach from March to May 2013 resulted in some major amendments to the </w:t>
      </w:r>
      <w:r w:rsidR="000104D1">
        <w:t>L</w:t>
      </w:r>
      <w:r w:rsidR="00CD749B">
        <w:t xml:space="preserve">ocal </w:t>
      </w:r>
      <w:r w:rsidR="000104D1">
        <w:t>P</w:t>
      </w:r>
      <w:r w:rsidR="00CD749B">
        <w:t xml:space="preserve">lan policies. </w:t>
      </w:r>
      <w:r w:rsidR="006E516B">
        <w:t>The report</w:t>
      </w:r>
      <w:r w:rsidR="000104D1">
        <w:t>s</w:t>
      </w:r>
      <w:r w:rsidR="006E516B">
        <w:t xml:space="preserve"> inform</w:t>
      </w:r>
      <w:r w:rsidR="00540FAD">
        <w:t>ed</w:t>
      </w:r>
      <w:r w:rsidR="006E516B">
        <w:t xml:space="preserve"> public consultation and assesse</w:t>
      </w:r>
      <w:r w:rsidR="00540FAD">
        <w:t>d</w:t>
      </w:r>
      <w:r w:rsidR="006E516B">
        <w:t xml:space="preserve"> </w:t>
      </w:r>
      <w:r w:rsidR="00AC1BD7">
        <w:t>a list of</w:t>
      </w:r>
      <w:r w:rsidR="006E516B">
        <w:t xml:space="preserve"> policies within the </w:t>
      </w:r>
      <w:r w:rsidR="00AC1BD7">
        <w:t>Local Plan</w:t>
      </w:r>
      <w:r w:rsidR="006E516B">
        <w:t xml:space="preserve"> to </w:t>
      </w:r>
      <w:r w:rsidR="00EB2F4C">
        <w:t>prevent discrimination</w:t>
      </w:r>
      <w:r w:rsidR="00AC1BD7">
        <w:t xml:space="preserve"> </w:t>
      </w:r>
      <w:r w:rsidR="00540FAD">
        <w:t>against</w:t>
      </w:r>
      <w:r w:rsidR="00027A8A">
        <w:t xml:space="preserve"> </w:t>
      </w:r>
      <w:r w:rsidR="003E6D1B">
        <w:t>p</w:t>
      </w:r>
      <w:r w:rsidR="00027A8A">
        <w:t xml:space="preserve">rotected </w:t>
      </w:r>
      <w:r w:rsidR="003E6D1B">
        <w:t>c</w:t>
      </w:r>
      <w:r w:rsidR="00027A8A">
        <w:t xml:space="preserve">haracteristic </w:t>
      </w:r>
      <w:r w:rsidR="003E6D1B">
        <w:t>g</w:t>
      </w:r>
      <w:r w:rsidR="00027A8A">
        <w:t xml:space="preserve">roups. </w:t>
      </w:r>
      <w:r w:rsidR="00D8039D">
        <w:t xml:space="preserve">Both </w:t>
      </w:r>
      <w:proofErr w:type="spellStart"/>
      <w:r w:rsidR="00D8039D">
        <w:t>EqIAs</w:t>
      </w:r>
      <w:proofErr w:type="spellEnd"/>
      <w:r w:rsidR="00EC2FDA">
        <w:t xml:space="preserve"> </w:t>
      </w:r>
      <w:r w:rsidR="003E6D1B">
        <w:t>concluded</w:t>
      </w:r>
      <w:r w:rsidR="00EC2FDA">
        <w:t xml:space="preserve"> that there were no negative impacts of the Local Plan policies on </w:t>
      </w:r>
      <w:r w:rsidR="003E6D1B">
        <w:t>protected characteristic groups</w:t>
      </w:r>
      <w:r w:rsidR="00EC2FDA">
        <w:t xml:space="preserve">. The Local Plan was therefore considered </w:t>
      </w:r>
      <w:r w:rsidR="00874102">
        <w:t>to be inclusive to all people</w:t>
      </w:r>
      <w:r w:rsidR="002E3A3B">
        <w:t xml:space="preserve"> and </w:t>
      </w:r>
      <w:r w:rsidR="00874102">
        <w:t xml:space="preserve">groups and as such no mitigation measures were necessary. </w:t>
      </w:r>
    </w:p>
    <w:p w14:paraId="302BC9A3" w14:textId="0F071491" w:rsidR="00C81C79" w:rsidRDefault="00C81C79" w:rsidP="00964B8D">
      <w:pPr>
        <w:pStyle w:val="Heading3"/>
      </w:pPr>
      <w:r>
        <w:t xml:space="preserve">Local Plan Phase 2 </w:t>
      </w:r>
      <w:proofErr w:type="spellStart"/>
      <w:r>
        <w:t>EqIA</w:t>
      </w:r>
      <w:proofErr w:type="spellEnd"/>
      <w:r>
        <w:t xml:space="preserve"> </w:t>
      </w:r>
      <w:r w:rsidR="00F6101B">
        <w:t>(2013)</w:t>
      </w:r>
    </w:p>
    <w:p w14:paraId="715A63CE" w14:textId="46800E98" w:rsidR="00652701" w:rsidRDefault="00D74F9B" w:rsidP="00F30DEB">
      <w:r>
        <w:t>The P</w:t>
      </w:r>
      <w:r w:rsidR="003B489E">
        <w:t>hase 2 assessment was submitted alongside the Local Plan</w:t>
      </w:r>
      <w:r w:rsidR="002F50B7">
        <w:t>. The chan</w:t>
      </w:r>
      <w:r w:rsidR="00365F2C">
        <w:t>ges from the Local Plan were not significant in terms of the Protected Characteristics</w:t>
      </w:r>
      <w:r w:rsidR="00433EA7">
        <w:t xml:space="preserve">, </w:t>
      </w:r>
      <w:r w:rsidR="00365F2C">
        <w:t>as the aims of the policies were similar to those in the Preferred Approach.</w:t>
      </w:r>
      <w:r w:rsidR="007247F6">
        <w:t xml:space="preserve"> </w:t>
      </w:r>
      <w:r w:rsidR="0099641E">
        <w:t xml:space="preserve">The </w:t>
      </w:r>
      <w:r w:rsidR="004848CB">
        <w:t xml:space="preserve">Phase 2 </w:t>
      </w:r>
      <w:proofErr w:type="spellStart"/>
      <w:r w:rsidR="004848CB">
        <w:t>EqIA</w:t>
      </w:r>
      <w:proofErr w:type="spellEnd"/>
      <w:r w:rsidR="004848CB">
        <w:t xml:space="preserve"> also </w:t>
      </w:r>
      <w:r w:rsidR="007247F6">
        <w:t xml:space="preserve">identified </w:t>
      </w:r>
      <w:r w:rsidR="004848CB">
        <w:t xml:space="preserve">that no negative impacts </w:t>
      </w:r>
      <w:r w:rsidR="003547E1">
        <w:t xml:space="preserve">on protected characteristic groups would arise as a result </w:t>
      </w:r>
      <w:r w:rsidR="004848CB">
        <w:t>of any of the Local Plan policies. The Local Plan was again considered to be inclusive to all people</w:t>
      </w:r>
      <w:r w:rsidR="003547E1">
        <w:t xml:space="preserve"> and g</w:t>
      </w:r>
      <w:r w:rsidR="004848CB">
        <w:t>roups and</w:t>
      </w:r>
      <w:r w:rsidR="003547E1">
        <w:t xml:space="preserve"> therefore</w:t>
      </w:r>
      <w:r w:rsidR="004848CB">
        <w:t xml:space="preserve"> no </w:t>
      </w:r>
      <w:r w:rsidR="00540FAD">
        <w:t xml:space="preserve">additional </w:t>
      </w:r>
      <w:r w:rsidR="004848CB">
        <w:t xml:space="preserve">mitigation measures were necessary. </w:t>
      </w:r>
    </w:p>
    <w:p w14:paraId="253F1F6E" w14:textId="557DE9DC" w:rsidR="00C523F4" w:rsidRDefault="00502F5A" w:rsidP="00964AAF">
      <w:pPr>
        <w:pStyle w:val="Heading3"/>
      </w:pPr>
      <w:r>
        <w:t xml:space="preserve">Local Plan Review Preferred Approach </w:t>
      </w:r>
      <w:proofErr w:type="spellStart"/>
      <w:r>
        <w:t>EqIA</w:t>
      </w:r>
      <w:proofErr w:type="spellEnd"/>
      <w:r>
        <w:t xml:space="preserve"> (2018) </w:t>
      </w:r>
    </w:p>
    <w:p w14:paraId="550D016C" w14:textId="25CF9727" w:rsidR="00767AF2" w:rsidRDefault="003A1818" w:rsidP="00502F5A">
      <w:r>
        <w:t>The Council</w:t>
      </w:r>
      <w:r w:rsidR="0073448D" w:rsidRPr="0073448D">
        <w:t xml:space="preserve"> adopted the Chichester Local Plan: Key Policies (2014-2029)</w:t>
      </w:r>
      <w:r w:rsidR="00CB15B0">
        <w:rPr>
          <w:rStyle w:val="FootnoteReference"/>
        </w:rPr>
        <w:footnoteReference w:id="8"/>
      </w:r>
      <w:r w:rsidR="0073448D" w:rsidRPr="0073448D">
        <w:t xml:space="preserve"> in July 2015. However, </w:t>
      </w:r>
      <w:r w:rsidR="00671BC7">
        <w:t>the</w:t>
      </w:r>
      <w:r w:rsidR="0073448D" w:rsidRPr="0073448D">
        <w:t xml:space="preserve"> Local Plan examination</w:t>
      </w:r>
      <w:r w:rsidR="00671BC7">
        <w:t xml:space="preserve"> concluded that the Plan did not meet the </w:t>
      </w:r>
      <w:r w:rsidR="0073448D" w:rsidRPr="0073448D">
        <w:t xml:space="preserve">full housing needs for the area. The Council were therefore required to </w:t>
      </w:r>
      <w:r w:rsidR="00D5780E">
        <w:t>undertake</w:t>
      </w:r>
      <w:r w:rsidR="0073448D" w:rsidRPr="0073448D">
        <w:t xml:space="preserve"> a Local Plan Review within </w:t>
      </w:r>
      <w:r w:rsidR="00D5780E">
        <w:t>five</w:t>
      </w:r>
      <w:r w:rsidR="0073448D" w:rsidRPr="0073448D">
        <w:t xml:space="preserve"> years to </w:t>
      </w:r>
      <w:r w:rsidR="00573ECD">
        <w:t>ensure</w:t>
      </w:r>
      <w:r w:rsidR="0073448D" w:rsidRPr="0073448D">
        <w:t xml:space="preserve"> that the plan area’s housing needs </w:t>
      </w:r>
      <w:r w:rsidR="001979A2">
        <w:t>were</w:t>
      </w:r>
      <w:r w:rsidR="0073448D" w:rsidRPr="0073448D">
        <w:t xml:space="preserve"> fully met.</w:t>
      </w:r>
      <w:r w:rsidR="00573ECD">
        <w:t xml:space="preserve"> </w:t>
      </w:r>
      <w:r w:rsidR="00B11A45" w:rsidRPr="00B11A45">
        <w:t xml:space="preserve">The Preferred Approach version of the Local Plan </w:t>
      </w:r>
      <w:r w:rsidR="00590FD7">
        <w:t>set out to achieve this by</w:t>
      </w:r>
      <w:r w:rsidR="00B11A45" w:rsidRPr="00B11A45">
        <w:t xml:space="preserve"> as identifying strategic locations suitable for development and proposed policies to meet the development needs of the Plan area.   </w:t>
      </w:r>
    </w:p>
    <w:p w14:paraId="5A817BB4" w14:textId="1F07D577" w:rsidR="00502F5A" w:rsidRPr="00502F5A" w:rsidRDefault="002E7489" w:rsidP="00502F5A">
      <w:r>
        <w:t>The</w:t>
      </w:r>
      <w:r w:rsidR="00D80FF5">
        <w:t xml:space="preserve"> </w:t>
      </w:r>
      <w:proofErr w:type="spellStart"/>
      <w:r w:rsidR="00E55F6E">
        <w:t>EqIA</w:t>
      </w:r>
      <w:proofErr w:type="spellEnd"/>
      <w:r w:rsidR="00E55F6E">
        <w:t xml:space="preserve"> published in December 2018 </w:t>
      </w:r>
      <w:r w:rsidR="00565AE1">
        <w:t>considered</w:t>
      </w:r>
      <w:r w:rsidR="00565AE1" w:rsidRPr="00565AE1">
        <w:t xml:space="preserve"> the impact of the vision</w:t>
      </w:r>
      <w:r w:rsidR="003D38CF">
        <w:t xml:space="preserve">, </w:t>
      </w:r>
      <w:r w:rsidR="00565AE1" w:rsidRPr="00565AE1">
        <w:t>objectives and policies contained in the Local Plan Preferred Approac</w:t>
      </w:r>
      <w:r w:rsidR="003D38CF">
        <w:t xml:space="preserve">h. </w:t>
      </w:r>
      <w:r w:rsidR="00217C20">
        <w:t xml:space="preserve">The </w:t>
      </w:r>
      <w:proofErr w:type="spellStart"/>
      <w:r w:rsidR="00217C20">
        <w:t>EqIA</w:t>
      </w:r>
      <w:proofErr w:type="spellEnd"/>
      <w:r w:rsidR="00217C20">
        <w:t xml:space="preserve"> </w:t>
      </w:r>
      <w:r w:rsidR="008876E6">
        <w:t>indicated</w:t>
      </w:r>
      <w:r w:rsidR="00217C20">
        <w:t xml:space="preserve"> that</w:t>
      </w:r>
      <w:r w:rsidR="00116E3B">
        <w:t xml:space="preserve"> </w:t>
      </w:r>
      <w:r w:rsidR="00347919">
        <w:t>there were no negative impacts</w:t>
      </w:r>
      <w:r w:rsidR="00095AC7">
        <w:t xml:space="preserve"> on protected characteristic groups as a result of </w:t>
      </w:r>
      <w:r w:rsidR="00347919">
        <w:t>the Preferred Approach</w:t>
      </w:r>
      <w:r w:rsidR="00095AC7">
        <w:t xml:space="preserve">. </w:t>
      </w:r>
      <w:r w:rsidR="00576672">
        <w:t>The Local Plan was again considered to be inclusive to all people and</w:t>
      </w:r>
      <w:r w:rsidR="00F94D37">
        <w:t xml:space="preserve"> protected characteristic</w:t>
      </w:r>
      <w:r w:rsidR="00576672">
        <w:t xml:space="preserve"> groups, with no additional mitigation measures necessary. </w:t>
      </w:r>
    </w:p>
    <w:p w14:paraId="2DAF1E20" w14:textId="547C8AA3" w:rsidR="007B20BD" w:rsidRDefault="007B20BD" w:rsidP="007B20BD">
      <w:pPr>
        <w:pStyle w:val="Heading1"/>
      </w:pPr>
      <w:bookmarkStart w:id="8" w:name="_Toc31806376"/>
      <w:bookmarkStart w:id="9" w:name="_Toc31809567"/>
      <w:bookmarkStart w:id="10" w:name="_Toc31806377"/>
      <w:bookmarkStart w:id="11" w:name="_Toc31809568"/>
      <w:bookmarkStart w:id="12" w:name="_Toc31806379"/>
      <w:bookmarkStart w:id="13" w:name="_Toc31809570"/>
      <w:bookmarkStart w:id="14" w:name="_Toc31806380"/>
      <w:bookmarkStart w:id="15" w:name="_Toc31809571"/>
      <w:bookmarkStart w:id="16" w:name="_Toc31806381"/>
      <w:bookmarkStart w:id="17" w:name="_Toc31809572"/>
      <w:bookmarkStart w:id="18" w:name="_Toc31806382"/>
      <w:bookmarkStart w:id="19" w:name="_Toc31809573"/>
      <w:bookmarkStart w:id="20" w:name="_Toc31806383"/>
      <w:bookmarkStart w:id="21" w:name="_Toc31809574"/>
      <w:bookmarkStart w:id="22" w:name="_Toc31806384"/>
      <w:bookmarkStart w:id="23" w:name="_Toc31809575"/>
      <w:bookmarkStart w:id="24" w:name="_Toc3180957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lastRenderedPageBreak/>
        <w:t>Area profile</w:t>
      </w:r>
      <w:bookmarkEnd w:id="24"/>
      <w:r>
        <w:t xml:space="preserve"> </w:t>
      </w:r>
    </w:p>
    <w:p w14:paraId="345D4237" w14:textId="3041A4FD" w:rsidR="004F412F" w:rsidRDefault="004F412F" w:rsidP="004F412F">
      <w:pPr>
        <w:pStyle w:val="Heading2"/>
      </w:pPr>
      <w:bookmarkStart w:id="25" w:name="_Toc523297463"/>
      <w:r>
        <w:t>Overview</w:t>
      </w:r>
    </w:p>
    <w:p w14:paraId="4ECD0799" w14:textId="7CF16742" w:rsidR="004F412F" w:rsidRDefault="004F412F" w:rsidP="00C14767">
      <w:pPr>
        <w:pStyle w:val="Heading2"/>
        <w:numPr>
          <w:ilvl w:val="0"/>
          <w:numId w:val="0"/>
        </w:numPr>
        <w:rPr>
          <w:b w:val="0"/>
          <w:color w:val="auto"/>
          <w:sz w:val="20"/>
          <w:szCs w:val="20"/>
        </w:rPr>
      </w:pPr>
      <w:r w:rsidRPr="00867F6B">
        <w:rPr>
          <w:b w:val="0"/>
          <w:color w:val="auto"/>
          <w:sz w:val="20"/>
          <w:szCs w:val="20"/>
        </w:rPr>
        <w:t xml:space="preserve">The demographic profile of the area </w:t>
      </w:r>
      <w:r w:rsidR="00FD069B">
        <w:rPr>
          <w:b w:val="0"/>
          <w:color w:val="auto"/>
          <w:sz w:val="20"/>
          <w:szCs w:val="20"/>
        </w:rPr>
        <w:t>in</w:t>
      </w:r>
      <w:r w:rsidR="00A855A7">
        <w:rPr>
          <w:b w:val="0"/>
          <w:color w:val="auto"/>
          <w:sz w:val="20"/>
          <w:szCs w:val="20"/>
        </w:rPr>
        <w:t xml:space="preserve"> which</w:t>
      </w:r>
      <w:r w:rsidR="00A855A7" w:rsidRPr="00867F6B">
        <w:rPr>
          <w:b w:val="0"/>
          <w:color w:val="auto"/>
          <w:sz w:val="20"/>
          <w:szCs w:val="20"/>
        </w:rPr>
        <w:t xml:space="preserve"> </w:t>
      </w:r>
      <w:r w:rsidRPr="00867F6B">
        <w:rPr>
          <w:b w:val="0"/>
          <w:color w:val="auto"/>
          <w:sz w:val="20"/>
          <w:szCs w:val="20"/>
        </w:rPr>
        <w:t>the scheme i</w:t>
      </w:r>
      <w:r w:rsidR="00DE423A">
        <w:rPr>
          <w:b w:val="0"/>
          <w:color w:val="auto"/>
          <w:sz w:val="20"/>
          <w:szCs w:val="20"/>
        </w:rPr>
        <w:t>s</w:t>
      </w:r>
      <w:r w:rsidRPr="00867F6B">
        <w:rPr>
          <w:b w:val="0"/>
          <w:color w:val="auto"/>
          <w:sz w:val="20"/>
          <w:szCs w:val="20"/>
        </w:rPr>
        <w:t xml:space="preserve"> </w:t>
      </w:r>
      <w:r w:rsidR="00FD069B">
        <w:rPr>
          <w:b w:val="0"/>
          <w:color w:val="auto"/>
          <w:sz w:val="20"/>
          <w:szCs w:val="20"/>
        </w:rPr>
        <w:t>located</w:t>
      </w:r>
      <w:r w:rsidRPr="00867F6B">
        <w:rPr>
          <w:b w:val="0"/>
          <w:color w:val="auto"/>
          <w:sz w:val="20"/>
          <w:szCs w:val="20"/>
        </w:rPr>
        <w:t xml:space="preserve"> i</w:t>
      </w:r>
      <w:r w:rsidR="00DE423A">
        <w:rPr>
          <w:b w:val="0"/>
          <w:color w:val="auto"/>
          <w:sz w:val="20"/>
          <w:szCs w:val="20"/>
        </w:rPr>
        <w:t>s</w:t>
      </w:r>
      <w:r w:rsidRPr="00867F6B">
        <w:rPr>
          <w:b w:val="0"/>
          <w:color w:val="auto"/>
          <w:sz w:val="20"/>
          <w:szCs w:val="20"/>
        </w:rPr>
        <w:t xml:space="preserve"> outlined below. This shows the proportion of people with </w:t>
      </w:r>
      <w:r w:rsidR="00FD069B">
        <w:rPr>
          <w:b w:val="0"/>
          <w:color w:val="auto"/>
          <w:sz w:val="20"/>
          <w:szCs w:val="20"/>
        </w:rPr>
        <w:t xml:space="preserve">different </w:t>
      </w:r>
      <w:r w:rsidRPr="00867F6B">
        <w:rPr>
          <w:b w:val="0"/>
          <w:color w:val="auto"/>
          <w:sz w:val="20"/>
          <w:szCs w:val="20"/>
        </w:rPr>
        <w:t xml:space="preserve">protected characteristics living in </w:t>
      </w:r>
      <w:r w:rsidR="00045139">
        <w:rPr>
          <w:b w:val="0"/>
          <w:color w:val="auto"/>
          <w:sz w:val="20"/>
          <w:szCs w:val="20"/>
        </w:rPr>
        <w:t>Tangmere (where this data is available)</w:t>
      </w:r>
      <w:r w:rsidRPr="00867F6B">
        <w:rPr>
          <w:b w:val="0"/>
          <w:color w:val="auto"/>
          <w:sz w:val="20"/>
          <w:szCs w:val="20"/>
        </w:rPr>
        <w:t xml:space="preserve"> and provides </w:t>
      </w:r>
      <w:r w:rsidR="00045139">
        <w:rPr>
          <w:b w:val="0"/>
          <w:color w:val="auto"/>
          <w:sz w:val="20"/>
          <w:szCs w:val="20"/>
        </w:rPr>
        <w:t>Chichester</w:t>
      </w:r>
      <w:r w:rsidR="00073136">
        <w:rPr>
          <w:b w:val="0"/>
          <w:color w:val="auto"/>
          <w:sz w:val="20"/>
          <w:szCs w:val="20"/>
        </w:rPr>
        <w:t xml:space="preserve"> district</w:t>
      </w:r>
      <w:r w:rsidR="00045139">
        <w:rPr>
          <w:b w:val="0"/>
          <w:color w:val="auto"/>
          <w:sz w:val="20"/>
          <w:szCs w:val="20"/>
        </w:rPr>
        <w:t>, the South East</w:t>
      </w:r>
      <w:r w:rsidR="00073136">
        <w:rPr>
          <w:b w:val="0"/>
          <w:color w:val="auto"/>
          <w:sz w:val="20"/>
          <w:szCs w:val="20"/>
        </w:rPr>
        <w:t xml:space="preserve"> region </w:t>
      </w:r>
      <w:r w:rsidRPr="00867F6B">
        <w:rPr>
          <w:b w:val="0"/>
          <w:color w:val="auto"/>
          <w:sz w:val="20"/>
          <w:szCs w:val="20"/>
        </w:rPr>
        <w:t>and England as comparators. Maps of the site based on nationally available data are included in Appendix B.</w:t>
      </w:r>
      <w:bookmarkEnd w:id="25"/>
      <w:r w:rsidRPr="00476F69">
        <w:rPr>
          <w:b w:val="0"/>
          <w:color w:val="auto"/>
          <w:sz w:val="20"/>
          <w:szCs w:val="20"/>
        </w:rPr>
        <w:t xml:space="preserve"> </w:t>
      </w:r>
    </w:p>
    <w:p w14:paraId="31801B9F" w14:textId="77777777" w:rsidR="00FD1194" w:rsidRDefault="00FD1194" w:rsidP="00FD1194">
      <w:pPr>
        <w:pStyle w:val="Heading2"/>
      </w:pPr>
      <w:r>
        <w:t>Overview</w:t>
      </w:r>
    </w:p>
    <w:p w14:paraId="4AA27C32" w14:textId="3AD1F57A" w:rsidR="00857CDB" w:rsidRDefault="00857CDB" w:rsidP="00857CDB">
      <w:pPr>
        <w:pStyle w:val="Heading3"/>
      </w:pPr>
      <w:r>
        <w:t>Age</w:t>
      </w:r>
    </w:p>
    <w:p w14:paraId="0AE423BF" w14:textId="04E3B587" w:rsidR="00AA6576" w:rsidRPr="00AA6576" w:rsidRDefault="00AA6576" w:rsidP="00AA6576">
      <w:r w:rsidRPr="00AA6576">
        <w:t>The table below shows the population by age group including children, young people, the working age population and older people. Please note the groups below are not mutually exclusive and the columns are not intended to sum to 100%.</w:t>
      </w:r>
    </w:p>
    <w:p w14:paraId="3BC9F030" w14:textId="4738F901" w:rsidR="0012186D" w:rsidRDefault="00CF6464" w:rsidP="00AF2460">
      <w:pPr>
        <w:pStyle w:val="Caption"/>
      </w:pPr>
      <w:bookmarkStart w:id="26" w:name="_Toc31809582"/>
      <w:r>
        <w:t>Table</w:t>
      </w:r>
      <w:r w:rsidR="00AF2460" w:rsidRPr="009C1C7C">
        <w:t xml:space="preserve"> </w:t>
      </w:r>
      <w:r w:rsidR="00AF2460">
        <w:rPr>
          <w:noProof/>
        </w:rPr>
        <w:fldChar w:fldCharType="begin"/>
      </w:r>
      <w:r w:rsidR="00AF2460">
        <w:rPr>
          <w:noProof/>
        </w:rPr>
        <w:instrText xml:space="preserve"> STYLEREF 1 \s </w:instrText>
      </w:r>
      <w:r w:rsidR="00AF2460">
        <w:rPr>
          <w:noProof/>
        </w:rPr>
        <w:fldChar w:fldCharType="separate"/>
      </w:r>
      <w:r>
        <w:rPr>
          <w:noProof/>
        </w:rPr>
        <w:t>3</w:t>
      </w:r>
      <w:r w:rsidR="00AF2460">
        <w:rPr>
          <w:noProof/>
        </w:rPr>
        <w:fldChar w:fldCharType="end"/>
      </w:r>
      <w:r w:rsidR="00AF2460">
        <w:t>.</w:t>
      </w:r>
      <w:r w:rsidR="00AF2460">
        <w:rPr>
          <w:noProof/>
        </w:rPr>
        <w:fldChar w:fldCharType="begin"/>
      </w:r>
      <w:r w:rsidR="00AF2460">
        <w:rPr>
          <w:noProof/>
        </w:rPr>
        <w:instrText xml:space="preserve"> SEQ Table \* ARABIC \s 1 </w:instrText>
      </w:r>
      <w:r w:rsidR="00AF2460">
        <w:rPr>
          <w:noProof/>
        </w:rPr>
        <w:fldChar w:fldCharType="separate"/>
      </w:r>
      <w:r>
        <w:rPr>
          <w:noProof/>
        </w:rPr>
        <w:t>1</w:t>
      </w:r>
      <w:r w:rsidR="00AF2460">
        <w:rPr>
          <w:noProof/>
        </w:rPr>
        <w:fldChar w:fldCharType="end"/>
      </w:r>
      <w:r w:rsidR="00AF2460" w:rsidRPr="009C1C7C">
        <w:t>:</w:t>
      </w:r>
      <w:r w:rsidR="00AF2460">
        <w:t xml:space="preserve"> </w:t>
      </w:r>
      <w:r w:rsidR="00077867">
        <w:t>Population by age group</w:t>
      </w:r>
      <w:bookmarkEnd w:id="26"/>
    </w:p>
    <w:tbl>
      <w:tblPr>
        <w:tblStyle w:val="MMTable"/>
        <w:tblW w:w="0" w:type="auto"/>
        <w:tblLook w:val="04A0" w:firstRow="1" w:lastRow="0" w:firstColumn="1" w:lastColumn="0" w:noHBand="0" w:noVBand="1"/>
      </w:tblPr>
      <w:tblGrid>
        <w:gridCol w:w="1699"/>
        <w:gridCol w:w="1699"/>
        <w:gridCol w:w="1699"/>
        <w:gridCol w:w="1699"/>
        <w:gridCol w:w="1699"/>
      </w:tblGrid>
      <w:tr w:rsidR="00566E69" w14:paraId="1C0A7235" w14:textId="77777777" w:rsidTr="00AF2460">
        <w:trPr>
          <w:cnfStyle w:val="100000000000" w:firstRow="1" w:lastRow="0" w:firstColumn="0" w:lastColumn="0" w:oddVBand="0" w:evenVBand="0" w:oddHBand="0" w:evenHBand="0" w:firstRowFirstColumn="0" w:firstRowLastColumn="0" w:lastRowFirstColumn="0" w:lastRowLastColumn="0"/>
        </w:trPr>
        <w:tc>
          <w:tcPr>
            <w:tcW w:w="1699" w:type="dxa"/>
          </w:tcPr>
          <w:p w14:paraId="7E7B5A99" w14:textId="783EA57E" w:rsidR="00AF2460" w:rsidRPr="00282E94" w:rsidRDefault="00AF2460" w:rsidP="0012186D">
            <w:pPr>
              <w:rPr>
                <w:b/>
                <w:color w:val="2FB6BC" w:themeColor="accent1"/>
              </w:rPr>
            </w:pPr>
            <w:r w:rsidRPr="00282E94">
              <w:rPr>
                <w:b/>
                <w:color w:val="2FB6BC" w:themeColor="accent1"/>
              </w:rPr>
              <w:t>Age</w:t>
            </w:r>
          </w:p>
        </w:tc>
        <w:tc>
          <w:tcPr>
            <w:tcW w:w="1699" w:type="dxa"/>
          </w:tcPr>
          <w:p w14:paraId="5D4F8E8D" w14:textId="7A5F4D7C" w:rsidR="00AF2460" w:rsidRPr="00282E94" w:rsidRDefault="00AF2460" w:rsidP="005E032F">
            <w:pPr>
              <w:jc w:val="right"/>
              <w:rPr>
                <w:b/>
                <w:color w:val="2FB6BC" w:themeColor="accent1"/>
              </w:rPr>
            </w:pPr>
            <w:r w:rsidRPr="00282E94">
              <w:rPr>
                <w:b/>
                <w:color w:val="2FB6BC" w:themeColor="accent1"/>
              </w:rPr>
              <w:t>Tangmere</w:t>
            </w:r>
          </w:p>
        </w:tc>
        <w:tc>
          <w:tcPr>
            <w:tcW w:w="1699" w:type="dxa"/>
          </w:tcPr>
          <w:p w14:paraId="501C9183" w14:textId="7E6926E2" w:rsidR="00AF2460" w:rsidRPr="00282E94" w:rsidRDefault="00AF2460" w:rsidP="005E032F">
            <w:pPr>
              <w:jc w:val="right"/>
              <w:rPr>
                <w:b/>
                <w:color w:val="2FB6BC" w:themeColor="accent1"/>
              </w:rPr>
            </w:pPr>
            <w:r w:rsidRPr="00282E94">
              <w:rPr>
                <w:b/>
                <w:color w:val="2FB6BC" w:themeColor="accent1"/>
              </w:rPr>
              <w:t>Chichester</w:t>
            </w:r>
          </w:p>
        </w:tc>
        <w:tc>
          <w:tcPr>
            <w:tcW w:w="1699" w:type="dxa"/>
          </w:tcPr>
          <w:p w14:paraId="730723B5" w14:textId="1160D0D6" w:rsidR="00AF2460" w:rsidRPr="00282E94" w:rsidRDefault="00AF2460" w:rsidP="005E032F">
            <w:pPr>
              <w:jc w:val="right"/>
              <w:rPr>
                <w:b/>
                <w:color w:val="2FB6BC" w:themeColor="accent1"/>
              </w:rPr>
            </w:pPr>
            <w:r w:rsidRPr="00282E94">
              <w:rPr>
                <w:b/>
                <w:color w:val="2FB6BC" w:themeColor="accent1"/>
              </w:rPr>
              <w:t>South East</w:t>
            </w:r>
          </w:p>
        </w:tc>
        <w:tc>
          <w:tcPr>
            <w:tcW w:w="1699" w:type="dxa"/>
          </w:tcPr>
          <w:p w14:paraId="73F1BDC7" w14:textId="74A82BDB" w:rsidR="00AF2460" w:rsidRPr="00282E94" w:rsidRDefault="00AF2460" w:rsidP="005E032F">
            <w:pPr>
              <w:jc w:val="right"/>
              <w:rPr>
                <w:b/>
                <w:color w:val="2FB6BC" w:themeColor="accent1"/>
              </w:rPr>
            </w:pPr>
            <w:r w:rsidRPr="00282E94">
              <w:rPr>
                <w:b/>
                <w:color w:val="2FB6BC" w:themeColor="accent1"/>
              </w:rPr>
              <w:t>England</w:t>
            </w:r>
          </w:p>
        </w:tc>
      </w:tr>
      <w:tr w:rsidR="00AF2460" w14:paraId="74847766" w14:textId="77777777" w:rsidTr="00AF2460">
        <w:trPr>
          <w:cnfStyle w:val="000000100000" w:firstRow="0" w:lastRow="0" w:firstColumn="0" w:lastColumn="0" w:oddVBand="0" w:evenVBand="0" w:oddHBand="1" w:evenHBand="0" w:firstRowFirstColumn="0" w:firstRowLastColumn="0" w:lastRowFirstColumn="0" w:lastRowLastColumn="0"/>
        </w:trPr>
        <w:tc>
          <w:tcPr>
            <w:tcW w:w="1699" w:type="dxa"/>
          </w:tcPr>
          <w:p w14:paraId="57CC18EB" w14:textId="7A7BCECC" w:rsidR="00AF2460" w:rsidRPr="007C104D" w:rsidRDefault="00282E94" w:rsidP="0012186D">
            <w:pPr>
              <w:rPr>
                <w:b/>
              </w:rPr>
            </w:pPr>
            <w:r w:rsidRPr="007C104D">
              <w:rPr>
                <w:b/>
              </w:rPr>
              <w:t>Children (aged 0-15)</w:t>
            </w:r>
          </w:p>
        </w:tc>
        <w:tc>
          <w:tcPr>
            <w:tcW w:w="1699" w:type="dxa"/>
          </w:tcPr>
          <w:p w14:paraId="4BE4DC04" w14:textId="0F398B82" w:rsidR="00AF2460" w:rsidRDefault="00616550" w:rsidP="005E032F">
            <w:pPr>
              <w:jc w:val="right"/>
            </w:pPr>
            <w:r>
              <w:t>23%</w:t>
            </w:r>
          </w:p>
        </w:tc>
        <w:tc>
          <w:tcPr>
            <w:tcW w:w="1699" w:type="dxa"/>
          </w:tcPr>
          <w:p w14:paraId="25D96DD5" w14:textId="66CE6816" w:rsidR="00AF2460" w:rsidRDefault="00616550" w:rsidP="005E032F">
            <w:pPr>
              <w:jc w:val="right"/>
            </w:pPr>
            <w:r>
              <w:t>16%</w:t>
            </w:r>
          </w:p>
        </w:tc>
        <w:tc>
          <w:tcPr>
            <w:tcW w:w="1699" w:type="dxa"/>
          </w:tcPr>
          <w:p w14:paraId="215738D5" w14:textId="266AC572" w:rsidR="00AF2460" w:rsidRDefault="00616550" w:rsidP="005E032F">
            <w:pPr>
              <w:jc w:val="right"/>
            </w:pPr>
            <w:r>
              <w:t>19%</w:t>
            </w:r>
          </w:p>
        </w:tc>
        <w:tc>
          <w:tcPr>
            <w:tcW w:w="1699" w:type="dxa"/>
          </w:tcPr>
          <w:p w14:paraId="2A2BFC8D" w14:textId="1486FD3B" w:rsidR="00AF2460" w:rsidRDefault="00ED32DD" w:rsidP="005E032F">
            <w:pPr>
              <w:jc w:val="right"/>
            </w:pPr>
            <w:r>
              <w:t>19%</w:t>
            </w:r>
          </w:p>
        </w:tc>
      </w:tr>
      <w:tr w:rsidR="00AF2460" w14:paraId="30812FE6" w14:textId="77777777" w:rsidTr="00AF2460">
        <w:tc>
          <w:tcPr>
            <w:tcW w:w="1699" w:type="dxa"/>
          </w:tcPr>
          <w:p w14:paraId="18E57D84" w14:textId="25A11349" w:rsidR="00AF2460" w:rsidRPr="007C104D" w:rsidRDefault="00282E94" w:rsidP="0012186D">
            <w:pPr>
              <w:rPr>
                <w:b/>
              </w:rPr>
            </w:pPr>
            <w:r w:rsidRPr="007C104D">
              <w:rPr>
                <w:b/>
              </w:rPr>
              <w:t>Young people (</w:t>
            </w:r>
            <w:r w:rsidR="007C104D" w:rsidRPr="007C104D">
              <w:rPr>
                <w:b/>
              </w:rPr>
              <w:t>aged 16-24)</w:t>
            </w:r>
          </w:p>
        </w:tc>
        <w:tc>
          <w:tcPr>
            <w:tcW w:w="1699" w:type="dxa"/>
          </w:tcPr>
          <w:p w14:paraId="370CF55D" w14:textId="13F0B828" w:rsidR="00AF2460" w:rsidRDefault="002A4E78" w:rsidP="005E032F">
            <w:pPr>
              <w:jc w:val="right"/>
            </w:pPr>
            <w:r>
              <w:t>9%</w:t>
            </w:r>
          </w:p>
        </w:tc>
        <w:tc>
          <w:tcPr>
            <w:tcW w:w="1699" w:type="dxa"/>
          </w:tcPr>
          <w:p w14:paraId="072DC469" w14:textId="625DDAE4" w:rsidR="00AF2460" w:rsidRDefault="002A4E78" w:rsidP="005E032F">
            <w:pPr>
              <w:jc w:val="right"/>
            </w:pPr>
            <w:r>
              <w:t>9%</w:t>
            </w:r>
          </w:p>
        </w:tc>
        <w:tc>
          <w:tcPr>
            <w:tcW w:w="1699" w:type="dxa"/>
          </w:tcPr>
          <w:p w14:paraId="01D49889" w14:textId="00A4C158" w:rsidR="00AF2460" w:rsidRDefault="002A4E78" w:rsidP="005E032F">
            <w:pPr>
              <w:jc w:val="right"/>
            </w:pPr>
            <w:r>
              <w:t>10%</w:t>
            </w:r>
          </w:p>
        </w:tc>
        <w:tc>
          <w:tcPr>
            <w:tcW w:w="1699" w:type="dxa"/>
          </w:tcPr>
          <w:p w14:paraId="53EC6F93" w14:textId="4FCD0CBC" w:rsidR="00AF2460" w:rsidRDefault="002A4E78" w:rsidP="005E032F">
            <w:pPr>
              <w:jc w:val="right"/>
            </w:pPr>
            <w:r>
              <w:t>11%</w:t>
            </w:r>
          </w:p>
        </w:tc>
      </w:tr>
      <w:tr w:rsidR="00AF2460" w14:paraId="5F08359E" w14:textId="77777777" w:rsidTr="00AF2460">
        <w:trPr>
          <w:cnfStyle w:val="000000100000" w:firstRow="0" w:lastRow="0" w:firstColumn="0" w:lastColumn="0" w:oddVBand="0" w:evenVBand="0" w:oddHBand="1" w:evenHBand="0" w:firstRowFirstColumn="0" w:firstRowLastColumn="0" w:lastRowFirstColumn="0" w:lastRowLastColumn="0"/>
        </w:trPr>
        <w:tc>
          <w:tcPr>
            <w:tcW w:w="1699" w:type="dxa"/>
          </w:tcPr>
          <w:p w14:paraId="67175EB2" w14:textId="03DE058D" w:rsidR="00AF2460" w:rsidRPr="007C104D" w:rsidRDefault="007C104D" w:rsidP="0012186D">
            <w:pPr>
              <w:rPr>
                <w:b/>
              </w:rPr>
            </w:pPr>
            <w:r w:rsidRPr="007C104D">
              <w:rPr>
                <w:b/>
              </w:rPr>
              <w:t>Working age population (aged 16-64)</w:t>
            </w:r>
          </w:p>
        </w:tc>
        <w:tc>
          <w:tcPr>
            <w:tcW w:w="1699" w:type="dxa"/>
          </w:tcPr>
          <w:p w14:paraId="0698D232" w14:textId="4875F85A" w:rsidR="00AF2460" w:rsidRDefault="002A4E78" w:rsidP="005E032F">
            <w:pPr>
              <w:jc w:val="right"/>
            </w:pPr>
            <w:r>
              <w:t>63%</w:t>
            </w:r>
          </w:p>
        </w:tc>
        <w:tc>
          <w:tcPr>
            <w:tcW w:w="1699" w:type="dxa"/>
          </w:tcPr>
          <w:p w14:paraId="2FC4817C" w14:textId="38D7C978" w:rsidR="00AF2460" w:rsidRDefault="002A4E78" w:rsidP="005E032F">
            <w:pPr>
              <w:jc w:val="right"/>
            </w:pPr>
            <w:r>
              <w:t>57%</w:t>
            </w:r>
          </w:p>
        </w:tc>
        <w:tc>
          <w:tcPr>
            <w:tcW w:w="1699" w:type="dxa"/>
          </w:tcPr>
          <w:p w14:paraId="20A84A2A" w14:textId="2581E194" w:rsidR="00AF2460" w:rsidRDefault="002A4E78" w:rsidP="005E032F">
            <w:pPr>
              <w:jc w:val="right"/>
            </w:pPr>
            <w:r>
              <w:t>61%</w:t>
            </w:r>
          </w:p>
        </w:tc>
        <w:tc>
          <w:tcPr>
            <w:tcW w:w="1699" w:type="dxa"/>
          </w:tcPr>
          <w:p w14:paraId="7331F81C" w14:textId="749BD742" w:rsidR="00AF2460" w:rsidRDefault="002A4E78" w:rsidP="005E032F">
            <w:pPr>
              <w:jc w:val="right"/>
            </w:pPr>
            <w:r>
              <w:t>63%</w:t>
            </w:r>
          </w:p>
        </w:tc>
      </w:tr>
      <w:tr w:rsidR="00AF2460" w14:paraId="45A079DD" w14:textId="77777777" w:rsidTr="00AF2460">
        <w:tc>
          <w:tcPr>
            <w:tcW w:w="1699" w:type="dxa"/>
          </w:tcPr>
          <w:p w14:paraId="5BCB4D76" w14:textId="3F7B9CD5" w:rsidR="00AF2460" w:rsidRPr="007C104D" w:rsidRDefault="007C104D" w:rsidP="0012186D">
            <w:pPr>
              <w:rPr>
                <w:b/>
              </w:rPr>
            </w:pPr>
            <w:r w:rsidRPr="007C104D">
              <w:rPr>
                <w:b/>
              </w:rPr>
              <w:t>Older people (aged 65 and over)</w:t>
            </w:r>
          </w:p>
        </w:tc>
        <w:tc>
          <w:tcPr>
            <w:tcW w:w="1699" w:type="dxa"/>
          </w:tcPr>
          <w:p w14:paraId="2167A0A7" w14:textId="36CDC32F" w:rsidR="00AF2460" w:rsidRDefault="00EE5610" w:rsidP="005E032F">
            <w:pPr>
              <w:jc w:val="right"/>
            </w:pPr>
            <w:r>
              <w:t>14%</w:t>
            </w:r>
          </w:p>
        </w:tc>
        <w:tc>
          <w:tcPr>
            <w:tcW w:w="1699" w:type="dxa"/>
          </w:tcPr>
          <w:p w14:paraId="1F8AF904" w14:textId="4A95CBB7" w:rsidR="00AF2460" w:rsidRDefault="00EE5610" w:rsidP="005E032F">
            <w:pPr>
              <w:jc w:val="right"/>
            </w:pPr>
            <w:r>
              <w:t>27%</w:t>
            </w:r>
          </w:p>
        </w:tc>
        <w:tc>
          <w:tcPr>
            <w:tcW w:w="1699" w:type="dxa"/>
          </w:tcPr>
          <w:p w14:paraId="317FD9D5" w14:textId="26D539E8" w:rsidR="00AF2460" w:rsidRDefault="00EE5610" w:rsidP="005E032F">
            <w:pPr>
              <w:jc w:val="right"/>
            </w:pPr>
            <w:r>
              <w:t>19%</w:t>
            </w:r>
          </w:p>
        </w:tc>
        <w:tc>
          <w:tcPr>
            <w:tcW w:w="1699" w:type="dxa"/>
          </w:tcPr>
          <w:p w14:paraId="10D48FE2" w14:textId="0B61A1DF" w:rsidR="00AF2460" w:rsidRDefault="00EE5610" w:rsidP="005E032F">
            <w:pPr>
              <w:jc w:val="right"/>
            </w:pPr>
            <w:r>
              <w:t>18%</w:t>
            </w:r>
          </w:p>
        </w:tc>
      </w:tr>
    </w:tbl>
    <w:p w14:paraId="2926B79D" w14:textId="5CAE10F0" w:rsidR="00AF2460" w:rsidRPr="000150E8" w:rsidRDefault="007C104D" w:rsidP="0012186D">
      <w:pPr>
        <w:rPr>
          <w:sz w:val="18"/>
        </w:rPr>
      </w:pPr>
      <w:r w:rsidRPr="000150E8">
        <w:rPr>
          <w:sz w:val="18"/>
        </w:rPr>
        <w:t xml:space="preserve">Source: </w:t>
      </w:r>
      <w:r w:rsidR="00C95566">
        <w:rPr>
          <w:sz w:val="18"/>
        </w:rPr>
        <w:t>Office for National Statistics (20</w:t>
      </w:r>
      <w:r w:rsidR="00965F44">
        <w:rPr>
          <w:sz w:val="18"/>
        </w:rPr>
        <w:t>18)</w:t>
      </w:r>
      <w:r w:rsidR="00A55FDC">
        <w:rPr>
          <w:sz w:val="18"/>
        </w:rPr>
        <w:t xml:space="preserve"> Mid-</w:t>
      </w:r>
      <w:r w:rsidR="002F4306">
        <w:rPr>
          <w:sz w:val="18"/>
        </w:rPr>
        <w:t>Y</w:t>
      </w:r>
      <w:r w:rsidR="00A55FDC">
        <w:rPr>
          <w:sz w:val="18"/>
        </w:rPr>
        <w:t>ear</w:t>
      </w:r>
      <w:r w:rsidR="002F4306">
        <w:rPr>
          <w:sz w:val="18"/>
        </w:rPr>
        <w:t xml:space="preserve"> Population Estimates</w:t>
      </w:r>
    </w:p>
    <w:p w14:paraId="3AFAA3EC" w14:textId="541339AC" w:rsidR="00FC42B0" w:rsidRDefault="0062695E" w:rsidP="0012186D">
      <w:r w:rsidRPr="00DF0236">
        <w:t xml:space="preserve">The table </w:t>
      </w:r>
      <w:r w:rsidR="00D37F25" w:rsidRPr="00DF0236">
        <w:t>above shows</w:t>
      </w:r>
      <w:r w:rsidR="00384F68">
        <w:t>:</w:t>
      </w:r>
      <w:r w:rsidR="00D37F25" w:rsidRPr="00DF0236">
        <w:t xml:space="preserve"> </w:t>
      </w:r>
    </w:p>
    <w:p w14:paraId="6AB1D0B5" w14:textId="0D6A1D81" w:rsidR="00384F68" w:rsidRDefault="00D37F25" w:rsidP="005E032F">
      <w:pPr>
        <w:pStyle w:val="Bullet1"/>
      </w:pPr>
      <w:r w:rsidRPr="00DF0236">
        <w:t xml:space="preserve">Tangmere </w:t>
      </w:r>
      <w:r w:rsidR="00347FAD" w:rsidRPr="00DF0236">
        <w:t>has a significantly</w:t>
      </w:r>
      <w:r w:rsidR="00334796" w:rsidRPr="00DF0236">
        <w:t xml:space="preserve"> </w:t>
      </w:r>
      <w:r w:rsidR="004D5284">
        <w:t>higher</w:t>
      </w:r>
      <w:r w:rsidR="00334796" w:rsidRPr="00DF0236">
        <w:t xml:space="preserve"> proportion of</w:t>
      </w:r>
      <w:r w:rsidR="00D860DC" w:rsidRPr="00DF0236">
        <w:t xml:space="preserve"> children aged 0-15</w:t>
      </w:r>
      <w:r w:rsidR="002D0DF0">
        <w:t xml:space="preserve"> than Chic</w:t>
      </w:r>
      <w:r w:rsidR="005250E1">
        <w:t>h</w:t>
      </w:r>
      <w:r w:rsidR="002D0DF0">
        <w:t>ester</w:t>
      </w:r>
      <w:r w:rsidR="00A85103">
        <w:t xml:space="preserve"> (23% compared to 16%)</w:t>
      </w:r>
      <w:r w:rsidR="00FE259C">
        <w:t>,</w:t>
      </w:r>
      <w:r w:rsidR="00522EAE">
        <w:t xml:space="preserve"> and </w:t>
      </w:r>
      <w:r w:rsidR="00FE259C">
        <w:t>a slightly</w:t>
      </w:r>
      <w:r w:rsidR="00790D1C">
        <w:t xml:space="preserve"> proportion</w:t>
      </w:r>
      <w:r w:rsidR="00522EAE">
        <w:t xml:space="preserve"> </w:t>
      </w:r>
      <w:r w:rsidR="008F0CFE">
        <w:t xml:space="preserve">than </w:t>
      </w:r>
      <w:r w:rsidR="000E367F">
        <w:t xml:space="preserve">both </w:t>
      </w:r>
      <w:r w:rsidR="005250E1">
        <w:t xml:space="preserve">the </w:t>
      </w:r>
      <w:r w:rsidR="000E367F">
        <w:t>South East and England</w:t>
      </w:r>
      <w:r w:rsidR="00350E84">
        <w:t xml:space="preserve"> (23% compared to 1</w:t>
      </w:r>
      <w:r w:rsidR="007E4C00">
        <w:t>9%</w:t>
      </w:r>
      <w:r w:rsidR="00546357">
        <w:t>)</w:t>
      </w:r>
      <w:r w:rsidR="00242BA9">
        <w:t xml:space="preserve">. </w:t>
      </w:r>
    </w:p>
    <w:p w14:paraId="246976C8" w14:textId="77777777" w:rsidR="00384F68" w:rsidRDefault="00CE2199" w:rsidP="005E032F">
      <w:pPr>
        <w:pStyle w:val="Bullet1"/>
      </w:pPr>
      <w:r>
        <w:t xml:space="preserve">The </w:t>
      </w:r>
      <w:r w:rsidR="00B36B5D">
        <w:t xml:space="preserve">proportion of </w:t>
      </w:r>
      <w:r>
        <w:t>you</w:t>
      </w:r>
      <w:r w:rsidR="00D50B59">
        <w:t>n</w:t>
      </w:r>
      <w:r>
        <w:t xml:space="preserve">g people </w:t>
      </w:r>
      <w:r w:rsidR="00B36B5D">
        <w:t>in Tangmere</w:t>
      </w:r>
      <w:r>
        <w:t xml:space="preserve"> (aged 16-2</w:t>
      </w:r>
      <w:r w:rsidR="00E8155C">
        <w:t xml:space="preserve">4) </w:t>
      </w:r>
      <w:r w:rsidR="00D50B59">
        <w:t xml:space="preserve">is </w:t>
      </w:r>
      <w:r w:rsidR="00AB5324">
        <w:t>the same as</w:t>
      </w:r>
      <w:r w:rsidR="00D50B59">
        <w:t xml:space="preserve"> </w:t>
      </w:r>
      <w:r w:rsidR="00F23800">
        <w:t>Chichester</w:t>
      </w:r>
      <w:r w:rsidR="0099249A">
        <w:t xml:space="preserve"> (9%), </w:t>
      </w:r>
      <w:r w:rsidR="00AB5324">
        <w:t>and largely in line with both the South East (</w:t>
      </w:r>
      <w:r w:rsidR="00097AE9">
        <w:t xml:space="preserve">10%) and </w:t>
      </w:r>
      <w:r w:rsidR="00E967CD">
        <w:t>England (11%)</w:t>
      </w:r>
      <w:r w:rsidR="00097AE9">
        <w:t xml:space="preserve"> averages</w:t>
      </w:r>
      <w:r w:rsidR="00E67C99">
        <w:t>.</w:t>
      </w:r>
      <w:r w:rsidR="00650BF4">
        <w:t xml:space="preserve"> </w:t>
      </w:r>
    </w:p>
    <w:p w14:paraId="4C7BE6B8" w14:textId="77777777" w:rsidR="00384F68" w:rsidRDefault="00650BF4" w:rsidP="005E032F">
      <w:pPr>
        <w:pStyle w:val="Bullet1"/>
      </w:pPr>
      <w:r>
        <w:t xml:space="preserve">The working age population </w:t>
      </w:r>
      <w:r w:rsidR="003C79C8">
        <w:t>(aged</w:t>
      </w:r>
      <w:r w:rsidR="00DA7C84">
        <w:t xml:space="preserve"> 16-</w:t>
      </w:r>
      <w:r w:rsidR="005D1CDA">
        <w:t>64)</w:t>
      </w:r>
      <w:r w:rsidR="004632A2">
        <w:t xml:space="preserve"> </w:t>
      </w:r>
      <w:r w:rsidR="00114A67">
        <w:t xml:space="preserve">in Tangmere </w:t>
      </w:r>
      <w:r w:rsidR="00C94040">
        <w:t xml:space="preserve">(63%) </w:t>
      </w:r>
      <w:r w:rsidR="004632A2">
        <w:t xml:space="preserve">is in </w:t>
      </w:r>
      <w:r w:rsidR="00702980">
        <w:t xml:space="preserve">line with </w:t>
      </w:r>
      <w:r w:rsidR="00C94040">
        <w:t xml:space="preserve">the </w:t>
      </w:r>
      <w:r w:rsidR="002579EC">
        <w:t>South East</w:t>
      </w:r>
      <w:r w:rsidR="00DC2472">
        <w:t xml:space="preserve"> </w:t>
      </w:r>
      <w:r w:rsidR="00C94040">
        <w:t xml:space="preserve">(61%) and England (63%) </w:t>
      </w:r>
      <w:r w:rsidR="00950B0B">
        <w:t>averages</w:t>
      </w:r>
      <w:r w:rsidR="00C94040">
        <w:t>,</w:t>
      </w:r>
      <w:r w:rsidR="00231BCD">
        <w:t xml:space="preserve"> but</w:t>
      </w:r>
      <w:r w:rsidR="008D0278">
        <w:t xml:space="preserve"> </w:t>
      </w:r>
      <w:r w:rsidR="001A521D">
        <w:t xml:space="preserve">is </w:t>
      </w:r>
      <w:r w:rsidR="001436CC">
        <w:t>considerably</w:t>
      </w:r>
      <w:r w:rsidR="00F7397E">
        <w:t xml:space="preserve"> higher</w:t>
      </w:r>
      <w:r w:rsidR="009046C8">
        <w:t xml:space="preserve"> than </w:t>
      </w:r>
      <w:r w:rsidR="00C4610D">
        <w:t xml:space="preserve">Chichester </w:t>
      </w:r>
      <w:r w:rsidR="00E5244C">
        <w:t>(</w:t>
      </w:r>
      <w:r w:rsidR="00380D11">
        <w:t>57%)</w:t>
      </w:r>
      <w:r w:rsidR="009652EE">
        <w:t xml:space="preserve">. </w:t>
      </w:r>
    </w:p>
    <w:p w14:paraId="4DC4F360" w14:textId="7CFE8D33" w:rsidR="004A6817" w:rsidRPr="00DF0236" w:rsidRDefault="00F33012" w:rsidP="005E032F">
      <w:pPr>
        <w:pStyle w:val="Bullet1"/>
      </w:pPr>
      <w:r>
        <w:t>Older</w:t>
      </w:r>
      <w:r w:rsidR="00E0502D">
        <w:t xml:space="preserve"> people </w:t>
      </w:r>
      <w:r>
        <w:t xml:space="preserve">make up 14% of the Tangmere </w:t>
      </w:r>
      <w:r w:rsidR="00317B08">
        <w:t>population</w:t>
      </w:r>
      <w:r>
        <w:t xml:space="preserve">. </w:t>
      </w:r>
      <w:r w:rsidR="0009229F">
        <w:t>This</w:t>
      </w:r>
      <w:r w:rsidR="00470B7E">
        <w:t xml:space="preserve"> is </w:t>
      </w:r>
      <w:r w:rsidR="00EA45FC">
        <w:t xml:space="preserve">lower than </w:t>
      </w:r>
      <w:r w:rsidR="0009229F">
        <w:t xml:space="preserve">both the </w:t>
      </w:r>
      <w:r w:rsidR="00EA45FC">
        <w:t>South East and England averages</w:t>
      </w:r>
      <w:r w:rsidR="00895E9B">
        <w:t xml:space="preserve"> (</w:t>
      </w:r>
      <w:r w:rsidR="009A6C67">
        <w:t>19%</w:t>
      </w:r>
      <w:r w:rsidR="0009229F">
        <w:t xml:space="preserve"> and 18</w:t>
      </w:r>
      <w:r w:rsidR="009A6C67">
        <w:t>%, respectively</w:t>
      </w:r>
      <w:r w:rsidR="007908E1">
        <w:t xml:space="preserve">) and </w:t>
      </w:r>
      <w:r w:rsidR="00176879">
        <w:t xml:space="preserve">significantly </w:t>
      </w:r>
      <w:r w:rsidR="004E518B">
        <w:t xml:space="preserve">lower than </w:t>
      </w:r>
      <w:r w:rsidR="00FD4705">
        <w:t>Chichester</w:t>
      </w:r>
      <w:r w:rsidR="004A5DFE">
        <w:t xml:space="preserve"> average (</w:t>
      </w:r>
      <w:r w:rsidR="0059618D">
        <w:t>27%</w:t>
      </w:r>
      <w:r w:rsidR="00966D68">
        <w:t>).</w:t>
      </w:r>
      <w:r w:rsidR="005D62C1">
        <w:t xml:space="preserve"> </w:t>
      </w:r>
    </w:p>
    <w:p w14:paraId="11705ED4" w14:textId="1856A332" w:rsidR="00857CDB" w:rsidRDefault="00857CDB" w:rsidP="00857CDB">
      <w:pPr>
        <w:pStyle w:val="Heading3"/>
      </w:pPr>
      <w:r>
        <w:t>Disability</w:t>
      </w:r>
    </w:p>
    <w:p w14:paraId="55FF65B0" w14:textId="64B433E0" w:rsidR="00DA5DE9" w:rsidRPr="00DA5DE9" w:rsidRDefault="00446DD0" w:rsidP="00DA5DE9">
      <w:r w:rsidRPr="00446DD0">
        <w:t>The table below shows the proportion of the population with a disability that limits their day-to-day activities.</w:t>
      </w:r>
    </w:p>
    <w:p w14:paraId="52D7ED1B" w14:textId="3686FA38" w:rsidR="002F4306" w:rsidRDefault="00CF6464" w:rsidP="002F4306">
      <w:pPr>
        <w:pStyle w:val="Caption"/>
      </w:pPr>
      <w:bookmarkStart w:id="27" w:name="_Toc31809583"/>
      <w:r>
        <w:lastRenderedPageBreak/>
        <w:t>Table</w:t>
      </w:r>
      <w:r w:rsidR="002F4306" w:rsidRPr="009C1C7C">
        <w:t xml:space="preserve"> </w:t>
      </w:r>
      <w:r w:rsidR="002F4306">
        <w:rPr>
          <w:noProof/>
        </w:rPr>
        <w:fldChar w:fldCharType="begin"/>
      </w:r>
      <w:r w:rsidR="002F4306">
        <w:rPr>
          <w:noProof/>
        </w:rPr>
        <w:instrText xml:space="preserve"> STYLEREF 1 \s </w:instrText>
      </w:r>
      <w:r w:rsidR="002F4306">
        <w:rPr>
          <w:noProof/>
        </w:rPr>
        <w:fldChar w:fldCharType="separate"/>
      </w:r>
      <w:r>
        <w:rPr>
          <w:noProof/>
        </w:rPr>
        <w:t>3</w:t>
      </w:r>
      <w:r w:rsidR="002F4306">
        <w:rPr>
          <w:noProof/>
        </w:rPr>
        <w:fldChar w:fldCharType="end"/>
      </w:r>
      <w:r w:rsidR="002F4306">
        <w:t>.</w:t>
      </w:r>
      <w:r w:rsidR="002F4306">
        <w:rPr>
          <w:noProof/>
        </w:rPr>
        <w:fldChar w:fldCharType="begin"/>
      </w:r>
      <w:r w:rsidR="002F4306">
        <w:rPr>
          <w:noProof/>
        </w:rPr>
        <w:instrText xml:space="preserve"> SEQ Table \* ARABIC \s 1 </w:instrText>
      </w:r>
      <w:r w:rsidR="002F4306">
        <w:rPr>
          <w:noProof/>
        </w:rPr>
        <w:fldChar w:fldCharType="separate"/>
      </w:r>
      <w:r>
        <w:rPr>
          <w:noProof/>
        </w:rPr>
        <w:t>2</w:t>
      </w:r>
      <w:r w:rsidR="002F4306">
        <w:rPr>
          <w:noProof/>
        </w:rPr>
        <w:fldChar w:fldCharType="end"/>
      </w:r>
      <w:r w:rsidR="002F4306" w:rsidRPr="009C1C7C">
        <w:t>:</w:t>
      </w:r>
      <w:r w:rsidR="002F4306">
        <w:t xml:space="preserve"> Population by </w:t>
      </w:r>
      <w:r w:rsidR="0037340F">
        <w:t>disability</w:t>
      </w:r>
      <w:bookmarkEnd w:id="27"/>
    </w:p>
    <w:tbl>
      <w:tblPr>
        <w:tblStyle w:val="MMTable"/>
        <w:tblW w:w="0" w:type="auto"/>
        <w:tblLook w:val="04A0" w:firstRow="1" w:lastRow="0" w:firstColumn="1" w:lastColumn="0" w:noHBand="0" w:noVBand="1"/>
      </w:tblPr>
      <w:tblGrid>
        <w:gridCol w:w="1699"/>
        <w:gridCol w:w="1699"/>
        <w:gridCol w:w="1699"/>
        <w:gridCol w:w="1699"/>
        <w:gridCol w:w="1699"/>
      </w:tblGrid>
      <w:tr w:rsidR="00566E69" w14:paraId="6079B3C7" w14:textId="77777777" w:rsidTr="0067309E">
        <w:trPr>
          <w:cnfStyle w:val="100000000000" w:firstRow="1" w:lastRow="0" w:firstColumn="0" w:lastColumn="0" w:oddVBand="0" w:evenVBand="0" w:oddHBand="0" w:evenHBand="0" w:firstRowFirstColumn="0" w:firstRowLastColumn="0" w:lastRowFirstColumn="0" w:lastRowLastColumn="0"/>
        </w:trPr>
        <w:tc>
          <w:tcPr>
            <w:tcW w:w="1699" w:type="dxa"/>
          </w:tcPr>
          <w:p w14:paraId="40B005D7" w14:textId="3F17904E" w:rsidR="002F4306" w:rsidRPr="00282E94" w:rsidRDefault="00033AD1" w:rsidP="00457F99">
            <w:pPr>
              <w:rPr>
                <w:b/>
                <w:color w:val="2FB6BC" w:themeColor="accent1"/>
              </w:rPr>
            </w:pPr>
            <w:r>
              <w:rPr>
                <w:b/>
                <w:color w:val="2FB6BC" w:themeColor="accent1"/>
              </w:rPr>
              <w:t>Disability</w:t>
            </w:r>
          </w:p>
        </w:tc>
        <w:tc>
          <w:tcPr>
            <w:tcW w:w="1699" w:type="dxa"/>
          </w:tcPr>
          <w:p w14:paraId="3BDCEB90" w14:textId="77777777" w:rsidR="002F4306" w:rsidRPr="00282E94" w:rsidRDefault="002F4306" w:rsidP="005E032F">
            <w:pPr>
              <w:jc w:val="right"/>
              <w:rPr>
                <w:b/>
                <w:color w:val="2FB6BC" w:themeColor="accent1"/>
              </w:rPr>
            </w:pPr>
            <w:r w:rsidRPr="00282E94">
              <w:rPr>
                <w:b/>
                <w:color w:val="2FB6BC" w:themeColor="accent1"/>
              </w:rPr>
              <w:t>Tangmere</w:t>
            </w:r>
          </w:p>
        </w:tc>
        <w:tc>
          <w:tcPr>
            <w:tcW w:w="1699" w:type="dxa"/>
          </w:tcPr>
          <w:p w14:paraId="2545C0B7" w14:textId="77777777" w:rsidR="002F4306" w:rsidRPr="00282E94" w:rsidRDefault="002F4306" w:rsidP="005E032F">
            <w:pPr>
              <w:jc w:val="right"/>
              <w:rPr>
                <w:b/>
                <w:color w:val="2FB6BC" w:themeColor="accent1"/>
              </w:rPr>
            </w:pPr>
            <w:r w:rsidRPr="00282E94">
              <w:rPr>
                <w:b/>
                <w:color w:val="2FB6BC" w:themeColor="accent1"/>
              </w:rPr>
              <w:t>Chichester</w:t>
            </w:r>
          </w:p>
        </w:tc>
        <w:tc>
          <w:tcPr>
            <w:tcW w:w="1699" w:type="dxa"/>
          </w:tcPr>
          <w:p w14:paraId="7FFEF84E" w14:textId="77777777" w:rsidR="002F4306" w:rsidRPr="00282E94" w:rsidRDefault="002F4306" w:rsidP="005E032F">
            <w:pPr>
              <w:jc w:val="right"/>
              <w:rPr>
                <w:b/>
                <w:color w:val="2FB6BC" w:themeColor="accent1"/>
              </w:rPr>
            </w:pPr>
            <w:r w:rsidRPr="00282E94">
              <w:rPr>
                <w:b/>
                <w:color w:val="2FB6BC" w:themeColor="accent1"/>
              </w:rPr>
              <w:t>South East</w:t>
            </w:r>
          </w:p>
        </w:tc>
        <w:tc>
          <w:tcPr>
            <w:tcW w:w="1699" w:type="dxa"/>
          </w:tcPr>
          <w:p w14:paraId="7388C1A4" w14:textId="77777777" w:rsidR="002F4306" w:rsidRPr="00282E94" w:rsidRDefault="002F4306" w:rsidP="005E032F">
            <w:pPr>
              <w:jc w:val="right"/>
              <w:rPr>
                <w:b/>
                <w:color w:val="2FB6BC" w:themeColor="accent1"/>
              </w:rPr>
            </w:pPr>
            <w:r w:rsidRPr="00282E94">
              <w:rPr>
                <w:b/>
                <w:color w:val="2FB6BC" w:themeColor="accent1"/>
              </w:rPr>
              <w:t>England</w:t>
            </w:r>
          </w:p>
        </w:tc>
      </w:tr>
      <w:tr w:rsidR="006209A8" w14:paraId="4B313826" w14:textId="77777777" w:rsidTr="00457F99">
        <w:trPr>
          <w:cnfStyle w:val="000000100000" w:firstRow="0" w:lastRow="0" w:firstColumn="0" w:lastColumn="0" w:oddVBand="0" w:evenVBand="0" w:oddHBand="1" w:evenHBand="0" w:firstRowFirstColumn="0" w:firstRowLastColumn="0" w:lastRowFirstColumn="0" w:lastRowLastColumn="0"/>
        </w:trPr>
        <w:tc>
          <w:tcPr>
            <w:tcW w:w="1699" w:type="dxa"/>
            <w:vAlign w:val="bottom"/>
          </w:tcPr>
          <w:p w14:paraId="764D7B17" w14:textId="0820D26B" w:rsidR="006209A8" w:rsidRPr="007C104D" w:rsidRDefault="006209A8" w:rsidP="006209A8">
            <w:pPr>
              <w:rPr>
                <w:b/>
              </w:rPr>
            </w:pPr>
            <w:r w:rsidRPr="009F07C7">
              <w:rPr>
                <w:rFonts w:eastAsia="Calibri" w:cstheme="minorHAnsi"/>
                <w:b/>
                <w:color w:val="000000"/>
              </w:rPr>
              <w:t xml:space="preserve">Day-to-Day Activities Limited </w:t>
            </w:r>
            <w:r w:rsidR="00237A46">
              <w:rPr>
                <w:rFonts w:eastAsia="Calibri" w:cstheme="minorHAnsi"/>
                <w:b/>
                <w:color w:val="000000"/>
              </w:rPr>
              <w:t>(</w:t>
            </w:r>
            <w:r w:rsidR="008A4EA9">
              <w:rPr>
                <w:rFonts w:eastAsia="Calibri" w:cstheme="minorHAnsi"/>
                <w:b/>
                <w:color w:val="000000"/>
              </w:rPr>
              <w:t xml:space="preserve">either a little or </w:t>
            </w:r>
            <w:r w:rsidRPr="009F07C7">
              <w:rPr>
                <w:rFonts w:eastAsia="Calibri" w:cstheme="minorHAnsi"/>
                <w:b/>
                <w:color w:val="000000"/>
              </w:rPr>
              <w:t xml:space="preserve">a </w:t>
            </w:r>
            <w:r w:rsidR="008A4EA9">
              <w:rPr>
                <w:rFonts w:eastAsia="Calibri" w:cstheme="minorHAnsi"/>
                <w:b/>
                <w:color w:val="000000"/>
              </w:rPr>
              <w:t>l</w:t>
            </w:r>
            <w:r w:rsidRPr="009F07C7">
              <w:rPr>
                <w:rFonts w:eastAsia="Calibri" w:cstheme="minorHAnsi"/>
                <w:b/>
                <w:color w:val="000000"/>
              </w:rPr>
              <w:t>ot</w:t>
            </w:r>
            <w:r w:rsidR="00237A46">
              <w:rPr>
                <w:rFonts w:eastAsia="Calibri" w:cstheme="minorHAnsi"/>
                <w:b/>
                <w:color w:val="000000"/>
              </w:rPr>
              <w:t>)</w:t>
            </w:r>
          </w:p>
        </w:tc>
        <w:tc>
          <w:tcPr>
            <w:tcW w:w="1699" w:type="dxa"/>
          </w:tcPr>
          <w:p w14:paraId="15781E6A" w14:textId="02C046C9" w:rsidR="006209A8" w:rsidRDefault="00975C36" w:rsidP="005E032F">
            <w:pPr>
              <w:jc w:val="right"/>
            </w:pPr>
            <w:r>
              <w:t>14%</w:t>
            </w:r>
          </w:p>
        </w:tc>
        <w:tc>
          <w:tcPr>
            <w:tcW w:w="1699" w:type="dxa"/>
          </w:tcPr>
          <w:p w14:paraId="3C338221" w14:textId="014CD070" w:rsidR="006209A8" w:rsidRDefault="00975C36" w:rsidP="005E032F">
            <w:pPr>
              <w:jc w:val="right"/>
            </w:pPr>
            <w:r>
              <w:t>17%</w:t>
            </w:r>
          </w:p>
        </w:tc>
        <w:tc>
          <w:tcPr>
            <w:tcW w:w="1699" w:type="dxa"/>
          </w:tcPr>
          <w:p w14:paraId="1F13F99E" w14:textId="051B3C33" w:rsidR="006209A8" w:rsidRDefault="00EC1E15" w:rsidP="005E032F">
            <w:pPr>
              <w:jc w:val="right"/>
            </w:pPr>
            <w:r>
              <w:t>16%</w:t>
            </w:r>
          </w:p>
        </w:tc>
        <w:tc>
          <w:tcPr>
            <w:tcW w:w="1699" w:type="dxa"/>
          </w:tcPr>
          <w:p w14:paraId="5C5BDCC4" w14:textId="4CE32F33" w:rsidR="006209A8" w:rsidRDefault="00EC1E15" w:rsidP="005E032F">
            <w:pPr>
              <w:jc w:val="right"/>
            </w:pPr>
            <w:r>
              <w:t>18%</w:t>
            </w:r>
          </w:p>
        </w:tc>
      </w:tr>
    </w:tbl>
    <w:p w14:paraId="5A529AE1" w14:textId="113B0243" w:rsidR="002F4306" w:rsidRPr="000150E8" w:rsidRDefault="002F4306" w:rsidP="002F4306">
      <w:pPr>
        <w:rPr>
          <w:sz w:val="18"/>
        </w:rPr>
      </w:pPr>
      <w:r w:rsidRPr="000150E8">
        <w:rPr>
          <w:sz w:val="18"/>
        </w:rPr>
        <w:t xml:space="preserve">Source: </w:t>
      </w:r>
      <w:r w:rsidR="006209A8">
        <w:rPr>
          <w:sz w:val="18"/>
        </w:rPr>
        <w:t>Census (2011)</w:t>
      </w:r>
    </w:p>
    <w:p w14:paraId="19978F3D" w14:textId="4B702D10" w:rsidR="00193120" w:rsidRPr="00193120" w:rsidRDefault="00760887" w:rsidP="002F4306">
      <w:r w:rsidRPr="00760887">
        <w:t xml:space="preserve">The table above shows that the proportion of </w:t>
      </w:r>
      <w:r w:rsidR="008207FC">
        <w:t>the</w:t>
      </w:r>
      <w:r w:rsidRPr="00760887">
        <w:t xml:space="preserve"> </w:t>
      </w:r>
      <w:r>
        <w:t>Tangmere</w:t>
      </w:r>
      <w:r w:rsidR="008207FC">
        <w:t xml:space="preserve"> </w:t>
      </w:r>
      <w:r w:rsidRPr="00760887">
        <w:t xml:space="preserve">population </w:t>
      </w:r>
      <w:r w:rsidR="00514CEB">
        <w:t>whose</w:t>
      </w:r>
      <w:r w:rsidRPr="00760887">
        <w:t xml:space="preserve"> day-to-day activities </w:t>
      </w:r>
      <w:r w:rsidR="00514CEB">
        <w:t xml:space="preserve">are limited either </w:t>
      </w:r>
      <w:r w:rsidRPr="00760887">
        <w:t>a</w:t>
      </w:r>
      <w:r w:rsidR="00C37E74">
        <w:t xml:space="preserve"> little or </w:t>
      </w:r>
      <w:r w:rsidRPr="00760887">
        <w:t>a lot (1</w:t>
      </w:r>
      <w:r w:rsidR="006002AF">
        <w:t>4</w:t>
      </w:r>
      <w:r w:rsidRPr="00760887">
        <w:t xml:space="preserve">%) is slightly </w:t>
      </w:r>
      <w:r w:rsidR="00EE318D">
        <w:t>lower</w:t>
      </w:r>
      <w:r w:rsidRPr="00760887">
        <w:t xml:space="preserve"> than</w:t>
      </w:r>
      <w:r w:rsidR="00EE318D">
        <w:t xml:space="preserve"> </w:t>
      </w:r>
      <w:r w:rsidR="00C37E74">
        <w:t xml:space="preserve">the </w:t>
      </w:r>
      <w:r w:rsidR="00EE318D">
        <w:t>Chic</w:t>
      </w:r>
      <w:r w:rsidR="00C02EEA">
        <w:t>h</w:t>
      </w:r>
      <w:r w:rsidR="00EE318D">
        <w:t>ester</w:t>
      </w:r>
      <w:r w:rsidR="00C02EEA">
        <w:t xml:space="preserve"> (17%</w:t>
      </w:r>
      <w:r w:rsidR="000522BD">
        <w:t xml:space="preserve">), </w:t>
      </w:r>
      <w:r w:rsidR="00211CE3">
        <w:t>South East (16%) and England (18%)</w:t>
      </w:r>
      <w:r w:rsidR="00C37E74">
        <w:t xml:space="preserve"> averages</w:t>
      </w:r>
      <w:r w:rsidR="00211CE3">
        <w:t>.</w:t>
      </w:r>
      <w:r w:rsidR="00EE318D">
        <w:t xml:space="preserve"> </w:t>
      </w:r>
    </w:p>
    <w:p w14:paraId="58BF08C4" w14:textId="77777777" w:rsidR="00A055A6" w:rsidRDefault="00982ED0" w:rsidP="00982ED0">
      <w:pPr>
        <w:pStyle w:val="Heading3"/>
      </w:pPr>
      <w:r>
        <w:t>Gender reassignment</w:t>
      </w:r>
    </w:p>
    <w:p w14:paraId="79C821DD" w14:textId="52F3F262" w:rsidR="0097046B" w:rsidRPr="0015262A" w:rsidRDefault="0097046B" w:rsidP="0097046B">
      <w:r w:rsidRPr="00DB48B3">
        <w:rPr>
          <w:rFonts w:ascii="Arial" w:eastAsia="Arial" w:hAnsi="Arial" w:cs="Arial"/>
        </w:rPr>
        <w:t xml:space="preserve">There </w:t>
      </w:r>
      <w:r w:rsidR="00CB30F1">
        <w:rPr>
          <w:rFonts w:ascii="Arial" w:eastAsia="Arial" w:hAnsi="Arial" w:cs="Arial"/>
        </w:rPr>
        <w:t xml:space="preserve">is no </w:t>
      </w:r>
      <w:r w:rsidR="00284E72">
        <w:rPr>
          <w:rFonts w:ascii="Arial" w:eastAsia="Arial" w:hAnsi="Arial" w:cs="Arial"/>
        </w:rPr>
        <w:t>robust data for</w:t>
      </w:r>
      <w:r w:rsidRPr="00DB48B3">
        <w:rPr>
          <w:rFonts w:ascii="Arial" w:eastAsia="Arial" w:hAnsi="Arial" w:cs="Arial"/>
        </w:rPr>
        <w:t xml:space="preserve"> gender variant people in the</w:t>
      </w:r>
      <w:r w:rsidR="00B2197C">
        <w:rPr>
          <w:rFonts w:ascii="Arial" w:eastAsia="Arial" w:hAnsi="Arial" w:cs="Arial"/>
        </w:rPr>
        <w:t xml:space="preserve"> study area or the</w:t>
      </w:r>
      <w:r w:rsidRPr="00DB48B3">
        <w:rPr>
          <w:rFonts w:ascii="Arial" w:eastAsia="Arial" w:hAnsi="Arial" w:cs="Arial"/>
        </w:rPr>
        <w:t xml:space="preserve"> </w:t>
      </w:r>
      <w:r w:rsidR="00284E72">
        <w:rPr>
          <w:rFonts w:ascii="Arial" w:eastAsia="Arial" w:hAnsi="Arial" w:cs="Arial"/>
        </w:rPr>
        <w:t>UK</w:t>
      </w:r>
      <w:r w:rsidR="00B2197C">
        <w:rPr>
          <w:rFonts w:ascii="Arial" w:eastAsia="Arial" w:hAnsi="Arial" w:cs="Arial"/>
        </w:rPr>
        <w:t xml:space="preserve"> more widely</w:t>
      </w:r>
      <w:r w:rsidRPr="00DB48B3">
        <w:rPr>
          <w:rFonts w:ascii="Arial" w:eastAsia="Arial" w:hAnsi="Arial" w:cs="Arial"/>
        </w:rPr>
        <w:t xml:space="preserve">. </w:t>
      </w:r>
      <w:r w:rsidR="00B04393">
        <w:rPr>
          <w:rFonts w:ascii="Arial" w:eastAsia="Arial" w:hAnsi="Arial" w:cs="Arial"/>
        </w:rPr>
        <w:t xml:space="preserve">The Government </w:t>
      </w:r>
      <w:r w:rsidR="001D6909">
        <w:rPr>
          <w:rFonts w:ascii="Arial" w:eastAsia="Arial" w:hAnsi="Arial" w:cs="Arial"/>
        </w:rPr>
        <w:t>Equalities Office</w:t>
      </w:r>
      <w:r w:rsidRPr="00DB48B3">
        <w:rPr>
          <w:rFonts w:ascii="Arial" w:eastAsia="Arial" w:hAnsi="Arial" w:cs="Arial"/>
        </w:rPr>
        <w:t xml:space="preserve">, though, has estimated that the size of the Trans community in the UK could range </w:t>
      </w:r>
      <w:r w:rsidR="00873B92">
        <w:rPr>
          <w:rFonts w:ascii="Arial" w:eastAsia="Arial" w:hAnsi="Arial" w:cs="Arial"/>
        </w:rPr>
        <w:t>200,000 to 500,000</w:t>
      </w:r>
      <w:r w:rsidRPr="00DB48B3">
        <w:rPr>
          <w:rFonts w:ascii="Arial" w:eastAsia="Arial" w:hAnsi="Arial" w:cs="Arial"/>
        </w:rPr>
        <w:t>.</w:t>
      </w:r>
      <w:r w:rsidRPr="00DB48B3">
        <w:rPr>
          <w:rStyle w:val="FootnoteReference"/>
          <w:rFonts w:ascii="Arial" w:eastAsia="Arial" w:hAnsi="Arial" w:cs="Arial"/>
        </w:rPr>
        <w:footnoteReference w:id="9"/>
      </w:r>
    </w:p>
    <w:p w14:paraId="2F3B2F62" w14:textId="219E80C7" w:rsidR="00982ED0" w:rsidRDefault="00982ED0" w:rsidP="00982ED0">
      <w:pPr>
        <w:pStyle w:val="Heading3"/>
      </w:pPr>
      <w:r>
        <w:t>Marriage and civil partnership</w:t>
      </w:r>
    </w:p>
    <w:p w14:paraId="7031F800" w14:textId="5FCD4321" w:rsidR="00C408F3" w:rsidRPr="0015262A" w:rsidRDefault="00C408F3" w:rsidP="00C408F3">
      <w:r>
        <w:t>No</w:t>
      </w:r>
      <w:r w:rsidR="008165AD">
        <w:t xml:space="preserve"> relevant</w:t>
      </w:r>
      <w:r>
        <w:t xml:space="preserve"> impacts are anticipated with regard to marriage and civil partnership, therefore, demographic</w:t>
      </w:r>
      <w:r w:rsidR="008165AD">
        <w:t xml:space="preserve"> data for this groups</w:t>
      </w:r>
      <w:r>
        <w:t xml:space="preserve"> have not been included in the area profile.</w:t>
      </w:r>
    </w:p>
    <w:p w14:paraId="6D0E112C" w14:textId="1C84C1E4" w:rsidR="00A055A6" w:rsidRDefault="00A055A6" w:rsidP="00A055A6">
      <w:pPr>
        <w:pStyle w:val="Heading3"/>
      </w:pPr>
      <w:r>
        <w:t>Pregnancy and maternity</w:t>
      </w:r>
    </w:p>
    <w:p w14:paraId="2412D8EC" w14:textId="19324956" w:rsidR="00916B0E" w:rsidRDefault="00E32A58" w:rsidP="00916B0E">
      <w:r w:rsidDel="00953215">
        <w:rPr>
          <w:rFonts w:eastAsia="Calibri"/>
          <w:bCs/>
        </w:rPr>
        <w:fldChar w:fldCharType="begin"/>
      </w:r>
      <w:r w:rsidDel="00953215">
        <w:rPr>
          <w:rFonts w:eastAsia="Calibri"/>
          <w:bCs/>
        </w:rPr>
        <w:fldChar w:fldCharType="end"/>
      </w:r>
      <w:r w:rsidDel="00953215">
        <w:rPr>
          <w:rFonts w:eastAsia="Calibri"/>
          <w:bCs/>
        </w:rPr>
        <w:fldChar w:fldCharType="begin"/>
      </w:r>
      <w:r w:rsidDel="00953215">
        <w:rPr>
          <w:rFonts w:eastAsia="Calibri"/>
          <w:bCs/>
        </w:rPr>
        <w:fldChar w:fldCharType="end"/>
      </w:r>
      <w:r w:rsidR="00916B0E" w:rsidRPr="00916B0E">
        <w:t xml:space="preserve">The table below shows the number of live births and the Total Fertility Rate (TFR) for </w:t>
      </w:r>
      <w:r w:rsidR="00916B0E">
        <w:t>Chichester</w:t>
      </w:r>
      <w:r w:rsidR="00916B0E" w:rsidRPr="00916B0E">
        <w:t xml:space="preserve">, </w:t>
      </w:r>
      <w:r w:rsidR="00916B0E">
        <w:t>South East</w:t>
      </w:r>
      <w:r w:rsidR="00916B0E" w:rsidRPr="00916B0E">
        <w:t xml:space="preserve"> and England. No data is available for </w:t>
      </w:r>
      <w:r w:rsidR="009A6F85">
        <w:t>Tangmere</w:t>
      </w:r>
      <w:r w:rsidR="00916B0E" w:rsidRPr="00916B0E">
        <w:t>.</w:t>
      </w:r>
    </w:p>
    <w:p w14:paraId="37D8BCE6" w14:textId="55968318" w:rsidR="00953215" w:rsidRDefault="00CF6464" w:rsidP="00953215">
      <w:pPr>
        <w:pStyle w:val="Caption"/>
      </w:pPr>
      <w:bookmarkStart w:id="28" w:name="_Toc31809584"/>
      <w:r>
        <w:t>Table</w:t>
      </w:r>
      <w:r w:rsidR="00953215" w:rsidRPr="009C1C7C">
        <w:t xml:space="preserve"> </w:t>
      </w:r>
      <w:r w:rsidR="00953215">
        <w:rPr>
          <w:noProof/>
        </w:rPr>
        <w:fldChar w:fldCharType="begin"/>
      </w:r>
      <w:r w:rsidR="00953215">
        <w:rPr>
          <w:noProof/>
        </w:rPr>
        <w:instrText xml:space="preserve"> STYLEREF 1 \s </w:instrText>
      </w:r>
      <w:r w:rsidR="00953215">
        <w:rPr>
          <w:noProof/>
        </w:rPr>
        <w:fldChar w:fldCharType="separate"/>
      </w:r>
      <w:r>
        <w:rPr>
          <w:noProof/>
        </w:rPr>
        <w:t>3</w:t>
      </w:r>
      <w:r w:rsidR="00953215">
        <w:rPr>
          <w:noProof/>
        </w:rPr>
        <w:fldChar w:fldCharType="end"/>
      </w:r>
      <w:r w:rsidR="00953215">
        <w:t>.</w:t>
      </w:r>
      <w:r w:rsidR="00953215">
        <w:rPr>
          <w:noProof/>
        </w:rPr>
        <w:fldChar w:fldCharType="begin"/>
      </w:r>
      <w:r w:rsidR="00953215">
        <w:rPr>
          <w:noProof/>
        </w:rPr>
        <w:instrText xml:space="preserve"> SEQ Table \* ARABIC \s 1 </w:instrText>
      </w:r>
      <w:r w:rsidR="00953215">
        <w:rPr>
          <w:noProof/>
        </w:rPr>
        <w:fldChar w:fldCharType="separate"/>
      </w:r>
      <w:r>
        <w:rPr>
          <w:noProof/>
        </w:rPr>
        <w:t>3</w:t>
      </w:r>
      <w:r w:rsidR="00953215">
        <w:rPr>
          <w:noProof/>
        </w:rPr>
        <w:fldChar w:fldCharType="end"/>
      </w:r>
      <w:r w:rsidR="00953215" w:rsidRPr="009C1C7C">
        <w:t>:</w:t>
      </w:r>
      <w:r w:rsidR="00953215">
        <w:t xml:space="preserve"> Population by birth and fertility rates</w:t>
      </w:r>
      <w:bookmarkEnd w:id="28"/>
    </w:p>
    <w:tbl>
      <w:tblPr>
        <w:tblStyle w:val="MMTable"/>
        <w:tblW w:w="8484" w:type="dxa"/>
        <w:tblLook w:val="04A0" w:firstRow="1" w:lastRow="0" w:firstColumn="1" w:lastColumn="0" w:noHBand="0" w:noVBand="1"/>
      </w:tblPr>
      <w:tblGrid>
        <w:gridCol w:w="2268"/>
        <w:gridCol w:w="1974"/>
        <w:gridCol w:w="2121"/>
        <w:gridCol w:w="2121"/>
      </w:tblGrid>
      <w:tr w:rsidR="00566E69" w14:paraId="2AC44F87" w14:textId="77777777" w:rsidTr="0000060D">
        <w:trPr>
          <w:cnfStyle w:val="100000000000" w:firstRow="1" w:lastRow="0" w:firstColumn="0" w:lastColumn="0" w:oddVBand="0" w:evenVBand="0" w:oddHBand="0" w:evenHBand="0" w:firstRowFirstColumn="0" w:firstRowLastColumn="0" w:lastRowFirstColumn="0" w:lastRowLastColumn="0"/>
          <w:trHeight w:val="725"/>
        </w:trPr>
        <w:tc>
          <w:tcPr>
            <w:tcW w:w="2268" w:type="dxa"/>
          </w:tcPr>
          <w:p w14:paraId="0B3160E4" w14:textId="6C691423" w:rsidR="0000060D" w:rsidRPr="00282E94" w:rsidRDefault="0000060D" w:rsidP="00457F99">
            <w:pPr>
              <w:rPr>
                <w:b/>
                <w:color w:val="2FB6BC" w:themeColor="accent1"/>
              </w:rPr>
            </w:pPr>
            <w:r>
              <w:rPr>
                <w:b/>
                <w:color w:val="2FB6BC" w:themeColor="accent1"/>
              </w:rPr>
              <w:t>Births and fertility rate</w:t>
            </w:r>
          </w:p>
        </w:tc>
        <w:tc>
          <w:tcPr>
            <w:tcW w:w="1974" w:type="dxa"/>
          </w:tcPr>
          <w:p w14:paraId="4F63D4BD" w14:textId="77777777" w:rsidR="0000060D" w:rsidRPr="00282E94" w:rsidRDefault="0000060D" w:rsidP="005E032F">
            <w:pPr>
              <w:jc w:val="right"/>
              <w:rPr>
                <w:b/>
                <w:color w:val="2FB6BC" w:themeColor="accent1"/>
              </w:rPr>
            </w:pPr>
            <w:r w:rsidRPr="00282E94">
              <w:rPr>
                <w:b/>
                <w:color w:val="2FB6BC" w:themeColor="accent1"/>
              </w:rPr>
              <w:t>Chichester</w:t>
            </w:r>
          </w:p>
        </w:tc>
        <w:tc>
          <w:tcPr>
            <w:tcW w:w="2121" w:type="dxa"/>
          </w:tcPr>
          <w:p w14:paraId="43E52FD4" w14:textId="77777777" w:rsidR="0000060D" w:rsidRPr="00282E94" w:rsidRDefault="0000060D" w:rsidP="005E032F">
            <w:pPr>
              <w:jc w:val="right"/>
              <w:rPr>
                <w:b/>
                <w:color w:val="2FB6BC" w:themeColor="accent1"/>
              </w:rPr>
            </w:pPr>
            <w:r w:rsidRPr="00282E94">
              <w:rPr>
                <w:b/>
                <w:color w:val="2FB6BC" w:themeColor="accent1"/>
              </w:rPr>
              <w:t>South East</w:t>
            </w:r>
          </w:p>
        </w:tc>
        <w:tc>
          <w:tcPr>
            <w:tcW w:w="2121" w:type="dxa"/>
          </w:tcPr>
          <w:p w14:paraId="4A689FB9" w14:textId="77777777" w:rsidR="0000060D" w:rsidRPr="00282E94" w:rsidRDefault="0000060D" w:rsidP="005E032F">
            <w:pPr>
              <w:jc w:val="right"/>
              <w:rPr>
                <w:b/>
                <w:color w:val="2FB6BC" w:themeColor="accent1"/>
              </w:rPr>
            </w:pPr>
            <w:r w:rsidRPr="00282E94">
              <w:rPr>
                <w:b/>
                <w:color w:val="2FB6BC" w:themeColor="accent1"/>
              </w:rPr>
              <w:t>England</w:t>
            </w:r>
          </w:p>
        </w:tc>
      </w:tr>
      <w:tr w:rsidR="0000060D" w14:paraId="4F17E1FB" w14:textId="77777777" w:rsidTr="0000060D">
        <w:trPr>
          <w:cnfStyle w:val="000000100000" w:firstRow="0" w:lastRow="0" w:firstColumn="0" w:lastColumn="0" w:oddVBand="0" w:evenVBand="0" w:oddHBand="1" w:evenHBand="0" w:firstRowFirstColumn="0" w:firstRowLastColumn="0" w:lastRowFirstColumn="0" w:lastRowLastColumn="0"/>
          <w:trHeight w:val="392"/>
        </w:trPr>
        <w:tc>
          <w:tcPr>
            <w:tcW w:w="2268" w:type="dxa"/>
            <w:vAlign w:val="bottom"/>
          </w:tcPr>
          <w:p w14:paraId="482BC748" w14:textId="01FD4C4A" w:rsidR="0000060D" w:rsidRPr="007C104D" w:rsidRDefault="0000060D" w:rsidP="00457F99">
            <w:pPr>
              <w:rPr>
                <w:b/>
              </w:rPr>
            </w:pPr>
            <w:r>
              <w:rPr>
                <w:rFonts w:eastAsia="Calibri" w:cstheme="minorHAnsi"/>
                <w:b/>
                <w:color w:val="000000"/>
              </w:rPr>
              <w:t>Live births</w:t>
            </w:r>
          </w:p>
        </w:tc>
        <w:tc>
          <w:tcPr>
            <w:tcW w:w="1974" w:type="dxa"/>
          </w:tcPr>
          <w:p w14:paraId="6C310831" w14:textId="119D378E" w:rsidR="0000060D" w:rsidRDefault="00512AE3" w:rsidP="005E032F">
            <w:pPr>
              <w:jc w:val="right"/>
            </w:pPr>
            <w:r>
              <w:t>991</w:t>
            </w:r>
          </w:p>
        </w:tc>
        <w:tc>
          <w:tcPr>
            <w:tcW w:w="2121" w:type="dxa"/>
          </w:tcPr>
          <w:p w14:paraId="30143165" w14:textId="58EE96E9" w:rsidR="0000060D" w:rsidRDefault="00512AE3" w:rsidP="005E032F">
            <w:pPr>
              <w:jc w:val="right"/>
            </w:pPr>
            <w:r>
              <w:t>96,748</w:t>
            </w:r>
          </w:p>
        </w:tc>
        <w:tc>
          <w:tcPr>
            <w:tcW w:w="2121" w:type="dxa"/>
          </w:tcPr>
          <w:p w14:paraId="11B7B142" w14:textId="70393458" w:rsidR="0000060D" w:rsidRDefault="00512AE3" w:rsidP="005E032F">
            <w:pPr>
              <w:jc w:val="right"/>
            </w:pPr>
            <w:r>
              <w:t>625,651</w:t>
            </w:r>
          </w:p>
        </w:tc>
      </w:tr>
      <w:tr w:rsidR="0000060D" w14:paraId="115DD27B" w14:textId="77777777" w:rsidTr="0000060D">
        <w:trPr>
          <w:trHeight w:val="404"/>
        </w:trPr>
        <w:tc>
          <w:tcPr>
            <w:tcW w:w="2268" w:type="dxa"/>
            <w:vAlign w:val="bottom"/>
          </w:tcPr>
          <w:p w14:paraId="62452C14" w14:textId="743C599C" w:rsidR="0000060D" w:rsidRPr="007C104D" w:rsidRDefault="0000060D" w:rsidP="00457F99">
            <w:pPr>
              <w:rPr>
                <w:b/>
              </w:rPr>
            </w:pPr>
            <w:r>
              <w:rPr>
                <w:rFonts w:eastAsia="Calibri" w:cstheme="minorHAnsi"/>
                <w:b/>
                <w:color w:val="000000"/>
              </w:rPr>
              <w:t>TFR</w:t>
            </w:r>
          </w:p>
        </w:tc>
        <w:tc>
          <w:tcPr>
            <w:tcW w:w="1974" w:type="dxa"/>
          </w:tcPr>
          <w:p w14:paraId="5AE4FB2C" w14:textId="2D2C2E41" w:rsidR="0000060D" w:rsidRDefault="004E0F56" w:rsidP="005E032F">
            <w:pPr>
              <w:jc w:val="right"/>
            </w:pPr>
            <w:r>
              <w:t>1.71</w:t>
            </w:r>
          </w:p>
        </w:tc>
        <w:tc>
          <w:tcPr>
            <w:tcW w:w="2121" w:type="dxa"/>
          </w:tcPr>
          <w:p w14:paraId="1D84BA3A" w14:textId="54BE426C" w:rsidR="0000060D" w:rsidRDefault="004E0F56" w:rsidP="005E032F">
            <w:pPr>
              <w:jc w:val="right"/>
            </w:pPr>
            <w:r>
              <w:t>1.74</w:t>
            </w:r>
          </w:p>
        </w:tc>
        <w:tc>
          <w:tcPr>
            <w:tcW w:w="2121" w:type="dxa"/>
          </w:tcPr>
          <w:p w14:paraId="07E9047D" w14:textId="4EE3483C" w:rsidR="0000060D" w:rsidRDefault="004E0F56" w:rsidP="005E032F">
            <w:pPr>
              <w:jc w:val="right"/>
            </w:pPr>
            <w:r>
              <w:t>1.7</w:t>
            </w:r>
          </w:p>
        </w:tc>
      </w:tr>
    </w:tbl>
    <w:p w14:paraId="55C1C8BD" w14:textId="313098AC" w:rsidR="00E32A58" w:rsidRPr="000150E8" w:rsidRDefault="00E32A58" w:rsidP="00E32A58">
      <w:pPr>
        <w:rPr>
          <w:sz w:val="18"/>
        </w:rPr>
      </w:pPr>
      <w:r w:rsidRPr="000150E8">
        <w:rPr>
          <w:sz w:val="18"/>
        </w:rPr>
        <w:t xml:space="preserve">Source: </w:t>
      </w:r>
      <w:r>
        <w:rPr>
          <w:sz w:val="18"/>
        </w:rPr>
        <w:t xml:space="preserve">Office for National Statistics (2018) </w:t>
      </w:r>
      <w:r w:rsidR="00512AE3">
        <w:rPr>
          <w:sz w:val="18"/>
        </w:rPr>
        <w:t>Live b</w:t>
      </w:r>
      <w:r>
        <w:rPr>
          <w:sz w:val="18"/>
        </w:rPr>
        <w:t>irths in England and Wales</w:t>
      </w:r>
      <w:r w:rsidR="00512AE3">
        <w:rPr>
          <w:sz w:val="18"/>
        </w:rPr>
        <w:t xml:space="preserve"> (data not available at ward level).</w:t>
      </w:r>
    </w:p>
    <w:p w14:paraId="100669E9" w14:textId="7EF10ADB" w:rsidR="00F900CF" w:rsidRPr="00F900CF" w:rsidRDefault="00563DAA" w:rsidP="00E32A58">
      <w:bookmarkStart w:id="29" w:name="_Hlk29977461"/>
      <w:r w:rsidRPr="00563DAA">
        <w:t xml:space="preserve">The table </w:t>
      </w:r>
      <w:r w:rsidR="001751F0" w:rsidRPr="00563DAA">
        <w:t xml:space="preserve">above </w:t>
      </w:r>
      <w:r w:rsidRPr="00563DAA">
        <w:t>shows that</w:t>
      </w:r>
      <w:r w:rsidR="00364BFF">
        <w:t xml:space="preserve"> the </w:t>
      </w:r>
      <w:r w:rsidR="00B1410A">
        <w:t>l</w:t>
      </w:r>
      <w:r w:rsidR="001059F4">
        <w:t>ive bir</w:t>
      </w:r>
      <w:r w:rsidR="00FC7043">
        <w:t xml:space="preserve">ths </w:t>
      </w:r>
      <w:r w:rsidR="00FD3DAA">
        <w:t xml:space="preserve">and </w:t>
      </w:r>
      <w:r w:rsidR="00364BFF">
        <w:t>TFR in</w:t>
      </w:r>
      <w:r w:rsidRPr="00563DAA">
        <w:t xml:space="preserve"> </w:t>
      </w:r>
      <w:r>
        <w:t>Chichester</w:t>
      </w:r>
      <w:r w:rsidRPr="00563DAA">
        <w:t xml:space="preserve"> </w:t>
      </w:r>
      <w:r w:rsidR="00FD3DAA">
        <w:t xml:space="preserve">are </w:t>
      </w:r>
      <w:r>
        <w:t>in line with</w:t>
      </w:r>
      <w:r w:rsidRPr="00563DAA">
        <w:t xml:space="preserve"> both </w:t>
      </w:r>
      <w:r w:rsidR="00BF2726">
        <w:t xml:space="preserve">the </w:t>
      </w:r>
      <w:r w:rsidR="00B20306">
        <w:t>South East</w:t>
      </w:r>
      <w:r w:rsidRPr="00563DAA">
        <w:t xml:space="preserve"> and England.</w:t>
      </w:r>
    </w:p>
    <w:bookmarkEnd w:id="29"/>
    <w:p w14:paraId="557B34A1" w14:textId="35AB0E01" w:rsidR="00A055A6" w:rsidRDefault="00A055A6" w:rsidP="00A055A6">
      <w:pPr>
        <w:pStyle w:val="Heading3"/>
      </w:pPr>
      <w:r>
        <w:t>Race and ethnicity</w:t>
      </w:r>
    </w:p>
    <w:p w14:paraId="0CE8D486" w14:textId="7B587107" w:rsidR="0094228D" w:rsidRDefault="000D2A74" w:rsidP="0094228D">
      <w:r w:rsidRPr="000D2A74">
        <w:t xml:space="preserve">The below table provides a breakdown of the population of </w:t>
      </w:r>
      <w:r w:rsidR="00CF4755">
        <w:t>Tangmere</w:t>
      </w:r>
      <w:r w:rsidRPr="000D2A74">
        <w:t xml:space="preserve">, </w:t>
      </w:r>
      <w:r w:rsidR="00CF4755">
        <w:t>Chichester</w:t>
      </w:r>
      <w:r w:rsidRPr="000D2A74">
        <w:t xml:space="preserve">, </w:t>
      </w:r>
      <w:r w:rsidR="00CF4755">
        <w:t>South East</w:t>
      </w:r>
      <w:r w:rsidRPr="000D2A74">
        <w:t xml:space="preserve"> and England by ethnicity.</w:t>
      </w:r>
    </w:p>
    <w:p w14:paraId="0AF52536" w14:textId="77777777" w:rsidR="00192BDA" w:rsidRPr="0094228D" w:rsidRDefault="00192BDA" w:rsidP="0094228D"/>
    <w:p w14:paraId="68BFDA05" w14:textId="1C572BEE" w:rsidR="001620B6" w:rsidRDefault="00CF6464" w:rsidP="001620B6">
      <w:pPr>
        <w:pStyle w:val="Caption"/>
      </w:pPr>
      <w:bookmarkStart w:id="30" w:name="_Toc31809585"/>
      <w:r>
        <w:lastRenderedPageBreak/>
        <w:t>Table</w:t>
      </w:r>
      <w:r w:rsidR="001620B6" w:rsidRPr="009C1C7C">
        <w:t xml:space="preserve"> </w:t>
      </w:r>
      <w:r w:rsidR="001620B6">
        <w:rPr>
          <w:noProof/>
        </w:rPr>
        <w:fldChar w:fldCharType="begin"/>
      </w:r>
      <w:r w:rsidR="001620B6">
        <w:rPr>
          <w:noProof/>
        </w:rPr>
        <w:instrText xml:space="preserve"> STYLEREF 1 \s </w:instrText>
      </w:r>
      <w:r w:rsidR="001620B6">
        <w:rPr>
          <w:noProof/>
        </w:rPr>
        <w:fldChar w:fldCharType="separate"/>
      </w:r>
      <w:r>
        <w:rPr>
          <w:noProof/>
        </w:rPr>
        <w:t>3</w:t>
      </w:r>
      <w:r w:rsidR="001620B6">
        <w:rPr>
          <w:noProof/>
        </w:rPr>
        <w:fldChar w:fldCharType="end"/>
      </w:r>
      <w:r w:rsidR="001620B6">
        <w:t>.</w:t>
      </w:r>
      <w:r w:rsidR="001620B6">
        <w:rPr>
          <w:noProof/>
        </w:rPr>
        <w:fldChar w:fldCharType="begin"/>
      </w:r>
      <w:r w:rsidR="001620B6">
        <w:rPr>
          <w:noProof/>
        </w:rPr>
        <w:instrText xml:space="preserve"> SEQ Table \* ARABIC \s 1 </w:instrText>
      </w:r>
      <w:r w:rsidR="001620B6">
        <w:rPr>
          <w:noProof/>
        </w:rPr>
        <w:fldChar w:fldCharType="separate"/>
      </w:r>
      <w:r>
        <w:rPr>
          <w:noProof/>
        </w:rPr>
        <w:t>4</w:t>
      </w:r>
      <w:r w:rsidR="001620B6">
        <w:rPr>
          <w:noProof/>
        </w:rPr>
        <w:fldChar w:fldCharType="end"/>
      </w:r>
      <w:r w:rsidR="001620B6" w:rsidRPr="009C1C7C">
        <w:t>:</w:t>
      </w:r>
      <w:r w:rsidR="001620B6">
        <w:t xml:space="preserve"> Population by </w:t>
      </w:r>
      <w:r w:rsidR="00251FF5">
        <w:t>race and ethnicity</w:t>
      </w:r>
      <w:bookmarkEnd w:id="30"/>
    </w:p>
    <w:tbl>
      <w:tblPr>
        <w:tblStyle w:val="MMTable"/>
        <w:tblW w:w="0" w:type="auto"/>
        <w:tblLook w:val="04A0" w:firstRow="1" w:lastRow="0" w:firstColumn="1" w:lastColumn="0" w:noHBand="0" w:noVBand="1"/>
      </w:tblPr>
      <w:tblGrid>
        <w:gridCol w:w="1470"/>
        <w:gridCol w:w="1527"/>
        <w:gridCol w:w="1216"/>
        <w:gridCol w:w="1552"/>
        <w:gridCol w:w="1400"/>
        <w:gridCol w:w="1472"/>
      </w:tblGrid>
      <w:tr w:rsidR="00566E69" w14:paraId="46D50335" w14:textId="77777777" w:rsidTr="00DF7411">
        <w:trPr>
          <w:cnfStyle w:val="100000000000" w:firstRow="1" w:lastRow="0" w:firstColumn="0" w:lastColumn="0" w:oddVBand="0" w:evenVBand="0" w:oddHBand="0" w:evenHBand="0" w:firstRowFirstColumn="0" w:firstRowLastColumn="0" w:lastRowFirstColumn="0" w:lastRowLastColumn="0"/>
        </w:trPr>
        <w:tc>
          <w:tcPr>
            <w:tcW w:w="2865" w:type="dxa"/>
            <w:gridSpan w:val="2"/>
          </w:tcPr>
          <w:p w14:paraId="7E15AA0B" w14:textId="07719F7F" w:rsidR="00D20A1F" w:rsidRPr="00282E94" w:rsidRDefault="00033AD1" w:rsidP="00457F99">
            <w:pPr>
              <w:rPr>
                <w:b/>
                <w:color w:val="2FB6BC" w:themeColor="accent1"/>
              </w:rPr>
            </w:pPr>
            <w:r>
              <w:rPr>
                <w:b/>
                <w:color w:val="2FB6BC" w:themeColor="accent1"/>
              </w:rPr>
              <w:t>Race and ethnicity</w:t>
            </w:r>
          </w:p>
        </w:tc>
        <w:tc>
          <w:tcPr>
            <w:tcW w:w="1216" w:type="dxa"/>
          </w:tcPr>
          <w:p w14:paraId="0F6E6C73" w14:textId="280E1457" w:rsidR="00D20A1F" w:rsidRPr="00282E94" w:rsidRDefault="00D20A1F" w:rsidP="003C499C">
            <w:pPr>
              <w:jc w:val="right"/>
              <w:rPr>
                <w:b/>
                <w:color w:val="2FB6BC" w:themeColor="accent1"/>
              </w:rPr>
            </w:pPr>
            <w:r w:rsidRPr="00282E94">
              <w:rPr>
                <w:b/>
                <w:color w:val="2FB6BC" w:themeColor="accent1"/>
              </w:rPr>
              <w:t>Tangmere</w:t>
            </w:r>
          </w:p>
        </w:tc>
        <w:tc>
          <w:tcPr>
            <w:tcW w:w="1552" w:type="dxa"/>
          </w:tcPr>
          <w:p w14:paraId="20295B2A" w14:textId="79FA3920" w:rsidR="00D20A1F" w:rsidRPr="00282E94" w:rsidRDefault="00D20A1F" w:rsidP="003C499C">
            <w:pPr>
              <w:jc w:val="right"/>
              <w:rPr>
                <w:b/>
                <w:color w:val="2FB6BC" w:themeColor="accent1"/>
              </w:rPr>
            </w:pPr>
            <w:r w:rsidRPr="00282E94">
              <w:rPr>
                <w:b/>
                <w:color w:val="2FB6BC" w:themeColor="accent1"/>
              </w:rPr>
              <w:t>Chichester</w:t>
            </w:r>
          </w:p>
        </w:tc>
        <w:tc>
          <w:tcPr>
            <w:tcW w:w="1400" w:type="dxa"/>
          </w:tcPr>
          <w:p w14:paraId="6D9B14C6" w14:textId="77777777" w:rsidR="00D20A1F" w:rsidRPr="00282E94" w:rsidRDefault="00D20A1F" w:rsidP="003C499C">
            <w:pPr>
              <w:jc w:val="right"/>
              <w:rPr>
                <w:b/>
                <w:color w:val="2FB6BC" w:themeColor="accent1"/>
              </w:rPr>
            </w:pPr>
            <w:r w:rsidRPr="00282E94">
              <w:rPr>
                <w:b/>
                <w:color w:val="2FB6BC" w:themeColor="accent1"/>
              </w:rPr>
              <w:t>South East</w:t>
            </w:r>
          </w:p>
        </w:tc>
        <w:tc>
          <w:tcPr>
            <w:tcW w:w="1472" w:type="dxa"/>
          </w:tcPr>
          <w:p w14:paraId="7178EACF" w14:textId="77777777" w:rsidR="00D20A1F" w:rsidRPr="00282E94" w:rsidRDefault="00D20A1F" w:rsidP="003C499C">
            <w:pPr>
              <w:jc w:val="right"/>
              <w:rPr>
                <w:b/>
                <w:color w:val="2FB6BC" w:themeColor="accent1"/>
              </w:rPr>
            </w:pPr>
            <w:r w:rsidRPr="00282E94">
              <w:rPr>
                <w:b/>
                <w:color w:val="2FB6BC" w:themeColor="accent1"/>
              </w:rPr>
              <w:t>England</w:t>
            </w:r>
          </w:p>
        </w:tc>
      </w:tr>
      <w:tr w:rsidR="009D18C9" w14:paraId="7B9C4BF7" w14:textId="77777777" w:rsidTr="00C30A5D">
        <w:trPr>
          <w:cnfStyle w:val="000000100000" w:firstRow="0" w:lastRow="0" w:firstColumn="0" w:lastColumn="0" w:oddVBand="0" w:evenVBand="0" w:oddHBand="1" w:evenHBand="0" w:firstRowFirstColumn="0" w:firstRowLastColumn="0" w:lastRowFirstColumn="0" w:lastRowLastColumn="0"/>
        </w:trPr>
        <w:tc>
          <w:tcPr>
            <w:tcW w:w="1338" w:type="dxa"/>
            <w:vMerge w:val="restart"/>
            <w:vAlign w:val="center"/>
          </w:tcPr>
          <w:p w14:paraId="74E8D367" w14:textId="6280E83E" w:rsidR="009D18C9" w:rsidRPr="007C104D" w:rsidRDefault="00C30A5D" w:rsidP="00C30A5D">
            <w:pPr>
              <w:rPr>
                <w:b/>
              </w:rPr>
            </w:pPr>
            <w:r>
              <w:rPr>
                <w:b/>
              </w:rPr>
              <w:t>White</w:t>
            </w:r>
          </w:p>
        </w:tc>
        <w:tc>
          <w:tcPr>
            <w:tcW w:w="1527" w:type="dxa"/>
            <w:vAlign w:val="bottom"/>
          </w:tcPr>
          <w:p w14:paraId="23031DBE" w14:textId="6EB4F1A3" w:rsidR="009D18C9" w:rsidRDefault="00D763B9" w:rsidP="002E680A">
            <w:r>
              <w:rPr>
                <w:b/>
                <w:color w:val="000000"/>
              </w:rPr>
              <w:t xml:space="preserve">White </w:t>
            </w:r>
            <w:r w:rsidR="009D18C9" w:rsidRPr="00584C29">
              <w:rPr>
                <w:b/>
                <w:color w:val="000000"/>
              </w:rPr>
              <w:t>British</w:t>
            </w:r>
          </w:p>
        </w:tc>
        <w:tc>
          <w:tcPr>
            <w:tcW w:w="1216" w:type="dxa"/>
          </w:tcPr>
          <w:p w14:paraId="0C48439E" w14:textId="485BAB25" w:rsidR="009D18C9" w:rsidRDefault="00D55949" w:rsidP="003C499C">
            <w:pPr>
              <w:jc w:val="right"/>
            </w:pPr>
            <w:r>
              <w:t>91.9%</w:t>
            </w:r>
          </w:p>
        </w:tc>
        <w:tc>
          <w:tcPr>
            <w:tcW w:w="1552" w:type="dxa"/>
          </w:tcPr>
          <w:p w14:paraId="4998B74C" w14:textId="76F7EEDB" w:rsidR="009D18C9" w:rsidRDefault="00752E01" w:rsidP="003C499C">
            <w:pPr>
              <w:jc w:val="right"/>
            </w:pPr>
            <w:r>
              <w:t>93%</w:t>
            </w:r>
          </w:p>
        </w:tc>
        <w:tc>
          <w:tcPr>
            <w:tcW w:w="1400" w:type="dxa"/>
          </w:tcPr>
          <w:p w14:paraId="02BCBE12" w14:textId="46A89564" w:rsidR="009D18C9" w:rsidRDefault="00896786" w:rsidP="003C499C">
            <w:pPr>
              <w:jc w:val="right"/>
            </w:pPr>
            <w:r>
              <w:t>85.2%</w:t>
            </w:r>
          </w:p>
        </w:tc>
        <w:tc>
          <w:tcPr>
            <w:tcW w:w="1472" w:type="dxa"/>
          </w:tcPr>
          <w:p w14:paraId="1DD47BC1" w14:textId="3BB2F805" w:rsidR="009D18C9" w:rsidRDefault="00896786" w:rsidP="003C499C">
            <w:pPr>
              <w:jc w:val="right"/>
            </w:pPr>
            <w:r>
              <w:t>79.8%</w:t>
            </w:r>
          </w:p>
        </w:tc>
      </w:tr>
      <w:tr w:rsidR="009D18C9" w14:paraId="7272219A" w14:textId="77777777" w:rsidTr="00C30A5D">
        <w:tc>
          <w:tcPr>
            <w:tcW w:w="1338" w:type="dxa"/>
            <w:vMerge/>
            <w:vAlign w:val="center"/>
          </w:tcPr>
          <w:p w14:paraId="361B440F" w14:textId="04993F4C" w:rsidR="009D18C9" w:rsidRPr="007C104D" w:rsidRDefault="009D18C9" w:rsidP="00C30A5D">
            <w:pPr>
              <w:rPr>
                <w:b/>
              </w:rPr>
            </w:pPr>
          </w:p>
        </w:tc>
        <w:tc>
          <w:tcPr>
            <w:tcW w:w="1527" w:type="dxa"/>
            <w:vAlign w:val="center"/>
          </w:tcPr>
          <w:p w14:paraId="4F0EBAB5" w14:textId="5C892D69" w:rsidR="009D18C9" w:rsidRDefault="00D763B9" w:rsidP="002E680A">
            <w:r>
              <w:rPr>
                <w:b/>
                <w:color w:val="000000"/>
              </w:rPr>
              <w:t xml:space="preserve">White </w:t>
            </w:r>
            <w:r w:rsidR="009D18C9" w:rsidRPr="00584C29">
              <w:rPr>
                <w:b/>
                <w:color w:val="000000"/>
              </w:rPr>
              <w:t>Irish</w:t>
            </w:r>
          </w:p>
        </w:tc>
        <w:tc>
          <w:tcPr>
            <w:tcW w:w="1216" w:type="dxa"/>
          </w:tcPr>
          <w:p w14:paraId="3D4C2DAB" w14:textId="465D09DB" w:rsidR="009D18C9" w:rsidRDefault="0017633E" w:rsidP="003C499C">
            <w:pPr>
              <w:jc w:val="right"/>
            </w:pPr>
            <w:r>
              <w:t>0.8%</w:t>
            </w:r>
          </w:p>
        </w:tc>
        <w:tc>
          <w:tcPr>
            <w:tcW w:w="1552" w:type="dxa"/>
          </w:tcPr>
          <w:p w14:paraId="031D81A2" w14:textId="41381FC4" w:rsidR="009D18C9" w:rsidRDefault="0017633E" w:rsidP="003C499C">
            <w:pPr>
              <w:jc w:val="right"/>
            </w:pPr>
            <w:r>
              <w:t>0.7%</w:t>
            </w:r>
          </w:p>
        </w:tc>
        <w:tc>
          <w:tcPr>
            <w:tcW w:w="1400" w:type="dxa"/>
          </w:tcPr>
          <w:p w14:paraId="1E02C918" w14:textId="78A7F249" w:rsidR="009D18C9" w:rsidRDefault="000669EE" w:rsidP="003C499C">
            <w:pPr>
              <w:jc w:val="right"/>
            </w:pPr>
            <w:r>
              <w:t>0.9%</w:t>
            </w:r>
          </w:p>
        </w:tc>
        <w:tc>
          <w:tcPr>
            <w:tcW w:w="1472" w:type="dxa"/>
          </w:tcPr>
          <w:p w14:paraId="6BE95BC2" w14:textId="45559BBC" w:rsidR="009D18C9" w:rsidRDefault="000669EE" w:rsidP="003C499C">
            <w:pPr>
              <w:jc w:val="right"/>
            </w:pPr>
            <w:r>
              <w:t>1%</w:t>
            </w:r>
          </w:p>
        </w:tc>
      </w:tr>
      <w:tr w:rsidR="009D18C9" w14:paraId="58145DA6" w14:textId="77777777" w:rsidTr="00C30A5D">
        <w:trPr>
          <w:cnfStyle w:val="000000100000" w:firstRow="0" w:lastRow="0" w:firstColumn="0" w:lastColumn="0" w:oddVBand="0" w:evenVBand="0" w:oddHBand="1" w:evenHBand="0" w:firstRowFirstColumn="0" w:firstRowLastColumn="0" w:lastRowFirstColumn="0" w:lastRowLastColumn="0"/>
        </w:trPr>
        <w:tc>
          <w:tcPr>
            <w:tcW w:w="1338" w:type="dxa"/>
            <w:vMerge/>
            <w:vAlign w:val="center"/>
          </w:tcPr>
          <w:p w14:paraId="1F80022A" w14:textId="061DEA94" w:rsidR="009D18C9" w:rsidRPr="007C104D" w:rsidRDefault="009D18C9" w:rsidP="00C30A5D">
            <w:pPr>
              <w:rPr>
                <w:b/>
              </w:rPr>
            </w:pPr>
          </w:p>
        </w:tc>
        <w:tc>
          <w:tcPr>
            <w:tcW w:w="1527" w:type="dxa"/>
            <w:vAlign w:val="bottom"/>
          </w:tcPr>
          <w:p w14:paraId="0CDFCA6C" w14:textId="40BCA0AC" w:rsidR="009D18C9" w:rsidRDefault="00CD26B3" w:rsidP="002E680A">
            <w:r>
              <w:rPr>
                <w:b/>
                <w:color w:val="000000"/>
              </w:rPr>
              <w:t>White</w:t>
            </w:r>
            <w:r w:rsidR="003E02A1">
              <w:rPr>
                <w:b/>
                <w:color w:val="000000"/>
              </w:rPr>
              <w:t xml:space="preserve"> </w:t>
            </w:r>
            <w:r w:rsidR="009D18C9" w:rsidRPr="00584C29">
              <w:rPr>
                <w:b/>
                <w:color w:val="000000"/>
              </w:rPr>
              <w:t>Gypsy or Irish Traveller</w:t>
            </w:r>
          </w:p>
        </w:tc>
        <w:tc>
          <w:tcPr>
            <w:tcW w:w="1216" w:type="dxa"/>
          </w:tcPr>
          <w:p w14:paraId="278718EE" w14:textId="31AD7FA1" w:rsidR="009D18C9" w:rsidRDefault="00BB7BA7" w:rsidP="003C499C">
            <w:pPr>
              <w:jc w:val="right"/>
            </w:pPr>
            <w:r>
              <w:t>1%</w:t>
            </w:r>
          </w:p>
        </w:tc>
        <w:tc>
          <w:tcPr>
            <w:tcW w:w="1552" w:type="dxa"/>
          </w:tcPr>
          <w:p w14:paraId="00653774" w14:textId="0F58834B" w:rsidR="009D18C9" w:rsidRDefault="00BB7BA7" w:rsidP="003C499C">
            <w:pPr>
              <w:jc w:val="right"/>
            </w:pPr>
            <w:r>
              <w:t>0.2%</w:t>
            </w:r>
          </w:p>
        </w:tc>
        <w:tc>
          <w:tcPr>
            <w:tcW w:w="1400" w:type="dxa"/>
          </w:tcPr>
          <w:p w14:paraId="460D02AE" w14:textId="17AD6666" w:rsidR="009D18C9" w:rsidRDefault="00BB7BA7" w:rsidP="003C499C">
            <w:pPr>
              <w:jc w:val="right"/>
            </w:pPr>
            <w:r>
              <w:t>0</w:t>
            </w:r>
            <w:r w:rsidR="00C02597">
              <w:t>.2%</w:t>
            </w:r>
          </w:p>
        </w:tc>
        <w:tc>
          <w:tcPr>
            <w:tcW w:w="1472" w:type="dxa"/>
          </w:tcPr>
          <w:p w14:paraId="7C2CA71F" w14:textId="317AD9D8" w:rsidR="009D18C9" w:rsidRDefault="00C02597" w:rsidP="003C499C">
            <w:pPr>
              <w:jc w:val="right"/>
            </w:pPr>
            <w:r>
              <w:t>0.1%</w:t>
            </w:r>
          </w:p>
        </w:tc>
      </w:tr>
      <w:tr w:rsidR="009D18C9" w14:paraId="12EADB47" w14:textId="77777777" w:rsidTr="00C30A5D">
        <w:tc>
          <w:tcPr>
            <w:tcW w:w="1338" w:type="dxa"/>
            <w:vMerge/>
            <w:vAlign w:val="center"/>
          </w:tcPr>
          <w:p w14:paraId="35EEE1FF" w14:textId="77777777" w:rsidR="009D18C9" w:rsidRPr="009F07C7" w:rsidRDefault="009D18C9" w:rsidP="00C30A5D">
            <w:pPr>
              <w:rPr>
                <w:rFonts w:eastAsia="Calibri" w:cstheme="minorHAnsi"/>
                <w:b/>
                <w:color w:val="000000"/>
              </w:rPr>
            </w:pPr>
          </w:p>
        </w:tc>
        <w:tc>
          <w:tcPr>
            <w:tcW w:w="1527" w:type="dxa"/>
            <w:vAlign w:val="bottom"/>
          </w:tcPr>
          <w:p w14:paraId="2860BC9E" w14:textId="701F45F9" w:rsidR="009D18C9" w:rsidRDefault="009D18C9" w:rsidP="002E680A">
            <w:r w:rsidRPr="00584C29">
              <w:rPr>
                <w:b/>
                <w:color w:val="000000"/>
              </w:rPr>
              <w:t>Other White</w:t>
            </w:r>
          </w:p>
        </w:tc>
        <w:tc>
          <w:tcPr>
            <w:tcW w:w="1216" w:type="dxa"/>
          </w:tcPr>
          <w:p w14:paraId="41AA9459" w14:textId="39837A42" w:rsidR="009D18C9" w:rsidRDefault="00E80BE3" w:rsidP="003C499C">
            <w:pPr>
              <w:jc w:val="right"/>
            </w:pPr>
            <w:r>
              <w:t>3.4%</w:t>
            </w:r>
          </w:p>
        </w:tc>
        <w:tc>
          <w:tcPr>
            <w:tcW w:w="1552" w:type="dxa"/>
          </w:tcPr>
          <w:p w14:paraId="2230D018" w14:textId="77D8833B" w:rsidR="009D18C9" w:rsidRDefault="00E80BE3" w:rsidP="003C499C">
            <w:pPr>
              <w:jc w:val="right"/>
            </w:pPr>
            <w:r>
              <w:t>3.1%</w:t>
            </w:r>
          </w:p>
        </w:tc>
        <w:tc>
          <w:tcPr>
            <w:tcW w:w="1400" w:type="dxa"/>
          </w:tcPr>
          <w:p w14:paraId="45ABE243" w14:textId="646A1763" w:rsidR="009D18C9" w:rsidRDefault="001B6A00" w:rsidP="003C499C">
            <w:pPr>
              <w:jc w:val="right"/>
            </w:pPr>
            <w:r>
              <w:t>4.4%</w:t>
            </w:r>
          </w:p>
        </w:tc>
        <w:tc>
          <w:tcPr>
            <w:tcW w:w="1472" w:type="dxa"/>
          </w:tcPr>
          <w:p w14:paraId="6E14115C" w14:textId="018C2EB3" w:rsidR="009D18C9" w:rsidRDefault="001B6A00" w:rsidP="003C499C">
            <w:pPr>
              <w:jc w:val="right"/>
            </w:pPr>
            <w:r>
              <w:t>4.6%</w:t>
            </w:r>
          </w:p>
        </w:tc>
      </w:tr>
      <w:tr w:rsidR="006C1042" w14:paraId="227DAB4F" w14:textId="77777777" w:rsidTr="00C30A5D">
        <w:trPr>
          <w:cnfStyle w:val="000000100000" w:firstRow="0" w:lastRow="0" w:firstColumn="0" w:lastColumn="0" w:oddVBand="0" w:evenVBand="0" w:oddHBand="1" w:evenHBand="0" w:firstRowFirstColumn="0" w:firstRowLastColumn="0" w:lastRowFirstColumn="0" w:lastRowLastColumn="0"/>
        </w:trPr>
        <w:tc>
          <w:tcPr>
            <w:tcW w:w="1338" w:type="dxa"/>
            <w:vMerge w:val="restart"/>
            <w:vAlign w:val="center"/>
          </w:tcPr>
          <w:p w14:paraId="56EAF926" w14:textId="10A23282" w:rsidR="006C1042" w:rsidRPr="009F07C7" w:rsidRDefault="00C30A5D" w:rsidP="00C30A5D">
            <w:pPr>
              <w:rPr>
                <w:rFonts w:eastAsia="Calibri" w:cstheme="minorHAnsi"/>
                <w:b/>
                <w:color w:val="000000"/>
              </w:rPr>
            </w:pPr>
            <w:r>
              <w:rPr>
                <w:rFonts w:eastAsia="Calibri" w:cstheme="minorHAnsi"/>
                <w:b/>
                <w:color w:val="000000"/>
              </w:rPr>
              <w:t>Mixed</w:t>
            </w:r>
            <w:r w:rsidR="00A3718B">
              <w:rPr>
                <w:rFonts w:eastAsia="Calibri" w:cstheme="minorHAnsi"/>
                <w:b/>
                <w:color w:val="000000"/>
              </w:rPr>
              <w:t>/</w:t>
            </w:r>
            <w:r>
              <w:rPr>
                <w:rFonts w:eastAsia="Calibri" w:cstheme="minorHAnsi"/>
                <w:b/>
                <w:color w:val="000000"/>
              </w:rPr>
              <w:t>multiple ethnic groups</w:t>
            </w:r>
          </w:p>
        </w:tc>
        <w:tc>
          <w:tcPr>
            <w:tcW w:w="1527" w:type="dxa"/>
            <w:vAlign w:val="bottom"/>
          </w:tcPr>
          <w:p w14:paraId="0F651627" w14:textId="7ACC6301" w:rsidR="006C1042" w:rsidRDefault="006C1042" w:rsidP="002E680A">
            <w:r w:rsidRPr="00584C29">
              <w:rPr>
                <w:b/>
                <w:color w:val="000000"/>
              </w:rPr>
              <w:t>White and Black Caribbean</w:t>
            </w:r>
          </w:p>
        </w:tc>
        <w:tc>
          <w:tcPr>
            <w:tcW w:w="1216" w:type="dxa"/>
          </w:tcPr>
          <w:p w14:paraId="6A6FB17D" w14:textId="3DA3D445" w:rsidR="006C1042" w:rsidRDefault="000F7708" w:rsidP="003C499C">
            <w:pPr>
              <w:jc w:val="right"/>
            </w:pPr>
            <w:r>
              <w:t>0.2%</w:t>
            </w:r>
          </w:p>
        </w:tc>
        <w:tc>
          <w:tcPr>
            <w:tcW w:w="1552" w:type="dxa"/>
          </w:tcPr>
          <w:p w14:paraId="340F867F" w14:textId="1325CF6F" w:rsidR="006C1042" w:rsidRDefault="000F7708" w:rsidP="003C499C">
            <w:pPr>
              <w:jc w:val="right"/>
            </w:pPr>
            <w:r>
              <w:t>0.2%</w:t>
            </w:r>
          </w:p>
        </w:tc>
        <w:tc>
          <w:tcPr>
            <w:tcW w:w="1400" w:type="dxa"/>
          </w:tcPr>
          <w:p w14:paraId="52A7960B" w14:textId="4E26E84B" w:rsidR="006C1042" w:rsidRDefault="00AB2F64" w:rsidP="003C499C">
            <w:pPr>
              <w:jc w:val="right"/>
            </w:pPr>
            <w:r>
              <w:t>0.5%</w:t>
            </w:r>
          </w:p>
        </w:tc>
        <w:tc>
          <w:tcPr>
            <w:tcW w:w="1472" w:type="dxa"/>
          </w:tcPr>
          <w:p w14:paraId="02341105" w14:textId="67E5D9B3" w:rsidR="006C1042" w:rsidRDefault="00AB2F64" w:rsidP="003C499C">
            <w:pPr>
              <w:jc w:val="right"/>
            </w:pPr>
            <w:r>
              <w:t>0.8%</w:t>
            </w:r>
          </w:p>
        </w:tc>
      </w:tr>
      <w:tr w:rsidR="006C1042" w14:paraId="47183C8E" w14:textId="77777777" w:rsidTr="00C30A5D">
        <w:tc>
          <w:tcPr>
            <w:tcW w:w="1338" w:type="dxa"/>
            <w:vMerge/>
            <w:vAlign w:val="center"/>
          </w:tcPr>
          <w:p w14:paraId="4A21BBE9" w14:textId="77777777" w:rsidR="006C1042" w:rsidRPr="009F07C7" w:rsidRDefault="006C1042" w:rsidP="00C30A5D">
            <w:pPr>
              <w:rPr>
                <w:rFonts w:eastAsia="Calibri" w:cstheme="minorHAnsi"/>
                <w:b/>
                <w:color w:val="000000"/>
              </w:rPr>
            </w:pPr>
          </w:p>
        </w:tc>
        <w:tc>
          <w:tcPr>
            <w:tcW w:w="1527" w:type="dxa"/>
            <w:vAlign w:val="bottom"/>
          </w:tcPr>
          <w:p w14:paraId="0B32ABB2" w14:textId="0DFF1FD1" w:rsidR="006C1042" w:rsidRDefault="006C1042" w:rsidP="002E680A">
            <w:r w:rsidRPr="00584C29">
              <w:rPr>
                <w:b/>
                <w:color w:val="000000"/>
              </w:rPr>
              <w:t>White and Black African</w:t>
            </w:r>
          </w:p>
        </w:tc>
        <w:tc>
          <w:tcPr>
            <w:tcW w:w="1216" w:type="dxa"/>
          </w:tcPr>
          <w:p w14:paraId="183F868F" w14:textId="4CA04D5D" w:rsidR="006C1042" w:rsidRDefault="009A4AEC" w:rsidP="003C499C">
            <w:pPr>
              <w:jc w:val="right"/>
            </w:pPr>
            <w:r>
              <w:t>0.3%</w:t>
            </w:r>
          </w:p>
        </w:tc>
        <w:tc>
          <w:tcPr>
            <w:tcW w:w="1552" w:type="dxa"/>
          </w:tcPr>
          <w:p w14:paraId="31F17B2B" w14:textId="2A72E85C" w:rsidR="006C1042" w:rsidRDefault="009A4AEC" w:rsidP="003C499C">
            <w:pPr>
              <w:jc w:val="right"/>
            </w:pPr>
            <w:r>
              <w:t>0.1%</w:t>
            </w:r>
          </w:p>
        </w:tc>
        <w:tc>
          <w:tcPr>
            <w:tcW w:w="1400" w:type="dxa"/>
          </w:tcPr>
          <w:p w14:paraId="180F009B" w14:textId="3BB0E489" w:rsidR="006C1042" w:rsidRDefault="009A4AEC" w:rsidP="003C499C">
            <w:pPr>
              <w:jc w:val="right"/>
            </w:pPr>
            <w:r>
              <w:t>0.3%</w:t>
            </w:r>
          </w:p>
        </w:tc>
        <w:tc>
          <w:tcPr>
            <w:tcW w:w="1472" w:type="dxa"/>
          </w:tcPr>
          <w:p w14:paraId="129707F0" w14:textId="4077620B" w:rsidR="006C1042" w:rsidRDefault="009A4AEC" w:rsidP="003C499C">
            <w:pPr>
              <w:jc w:val="right"/>
            </w:pPr>
            <w:r>
              <w:t>0.3%</w:t>
            </w:r>
          </w:p>
        </w:tc>
      </w:tr>
      <w:tr w:rsidR="006C1042" w14:paraId="443111CE" w14:textId="77777777" w:rsidTr="00C30A5D">
        <w:trPr>
          <w:cnfStyle w:val="000000100000" w:firstRow="0" w:lastRow="0" w:firstColumn="0" w:lastColumn="0" w:oddVBand="0" w:evenVBand="0" w:oddHBand="1" w:evenHBand="0" w:firstRowFirstColumn="0" w:firstRowLastColumn="0" w:lastRowFirstColumn="0" w:lastRowLastColumn="0"/>
        </w:trPr>
        <w:tc>
          <w:tcPr>
            <w:tcW w:w="1338" w:type="dxa"/>
            <w:vMerge/>
            <w:vAlign w:val="center"/>
          </w:tcPr>
          <w:p w14:paraId="7824296D" w14:textId="77777777" w:rsidR="006C1042" w:rsidRPr="009F07C7" w:rsidRDefault="006C1042" w:rsidP="00C30A5D">
            <w:pPr>
              <w:rPr>
                <w:rFonts w:eastAsia="Calibri" w:cstheme="minorHAnsi"/>
                <w:b/>
                <w:color w:val="000000"/>
              </w:rPr>
            </w:pPr>
          </w:p>
        </w:tc>
        <w:tc>
          <w:tcPr>
            <w:tcW w:w="1527" w:type="dxa"/>
            <w:vAlign w:val="bottom"/>
          </w:tcPr>
          <w:p w14:paraId="1E562154" w14:textId="0F74518C" w:rsidR="006C1042" w:rsidRDefault="006C1042" w:rsidP="002E680A">
            <w:r w:rsidRPr="00584C29">
              <w:rPr>
                <w:b/>
                <w:color w:val="000000"/>
              </w:rPr>
              <w:t>White and Asian</w:t>
            </w:r>
          </w:p>
        </w:tc>
        <w:tc>
          <w:tcPr>
            <w:tcW w:w="1216" w:type="dxa"/>
          </w:tcPr>
          <w:p w14:paraId="4E13506F" w14:textId="4645D2DF" w:rsidR="006C1042" w:rsidRDefault="009662CA" w:rsidP="003C499C">
            <w:pPr>
              <w:jc w:val="right"/>
            </w:pPr>
            <w:r>
              <w:t>0.</w:t>
            </w:r>
            <w:r w:rsidR="00B51404">
              <w:t>2%</w:t>
            </w:r>
          </w:p>
        </w:tc>
        <w:tc>
          <w:tcPr>
            <w:tcW w:w="1552" w:type="dxa"/>
          </w:tcPr>
          <w:p w14:paraId="69494830" w14:textId="13911377" w:rsidR="006C1042" w:rsidRDefault="00B51404" w:rsidP="003C499C">
            <w:pPr>
              <w:jc w:val="right"/>
            </w:pPr>
            <w:r>
              <w:t>0.3%</w:t>
            </w:r>
          </w:p>
        </w:tc>
        <w:tc>
          <w:tcPr>
            <w:tcW w:w="1400" w:type="dxa"/>
          </w:tcPr>
          <w:p w14:paraId="3B634DE0" w14:textId="6C288B07" w:rsidR="006C1042" w:rsidRDefault="00C4039C" w:rsidP="003C499C">
            <w:pPr>
              <w:jc w:val="right"/>
            </w:pPr>
            <w:r>
              <w:t>0.7%</w:t>
            </w:r>
          </w:p>
        </w:tc>
        <w:tc>
          <w:tcPr>
            <w:tcW w:w="1472" w:type="dxa"/>
          </w:tcPr>
          <w:p w14:paraId="6BAF6E8D" w14:textId="42CE8EAE" w:rsidR="006C1042" w:rsidRDefault="00C4039C" w:rsidP="003C499C">
            <w:pPr>
              <w:jc w:val="right"/>
            </w:pPr>
            <w:r>
              <w:t>0.6%</w:t>
            </w:r>
          </w:p>
        </w:tc>
      </w:tr>
      <w:tr w:rsidR="006C1042" w14:paraId="1E7CE025" w14:textId="77777777" w:rsidTr="00C30A5D">
        <w:tc>
          <w:tcPr>
            <w:tcW w:w="1338" w:type="dxa"/>
            <w:vMerge/>
            <w:vAlign w:val="center"/>
          </w:tcPr>
          <w:p w14:paraId="2984EBF8" w14:textId="77777777" w:rsidR="006C1042" w:rsidRPr="009F07C7" w:rsidRDefault="006C1042" w:rsidP="00C30A5D">
            <w:pPr>
              <w:rPr>
                <w:rFonts w:eastAsia="Calibri" w:cstheme="minorHAnsi"/>
                <w:b/>
                <w:color w:val="000000"/>
              </w:rPr>
            </w:pPr>
          </w:p>
        </w:tc>
        <w:tc>
          <w:tcPr>
            <w:tcW w:w="1527" w:type="dxa"/>
            <w:vAlign w:val="bottom"/>
          </w:tcPr>
          <w:p w14:paraId="6B5D64A7" w14:textId="7C69194F" w:rsidR="006C1042" w:rsidRDefault="006C1042" w:rsidP="002E680A">
            <w:r w:rsidRPr="00584C29">
              <w:rPr>
                <w:b/>
                <w:color w:val="000000"/>
              </w:rPr>
              <w:t>Other Mixed</w:t>
            </w:r>
          </w:p>
        </w:tc>
        <w:tc>
          <w:tcPr>
            <w:tcW w:w="1216" w:type="dxa"/>
          </w:tcPr>
          <w:p w14:paraId="7ABF0BB8" w14:textId="1395FE66" w:rsidR="006C1042" w:rsidRDefault="007B7718" w:rsidP="003C499C">
            <w:pPr>
              <w:jc w:val="right"/>
            </w:pPr>
            <w:r>
              <w:t>0.2%</w:t>
            </w:r>
          </w:p>
        </w:tc>
        <w:tc>
          <w:tcPr>
            <w:tcW w:w="1552" w:type="dxa"/>
          </w:tcPr>
          <w:p w14:paraId="78EB5985" w14:textId="0C3F1A6F" w:rsidR="006C1042" w:rsidRDefault="007B7718" w:rsidP="003C499C">
            <w:pPr>
              <w:jc w:val="right"/>
            </w:pPr>
            <w:r>
              <w:t>0.3%</w:t>
            </w:r>
          </w:p>
        </w:tc>
        <w:tc>
          <w:tcPr>
            <w:tcW w:w="1400" w:type="dxa"/>
          </w:tcPr>
          <w:p w14:paraId="77D63115" w14:textId="45504F5F" w:rsidR="006C1042" w:rsidRDefault="004C7151" w:rsidP="003C499C">
            <w:pPr>
              <w:jc w:val="right"/>
            </w:pPr>
            <w:r>
              <w:t>0.5%</w:t>
            </w:r>
          </w:p>
        </w:tc>
        <w:tc>
          <w:tcPr>
            <w:tcW w:w="1472" w:type="dxa"/>
          </w:tcPr>
          <w:p w14:paraId="6F25F6E0" w14:textId="37204748" w:rsidR="006C1042" w:rsidRDefault="004C7151" w:rsidP="003C499C">
            <w:pPr>
              <w:jc w:val="right"/>
            </w:pPr>
            <w:r>
              <w:t>0.5%</w:t>
            </w:r>
          </w:p>
        </w:tc>
      </w:tr>
      <w:tr w:rsidR="00E632FA" w14:paraId="4E4650C9" w14:textId="77777777" w:rsidTr="00C30A5D">
        <w:trPr>
          <w:cnfStyle w:val="000000100000" w:firstRow="0" w:lastRow="0" w:firstColumn="0" w:lastColumn="0" w:oddVBand="0" w:evenVBand="0" w:oddHBand="1" w:evenHBand="0" w:firstRowFirstColumn="0" w:firstRowLastColumn="0" w:lastRowFirstColumn="0" w:lastRowLastColumn="0"/>
        </w:trPr>
        <w:tc>
          <w:tcPr>
            <w:tcW w:w="1338" w:type="dxa"/>
            <w:vMerge w:val="restart"/>
            <w:vAlign w:val="center"/>
          </w:tcPr>
          <w:p w14:paraId="37AFAD28" w14:textId="58A2268E" w:rsidR="00E632FA" w:rsidRPr="009F07C7" w:rsidRDefault="00C30A5D" w:rsidP="00C30A5D">
            <w:pPr>
              <w:rPr>
                <w:rFonts w:eastAsia="Calibri" w:cstheme="minorHAnsi"/>
                <w:b/>
                <w:color w:val="000000"/>
              </w:rPr>
            </w:pPr>
            <w:r>
              <w:rPr>
                <w:rFonts w:eastAsia="Calibri" w:cstheme="minorHAnsi"/>
                <w:b/>
                <w:color w:val="000000"/>
              </w:rPr>
              <w:t>Asian/Asian British</w:t>
            </w:r>
          </w:p>
        </w:tc>
        <w:tc>
          <w:tcPr>
            <w:tcW w:w="1527" w:type="dxa"/>
            <w:vAlign w:val="bottom"/>
          </w:tcPr>
          <w:p w14:paraId="69929678" w14:textId="66FCE767" w:rsidR="00E632FA" w:rsidRDefault="00E632FA" w:rsidP="002E680A">
            <w:r w:rsidRPr="00584C29">
              <w:rPr>
                <w:b/>
                <w:color w:val="000000"/>
              </w:rPr>
              <w:t>Indian</w:t>
            </w:r>
          </w:p>
        </w:tc>
        <w:tc>
          <w:tcPr>
            <w:tcW w:w="1216" w:type="dxa"/>
          </w:tcPr>
          <w:p w14:paraId="5FCF8865" w14:textId="3327D3A5" w:rsidR="00E632FA" w:rsidRDefault="00622166" w:rsidP="003C499C">
            <w:pPr>
              <w:jc w:val="right"/>
            </w:pPr>
            <w:r>
              <w:t>0.3%</w:t>
            </w:r>
          </w:p>
        </w:tc>
        <w:tc>
          <w:tcPr>
            <w:tcW w:w="1552" w:type="dxa"/>
          </w:tcPr>
          <w:p w14:paraId="37A3699D" w14:textId="36F0F420" w:rsidR="00E632FA" w:rsidRDefault="00622166" w:rsidP="003C499C">
            <w:pPr>
              <w:jc w:val="right"/>
            </w:pPr>
            <w:r>
              <w:t>0.4%</w:t>
            </w:r>
          </w:p>
        </w:tc>
        <w:tc>
          <w:tcPr>
            <w:tcW w:w="1400" w:type="dxa"/>
          </w:tcPr>
          <w:p w14:paraId="131774B8" w14:textId="11C2A61D" w:rsidR="00E632FA" w:rsidRDefault="000D260B" w:rsidP="003C499C">
            <w:pPr>
              <w:jc w:val="right"/>
            </w:pPr>
            <w:r>
              <w:t>1.8%</w:t>
            </w:r>
          </w:p>
        </w:tc>
        <w:tc>
          <w:tcPr>
            <w:tcW w:w="1472" w:type="dxa"/>
          </w:tcPr>
          <w:p w14:paraId="05E571AB" w14:textId="2F96297D" w:rsidR="00E632FA" w:rsidRDefault="00502B83" w:rsidP="003C499C">
            <w:pPr>
              <w:jc w:val="right"/>
            </w:pPr>
            <w:r>
              <w:t>2.6%</w:t>
            </w:r>
          </w:p>
        </w:tc>
      </w:tr>
      <w:tr w:rsidR="00E632FA" w14:paraId="1D7350C4" w14:textId="77777777" w:rsidTr="00C30A5D">
        <w:tc>
          <w:tcPr>
            <w:tcW w:w="1338" w:type="dxa"/>
            <w:vMerge/>
            <w:vAlign w:val="center"/>
          </w:tcPr>
          <w:p w14:paraId="7A961A8A" w14:textId="77777777" w:rsidR="00E632FA" w:rsidRPr="009F07C7" w:rsidRDefault="00E632FA" w:rsidP="00C30A5D">
            <w:pPr>
              <w:rPr>
                <w:rFonts w:eastAsia="Calibri" w:cstheme="minorHAnsi"/>
                <w:b/>
                <w:color w:val="000000"/>
              </w:rPr>
            </w:pPr>
          </w:p>
        </w:tc>
        <w:tc>
          <w:tcPr>
            <w:tcW w:w="1527" w:type="dxa"/>
            <w:vAlign w:val="bottom"/>
          </w:tcPr>
          <w:p w14:paraId="6B851312" w14:textId="0F46566D" w:rsidR="00E632FA" w:rsidRDefault="00E632FA" w:rsidP="002E680A">
            <w:r w:rsidRPr="00584C29">
              <w:rPr>
                <w:b/>
                <w:color w:val="000000"/>
              </w:rPr>
              <w:t>Pakistani</w:t>
            </w:r>
          </w:p>
        </w:tc>
        <w:tc>
          <w:tcPr>
            <w:tcW w:w="1216" w:type="dxa"/>
          </w:tcPr>
          <w:p w14:paraId="6A8530B0" w14:textId="516FBD5E" w:rsidR="00E632FA" w:rsidRDefault="007339D8" w:rsidP="003C499C">
            <w:pPr>
              <w:jc w:val="right"/>
            </w:pPr>
            <w:r>
              <w:t>0%</w:t>
            </w:r>
          </w:p>
        </w:tc>
        <w:tc>
          <w:tcPr>
            <w:tcW w:w="1552" w:type="dxa"/>
          </w:tcPr>
          <w:p w14:paraId="6B398BF4" w14:textId="679FBDB9" w:rsidR="00E632FA" w:rsidRDefault="007339D8" w:rsidP="003C499C">
            <w:pPr>
              <w:jc w:val="right"/>
            </w:pPr>
            <w:r>
              <w:t>0%</w:t>
            </w:r>
          </w:p>
        </w:tc>
        <w:tc>
          <w:tcPr>
            <w:tcW w:w="1400" w:type="dxa"/>
          </w:tcPr>
          <w:p w14:paraId="19BAF792" w14:textId="0CB6DB6D" w:rsidR="00E632FA" w:rsidRDefault="005567CA" w:rsidP="003C499C">
            <w:pPr>
              <w:jc w:val="right"/>
            </w:pPr>
            <w:r>
              <w:t>1.1%</w:t>
            </w:r>
          </w:p>
        </w:tc>
        <w:tc>
          <w:tcPr>
            <w:tcW w:w="1472" w:type="dxa"/>
          </w:tcPr>
          <w:p w14:paraId="34B84D1E" w14:textId="331E73A4" w:rsidR="00E632FA" w:rsidRDefault="005567CA" w:rsidP="003C499C">
            <w:pPr>
              <w:jc w:val="right"/>
            </w:pPr>
            <w:r>
              <w:t>2.1%</w:t>
            </w:r>
          </w:p>
        </w:tc>
      </w:tr>
      <w:tr w:rsidR="00E632FA" w14:paraId="11A2D1B3" w14:textId="77777777" w:rsidTr="00C30A5D">
        <w:trPr>
          <w:cnfStyle w:val="000000100000" w:firstRow="0" w:lastRow="0" w:firstColumn="0" w:lastColumn="0" w:oddVBand="0" w:evenVBand="0" w:oddHBand="1" w:evenHBand="0" w:firstRowFirstColumn="0" w:firstRowLastColumn="0" w:lastRowFirstColumn="0" w:lastRowLastColumn="0"/>
        </w:trPr>
        <w:tc>
          <w:tcPr>
            <w:tcW w:w="1338" w:type="dxa"/>
            <w:vMerge/>
            <w:vAlign w:val="center"/>
          </w:tcPr>
          <w:p w14:paraId="6BEE3303" w14:textId="77777777" w:rsidR="00E632FA" w:rsidRPr="009F07C7" w:rsidRDefault="00E632FA" w:rsidP="00C30A5D">
            <w:pPr>
              <w:rPr>
                <w:rFonts w:eastAsia="Calibri" w:cstheme="minorHAnsi"/>
                <w:b/>
                <w:color w:val="000000"/>
              </w:rPr>
            </w:pPr>
          </w:p>
        </w:tc>
        <w:tc>
          <w:tcPr>
            <w:tcW w:w="1527" w:type="dxa"/>
            <w:vAlign w:val="bottom"/>
          </w:tcPr>
          <w:p w14:paraId="2C27E2B1" w14:textId="186E5EAE" w:rsidR="00E632FA" w:rsidRDefault="00E632FA" w:rsidP="002E680A">
            <w:r w:rsidRPr="00584C29">
              <w:rPr>
                <w:b/>
                <w:color w:val="000000"/>
              </w:rPr>
              <w:t>Bangladeshi</w:t>
            </w:r>
          </w:p>
        </w:tc>
        <w:tc>
          <w:tcPr>
            <w:tcW w:w="1216" w:type="dxa"/>
          </w:tcPr>
          <w:p w14:paraId="0B7413F5" w14:textId="00414C3E" w:rsidR="00E632FA" w:rsidRDefault="005554E8" w:rsidP="003C499C">
            <w:pPr>
              <w:jc w:val="right"/>
            </w:pPr>
            <w:r>
              <w:t>0%</w:t>
            </w:r>
          </w:p>
        </w:tc>
        <w:tc>
          <w:tcPr>
            <w:tcW w:w="1552" w:type="dxa"/>
          </w:tcPr>
          <w:p w14:paraId="113069A9" w14:textId="21D9FA2B" w:rsidR="00E632FA" w:rsidRDefault="001440A2" w:rsidP="003C499C">
            <w:pPr>
              <w:jc w:val="right"/>
            </w:pPr>
            <w:r>
              <w:t>0.1%</w:t>
            </w:r>
          </w:p>
        </w:tc>
        <w:tc>
          <w:tcPr>
            <w:tcW w:w="1400" w:type="dxa"/>
          </w:tcPr>
          <w:p w14:paraId="09522535" w14:textId="0035A3F2" w:rsidR="00E632FA" w:rsidRDefault="00DB6879" w:rsidP="003C499C">
            <w:pPr>
              <w:jc w:val="right"/>
            </w:pPr>
            <w:r>
              <w:t>0.3%</w:t>
            </w:r>
          </w:p>
        </w:tc>
        <w:tc>
          <w:tcPr>
            <w:tcW w:w="1472" w:type="dxa"/>
          </w:tcPr>
          <w:p w14:paraId="2F6A0732" w14:textId="66D54AEF" w:rsidR="00E632FA" w:rsidRDefault="007D4E67" w:rsidP="003C499C">
            <w:pPr>
              <w:jc w:val="right"/>
            </w:pPr>
            <w:r>
              <w:t>0.8%</w:t>
            </w:r>
          </w:p>
        </w:tc>
      </w:tr>
      <w:tr w:rsidR="00E632FA" w14:paraId="68F79FA9" w14:textId="77777777" w:rsidTr="00C30A5D">
        <w:tc>
          <w:tcPr>
            <w:tcW w:w="1338" w:type="dxa"/>
            <w:vMerge/>
            <w:vAlign w:val="center"/>
          </w:tcPr>
          <w:p w14:paraId="2E536CE9" w14:textId="77777777" w:rsidR="00E632FA" w:rsidRPr="009F07C7" w:rsidRDefault="00E632FA" w:rsidP="00C30A5D">
            <w:pPr>
              <w:rPr>
                <w:rFonts w:eastAsia="Calibri" w:cstheme="minorHAnsi"/>
                <w:b/>
                <w:color w:val="000000"/>
              </w:rPr>
            </w:pPr>
          </w:p>
        </w:tc>
        <w:tc>
          <w:tcPr>
            <w:tcW w:w="1527" w:type="dxa"/>
            <w:vAlign w:val="bottom"/>
          </w:tcPr>
          <w:p w14:paraId="5185F8EA" w14:textId="5D32ECD6" w:rsidR="00E632FA" w:rsidRDefault="00E632FA" w:rsidP="002E680A">
            <w:r w:rsidRPr="00584C29">
              <w:rPr>
                <w:b/>
                <w:color w:val="000000"/>
              </w:rPr>
              <w:t>Chinese</w:t>
            </w:r>
          </w:p>
        </w:tc>
        <w:tc>
          <w:tcPr>
            <w:tcW w:w="1216" w:type="dxa"/>
          </w:tcPr>
          <w:p w14:paraId="45ECD088" w14:textId="0F0C6BBC" w:rsidR="00E632FA" w:rsidRDefault="00673F3B" w:rsidP="003C499C">
            <w:pPr>
              <w:jc w:val="right"/>
            </w:pPr>
            <w:r>
              <w:t>0.6%</w:t>
            </w:r>
          </w:p>
        </w:tc>
        <w:tc>
          <w:tcPr>
            <w:tcW w:w="1552" w:type="dxa"/>
          </w:tcPr>
          <w:p w14:paraId="1BAB13C8" w14:textId="4F6FCB03" w:rsidR="00E632FA" w:rsidRDefault="008834E9" w:rsidP="003C499C">
            <w:pPr>
              <w:jc w:val="right"/>
            </w:pPr>
            <w:r>
              <w:t>0.3%</w:t>
            </w:r>
          </w:p>
        </w:tc>
        <w:tc>
          <w:tcPr>
            <w:tcW w:w="1400" w:type="dxa"/>
          </w:tcPr>
          <w:p w14:paraId="0D22B348" w14:textId="55F28458" w:rsidR="00E632FA" w:rsidRDefault="00461206" w:rsidP="003C499C">
            <w:pPr>
              <w:jc w:val="right"/>
            </w:pPr>
            <w:r>
              <w:t>0.6%</w:t>
            </w:r>
          </w:p>
        </w:tc>
        <w:tc>
          <w:tcPr>
            <w:tcW w:w="1472" w:type="dxa"/>
          </w:tcPr>
          <w:p w14:paraId="0744798C" w14:textId="01D0956A" w:rsidR="00E632FA" w:rsidRDefault="00107EED" w:rsidP="003C499C">
            <w:pPr>
              <w:jc w:val="right"/>
            </w:pPr>
            <w:r>
              <w:t>0.7%</w:t>
            </w:r>
          </w:p>
        </w:tc>
      </w:tr>
      <w:tr w:rsidR="00E632FA" w14:paraId="13283A34" w14:textId="77777777" w:rsidTr="00C30A5D">
        <w:trPr>
          <w:cnfStyle w:val="000000100000" w:firstRow="0" w:lastRow="0" w:firstColumn="0" w:lastColumn="0" w:oddVBand="0" w:evenVBand="0" w:oddHBand="1" w:evenHBand="0" w:firstRowFirstColumn="0" w:firstRowLastColumn="0" w:lastRowFirstColumn="0" w:lastRowLastColumn="0"/>
        </w:trPr>
        <w:tc>
          <w:tcPr>
            <w:tcW w:w="1338" w:type="dxa"/>
            <w:vMerge/>
            <w:vAlign w:val="center"/>
          </w:tcPr>
          <w:p w14:paraId="756D1413" w14:textId="77777777" w:rsidR="00E632FA" w:rsidRPr="009F07C7" w:rsidRDefault="00E632FA" w:rsidP="00C30A5D">
            <w:pPr>
              <w:rPr>
                <w:rFonts w:eastAsia="Calibri" w:cstheme="minorHAnsi"/>
                <w:b/>
                <w:color w:val="000000"/>
              </w:rPr>
            </w:pPr>
          </w:p>
        </w:tc>
        <w:tc>
          <w:tcPr>
            <w:tcW w:w="1527" w:type="dxa"/>
            <w:vAlign w:val="bottom"/>
          </w:tcPr>
          <w:p w14:paraId="74A8043A" w14:textId="05B4AD5B" w:rsidR="00E632FA" w:rsidRDefault="00E632FA" w:rsidP="002E680A">
            <w:r w:rsidRPr="00584C29">
              <w:rPr>
                <w:b/>
                <w:color w:val="000000"/>
              </w:rPr>
              <w:t>Other Asian</w:t>
            </w:r>
          </w:p>
        </w:tc>
        <w:tc>
          <w:tcPr>
            <w:tcW w:w="1216" w:type="dxa"/>
          </w:tcPr>
          <w:p w14:paraId="58A8A153" w14:textId="23C1739A" w:rsidR="00E632FA" w:rsidRDefault="003F5FED" w:rsidP="003C499C">
            <w:pPr>
              <w:jc w:val="right"/>
            </w:pPr>
            <w:r>
              <w:t>0.5%</w:t>
            </w:r>
          </w:p>
        </w:tc>
        <w:tc>
          <w:tcPr>
            <w:tcW w:w="1552" w:type="dxa"/>
          </w:tcPr>
          <w:p w14:paraId="6CB7117D" w14:textId="75F0F29A" w:rsidR="00E632FA" w:rsidRDefault="003F549A" w:rsidP="003C499C">
            <w:pPr>
              <w:jc w:val="right"/>
            </w:pPr>
            <w:r>
              <w:t>0.6%</w:t>
            </w:r>
          </w:p>
        </w:tc>
        <w:tc>
          <w:tcPr>
            <w:tcW w:w="1400" w:type="dxa"/>
          </w:tcPr>
          <w:p w14:paraId="4626E252" w14:textId="01F83D6C" w:rsidR="00E632FA" w:rsidRDefault="00F06449" w:rsidP="003C499C">
            <w:pPr>
              <w:jc w:val="right"/>
            </w:pPr>
            <w:r>
              <w:t>1.4%</w:t>
            </w:r>
          </w:p>
        </w:tc>
        <w:tc>
          <w:tcPr>
            <w:tcW w:w="1472" w:type="dxa"/>
          </w:tcPr>
          <w:p w14:paraId="5CC52BA5" w14:textId="0BA73043" w:rsidR="00E632FA" w:rsidRDefault="00F06449" w:rsidP="003C499C">
            <w:pPr>
              <w:jc w:val="right"/>
            </w:pPr>
            <w:r>
              <w:t>1.5%</w:t>
            </w:r>
          </w:p>
        </w:tc>
      </w:tr>
      <w:tr w:rsidR="00E632FA" w14:paraId="7D37371B" w14:textId="77777777" w:rsidTr="00C30A5D">
        <w:tc>
          <w:tcPr>
            <w:tcW w:w="1338" w:type="dxa"/>
            <w:vMerge w:val="restart"/>
            <w:vAlign w:val="center"/>
          </w:tcPr>
          <w:p w14:paraId="0449083A" w14:textId="77777777" w:rsidR="00A3718B" w:rsidRDefault="007B49EB" w:rsidP="00C30A5D">
            <w:pPr>
              <w:rPr>
                <w:rFonts w:eastAsia="Calibri" w:cstheme="minorHAnsi"/>
                <w:b/>
                <w:color w:val="000000"/>
              </w:rPr>
            </w:pPr>
            <w:r>
              <w:rPr>
                <w:rFonts w:eastAsia="Calibri" w:cstheme="minorHAnsi"/>
                <w:b/>
                <w:color w:val="000000"/>
              </w:rPr>
              <w:t>Black</w:t>
            </w:r>
            <w:r w:rsidR="000071CC">
              <w:rPr>
                <w:rFonts w:eastAsia="Calibri" w:cstheme="minorHAnsi"/>
                <w:b/>
                <w:color w:val="000000"/>
              </w:rPr>
              <w:t>/African/</w:t>
            </w:r>
          </w:p>
          <w:p w14:paraId="094D8787" w14:textId="42C3C38F" w:rsidR="00E632FA" w:rsidRPr="009F07C7" w:rsidRDefault="00A3718B" w:rsidP="00C30A5D">
            <w:pPr>
              <w:rPr>
                <w:rFonts w:eastAsia="Calibri" w:cstheme="minorHAnsi"/>
                <w:b/>
                <w:color w:val="000000"/>
              </w:rPr>
            </w:pPr>
            <w:r>
              <w:rPr>
                <w:rFonts w:eastAsia="Calibri" w:cstheme="minorHAnsi"/>
                <w:b/>
                <w:color w:val="000000"/>
              </w:rPr>
              <w:t>Caribbean/</w:t>
            </w:r>
            <w:r w:rsidR="00914F69">
              <w:rPr>
                <w:rFonts w:eastAsia="Calibri" w:cstheme="minorHAnsi"/>
                <w:b/>
                <w:color w:val="000000"/>
              </w:rPr>
              <w:t>Black</w:t>
            </w:r>
            <w:r w:rsidR="00914F69">
              <w:rPr>
                <w:rFonts w:eastAsia="Calibri" w:cstheme="minorHAnsi"/>
                <w:b/>
                <w:color w:val="000000"/>
              </w:rPr>
              <w:br/>
              <w:t>British</w:t>
            </w:r>
            <w:r w:rsidR="000071CC">
              <w:rPr>
                <w:rFonts w:eastAsia="Calibri" w:cstheme="minorHAnsi"/>
                <w:b/>
                <w:color w:val="000000"/>
              </w:rPr>
              <w:t xml:space="preserve"> </w:t>
            </w:r>
          </w:p>
        </w:tc>
        <w:tc>
          <w:tcPr>
            <w:tcW w:w="1527" w:type="dxa"/>
            <w:vAlign w:val="bottom"/>
          </w:tcPr>
          <w:p w14:paraId="7E550714" w14:textId="7F6B26D7" w:rsidR="00E632FA" w:rsidRDefault="00E632FA" w:rsidP="002E680A">
            <w:r w:rsidRPr="00584C29">
              <w:rPr>
                <w:b/>
                <w:color w:val="000000"/>
              </w:rPr>
              <w:t>Black African</w:t>
            </w:r>
          </w:p>
        </w:tc>
        <w:tc>
          <w:tcPr>
            <w:tcW w:w="1216" w:type="dxa"/>
          </w:tcPr>
          <w:p w14:paraId="395EE480" w14:textId="2EFE8B38" w:rsidR="00E632FA" w:rsidRDefault="00AD3C91" w:rsidP="003C499C">
            <w:pPr>
              <w:jc w:val="right"/>
            </w:pPr>
            <w:r>
              <w:t>0.4%</w:t>
            </w:r>
          </w:p>
        </w:tc>
        <w:tc>
          <w:tcPr>
            <w:tcW w:w="1552" w:type="dxa"/>
          </w:tcPr>
          <w:p w14:paraId="1EFD7D95" w14:textId="15F7ED51" w:rsidR="00E632FA" w:rsidRDefault="007356CC" w:rsidP="003C499C">
            <w:pPr>
              <w:jc w:val="right"/>
            </w:pPr>
            <w:r>
              <w:t>0.3%</w:t>
            </w:r>
          </w:p>
        </w:tc>
        <w:tc>
          <w:tcPr>
            <w:tcW w:w="1400" w:type="dxa"/>
          </w:tcPr>
          <w:p w14:paraId="7DC78595" w14:textId="50E8DF7D" w:rsidR="00E632FA" w:rsidRDefault="007940FB" w:rsidP="003C499C">
            <w:pPr>
              <w:jc w:val="right"/>
            </w:pPr>
            <w:r>
              <w:t>1%</w:t>
            </w:r>
          </w:p>
        </w:tc>
        <w:tc>
          <w:tcPr>
            <w:tcW w:w="1472" w:type="dxa"/>
          </w:tcPr>
          <w:p w14:paraId="6A5C97C4" w14:textId="6A353AC5" w:rsidR="00E632FA" w:rsidRDefault="00A251D0" w:rsidP="003C499C">
            <w:pPr>
              <w:jc w:val="right"/>
            </w:pPr>
            <w:r>
              <w:t>1.8%</w:t>
            </w:r>
          </w:p>
        </w:tc>
      </w:tr>
      <w:tr w:rsidR="00E632FA" w14:paraId="6364E458" w14:textId="77777777" w:rsidTr="00C30A5D">
        <w:trPr>
          <w:cnfStyle w:val="000000100000" w:firstRow="0" w:lastRow="0" w:firstColumn="0" w:lastColumn="0" w:oddVBand="0" w:evenVBand="0" w:oddHBand="1" w:evenHBand="0" w:firstRowFirstColumn="0" w:firstRowLastColumn="0" w:lastRowFirstColumn="0" w:lastRowLastColumn="0"/>
        </w:trPr>
        <w:tc>
          <w:tcPr>
            <w:tcW w:w="1338" w:type="dxa"/>
            <w:vMerge/>
            <w:vAlign w:val="center"/>
          </w:tcPr>
          <w:p w14:paraId="4A49FF25" w14:textId="77777777" w:rsidR="00E632FA" w:rsidRPr="009F07C7" w:rsidRDefault="00E632FA" w:rsidP="00C30A5D">
            <w:pPr>
              <w:rPr>
                <w:rFonts w:eastAsia="Calibri" w:cstheme="minorHAnsi"/>
                <w:b/>
                <w:color w:val="000000"/>
              </w:rPr>
            </w:pPr>
          </w:p>
        </w:tc>
        <w:tc>
          <w:tcPr>
            <w:tcW w:w="1527" w:type="dxa"/>
            <w:vAlign w:val="bottom"/>
          </w:tcPr>
          <w:p w14:paraId="13CDFD7E" w14:textId="4CBDFB71" w:rsidR="00E632FA" w:rsidRDefault="00E632FA" w:rsidP="002E680A">
            <w:r w:rsidRPr="00584C29">
              <w:rPr>
                <w:b/>
                <w:color w:val="000000"/>
              </w:rPr>
              <w:t>Black Caribbean</w:t>
            </w:r>
          </w:p>
        </w:tc>
        <w:tc>
          <w:tcPr>
            <w:tcW w:w="1216" w:type="dxa"/>
          </w:tcPr>
          <w:p w14:paraId="6E4EF374" w14:textId="5CEB43E3" w:rsidR="00E632FA" w:rsidRDefault="00896F95" w:rsidP="003C499C">
            <w:pPr>
              <w:jc w:val="right"/>
            </w:pPr>
            <w:r>
              <w:t>0%</w:t>
            </w:r>
          </w:p>
        </w:tc>
        <w:tc>
          <w:tcPr>
            <w:tcW w:w="1552" w:type="dxa"/>
          </w:tcPr>
          <w:p w14:paraId="60829673" w14:textId="4FE6AED8" w:rsidR="00E632FA" w:rsidRDefault="00896F95" w:rsidP="003C499C">
            <w:pPr>
              <w:jc w:val="right"/>
            </w:pPr>
            <w:r>
              <w:t>0.1%</w:t>
            </w:r>
          </w:p>
        </w:tc>
        <w:tc>
          <w:tcPr>
            <w:tcW w:w="1400" w:type="dxa"/>
          </w:tcPr>
          <w:p w14:paraId="0CD2A527" w14:textId="2C9006BC" w:rsidR="00E632FA" w:rsidRDefault="0088199C" w:rsidP="003C499C">
            <w:pPr>
              <w:jc w:val="right"/>
            </w:pPr>
            <w:r>
              <w:t>0.4%</w:t>
            </w:r>
          </w:p>
        </w:tc>
        <w:tc>
          <w:tcPr>
            <w:tcW w:w="1472" w:type="dxa"/>
          </w:tcPr>
          <w:p w14:paraId="081687D0" w14:textId="50522197" w:rsidR="00E632FA" w:rsidRDefault="00593632" w:rsidP="003C499C">
            <w:pPr>
              <w:jc w:val="right"/>
            </w:pPr>
            <w:r>
              <w:t>1.1%</w:t>
            </w:r>
          </w:p>
        </w:tc>
      </w:tr>
      <w:tr w:rsidR="00E632FA" w14:paraId="63DF02FC" w14:textId="77777777" w:rsidTr="00C30A5D">
        <w:tc>
          <w:tcPr>
            <w:tcW w:w="1338" w:type="dxa"/>
            <w:vMerge/>
            <w:vAlign w:val="center"/>
          </w:tcPr>
          <w:p w14:paraId="3098DD22" w14:textId="77777777" w:rsidR="00E632FA" w:rsidRPr="009F07C7" w:rsidRDefault="00E632FA" w:rsidP="00C30A5D">
            <w:pPr>
              <w:rPr>
                <w:rFonts w:eastAsia="Calibri" w:cstheme="minorHAnsi"/>
                <w:b/>
                <w:color w:val="000000"/>
              </w:rPr>
            </w:pPr>
          </w:p>
        </w:tc>
        <w:tc>
          <w:tcPr>
            <w:tcW w:w="1527" w:type="dxa"/>
            <w:vAlign w:val="bottom"/>
          </w:tcPr>
          <w:p w14:paraId="73684108" w14:textId="2F640946" w:rsidR="00E632FA" w:rsidRDefault="00E632FA" w:rsidP="002E680A">
            <w:r w:rsidRPr="00584C29">
              <w:rPr>
                <w:b/>
                <w:color w:val="000000"/>
              </w:rPr>
              <w:t>Other Black</w:t>
            </w:r>
          </w:p>
        </w:tc>
        <w:tc>
          <w:tcPr>
            <w:tcW w:w="1216" w:type="dxa"/>
          </w:tcPr>
          <w:p w14:paraId="7D96CE16" w14:textId="39E8545D" w:rsidR="00E632FA" w:rsidRDefault="003951C7" w:rsidP="003C499C">
            <w:pPr>
              <w:jc w:val="right"/>
            </w:pPr>
            <w:r>
              <w:t>0%</w:t>
            </w:r>
          </w:p>
        </w:tc>
        <w:tc>
          <w:tcPr>
            <w:tcW w:w="1552" w:type="dxa"/>
          </w:tcPr>
          <w:p w14:paraId="0193CE64" w14:textId="25621CD3" w:rsidR="00E632FA" w:rsidRDefault="004525BD" w:rsidP="003C499C">
            <w:pPr>
              <w:jc w:val="right"/>
            </w:pPr>
            <w:r>
              <w:t>0.1%</w:t>
            </w:r>
          </w:p>
        </w:tc>
        <w:tc>
          <w:tcPr>
            <w:tcW w:w="1400" w:type="dxa"/>
          </w:tcPr>
          <w:p w14:paraId="1E6176D2" w14:textId="0EF6AD1A" w:rsidR="00E632FA" w:rsidRDefault="006B5A4F" w:rsidP="003C499C">
            <w:pPr>
              <w:jc w:val="right"/>
            </w:pPr>
            <w:r>
              <w:t>0.2%</w:t>
            </w:r>
          </w:p>
        </w:tc>
        <w:tc>
          <w:tcPr>
            <w:tcW w:w="1472" w:type="dxa"/>
          </w:tcPr>
          <w:p w14:paraId="1C181B60" w14:textId="5919E2F1" w:rsidR="00E632FA" w:rsidRDefault="006B5A4F" w:rsidP="003C499C">
            <w:pPr>
              <w:jc w:val="right"/>
            </w:pPr>
            <w:r>
              <w:t>0.5%</w:t>
            </w:r>
          </w:p>
        </w:tc>
      </w:tr>
      <w:tr w:rsidR="00E632FA" w14:paraId="09F0FF71" w14:textId="77777777" w:rsidTr="00C30A5D">
        <w:trPr>
          <w:cnfStyle w:val="000000100000" w:firstRow="0" w:lastRow="0" w:firstColumn="0" w:lastColumn="0" w:oddVBand="0" w:evenVBand="0" w:oddHBand="1" w:evenHBand="0" w:firstRowFirstColumn="0" w:firstRowLastColumn="0" w:lastRowFirstColumn="0" w:lastRowLastColumn="0"/>
        </w:trPr>
        <w:tc>
          <w:tcPr>
            <w:tcW w:w="1338" w:type="dxa"/>
            <w:vMerge w:val="restart"/>
            <w:vAlign w:val="center"/>
          </w:tcPr>
          <w:p w14:paraId="7D825C37" w14:textId="43EF3D82" w:rsidR="00E632FA" w:rsidRPr="009F07C7" w:rsidRDefault="00914F69" w:rsidP="00C30A5D">
            <w:pPr>
              <w:rPr>
                <w:rFonts w:eastAsia="Calibri" w:cstheme="minorHAnsi"/>
                <w:b/>
                <w:color w:val="000000"/>
              </w:rPr>
            </w:pPr>
            <w:r>
              <w:rPr>
                <w:rFonts w:eastAsia="Calibri" w:cstheme="minorHAnsi"/>
                <w:b/>
                <w:color w:val="000000"/>
              </w:rPr>
              <w:t>Other ethnic group</w:t>
            </w:r>
          </w:p>
        </w:tc>
        <w:tc>
          <w:tcPr>
            <w:tcW w:w="1527" w:type="dxa"/>
          </w:tcPr>
          <w:p w14:paraId="0D18AA43" w14:textId="2BC4997F" w:rsidR="00E632FA" w:rsidRDefault="00E632FA" w:rsidP="002E680A">
            <w:r w:rsidRPr="00DB48B3">
              <w:rPr>
                <w:b/>
              </w:rPr>
              <w:t>Arab</w:t>
            </w:r>
          </w:p>
        </w:tc>
        <w:tc>
          <w:tcPr>
            <w:tcW w:w="1216" w:type="dxa"/>
          </w:tcPr>
          <w:p w14:paraId="0B07FC64" w14:textId="2F23E74A" w:rsidR="00E632FA" w:rsidRDefault="00583A9F" w:rsidP="003C499C">
            <w:pPr>
              <w:jc w:val="right"/>
            </w:pPr>
            <w:r>
              <w:t>0%</w:t>
            </w:r>
          </w:p>
        </w:tc>
        <w:tc>
          <w:tcPr>
            <w:tcW w:w="1552" w:type="dxa"/>
          </w:tcPr>
          <w:p w14:paraId="06487E9F" w14:textId="1A4F6197" w:rsidR="00E632FA" w:rsidRDefault="00583A9F" w:rsidP="003C499C">
            <w:pPr>
              <w:jc w:val="right"/>
            </w:pPr>
            <w:r>
              <w:t>0.1%</w:t>
            </w:r>
          </w:p>
        </w:tc>
        <w:tc>
          <w:tcPr>
            <w:tcW w:w="1400" w:type="dxa"/>
          </w:tcPr>
          <w:p w14:paraId="262E48AB" w14:textId="54C9CD36" w:rsidR="00E632FA" w:rsidRDefault="00EC6774" w:rsidP="003C499C">
            <w:pPr>
              <w:jc w:val="right"/>
            </w:pPr>
            <w:r>
              <w:t>0.2%</w:t>
            </w:r>
          </w:p>
        </w:tc>
        <w:tc>
          <w:tcPr>
            <w:tcW w:w="1472" w:type="dxa"/>
          </w:tcPr>
          <w:p w14:paraId="58A696B8" w14:textId="19BA4EB9" w:rsidR="00E632FA" w:rsidRDefault="00314D32" w:rsidP="003C499C">
            <w:pPr>
              <w:jc w:val="right"/>
            </w:pPr>
            <w:r>
              <w:t>0.4%</w:t>
            </w:r>
          </w:p>
        </w:tc>
      </w:tr>
      <w:tr w:rsidR="00E632FA" w14:paraId="78056E57" w14:textId="77777777" w:rsidTr="00D20A1F">
        <w:tc>
          <w:tcPr>
            <w:tcW w:w="1338" w:type="dxa"/>
            <w:vMerge/>
            <w:vAlign w:val="bottom"/>
          </w:tcPr>
          <w:p w14:paraId="7D84496B" w14:textId="77777777" w:rsidR="00E632FA" w:rsidRPr="009F07C7" w:rsidRDefault="00E632FA" w:rsidP="00457F99">
            <w:pPr>
              <w:rPr>
                <w:rFonts w:eastAsia="Calibri" w:cstheme="minorHAnsi"/>
                <w:b/>
                <w:color w:val="000000"/>
              </w:rPr>
            </w:pPr>
          </w:p>
        </w:tc>
        <w:tc>
          <w:tcPr>
            <w:tcW w:w="1527" w:type="dxa"/>
          </w:tcPr>
          <w:p w14:paraId="570196FD" w14:textId="1A17AC81" w:rsidR="00E632FA" w:rsidRPr="00E632FA" w:rsidRDefault="00E632FA" w:rsidP="00457F99">
            <w:pPr>
              <w:rPr>
                <w:b/>
              </w:rPr>
            </w:pPr>
            <w:r w:rsidRPr="00E632FA">
              <w:rPr>
                <w:b/>
              </w:rPr>
              <w:t>Any other ethnic group</w:t>
            </w:r>
          </w:p>
        </w:tc>
        <w:tc>
          <w:tcPr>
            <w:tcW w:w="1216" w:type="dxa"/>
          </w:tcPr>
          <w:p w14:paraId="2593A52B" w14:textId="3DFAAAF3" w:rsidR="00E632FA" w:rsidRDefault="00B65359" w:rsidP="003C499C">
            <w:pPr>
              <w:jc w:val="right"/>
            </w:pPr>
            <w:r>
              <w:t>0.1%</w:t>
            </w:r>
          </w:p>
        </w:tc>
        <w:tc>
          <w:tcPr>
            <w:tcW w:w="1552" w:type="dxa"/>
          </w:tcPr>
          <w:p w14:paraId="730A5155" w14:textId="5314B897" w:rsidR="00E632FA" w:rsidRDefault="008570DA" w:rsidP="003C499C">
            <w:pPr>
              <w:jc w:val="right"/>
            </w:pPr>
            <w:r>
              <w:t>0.1%</w:t>
            </w:r>
          </w:p>
        </w:tc>
        <w:tc>
          <w:tcPr>
            <w:tcW w:w="1400" w:type="dxa"/>
          </w:tcPr>
          <w:p w14:paraId="6DDF1985" w14:textId="7574FBC9" w:rsidR="00E632FA" w:rsidRDefault="008570DA" w:rsidP="003C499C">
            <w:pPr>
              <w:jc w:val="right"/>
            </w:pPr>
            <w:r>
              <w:t>0.4%</w:t>
            </w:r>
          </w:p>
        </w:tc>
        <w:tc>
          <w:tcPr>
            <w:tcW w:w="1472" w:type="dxa"/>
          </w:tcPr>
          <w:p w14:paraId="22E2F609" w14:textId="7A94F8F6" w:rsidR="00E632FA" w:rsidRDefault="0000049A" w:rsidP="003C499C">
            <w:pPr>
              <w:jc w:val="right"/>
            </w:pPr>
            <w:r>
              <w:t>0.6%</w:t>
            </w:r>
          </w:p>
        </w:tc>
      </w:tr>
    </w:tbl>
    <w:p w14:paraId="2059A038" w14:textId="77777777" w:rsidR="001620B6" w:rsidRPr="000150E8" w:rsidRDefault="001620B6" w:rsidP="001620B6">
      <w:pPr>
        <w:rPr>
          <w:sz w:val="18"/>
        </w:rPr>
      </w:pPr>
      <w:r w:rsidRPr="000150E8">
        <w:rPr>
          <w:sz w:val="18"/>
        </w:rPr>
        <w:t xml:space="preserve">Source: </w:t>
      </w:r>
      <w:r>
        <w:rPr>
          <w:sz w:val="18"/>
        </w:rPr>
        <w:t>Census (2011)</w:t>
      </w:r>
    </w:p>
    <w:p w14:paraId="67D48B9E" w14:textId="77777777" w:rsidR="001846BD" w:rsidRDefault="00931AF9" w:rsidP="001620B6">
      <w:r w:rsidRPr="00931AF9">
        <w:t>The above table shows</w:t>
      </w:r>
      <w:r w:rsidR="00F415AB">
        <w:t xml:space="preserve">: </w:t>
      </w:r>
    </w:p>
    <w:p w14:paraId="0F3BC2BC" w14:textId="09FD6FEC" w:rsidR="001846BD" w:rsidRDefault="001846BD" w:rsidP="001846BD">
      <w:pPr>
        <w:pStyle w:val="Bullet1"/>
      </w:pPr>
      <w:r>
        <w:t>T</w:t>
      </w:r>
      <w:r w:rsidR="00931AF9" w:rsidRPr="00931AF9">
        <w:t xml:space="preserve">he ethnic composition of </w:t>
      </w:r>
      <w:r w:rsidR="003B1DB6">
        <w:t>Tangmere</w:t>
      </w:r>
      <w:r w:rsidR="00931AF9" w:rsidRPr="00931AF9">
        <w:t xml:space="preserve"> </w:t>
      </w:r>
      <w:r w:rsidR="00242C44">
        <w:t>is</w:t>
      </w:r>
      <w:r w:rsidR="00931AF9" w:rsidRPr="00931AF9">
        <w:t xml:space="preserve"> largely in line with the </w:t>
      </w:r>
      <w:r w:rsidR="007A0FF7">
        <w:t>Chichester</w:t>
      </w:r>
      <w:r w:rsidR="00C33B1B">
        <w:t>, South East and England</w:t>
      </w:r>
      <w:r w:rsidR="00931AF9" w:rsidRPr="00931AF9">
        <w:t xml:space="preserve"> averages. </w:t>
      </w:r>
    </w:p>
    <w:p w14:paraId="5CC70CA7" w14:textId="77777777" w:rsidR="001846BD" w:rsidRDefault="00A722D5" w:rsidP="001846BD">
      <w:pPr>
        <w:pStyle w:val="Bullet1"/>
      </w:pPr>
      <w:r>
        <w:t xml:space="preserve">The </w:t>
      </w:r>
      <w:r w:rsidR="00931AF9" w:rsidRPr="00931AF9">
        <w:t xml:space="preserve">White British population in </w:t>
      </w:r>
      <w:r w:rsidR="001D6590">
        <w:t>Tangmere</w:t>
      </w:r>
      <w:r w:rsidR="00931AF9" w:rsidRPr="00931AF9">
        <w:t xml:space="preserve"> (</w:t>
      </w:r>
      <w:r w:rsidR="00BC76F0">
        <w:t>91</w:t>
      </w:r>
      <w:r w:rsidR="00BF2726">
        <w:t>.</w:t>
      </w:r>
      <w:r w:rsidR="00BC76F0">
        <w:t>9</w:t>
      </w:r>
      <w:r w:rsidR="00931AF9" w:rsidRPr="00931AF9">
        <w:t xml:space="preserve">%) is </w:t>
      </w:r>
      <w:r w:rsidR="00002CE5">
        <w:t>in line with</w:t>
      </w:r>
      <w:r w:rsidR="003A0365">
        <w:t xml:space="preserve"> Chichester (</w:t>
      </w:r>
      <w:r w:rsidR="0029185D">
        <w:t>93%)</w:t>
      </w:r>
      <w:r w:rsidR="00D2527A">
        <w:t xml:space="preserve">, but </w:t>
      </w:r>
      <w:r w:rsidR="00E467D4">
        <w:t>h</w:t>
      </w:r>
      <w:r w:rsidR="00D2527A">
        <w:t>igher</w:t>
      </w:r>
      <w:r w:rsidR="00931AF9" w:rsidRPr="00931AF9">
        <w:t xml:space="preserve"> than both </w:t>
      </w:r>
      <w:r>
        <w:t xml:space="preserve">the </w:t>
      </w:r>
      <w:r w:rsidR="00EB3ABF">
        <w:t xml:space="preserve">South </w:t>
      </w:r>
      <w:r w:rsidR="000C5F63">
        <w:t>East</w:t>
      </w:r>
      <w:r w:rsidR="00931AF9" w:rsidRPr="00931AF9">
        <w:t xml:space="preserve"> (8</w:t>
      </w:r>
      <w:r w:rsidR="00CC3E63">
        <w:t>5</w:t>
      </w:r>
      <w:r>
        <w:t>.</w:t>
      </w:r>
      <w:r w:rsidR="00CC3E63">
        <w:t>2</w:t>
      </w:r>
      <w:r w:rsidR="00931AF9" w:rsidRPr="00931AF9">
        <w:t xml:space="preserve">%) and </w:t>
      </w:r>
      <w:r w:rsidR="00E467D4">
        <w:t>England</w:t>
      </w:r>
      <w:r w:rsidR="00931AF9" w:rsidRPr="00931AF9">
        <w:t xml:space="preserve"> (</w:t>
      </w:r>
      <w:r w:rsidR="00765C55">
        <w:t>79</w:t>
      </w:r>
      <w:r>
        <w:t>.</w:t>
      </w:r>
      <w:r w:rsidR="00765C55">
        <w:t>8</w:t>
      </w:r>
      <w:r w:rsidR="00931AF9" w:rsidRPr="00931AF9">
        <w:t>%) averages</w:t>
      </w:r>
      <w:r>
        <w:t xml:space="preserve">. </w:t>
      </w:r>
    </w:p>
    <w:p w14:paraId="578C2CCC" w14:textId="77777777" w:rsidR="001846BD" w:rsidRDefault="00D949C4" w:rsidP="001846BD">
      <w:pPr>
        <w:pStyle w:val="Bullet1"/>
      </w:pPr>
      <w:r>
        <w:t>White Gypsy or Irish Traveller</w:t>
      </w:r>
      <w:r w:rsidR="00224249">
        <w:t xml:space="preserve"> proportion of the population</w:t>
      </w:r>
      <w:r w:rsidR="003C2363">
        <w:t xml:space="preserve"> in Tangmere</w:t>
      </w:r>
      <w:r w:rsidR="00B8514D">
        <w:t xml:space="preserve"> (1%)</w:t>
      </w:r>
      <w:r w:rsidR="00D1664C">
        <w:t xml:space="preserve"> is </w:t>
      </w:r>
      <w:r w:rsidR="00586B69">
        <w:t>considerably</w:t>
      </w:r>
      <w:r w:rsidR="00B8514D">
        <w:t xml:space="preserve"> higher</w:t>
      </w:r>
      <w:r w:rsidR="007C4F1A">
        <w:t xml:space="preserve"> than</w:t>
      </w:r>
      <w:r w:rsidR="00586B69">
        <w:t xml:space="preserve"> the</w:t>
      </w:r>
      <w:r w:rsidR="007C4F1A">
        <w:t xml:space="preserve"> Chichester</w:t>
      </w:r>
      <w:r w:rsidR="007D4FA6">
        <w:t xml:space="preserve"> (</w:t>
      </w:r>
      <w:r w:rsidR="009414C1">
        <w:t>0.2%), South East (0.2%) and England</w:t>
      </w:r>
      <w:r w:rsidR="003C2059">
        <w:t xml:space="preserve"> (0.1%) averages</w:t>
      </w:r>
      <w:r w:rsidR="00760964">
        <w:t>.</w:t>
      </w:r>
      <w:r w:rsidR="00586B69">
        <w:t xml:space="preserve"> </w:t>
      </w:r>
    </w:p>
    <w:p w14:paraId="3403CC52" w14:textId="201D2174" w:rsidR="00931AF9" w:rsidRPr="00931AF9" w:rsidRDefault="00586B69" w:rsidP="003C499C">
      <w:pPr>
        <w:pStyle w:val="Bullet1"/>
      </w:pPr>
      <w:r>
        <w:t>T</w:t>
      </w:r>
      <w:r w:rsidR="000C143D">
        <w:t xml:space="preserve">he proportion of </w:t>
      </w:r>
      <w:r w:rsidR="00456CB9">
        <w:t>Asian/Asia</w:t>
      </w:r>
      <w:r w:rsidR="006F36D1">
        <w:t>n British</w:t>
      </w:r>
      <w:r w:rsidR="00836516">
        <w:t xml:space="preserve"> and</w:t>
      </w:r>
      <w:r w:rsidR="00ED5125">
        <w:t xml:space="preserve"> </w:t>
      </w:r>
      <w:r w:rsidR="006D5282">
        <w:t>Black</w:t>
      </w:r>
      <w:r w:rsidR="00192BDA">
        <w:t xml:space="preserve"> </w:t>
      </w:r>
      <w:r w:rsidR="006D5282">
        <w:t>African</w:t>
      </w:r>
      <w:r w:rsidR="00192BDA">
        <w:t xml:space="preserve">, Black </w:t>
      </w:r>
      <w:r w:rsidR="0014463B">
        <w:t>Ca</w:t>
      </w:r>
      <w:r w:rsidR="004B604D">
        <w:t>ribbean</w:t>
      </w:r>
      <w:r w:rsidR="00192BDA">
        <w:t xml:space="preserve"> and </w:t>
      </w:r>
      <w:r w:rsidR="00C71C97">
        <w:t>Black Brit</w:t>
      </w:r>
      <w:r w:rsidR="00C759FF">
        <w:t>ish</w:t>
      </w:r>
      <w:r w:rsidR="004142C3">
        <w:t xml:space="preserve"> population</w:t>
      </w:r>
      <w:r w:rsidR="009E6CF1">
        <w:t xml:space="preserve"> </w:t>
      </w:r>
      <w:r w:rsidR="004142C3">
        <w:t>is</w:t>
      </w:r>
      <w:r w:rsidR="009E6CF1">
        <w:t xml:space="preserve"> in line wit</w:t>
      </w:r>
      <w:r w:rsidR="00DE5949">
        <w:t xml:space="preserve">h </w:t>
      </w:r>
      <w:r w:rsidR="004142C3">
        <w:t xml:space="preserve">the </w:t>
      </w:r>
      <w:r w:rsidR="00705FC1">
        <w:t xml:space="preserve">Chichester average, but </w:t>
      </w:r>
      <w:r w:rsidR="007A29D0">
        <w:t xml:space="preserve">noticeably </w:t>
      </w:r>
      <w:r w:rsidR="00FE4F9B">
        <w:t>lower than</w:t>
      </w:r>
      <w:r w:rsidR="00225B6F">
        <w:t xml:space="preserve"> South East and </w:t>
      </w:r>
      <w:r w:rsidR="00AA21A5">
        <w:t>England averages</w:t>
      </w:r>
      <w:r w:rsidR="00C237F1">
        <w:t>: Indian</w:t>
      </w:r>
      <w:r w:rsidR="003F7729">
        <w:t xml:space="preserve"> </w:t>
      </w:r>
      <w:r w:rsidR="00775AB2">
        <w:t>(0</w:t>
      </w:r>
      <w:r w:rsidR="00567421">
        <w:t xml:space="preserve">.3% compared </w:t>
      </w:r>
      <w:r w:rsidR="007F3FC9">
        <w:t xml:space="preserve">to </w:t>
      </w:r>
      <w:r w:rsidR="00A53E76">
        <w:t>1.8% an</w:t>
      </w:r>
      <w:r w:rsidR="00BE3003">
        <w:t xml:space="preserve">d </w:t>
      </w:r>
      <w:r w:rsidR="00375333">
        <w:t>2.6%</w:t>
      </w:r>
      <w:r w:rsidR="00BE3003">
        <w:t>, respectively</w:t>
      </w:r>
      <w:r w:rsidR="00375333">
        <w:t>)</w:t>
      </w:r>
      <w:r w:rsidR="004A3598">
        <w:t>, Pa</w:t>
      </w:r>
      <w:r w:rsidR="00303F40">
        <w:t>kistani</w:t>
      </w:r>
      <w:r w:rsidR="0074274F">
        <w:t xml:space="preserve"> (0% compared to </w:t>
      </w:r>
      <w:r w:rsidR="00F06A1C">
        <w:t>1.1%</w:t>
      </w:r>
      <w:r w:rsidR="00BE3003">
        <w:t xml:space="preserve"> and </w:t>
      </w:r>
      <w:r w:rsidR="00F06A1C">
        <w:t>2.</w:t>
      </w:r>
      <w:r w:rsidR="00653CD6">
        <w:t>1</w:t>
      </w:r>
      <w:r w:rsidR="00F06A1C">
        <w:t>%</w:t>
      </w:r>
      <w:r w:rsidR="00BE3003">
        <w:t>, respectively</w:t>
      </w:r>
      <w:r w:rsidR="00F06A1C">
        <w:t>)</w:t>
      </w:r>
      <w:r w:rsidR="00653CD6">
        <w:t xml:space="preserve">, </w:t>
      </w:r>
      <w:r w:rsidR="009C38D0">
        <w:t>O</w:t>
      </w:r>
      <w:r w:rsidR="001912D6">
        <w:t>ther Asia</w:t>
      </w:r>
      <w:r w:rsidR="009C38D0">
        <w:t>n (0.5% compared t</w:t>
      </w:r>
      <w:r w:rsidR="007130C0">
        <w:t>o</w:t>
      </w:r>
      <w:r w:rsidR="00C126E9">
        <w:t xml:space="preserve"> 1.4</w:t>
      </w:r>
      <w:r w:rsidR="005E5E7F">
        <w:t>%</w:t>
      </w:r>
      <w:r w:rsidR="00BE3003">
        <w:t xml:space="preserve"> and </w:t>
      </w:r>
      <w:r w:rsidR="005E5E7F">
        <w:t>1.5%</w:t>
      </w:r>
      <w:r w:rsidR="00BE3003">
        <w:t>, respectively</w:t>
      </w:r>
      <w:r w:rsidR="005E5E7F">
        <w:t>)</w:t>
      </w:r>
      <w:r w:rsidR="000D28E7">
        <w:t>,</w:t>
      </w:r>
      <w:r w:rsidR="009C38D0">
        <w:t xml:space="preserve"> </w:t>
      </w:r>
      <w:r w:rsidR="00F35C9B">
        <w:t>Black</w:t>
      </w:r>
      <w:r w:rsidR="00012D6A">
        <w:t xml:space="preserve"> African (0.4% compared to </w:t>
      </w:r>
      <w:r w:rsidR="00B666C2">
        <w:t xml:space="preserve">1%, </w:t>
      </w:r>
      <w:r w:rsidR="000D28E7">
        <w:t xml:space="preserve">and </w:t>
      </w:r>
      <w:r w:rsidR="00B666C2">
        <w:t>1.8%</w:t>
      </w:r>
      <w:r w:rsidR="000D28E7">
        <w:t>, respectively</w:t>
      </w:r>
      <w:r w:rsidR="00B666C2">
        <w:t>)</w:t>
      </w:r>
      <w:r w:rsidR="002F3EF0">
        <w:t>, Blac</w:t>
      </w:r>
      <w:r w:rsidR="007E05BC">
        <w:t>k</w:t>
      </w:r>
      <w:r w:rsidR="002F3EF0">
        <w:t xml:space="preserve"> </w:t>
      </w:r>
      <w:r w:rsidR="007E05BC">
        <w:t>Caribbean (</w:t>
      </w:r>
      <w:r w:rsidR="00F64BAC">
        <w:t>0%</w:t>
      </w:r>
      <w:r w:rsidR="001B73A4">
        <w:t xml:space="preserve"> compared to </w:t>
      </w:r>
      <w:r w:rsidR="005368DE">
        <w:t>0.4%</w:t>
      </w:r>
      <w:r w:rsidR="000D28E7">
        <w:t xml:space="preserve"> and </w:t>
      </w:r>
      <w:r w:rsidR="006165FF">
        <w:t>1.1%</w:t>
      </w:r>
      <w:r w:rsidR="000D28E7">
        <w:t>, respectively</w:t>
      </w:r>
      <w:r w:rsidR="006165FF">
        <w:t>)</w:t>
      </w:r>
      <w:r w:rsidR="00D144DC">
        <w:t>.</w:t>
      </w:r>
    </w:p>
    <w:p w14:paraId="3CC1EB6F" w14:textId="37B0C747" w:rsidR="00A055A6" w:rsidRDefault="00A055A6" w:rsidP="00A055A6">
      <w:pPr>
        <w:pStyle w:val="Heading3"/>
      </w:pPr>
      <w:r>
        <w:lastRenderedPageBreak/>
        <w:t>Religion and belief</w:t>
      </w:r>
    </w:p>
    <w:p w14:paraId="20086691" w14:textId="3E27C0A0" w:rsidR="0025472B" w:rsidRPr="0025472B" w:rsidRDefault="00017739" w:rsidP="0025472B">
      <w:r w:rsidRPr="00017739">
        <w:t xml:space="preserve">The table below provides a religious profile of </w:t>
      </w:r>
      <w:r w:rsidR="009A7F06">
        <w:t>Tangmere</w:t>
      </w:r>
      <w:r w:rsidRPr="00017739">
        <w:t xml:space="preserve">, compared with </w:t>
      </w:r>
      <w:r w:rsidR="009A7F06">
        <w:t>Chichester, Sout</w:t>
      </w:r>
      <w:r w:rsidR="003B6DB0">
        <w:t>h East</w:t>
      </w:r>
      <w:r w:rsidRPr="00017739">
        <w:t xml:space="preserve"> and England.</w:t>
      </w:r>
    </w:p>
    <w:p w14:paraId="42B45D2F" w14:textId="5ABB7106" w:rsidR="00251FF5" w:rsidRDefault="00CF6464" w:rsidP="00251FF5">
      <w:pPr>
        <w:pStyle w:val="Caption"/>
      </w:pPr>
      <w:bookmarkStart w:id="31" w:name="_Toc31809586"/>
      <w:r>
        <w:t>Table</w:t>
      </w:r>
      <w:r w:rsidR="00251FF5" w:rsidRPr="009C1C7C">
        <w:t xml:space="preserve"> </w:t>
      </w:r>
      <w:r w:rsidR="00251FF5">
        <w:rPr>
          <w:noProof/>
        </w:rPr>
        <w:fldChar w:fldCharType="begin"/>
      </w:r>
      <w:r w:rsidR="00251FF5">
        <w:rPr>
          <w:noProof/>
        </w:rPr>
        <w:instrText xml:space="preserve"> STYLEREF 1 \s </w:instrText>
      </w:r>
      <w:r w:rsidR="00251FF5">
        <w:rPr>
          <w:noProof/>
        </w:rPr>
        <w:fldChar w:fldCharType="separate"/>
      </w:r>
      <w:r>
        <w:rPr>
          <w:noProof/>
        </w:rPr>
        <w:t>3</w:t>
      </w:r>
      <w:r w:rsidR="00251FF5">
        <w:rPr>
          <w:noProof/>
        </w:rPr>
        <w:fldChar w:fldCharType="end"/>
      </w:r>
      <w:r w:rsidR="00251FF5">
        <w:t>.</w:t>
      </w:r>
      <w:r w:rsidR="00251FF5">
        <w:rPr>
          <w:noProof/>
        </w:rPr>
        <w:fldChar w:fldCharType="begin"/>
      </w:r>
      <w:r w:rsidR="00251FF5">
        <w:rPr>
          <w:noProof/>
        </w:rPr>
        <w:instrText xml:space="preserve"> SEQ Table \* ARABIC \s 1 </w:instrText>
      </w:r>
      <w:r w:rsidR="00251FF5">
        <w:rPr>
          <w:noProof/>
        </w:rPr>
        <w:fldChar w:fldCharType="separate"/>
      </w:r>
      <w:r>
        <w:rPr>
          <w:noProof/>
        </w:rPr>
        <w:t>5</w:t>
      </w:r>
      <w:r w:rsidR="00251FF5">
        <w:rPr>
          <w:noProof/>
        </w:rPr>
        <w:fldChar w:fldCharType="end"/>
      </w:r>
      <w:r w:rsidR="00251FF5" w:rsidRPr="009C1C7C">
        <w:t>:</w:t>
      </w:r>
      <w:r w:rsidR="00251FF5">
        <w:t xml:space="preserve"> Population by religion and belief</w:t>
      </w:r>
      <w:bookmarkEnd w:id="31"/>
    </w:p>
    <w:tbl>
      <w:tblPr>
        <w:tblStyle w:val="MMTable"/>
        <w:tblW w:w="0" w:type="auto"/>
        <w:tblLook w:val="04A0" w:firstRow="1" w:lastRow="0" w:firstColumn="1" w:lastColumn="0" w:noHBand="0" w:noVBand="1"/>
      </w:tblPr>
      <w:tblGrid>
        <w:gridCol w:w="1699"/>
        <w:gridCol w:w="1699"/>
        <w:gridCol w:w="1699"/>
        <w:gridCol w:w="1699"/>
        <w:gridCol w:w="1699"/>
      </w:tblGrid>
      <w:tr w:rsidR="00566E69" w14:paraId="672F654E" w14:textId="77777777" w:rsidTr="000C0886">
        <w:trPr>
          <w:cnfStyle w:val="100000000000" w:firstRow="1" w:lastRow="0" w:firstColumn="0" w:lastColumn="0" w:oddVBand="0" w:evenVBand="0" w:oddHBand="0" w:evenHBand="0" w:firstRowFirstColumn="0" w:firstRowLastColumn="0" w:lastRowFirstColumn="0" w:lastRowLastColumn="0"/>
        </w:trPr>
        <w:tc>
          <w:tcPr>
            <w:tcW w:w="1699" w:type="dxa"/>
          </w:tcPr>
          <w:p w14:paraId="1C67BF00" w14:textId="77777777" w:rsidR="00251FF5" w:rsidRPr="00282E94" w:rsidRDefault="00251FF5" w:rsidP="00457F99">
            <w:pPr>
              <w:rPr>
                <w:b/>
                <w:color w:val="2FB6BC" w:themeColor="accent1"/>
              </w:rPr>
            </w:pPr>
            <w:r>
              <w:rPr>
                <w:b/>
                <w:color w:val="2FB6BC" w:themeColor="accent1"/>
              </w:rPr>
              <w:t>Disability</w:t>
            </w:r>
          </w:p>
        </w:tc>
        <w:tc>
          <w:tcPr>
            <w:tcW w:w="1699" w:type="dxa"/>
          </w:tcPr>
          <w:p w14:paraId="53171E31" w14:textId="77777777" w:rsidR="00251FF5" w:rsidRPr="00282E94" w:rsidRDefault="00251FF5" w:rsidP="000A0C3C">
            <w:pPr>
              <w:jc w:val="right"/>
              <w:rPr>
                <w:b/>
                <w:color w:val="2FB6BC" w:themeColor="accent1"/>
              </w:rPr>
            </w:pPr>
            <w:r w:rsidRPr="00282E94">
              <w:rPr>
                <w:b/>
                <w:color w:val="2FB6BC" w:themeColor="accent1"/>
              </w:rPr>
              <w:t>Tangmere</w:t>
            </w:r>
          </w:p>
        </w:tc>
        <w:tc>
          <w:tcPr>
            <w:tcW w:w="1699" w:type="dxa"/>
          </w:tcPr>
          <w:p w14:paraId="38EE2AAC" w14:textId="77777777" w:rsidR="00251FF5" w:rsidRPr="00282E94" w:rsidRDefault="00251FF5" w:rsidP="000A0C3C">
            <w:pPr>
              <w:jc w:val="right"/>
              <w:rPr>
                <w:b/>
                <w:color w:val="2FB6BC" w:themeColor="accent1"/>
              </w:rPr>
            </w:pPr>
            <w:r w:rsidRPr="00282E94">
              <w:rPr>
                <w:b/>
                <w:color w:val="2FB6BC" w:themeColor="accent1"/>
              </w:rPr>
              <w:t>Chichester</w:t>
            </w:r>
          </w:p>
        </w:tc>
        <w:tc>
          <w:tcPr>
            <w:tcW w:w="1699" w:type="dxa"/>
          </w:tcPr>
          <w:p w14:paraId="23E7DF67" w14:textId="77777777" w:rsidR="00251FF5" w:rsidRPr="00282E94" w:rsidRDefault="00251FF5" w:rsidP="000A0C3C">
            <w:pPr>
              <w:jc w:val="right"/>
              <w:rPr>
                <w:b/>
                <w:color w:val="2FB6BC" w:themeColor="accent1"/>
              </w:rPr>
            </w:pPr>
            <w:r w:rsidRPr="00282E94">
              <w:rPr>
                <w:b/>
                <w:color w:val="2FB6BC" w:themeColor="accent1"/>
              </w:rPr>
              <w:t>South East</w:t>
            </w:r>
          </w:p>
        </w:tc>
        <w:tc>
          <w:tcPr>
            <w:tcW w:w="1699" w:type="dxa"/>
          </w:tcPr>
          <w:p w14:paraId="117240DF" w14:textId="77777777" w:rsidR="00251FF5" w:rsidRPr="00282E94" w:rsidRDefault="00251FF5" w:rsidP="000A0C3C">
            <w:pPr>
              <w:jc w:val="right"/>
              <w:rPr>
                <w:b/>
                <w:color w:val="2FB6BC" w:themeColor="accent1"/>
              </w:rPr>
            </w:pPr>
            <w:r w:rsidRPr="00282E94">
              <w:rPr>
                <w:b/>
                <w:color w:val="2FB6BC" w:themeColor="accent1"/>
              </w:rPr>
              <w:t>England</w:t>
            </w:r>
          </w:p>
        </w:tc>
      </w:tr>
      <w:tr w:rsidR="005F7210" w14:paraId="1DD08A67" w14:textId="77777777" w:rsidTr="00457F99">
        <w:trPr>
          <w:cnfStyle w:val="000000100000" w:firstRow="0" w:lastRow="0" w:firstColumn="0" w:lastColumn="0" w:oddVBand="0" w:evenVBand="0" w:oddHBand="1" w:evenHBand="0" w:firstRowFirstColumn="0" w:firstRowLastColumn="0" w:lastRowFirstColumn="0" w:lastRowLastColumn="0"/>
        </w:trPr>
        <w:tc>
          <w:tcPr>
            <w:tcW w:w="1699" w:type="dxa"/>
            <w:vAlign w:val="bottom"/>
          </w:tcPr>
          <w:p w14:paraId="204E4751" w14:textId="724588E9" w:rsidR="005F7210" w:rsidRPr="007C104D" w:rsidRDefault="005F7210" w:rsidP="005F7210">
            <w:pPr>
              <w:rPr>
                <w:b/>
              </w:rPr>
            </w:pPr>
            <w:r w:rsidRPr="00674327">
              <w:rPr>
                <w:b/>
                <w:color w:val="000000"/>
              </w:rPr>
              <w:t>Christian</w:t>
            </w:r>
          </w:p>
        </w:tc>
        <w:tc>
          <w:tcPr>
            <w:tcW w:w="1699" w:type="dxa"/>
          </w:tcPr>
          <w:p w14:paraId="7612AA11" w14:textId="05BEA7E8" w:rsidR="005F7210" w:rsidRDefault="003003E8" w:rsidP="000A0C3C">
            <w:pPr>
              <w:jc w:val="right"/>
            </w:pPr>
            <w:r>
              <w:t>66%</w:t>
            </w:r>
          </w:p>
        </w:tc>
        <w:tc>
          <w:tcPr>
            <w:tcW w:w="1699" w:type="dxa"/>
          </w:tcPr>
          <w:p w14:paraId="45133E7E" w14:textId="4C8DB972" w:rsidR="005F7210" w:rsidRDefault="003003E8" w:rsidP="000A0C3C">
            <w:pPr>
              <w:jc w:val="right"/>
            </w:pPr>
            <w:r>
              <w:t>66.1%</w:t>
            </w:r>
          </w:p>
        </w:tc>
        <w:tc>
          <w:tcPr>
            <w:tcW w:w="1699" w:type="dxa"/>
          </w:tcPr>
          <w:p w14:paraId="0E514C68" w14:textId="3373E295" w:rsidR="005F7210" w:rsidRDefault="00984EBC" w:rsidP="000A0C3C">
            <w:pPr>
              <w:jc w:val="right"/>
            </w:pPr>
            <w:r>
              <w:t>59.8%</w:t>
            </w:r>
          </w:p>
        </w:tc>
        <w:tc>
          <w:tcPr>
            <w:tcW w:w="1699" w:type="dxa"/>
          </w:tcPr>
          <w:p w14:paraId="5FECE315" w14:textId="4058EBC6" w:rsidR="005F7210" w:rsidRDefault="00984EBC" w:rsidP="000A0C3C">
            <w:pPr>
              <w:jc w:val="right"/>
            </w:pPr>
            <w:r>
              <w:t>59.4%</w:t>
            </w:r>
          </w:p>
        </w:tc>
      </w:tr>
      <w:tr w:rsidR="005F7210" w14:paraId="61E776B3" w14:textId="77777777" w:rsidTr="00457F99">
        <w:tc>
          <w:tcPr>
            <w:tcW w:w="1699" w:type="dxa"/>
            <w:vAlign w:val="bottom"/>
          </w:tcPr>
          <w:p w14:paraId="645A48DD" w14:textId="70A25970" w:rsidR="005F7210" w:rsidRPr="007C104D" w:rsidRDefault="005F7210" w:rsidP="005F7210">
            <w:pPr>
              <w:rPr>
                <w:b/>
              </w:rPr>
            </w:pPr>
            <w:r w:rsidRPr="00674327">
              <w:rPr>
                <w:b/>
                <w:color w:val="000000"/>
              </w:rPr>
              <w:t>Buddhist</w:t>
            </w:r>
          </w:p>
        </w:tc>
        <w:tc>
          <w:tcPr>
            <w:tcW w:w="1699" w:type="dxa"/>
          </w:tcPr>
          <w:p w14:paraId="76AA3002" w14:textId="2668F3E2" w:rsidR="005F7210" w:rsidRDefault="003E6C4C" w:rsidP="000A0C3C">
            <w:pPr>
              <w:jc w:val="right"/>
            </w:pPr>
            <w:r>
              <w:t>0.4%</w:t>
            </w:r>
          </w:p>
        </w:tc>
        <w:tc>
          <w:tcPr>
            <w:tcW w:w="1699" w:type="dxa"/>
          </w:tcPr>
          <w:p w14:paraId="7A00A1E0" w14:textId="374B6786" w:rsidR="005F7210" w:rsidRDefault="003E6C4C" w:rsidP="000A0C3C">
            <w:pPr>
              <w:jc w:val="right"/>
            </w:pPr>
            <w:r>
              <w:t>0.4%</w:t>
            </w:r>
          </w:p>
        </w:tc>
        <w:tc>
          <w:tcPr>
            <w:tcW w:w="1699" w:type="dxa"/>
          </w:tcPr>
          <w:p w14:paraId="054F16F9" w14:textId="167F44E5" w:rsidR="005F7210" w:rsidRDefault="003D4DD5" w:rsidP="000A0C3C">
            <w:pPr>
              <w:jc w:val="right"/>
            </w:pPr>
            <w:r>
              <w:t>0.5%</w:t>
            </w:r>
          </w:p>
        </w:tc>
        <w:tc>
          <w:tcPr>
            <w:tcW w:w="1699" w:type="dxa"/>
          </w:tcPr>
          <w:p w14:paraId="46310707" w14:textId="14420808" w:rsidR="005F7210" w:rsidRDefault="003D4DD5" w:rsidP="000A0C3C">
            <w:pPr>
              <w:jc w:val="right"/>
            </w:pPr>
            <w:r>
              <w:t>0.5%</w:t>
            </w:r>
          </w:p>
        </w:tc>
      </w:tr>
      <w:tr w:rsidR="005F7210" w14:paraId="6A3805C8" w14:textId="77777777" w:rsidTr="00457F99">
        <w:trPr>
          <w:cnfStyle w:val="000000100000" w:firstRow="0" w:lastRow="0" w:firstColumn="0" w:lastColumn="0" w:oddVBand="0" w:evenVBand="0" w:oddHBand="1" w:evenHBand="0" w:firstRowFirstColumn="0" w:firstRowLastColumn="0" w:lastRowFirstColumn="0" w:lastRowLastColumn="0"/>
        </w:trPr>
        <w:tc>
          <w:tcPr>
            <w:tcW w:w="1699" w:type="dxa"/>
            <w:vAlign w:val="bottom"/>
          </w:tcPr>
          <w:p w14:paraId="07C1A518" w14:textId="1F4E2396" w:rsidR="005F7210" w:rsidRPr="007C104D" w:rsidRDefault="005F7210" w:rsidP="005F7210">
            <w:pPr>
              <w:rPr>
                <w:b/>
              </w:rPr>
            </w:pPr>
            <w:r w:rsidRPr="00674327">
              <w:rPr>
                <w:b/>
                <w:color w:val="000000"/>
              </w:rPr>
              <w:t>Hindu</w:t>
            </w:r>
          </w:p>
        </w:tc>
        <w:tc>
          <w:tcPr>
            <w:tcW w:w="1699" w:type="dxa"/>
          </w:tcPr>
          <w:p w14:paraId="2AE74B0F" w14:textId="322E8C1B" w:rsidR="005F7210" w:rsidRDefault="00372ACE" w:rsidP="000A0C3C">
            <w:pPr>
              <w:jc w:val="right"/>
            </w:pPr>
            <w:r>
              <w:t>0.3%</w:t>
            </w:r>
          </w:p>
        </w:tc>
        <w:tc>
          <w:tcPr>
            <w:tcW w:w="1699" w:type="dxa"/>
          </w:tcPr>
          <w:p w14:paraId="063740EA" w14:textId="7AA57646" w:rsidR="005F7210" w:rsidRDefault="00372ACE" w:rsidP="000A0C3C">
            <w:pPr>
              <w:jc w:val="right"/>
            </w:pPr>
            <w:r>
              <w:t>0.2%</w:t>
            </w:r>
          </w:p>
        </w:tc>
        <w:tc>
          <w:tcPr>
            <w:tcW w:w="1699" w:type="dxa"/>
          </w:tcPr>
          <w:p w14:paraId="10C208E8" w14:textId="1B3E385A" w:rsidR="005F7210" w:rsidRDefault="00643CF5" w:rsidP="000A0C3C">
            <w:pPr>
              <w:jc w:val="right"/>
            </w:pPr>
            <w:r>
              <w:t>1.1%</w:t>
            </w:r>
          </w:p>
        </w:tc>
        <w:tc>
          <w:tcPr>
            <w:tcW w:w="1699" w:type="dxa"/>
          </w:tcPr>
          <w:p w14:paraId="7EDC7316" w14:textId="0B766F65" w:rsidR="005F7210" w:rsidRDefault="00643CF5" w:rsidP="000A0C3C">
            <w:pPr>
              <w:jc w:val="right"/>
            </w:pPr>
            <w:r>
              <w:t>1.5%</w:t>
            </w:r>
          </w:p>
        </w:tc>
      </w:tr>
      <w:tr w:rsidR="005F7210" w14:paraId="67DBA11C" w14:textId="77777777" w:rsidTr="00457F99">
        <w:tc>
          <w:tcPr>
            <w:tcW w:w="1699" w:type="dxa"/>
            <w:vAlign w:val="bottom"/>
          </w:tcPr>
          <w:p w14:paraId="10E53D3D" w14:textId="13B7FBC0" w:rsidR="005F7210" w:rsidRPr="007C104D" w:rsidRDefault="005F7210" w:rsidP="005F7210">
            <w:pPr>
              <w:rPr>
                <w:b/>
              </w:rPr>
            </w:pPr>
            <w:r w:rsidRPr="00674327">
              <w:rPr>
                <w:rFonts w:cstheme="minorHAnsi"/>
                <w:b/>
                <w:bCs/>
                <w:color w:val="000000"/>
              </w:rPr>
              <w:t>Jewish</w:t>
            </w:r>
          </w:p>
        </w:tc>
        <w:tc>
          <w:tcPr>
            <w:tcW w:w="1699" w:type="dxa"/>
          </w:tcPr>
          <w:p w14:paraId="456AF625" w14:textId="539CD7DD" w:rsidR="005F7210" w:rsidRDefault="005415EE" w:rsidP="000A0C3C">
            <w:pPr>
              <w:jc w:val="right"/>
            </w:pPr>
            <w:r>
              <w:t>0%</w:t>
            </w:r>
          </w:p>
        </w:tc>
        <w:tc>
          <w:tcPr>
            <w:tcW w:w="1699" w:type="dxa"/>
          </w:tcPr>
          <w:p w14:paraId="3371D0FE" w14:textId="02F569E2" w:rsidR="005F7210" w:rsidRDefault="005415EE" w:rsidP="000A0C3C">
            <w:pPr>
              <w:jc w:val="right"/>
            </w:pPr>
            <w:r>
              <w:t>0.1%</w:t>
            </w:r>
          </w:p>
        </w:tc>
        <w:tc>
          <w:tcPr>
            <w:tcW w:w="1699" w:type="dxa"/>
          </w:tcPr>
          <w:p w14:paraId="306B7B2A" w14:textId="60CC1FFE" w:rsidR="005F7210" w:rsidRDefault="00A56CA2" w:rsidP="000A0C3C">
            <w:pPr>
              <w:jc w:val="right"/>
            </w:pPr>
            <w:r>
              <w:t>0.2%</w:t>
            </w:r>
          </w:p>
        </w:tc>
        <w:tc>
          <w:tcPr>
            <w:tcW w:w="1699" w:type="dxa"/>
          </w:tcPr>
          <w:p w14:paraId="2660BA66" w14:textId="2A0D0EF5" w:rsidR="005F7210" w:rsidRDefault="00A56CA2" w:rsidP="000A0C3C">
            <w:pPr>
              <w:jc w:val="right"/>
            </w:pPr>
            <w:r>
              <w:t>0.5%</w:t>
            </w:r>
          </w:p>
        </w:tc>
      </w:tr>
      <w:tr w:rsidR="005F7210" w14:paraId="6020EA09" w14:textId="77777777" w:rsidTr="00457F99">
        <w:trPr>
          <w:cnfStyle w:val="000000100000" w:firstRow="0" w:lastRow="0" w:firstColumn="0" w:lastColumn="0" w:oddVBand="0" w:evenVBand="0" w:oddHBand="1" w:evenHBand="0" w:firstRowFirstColumn="0" w:firstRowLastColumn="0" w:lastRowFirstColumn="0" w:lastRowLastColumn="0"/>
        </w:trPr>
        <w:tc>
          <w:tcPr>
            <w:tcW w:w="1699" w:type="dxa"/>
            <w:vAlign w:val="bottom"/>
          </w:tcPr>
          <w:p w14:paraId="6FC0A901" w14:textId="1441A874" w:rsidR="005F7210" w:rsidRPr="007C104D" w:rsidRDefault="005F7210" w:rsidP="005F7210">
            <w:pPr>
              <w:rPr>
                <w:b/>
              </w:rPr>
            </w:pPr>
            <w:r w:rsidRPr="00674327">
              <w:rPr>
                <w:rFonts w:cstheme="minorHAnsi"/>
                <w:b/>
                <w:bCs/>
                <w:color w:val="000000"/>
              </w:rPr>
              <w:t>Muslim</w:t>
            </w:r>
          </w:p>
        </w:tc>
        <w:tc>
          <w:tcPr>
            <w:tcW w:w="1699" w:type="dxa"/>
          </w:tcPr>
          <w:p w14:paraId="4D20728A" w14:textId="6E19812F" w:rsidR="005F7210" w:rsidRDefault="00A56CA2" w:rsidP="000A0C3C">
            <w:pPr>
              <w:jc w:val="right"/>
            </w:pPr>
            <w:r>
              <w:t>0%</w:t>
            </w:r>
          </w:p>
        </w:tc>
        <w:tc>
          <w:tcPr>
            <w:tcW w:w="1699" w:type="dxa"/>
          </w:tcPr>
          <w:p w14:paraId="70D6F69D" w14:textId="70600B42" w:rsidR="005F7210" w:rsidRDefault="00A56CA2" w:rsidP="000A0C3C">
            <w:pPr>
              <w:jc w:val="right"/>
            </w:pPr>
            <w:r>
              <w:t>0.4%</w:t>
            </w:r>
          </w:p>
        </w:tc>
        <w:tc>
          <w:tcPr>
            <w:tcW w:w="1699" w:type="dxa"/>
          </w:tcPr>
          <w:p w14:paraId="01BFE71D" w14:textId="5FECD55F" w:rsidR="005F7210" w:rsidRDefault="00AD41EA" w:rsidP="000A0C3C">
            <w:pPr>
              <w:jc w:val="right"/>
            </w:pPr>
            <w:r>
              <w:t>2.3%</w:t>
            </w:r>
          </w:p>
        </w:tc>
        <w:tc>
          <w:tcPr>
            <w:tcW w:w="1699" w:type="dxa"/>
          </w:tcPr>
          <w:p w14:paraId="3A120399" w14:textId="0FB6FA5E" w:rsidR="005F7210" w:rsidRDefault="00AD41EA" w:rsidP="000A0C3C">
            <w:pPr>
              <w:jc w:val="right"/>
            </w:pPr>
            <w:r>
              <w:t>5%</w:t>
            </w:r>
          </w:p>
        </w:tc>
      </w:tr>
      <w:tr w:rsidR="005F7210" w14:paraId="3A0F1503" w14:textId="77777777" w:rsidTr="00457F99">
        <w:tc>
          <w:tcPr>
            <w:tcW w:w="1699" w:type="dxa"/>
            <w:vAlign w:val="bottom"/>
          </w:tcPr>
          <w:p w14:paraId="69BF49DD" w14:textId="35E82A5B" w:rsidR="005F7210" w:rsidRPr="007C104D" w:rsidRDefault="005F7210" w:rsidP="005F7210">
            <w:pPr>
              <w:rPr>
                <w:b/>
              </w:rPr>
            </w:pPr>
            <w:r w:rsidRPr="00674327">
              <w:rPr>
                <w:rFonts w:cstheme="minorHAnsi"/>
                <w:b/>
                <w:bCs/>
                <w:color w:val="000000"/>
              </w:rPr>
              <w:t>Sikh</w:t>
            </w:r>
          </w:p>
        </w:tc>
        <w:tc>
          <w:tcPr>
            <w:tcW w:w="1699" w:type="dxa"/>
          </w:tcPr>
          <w:p w14:paraId="6A818105" w14:textId="2E401329" w:rsidR="005F7210" w:rsidRDefault="00143ADC" w:rsidP="000A0C3C">
            <w:pPr>
              <w:jc w:val="right"/>
            </w:pPr>
            <w:r>
              <w:t>0%</w:t>
            </w:r>
          </w:p>
        </w:tc>
        <w:tc>
          <w:tcPr>
            <w:tcW w:w="1699" w:type="dxa"/>
          </w:tcPr>
          <w:p w14:paraId="053F7F93" w14:textId="0C86C114" w:rsidR="005F7210" w:rsidRDefault="00143ADC" w:rsidP="000A0C3C">
            <w:pPr>
              <w:jc w:val="right"/>
            </w:pPr>
            <w:r>
              <w:t>0%</w:t>
            </w:r>
          </w:p>
        </w:tc>
        <w:tc>
          <w:tcPr>
            <w:tcW w:w="1699" w:type="dxa"/>
          </w:tcPr>
          <w:p w14:paraId="700DED50" w14:textId="2229BD8F" w:rsidR="005F7210" w:rsidRDefault="00143ADC" w:rsidP="000A0C3C">
            <w:pPr>
              <w:jc w:val="right"/>
            </w:pPr>
            <w:r>
              <w:t>0.6%</w:t>
            </w:r>
          </w:p>
        </w:tc>
        <w:tc>
          <w:tcPr>
            <w:tcW w:w="1699" w:type="dxa"/>
          </w:tcPr>
          <w:p w14:paraId="6155F7C4" w14:textId="15C5B34B" w:rsidR="005F7210" w:rsidRDefault="00542CED" w:rsidP="000A0C3C">
            <w:pPr>
              <w:jc w:val="right"/>
            </w:pPr>
            <w:r>
              <w:t>0.8%</w:t>
            </w:r>
          </w:p>
        </w:tc>
      </w:tr>
      <w:tr w:rsidR="005F7210" w14:paraId="1FBB263F" w14:textId="77777777" w:rsidTr="00457F99">
        <w:trPr>
          <w:cnfStyle w:val="000000100000" w:firstRow="0" w:lastRow="0" w:firstColumn="0" w:lastColumn="0" w:oddVBand="0" w:evenVBand="0" w:oddHBand="1" w:evenHBand="0" w:firstRowFirstColumn="0" w:firstRowLastColumn="0" w:lastRowFirstColumn="0" w:lastRowLastColumn="0"/>
        </w:trPr>
        <w:tc>
          <w:tcPr>
            <w:tcW w:w="1699" w:type="dxa"/>
            <w:vAlign w:val="bottom"/>
          </w:tcPr>
          <w:p w14:paraId="1A3F6190" w14:textId="26ADB216" w:rsidR="005F7210" w:rsidRPr="007C104D" w:rsidRDefault="005F7210" w:rsidP="005F7210">
            <w:pPr>
              <w:rPr>
                <w:b/>
              </w:rPr>
            </w:pPr>
            <w:r w:rsidRPr="00674327">
              <w:rPr>
                <w:rFonts w:cstheme="minorHAnsi"/>
                <w:b/>
                <w:bCs/>
                <w:color w:val="000000"/>
              </w:rPr>
              <w:t>Other Religion</w:t>
            </w:r>
          </w:p>
        </w:tc>
        <w:tc>
          <w:tcPr>
            <w:tcW w:w="1699" w:type="dxa"/>
          </w:tcPr>
          <w:p w14:paraId="0C8E84B7" w14:textId="4BD701E2" w:rsidR="005F7210" w:rsidRDefault="00542CED" w:rsidP="000A0C3C">
            <w:pPr>
              <w:jc w:val="right"/>
            </w:pPr>
            <w:r>
              <w:t>0.7%</w:t>
            </w:r>
          </w:p>
        </w:tc>
        <w:tc>
          <w:tcPr>
            <w:tcW w:w="1699" w:type="dxa"/>
          </w:tcPr>
          <w:p w14:paraId="52862B2F" w14:textId="7FB487E1" w:rsidR="005F7210" w:rsidRDefault="00542CED" w:rsidP="000A0C3C">
            <w:pPr>
              <w:jc w:val="right"/>
            </w:pPr>
            <w:r>
              <w:t>0.5%</w:t>
            </w:r>
          </w:p>
        </w:tc>
        <w:tc>
          <w:tcPr>
            <w:tcW w:w="1699" w:type="dxa"/>
          </w:tcPr>
          <w:p w14:paraId="00338797" w14:textId="44B38563" w:rsidR="005F7210" w:rsidRDefault="00542CED" w:rsidP="000A0C3C">
            <w:pPr>
              <w:jc w:val="right"/>
            </w:pPr>
            <w:r>
              <w:t>0.5%</w:t>
            </w:r>
          </w:p>
        </w:tc>
        <w:tc>
          <w:tcPr>
            <w:tcW w:w="1699" w:type="dxa"/>
          </w:tcPr>
          <w:p w14:paraId="53E55357" w14:textId="3836F1CB" w:rsidR="005F7210" w:rsidRDefault="00EC0ED1" w:rsidP="000A0C3C">
            <w:pPr>
              <w:jc w:val="right"/>
            </w:pPr>
            <w:r>
              <w:t>0.4%</w:t>
            </w:r>
          </w:p>
        </w:tc>
      </w:tr>
      <w:tr w:rsidR="005F7210" w14:paraId="2E9254B8" w14:textId="77777777" w:rsidTr="00457F99">
        <w:tc>
          <w:tcPr>
            <w:tcW w:w="1699" w:type="dxa"/>
            <w:vAlign w:val="bottom"/>
          </w:tcPr>
          <w:p w14:paraId="69B7077D" w14:textId="7095C557" w:rsidR="005F7210" w:rsidRPr="007C104D" w:rsidRDefault="005F7210" w:rsidP="005F7210">
            <w:pPr>
              <w:rPr>
                <w:b/>
              </w:rPr>
            </w:pPr>
            <w:r w:rsidRPr="00674327">
              <w:rPr>
                <w:rFonts w:cstheme="minorHAnsi"/>
                <w:b/>
                <w:bCs/>
                <w:color w:val="000000"/>
              </w:rPr>
              <w:t>No Religion</w:t>
            </w:r>
          </w:p>
        </w:tc>
        <w:tc>
          <w:tcPr>
            <w:tcW w:w="1699" w:type="dxa"/>
          </w:tcPr>
          <w:p w14:paraId="2DA746FD" w14:textId="31B60A38" w:rsidR="005F7210" w:rsidRDefault="008F35DE" w:rsidP="000A0C3C">
            <w:pPr>
              <w:jc w:val="right"/>
            </w:pPr>
            <w:r>
              <w:t>32.6%</w:t>
            </w:r>
          </w:p>
        </w:tc>
        <w:tc>
          <w:tcPr>
            <w:tcW w:w="1699" w:type="dxa"/>
          </w:tcPr>
          <w:p w14:paraId="055B2610" w14:textId="672E11CC" w:rsidR="005F7210" w:rsidRDefault="008F35DE" w:rsidP="000A0C3C">
            <w:pPr>
              <w:jc w:val="right"/>
            </w:pPr>
            <w:r>
              <w:t>24.6%</w:t>
            </w:r>
          </w:p>
        </w:tc>
        <w:tc>
          <w:tcPr>
            <w:tcW w:w="1699" w:type="dxa"/>
          </w:tcPr>
          <w:p w14:paraId="14CFF89A" w14:textId="447155B9" w:rsidR="005F7210" w:rsidRDefault="008F35DE" w:rsidP="000A0C3C">
            <w:pPr>
              <w:jc w:val="right"/>
            </w:pPr>
            <w:r>
              <w:t>27.7%</w:t>
            </w:r>
          </w:p>
        </w:tc>
        <w:tc>
          <w:tcPr>
            <w:tcW w:w="1699" w:type="dxa"/>
          </w:tcPr>
          <w:p w14:paraId="0980D5AF" w14:textId="76768FF8" w:rsidR="005F7210" w:rsidRDefault="008F35DE" w:rsidP="000A0C3C">
            <w:pPr>
              <w:jc w:val="right"/>
            </w:pPr>
            <w:r>
              <w:t>24.7%</w:t>
            </w:r>
          </w:p>
        </w:tc>
      </w:tr>
      <w:tr w:rsidR="005F7210" w14:paraId="4A7F0543" w14:textId="77777777" w:rsidTr="00457F99">
        <w:trPr>
          <w:cnfStyle w:val="000000100000" w:firstRow="0" w:lastRow="0" w:firstColumn="0" w:lastColumn="0" w:oddVBand="0" w:evenVBand="0" w:oddHBand="1" w:evenHBand="0" w:firstRowFirstColumn="0" w:firstRowLastColumn="0" w:lastRowFirstColumn="0" w:lastRowLastColumn="0"/>
        </w:trPr>
        <w:tc>
          <w:tcPr>
            <w:tcW w:w="1699" w:type="dxa"/>
            <w:vAlign w:val="bottom"/>
          </w:tcPr>
          <w:p w14:paraId="3EC8EEE3" w14:textId="3CC08228" w:rsidR="005F7210" w:rsidRPr="007C104D" w:rsidRDefault="005F7210" w:rsidP="005F7210">
            <w:pPr>
              <w:rPr>
                <w:b/>
              </w:rPr>
            </w:pPr>
            <w:r w:rsidRPr="00674327">
              <w:rPr>
                <w:rFonts w:cstheme="minorHAnsi"/>
                <w:b/>
                <w:bCs/>
                <w:color w:val="000000"/>
              </w:rPr>
              <w:t>Religion Not Stated</w:t>
            </w:r>
          </w:p>
        </w:tc>
        <w:tc>
          <w:tcPr>
            <w:tcW w:w="1699" w:type="dxa"/>
          </w:tcPr>
          <w:p w14:paraId="3D813E5A" w14:textId="124E95FD" w:rsidR="005F7210" w:rsidRDefault="0022502C" w:rsidP="000A0C3C">
            <w:pPr>
              <w:jc w:val="right"/>
            </w:pPr>
            <w:r>
              <w:t>5.9%</w:t>
            </w:r>
          </w:p>
        </w:tc>
        <w:tc>
          <w:tcPr>
            <w:tcW w:w="1699" w:type="dxa"/>
          </w:tcPr>
          <w:p w14:paraId="2241CBE7" w14:textId="3181FC33" w:rsidR="005F7210" w:rsidRDefault="002006CB" w:rsidP="000A0C3C">
            <w:pPr>
              <w:jc w:val="right"/>
            </w:pPr>
            <w:r>
              <w:t>7.6%</w:t>
            </w:r>
          </w:p>
        </w:tc>
        <w:tc>
          <w:tcPr>
            <w:tcW w:w="1699" w:type="dxa"/>
          </w:tcPr>
          <w:p w14:paraId="51382227" w14:textId="55BB8E62" w:rsidR="005F7210" w:rsidRDefault="00A95668" w:rsidP="000A0C3C">
            <w:pPr>
              <w:jc w:val="right"/>
            </w:pPr>
            <w:r>
              <w:t>7.4%</w:t>
            </w:r>
          </w:p>
        </w:tc>
        <w:tc>
          <w:tcPr>
            <w:tcW w:w="1699" w:type="dxa"/>
          </w:tcPr>
          <w:p w14:paraId="718305B6" w14:textId="52D9CF2E" w:rsidR="005F7210" w:rsidRDefault="00B84468" w:rsidP="000A0C3C">
            <w:pPr>
              <w:jc w:val="right"/>
            </w:pPr>
            <w:r>
              <w:t>7.2%</w:t>
            </w:r>
          </w:p>
        </w:tc>
      </w:tr>
    </w:tbl>
    <w:p w14:paraId="0242ADFD" w14:textId="77777777" w:rsidR="00251FF5" w:rsidRPr="000150E8" w:rsidRDefault="00251FF5" w:rsidP="00251FF5">
      <w:pPr>
        <w:rPr>
          <w:sz w:val="18"/>
        </w:rPr>
      </w:pPr>
      <w:r w:rsidRPr="000150E8">
        <w:rPr>
          <w:sz w:val="18"/>
        </w:rPr>
        <w:t xml:space="preserve">Source: </w:t>
      </w:r>
      <w:r>
        <w:rPr>
          <w:sz w:val="18"/>
        </w:rPr>
        <w:t>Census (2011)</w:t>
      </w:r>
    </w:p>
    <w:p w14:paraId="44BC8AB1" w14:textId="77777777" w:rsidR="003F0A8A" w:rsidRDefault="0027387C" w:rsidP="00251FF5">
      <w:r w:rsidRPr="0027387C">
        <w:t xml:space="preserve">The table </w:t>
      </w:r>
      <w:r>
        <w:t xml:space="preserve">above </w:t>
      </w:r>
      <w:r w:rsidRPr="0027387C">
        <w:t>shows</w:t>
      </w:r>
      <w:r w:rsidR="003F0A8A">
        <w:t xml:space="preserve">: </w:t>
      </w:r>
    </w:p>
    <w:p w14:paraId="1EB2924D" w14:textId="4231E3FF" w:rsidR="00DE6B98" w:rsidRDefault="0027387C" w:rsidP="003F0A8A">
      <w:pPr>
        <w:pStyle w:val="Bullet1"/>
      </w:pPr>
      <w:r w:rsidRPr="0027387C">
        <w:t xml:space="preserve"> </w:t>
      </w:r>
      <w:r w:rsidR="00DE6B98">
        <w:t>T</w:t>
      </w:r>
      <w:r w:rsidRPr="0027387C">
        <w:t xml:space="preserve">he religious makeup of </w:t>
      </w:r>
      <w:r w:rsidR="007F2B84">
        <w:t>Tangmere</w:t>
      </w:r>
      <w:r w:rsidRPr="0027387C">
        <w:t xml:space="preserve"> population is </w:t>
      </w:r>
      <w:r w:rsidR="00315547">
        <w:t xml:space="preserve">largely </w:t>
      </w:r>
      <w:r w:rsidRPr="0027387C">
        <w:t xml:space="preserve">in line with the </w:t>
      </w:r>
      <w:r w:rsidR="00315547">
        <w:t>Chichester</w:t>
      </w:r>
      <w:r w:rsidRPr="0027387C">
        <w:t xml:space="preserve"> average.</w:t>
      </w:r>
      <w:r w:rsidR="00DE6B98">
        <w:t xml:space="preserve"> </w:t>
      </w:r>
    </w:p>
    <w:p w14:paraId="50F2E5EA" w14:textId="17F28C71" w:rsidR="00AF2DE2" w:rsidRDefault="0027387C" w:rsidP="003F0A8A">
      <w:pPr>
        <w:pStyle w:val="Bullet1"/>
      </w:pPr>
      <w:r w:rsidRPr="0027387C">
        <w:t xml:space="preserve">However, the Christian population in </w:t>
      </w:r>
      <w:r w:rsidR="00C42098">
        <w:t>Tangmere</w:t>
      </w:r>
      <w:r w:rsidRPr="0027387C">
        <w:t xml:space="preserve"> (66%) is higher than </w:t>
      </w:r>
      <w:r w:rsidR="002855EA">
        <w:t xml:space="preserve">both </w:t>
      </w:r>
      <w:r w:rsidRPr="0027387C">
        <w:t xml:space="preserve">the </w:t>
      </w:r>
      <w:r w:rsidR="008700C4">
        <w:t>South East</w:t>
      </w:r>
      <w:r w:rsidRPr="0027387C">
        <w:t xml:space="preserve"> (</w:t>
      </w:r>
      <w:r w:rsidR="008700C4">
        <w:t>59</w:t>
      </w:r>
      <w:r w:rsidR="00C172B2">
        <w:t>.8%</w:t>
      </w:r>
      <w:r w:rsidRPr="0027387C">
        <w:t xml:space="preserve">%) and </w:t>
      </w:r>
      <w:r w:rsidR="00C172B2">
        <w:t>England</w:t>
      </w:r>
      <w:r w:rsidRPr="0027387C">
        <w:t xml:space="preserve"> (59</w:t>
      </w:r>
      <w:r w:rsidR="00C172B2">
        <w:t>.4</w:t>
      </w:r>
      <w:r w:rsidRPr="0027387C">
        <w:t>%) averages</w:t>
      </w:r>
      <w:r w:rsidR="002855EA">
        <w:t xml:space="preserve">. </w:t>
      </w:r>
    </w:p>
    <w:p w14:paraId="4FAF7EB0" w14:textId="77777777" w:rsidR="00AF2DE2" w:rsidRDefault="002855EA" w:rsidP="003F0A8A">
      <w:pPr>
        <w:pStyle w:val="Bullet1"/>
      </w:pPr>
      <w:r>
        <w:t>The</w:t>
      </w:r>
      <w:r w:rsidR="0027387C" w:rsidRPr="0027387C">
        <w:t xml:space="preserve"> </w:t>
      </w:r>
      <w:r w:rsidR="00E1425B">
        <w:t>Hindu</w:t>
      </w:r>
      <w:r w:rsidR="0027387C" w:rsidRPr="0027387C">
        <w:t xml:space="preserve"> population living </w:t>
      </w:r>
      <w:r w:rsidR="00FB25C2">
        <w:t>in</w:t>
      </w:r>
      <w:r w:rsidR="0027387C" w:rsidRPr="0027387C">
        <w:t xml:space="preserve"> </w:t>
      </w:r>
      <w:r w:rsidR="00E1425B">
        <w:t>Tangmere</w:t>
      </w:r>
      <w:r w:rsidR="0027387C" w:rsidRPr="0027387C">
        <w:t xml:space="preserve"> is a </w:t>
      </w:r>
      <w:r w:rsidR="00B23C76">
        <w:t>fifth</w:t>
      </w:r>
      <w:r w:rsidR="0027387C" w:rsidRPr="0027387C">
        <w:t xml:space="preserve"> of the size </w:t>
      </w:r>
      <w:r w:rsidR="00ED0801">
        <w:t xml:space="preserve">of the England average </w:t>
      </w:r>
      <w:r w:rsidR="0011162A">
        <w:t>(</w:t>
      </w:r>
      <w:r w:rsidR="004B7712">
        <w:t>0.3% compared to 1.5%</w:t>
      </w:r>
      <w:r w:rsidR="00D6335A">
        <w:t>)</w:t>
      </w:r>
      <w:r w:rsidR="00AF2DE2">
        <w:t>.</w:t>
      </w:r>
    </w:p>
    <w:p w14:paraId="7922121E" w14:textId="56B096CB" w:rsidR="00A917DF" w:rsidRDefault="00AF2DE2" w:rsidP="003F0A8A">
      <w:pPr>
        <w:pStyle w:val="Bullet1"/>
      </w:pPr>
      <w:r>
        <w:t>T</w:t>
      </w:r>
      <w:r w:rsidR="009F0E7B">
        <w:t xml:space="preserve">here </w:t>
      </w:r>
      <w:r w:rsidR="00247B6E">
        <w:t>is</w:t>
      </w:r>
      <w:r w:rsidR="009F0E7B">
        <w:t xml:space="preserve"> no Muslim </w:t>
      </w:r>
      <w:r w:rsidR="00FA4904">
        <w:t>population</w:t>
      </w:r>
      <w:r w:rsidR="00247B6E">
        <w:t xml:space="preserve"> living </w:t>
      </w:r>
      <w:r w:rsidR="004C3AA0">
        <w:t xml:space="preserve">in </w:t>
      </w:r>
      <w:r w:rsidR="00ED0801">
        <w:t>Tangmere.</w:t>
      </w:r>
      <w:r w:rsidR="00AD5667">
        <w:t xml:space="preserve"> </w:t>
      </w:r>
    </w:p>
    <w:p w14:paraId="5A687B4D" w14:textId="68D2C6D0" w:rsidR="00A93C56" w:rsidRPr="0027387C" w:rsidRDefault="00BF5B77" w:rsidP="000A0C3C">
      <w:pPr>
        <w:pStyle w:val="Bullet1"/>
      </w:pPr>
      <w:r>
        <w:t>T</w:t>
      </w:r>
      <w:r w:rsidR="00AD5667">
        <w:t xml:space="preserve">he proportion of the population </w:t>
      </w:r>
      <w:r w:rsidR="004B5D78">
        <w:t xml:space="preserve">in Tangmere </w:t>
      </w:r>
      <w:r w:rsidR="00014B73">
        <w:t xml:space="preserve">that has no religion is </w:t>
      </w:r>
      <w:r w:rsidR="00227BFF">
        <w:t>considerably</w:t>
      </w:r>
      <w:r w:rsidR="005C48C1">
        <w:t xml:space="preserve"> higher</w:t>
      </w:r>
      <w:r w:rsidR="00315905">
        <w:t xml:space="preserve"> than </w:t>
      </w:r>
      <w:r w:rsidR="00227BFF">
        <w:t xml:space="preserve">the </w:t>
      </w:r>
      <w:r w:rsidR="00F11FEE">
        <w:t>Chichester, South East and England averages</w:t>
      </w:r>
      <w:r w:rsidR="00B02F3F">
        <w:t xml:space="preserve"> (</w:t>
      </w:r>
      <w:r w:rsidR="0018209B">
        <w:t>32.6% compared to 24.6%, 27.7%</w:t>
      </w:r>
      <w:r w:rsidR="00227BFF">
        <w:t xml:space="preserve"> and</w:t>
      </w:r>
      <w:r w:rsidR="0018209B">
        <w:t xml:space="preserve"> 24.7%</w:t>
      </w:r>
      <w:r w:rsidR="00227BFF">
        <w:t>, respectively</w:t>
      </w:r>
      <w:r w:rsidR="0018209B">
        <w:t>)</w:t>
      </w:r>
      <w:r w:rsidR="00FE4106">
        <w:t>.</w:t>
      </w:r>
    </w:p>
    <w:p w14:paraId="2329B517" w14:textId="6C348548" w:rsidR="00A055A6" w:rsidRDefault="00A055A6" w:rsidP="00A055A6">
      <w:pPr>
        <w:pStyle w:val="Heading3"/>
      </w:pPr>
      <w:r>
        <w:t>Sex</w:t>
      </w:r>
    </w:p>
    <w:p w14:paraId="202908D0" w14:textId="18992726" w:rsidR="004A3827" w:rsidRPr="004A3827" w:rsidRDefault="004A3827" w:rsidP="004A3827">
      <w:r w:rsidRPr="004A3827">
        <w:t>The table</w:t>
      </w:r>
      <w:r>
        <w:t xml:space="preserve"> below</w:t>
      </w:r>
      <w:r w:rsidRPr="004A3827">
        <w:t xml:space="preserve"> shows the proportion of the population who are male and female in </w:t>
      </w:r>
      <w:r>
        <w:t>Tangmere</w:t>
      </w:r>
      <w:r w:rsidRPr="004A3827">
        <w:t xml:space="preserve"> compared to </w:t>
      </w:r>
      <w:r w:rsidR="004147AE">
        <w:t>Chichester</w:t>
      </w:r>
      <w:r w:rsidR="00345F8E">
        <w:t>, South East</w:t>
      </w:r>
      <w:r w:rsidRPr="004A3827">
        <w:t xml:space="preserve"> and England.</w:t>
      </w:r>
    </w:p>
    <w:p w14:paraId="25F2552E" w14:textId="4F029920" w:rsidR="00B01690" w:rsidRDefault="00CF6464" w:rsidP="00B01690">
      <w:pPr>
        <w:pStyle w:val="Caption"/>
      </w:pPr>
      <w:bookmarkStart w:id="32" w:name="_Toc31809587"/>
      <w:r>
        <w:t>Table</w:t>
      </w:r>
      <w:r w:rsidR="00B01690" w:rsidRPr="009C1C7C">
        <w:t xml:space="preserve"> </w:t>
      </w:r>
      <w:r w:rsidR="00B01690">
        <w:rPr>
          <w:noProof/>
        </w:rPr>
        <w:fldChar w:fldCharType="begin"/>
      </w:r>
      <w:r w:rsidR="00B01690">
        <w:rPr>
          <w:noProof/>
        </w:rPr>
        <w:instrText xml:space="preserve"> STYLEREF 1 \s </w:instrText>
      </w:r>
      <w:r w:rsidR="00B01690">
        <w:rPr>
          <w:noProof/>
        </w:rPr>
        <w:fldChar w:fldCharType="separate"/>
      </w:r>
      <w:r>
        <w:rPr>
          <w:noProof/>
        </w:rPr>
        <w:t>3</w:t>
      </w:r>
      <w:r w:rsidR="00B01690">
        <w:rPr>
          <w:noProof/>
        </w:rPr>
        <w:fldChar w:fldCharType="end"/>
      </w:r>
      <w:r w:rsidR="00B01690">
        <w:t>.</w:t>
      </w:r>
      <w:r w:rsidR="00B01690">
        <w:rPr>
          <w:noProof/>
        </w:rPr>
        <w:fldChar w:fldCharType="begin"/>
      </w:r>
      <w:r w:rsidR="00B01690">
        <w:rPr>
          <w:noProof/>
        </w:rPr>
        <w:instrText xml:space="preserve"> SEQ Table \* ARABIC \s 1 </w:instrText>
      </w:r>
      <w:r w:rsidR="00B01690">
        <w:rPr>
          <w:noProof/>
        </w:rPr>
        <w:fldChar w:fldCharType="separate"/>
      </w:r>
      <w:r>
        <w:rPr>
          <w:noProof/>
        </w:rPr>
        <w:t>6</w:t>
      </w:r>
      <w:r w:rsidR="00B01690">
        <w:rPr>
          <w:noProof/>
        </w:rPr>
        <w:fldChar w:fldCharType="end"/>
      </w:r>
      <w:r w:rsidR="00B01690" w:rsidRPr="009C1C7C">
        <w:t>:</w:t>
      </w:r>
      <w:r w:rsidR="00B01690">
        <w:t xml:space="preserve"> Population by </w:t>
      </w:r>
      <w:r w:rsidR="004A3827">
        <w:t>sex</w:t>
      </w:r>
      <w:bookmarkEnd w:id="32"/>
    </w:p>
    <w:tbl>
      <w:tblPr>
        <w:tblStyle w:val="MMTable"/>
        <w:tblW w:w="0" w:type="auto"/>
        <w:tblLook w:val="04A0" w:firstRow="1" w:lastRow="0" w:firstColumn="1" w:lastColumn="0" w:noHBand="0" w:noVBand="1"/>
      </w:tblPr>
      <w:tblGrid>
        <w:gridCol w:w="1699"/>
        <w:gridCol w:w="1699"/>
        <w:gridCol w:w="1699"/>
        <w:gridCol w:w="1699"/>
        <w:gridCol w:w="1699"/>
      </w:tblGrid>
      <w:tr w:rsidR="00566E69" w14:paraId="460C609B" w14:textId="77777777" w:rsidTr="006133BF">
        <w:trPr>
          <w:cnfStyle w:val="100000000000" w:firstRow="1" w:lastRow="0" w:firstColumn="0" w:lastColumn="0" w:oddVBand="0" w:evenVBand="0" w:oddHBand="0" w:evenHBand="0" w:firstRowFirstColumn="0" w:firstRowLastColumn="0" w:lastRowFirstColumn="0" w:lastRowLastColumn="0"/>
        </w:trPr>
        <w:tc>
          <w:tcPr>
            <w:tcW w:w="1699" w:type="dxa"/>
          </w:tcPr>
          <w:p w14:paraId="5CBA9A9A" w14:textId="77777777" w:rsidR="00B01690" w:rsidRPr="00282E94" w:rsidRDefault="00B01690" w:rsidP="00457F99">
            <w:pPr>
              <w:rPr>
                <w:b/>
                <w:color w:val="2FB6BC" w:themeColor="accent1"/>
              </w:rPr>
            </w:pPr>
            <w:r>
              <w:rPr>
                <w:b/>
                <w:color w:val="2FB6BC" w:themeColor="accent1"/>
              </w:rPr>
              <w:t>Births and fertility rate</w:t>
            </w:r>
          </w:p>
        </w:tc>
        <w:tc>
          <w:tcPr>
            <w:tcW w:w="1699" w:type="dxa"/>
          </w:tcPr>
          <w:p w14:paraId="7DC9FE6D" w14:textId="77777777" w:rsidR="00B01690" w:rsidRPr="00282E94" w:rsidRDefault="00B01690" w:rsidP="000A0C3C">
            <w:pPr>
              <w:jc w:val="right"/>
              <w:rPr>
                <w:b/>
                <w:color w:val="2FB6BC" w:themeColor="accent1"/>
              </w:rPr>
            </w:pPr>
            <w:r w:rsidRPr="00282E94">
              <w:rPr>
                <w:b/>
                <w:color w:val="2FB6BC" w:themeColor="accent1"/>
              </w:rPr>
              <w:t>Tangmere</w:t>
            </w:r>
          </w:p>
        </w:tc>
        <w:tc>
          <w:tcPr>
            <w:tcW w:w="1699" w:type="dxa"/>
          </w:tcPr>
          <w:p w14:paraId="49329ECC" w14:textId="77777777" w:rsidR="00B01690" w:rsidRPr="00282E94" w:rsidRDefault="00B01690" w:rsidP="000A0C3C">
            <w:pPr>
              <w:jc w:val="right"/>
              <w:rPr>
                <w:b/>
                <w:color w:val="2FB6BC" w:themeColor="accent1"/>
              </w:rPr>
            </w:pPr>
            <w:r w:rsidRPr="00282E94">
              <w:rPr>
                <w:b/>
                <w:color w:val="2FB6BC" w:themeColor="accent1"/>
              </w:rPr>
              <w:t>Chichester</w:t>
            </w:r>
          </w:p>
        </w:tc>
        <w:tc>
          <w:tcPr>
            <w:tcW w:w="1699" w:type="dxa"/>
          </w:tcPr>
          <w:p w14:paraId="3602D40C" w14:textId="77777777" w:rsidR="00B01690" w:rsidRPr="00282E94" w:rsidRDefault="00B01690" w:rsidP="000A0C3C">
            <w:pPr>
              <w:jc w:val="right"/>
              <w:rPr>
                <w:b/>
                <w:color w:val="2FB6BC" w:themeColor="accent1"/>
              </w:rPr>
            </w:pPr>
            <w:r w:rsidRPr="00282E94">
              <w:rPr>
                <w:b/>
                <w:color w:val="2FB6BC" w:themeColor="accent1"/>
              </w:rPr>
              <w:t>South East</w:t>
            </w:r>
          </w:p>
        </w:tc>
        <w:tc>
          <w:tcPr>
            <w:tcW w:w="1699" w:type="dxa"/>
          </w:tcPr>
          <w:p w14:paraId="258DA554" w14:textId="77777777" w:rsidR="00B01690" w:rsidRPr="00282E94" w:rsidRDefault="00B01690" w:rsidP="000A0C3C">
            <w:pPr>
              <w:jc w:val="right"/>
              <w:rPr>
                <w:b/>
                <w:color w:val="2FB6BC" w:themeColor="accent1"/>
              </w:rPr>
            </w:pPr>
            <w:r w:rsidRPr="00282E94">
              <w:rPr>
                <w:b/>
                <w:color w:val="2FB6BC" w:themeColor="accent1"/>
              </w:rPr>
              <w:t>England</w:t>
            </w:r>
          </w:p>
        </w:tc>
      </w:tr>
      <w:tr w:rsidR="00B01690" w14:paraId="5B99F896" w14:textId="77777777" w:rsidTr="00457F99">
        <w:trPr>
          <w:cnfStyle w:val="000000100000" w:firstRow="0" w:lastRow="0" w:firstColumn="0" w:lastColumn="0" w:oddVBand="0" w:evenVBand="0" w:oddHBand="1" w:evenHBand="0" w:firstRowFirstColumn="0" w:firstRowLastColumn="0" w:lastRowFirstColumn="0" w:lastRowLastColumn="0"/>
        </w:trPr>
        <w:tc>
          <w:tcPr>
            <w:tcW w:w="1699" w:type="dxa"/>
            <w:vAlign w:val="bottom"/>
          </w:tcPr>
          <w:p w14:paraId="63E2F306" w14:textId="566B9905" w:rsidR="00B01690" w:rsidRPr="007C104D" w:rsidRDefault="00B01690" w:rsidP="00457F99">
            <w:pPr>
              <w:rPr>
                <w:b/>
              </w:rPr>
            </w:pPr>
            <w:r>
              <w:rPr>
                <w:rFonts w:eastAsia="Calibri" w:cstheme="minorHAnsi"/>
                <w:b/>
                <w:color w:val="000000"/>
              </w:rPr>
              <w:t>Male</w:t>
            </w:r>
          </w:p>
        </w:tc>
        <w:tc>
          <w:tcPr>
            <w:tcW w:w="1699" w:type="dxa"/>
          </w:tcPr>
          <w:p w14:paraId="1492096B" w14:textId="19D0272E" w:rsidR="00B01690" w:rsidRDefault="005C0DA1" w:rsidP="000A0C3C">
            <w:pPr>
              <w:jc w:val="right"/>
            </w:pPr>
            <w:r>
              <w:t>48%</w:t>
            </w:r>
          </w:p>
        </w:tc>
        <w:tc>
          <w:tcPr>
            <w:tcW w:w="1699" w:type="dxa"/>
          </w:tcPr>
          <w:p w14:paraId="4180185A" w14:textId="06491C15" w:rsidR="00B01690" w:rsidRDefault="00120C95" w:rsidP="000A0C3C">
            <w:pPr>
              <w:jc w:val="right"/>
            </w:pPr>
            <w:r>
              <w:t>48%</w:t>
            </w:r>
          </w:p>
        </w:tc>
        <w:tc>
          <w:tcPr>
            <w:tcW w:w="1699" w:type="dxa"/>
          </w:tcPr>
          <w:p w14:paraId="6A32FD4C" w14:textId="2C126A55" w:rsidR="00B01690" w:rsidRDefault="00120C95" w:rsidP="000A0C3C">
            <w:pPr>
              <w:jc w:val="right"/>
            </w:pPr>
            <w:r>
              <w:t>49%</w:t>
            </w:r>
          </w:p>
        </w:tc>
        <w:tc>
          <w:tcPr>
            <w:tcW w:w="1699" w:type="dxa"/>
          </w:tcPr>
          <w:p w14:paraId="412C4D30" w14:textId="4EFFDDA0" w:rsidR="00B01690" w:rsidRDefault="00120C95" w:rsidP="000A0C3C">
            <w:pPr>
              <w:jc w:val="right"/>
            </w:pPr>
            <w:r>
              <w:t>49%</w:t>
            </w:r>
          </w:p>
        </w:tc>
      </w:tr>
      <w:tr w:rsidR="00B01690" w14:paraId="0D950B16" w14:textId="77777777" w:rsidTr="00457F99">
        <w:tc>
          <w:tcPr>
            <w:tcW w:w="1699" w:type="dxa"/>
            <w:vAlign w:val="bottom"/>
          </w:tcPr>
          <w:p w14:paraId="3CE27DA4" w14:textId="4972CB40" w:rsidR="00B01690" w:rsidRPr="007C104D" w:rsidRDefault="00B01690" w:rsidP="00457F99">
            <w:pPr>
              <w:rPr>
                <w:b/>
              </w:rPr>
            </w:pPr>
            <w:r>
              <w:rPr>
                <w:b/>
              </w:rPr>
              <w:t>Female</w:t>
            </w:r>
          </w:p>
        </w:tc>
        <w:tc>
          <w:tcPr>
            <w:tcW w:w="1699" w:type="dxa"/>
          </w:tcPr>
          <w:p w14:paraId="57FACCAD" w14:textId="08D787FA" w:rsidR="00B01690" w:rsidRDefault="00A02E4F" w:rsidP="000A0C3C">
            <w:pPr>
              <w:jc w:val="right"/>
            </w:pPr>
            <w:r>
              <w:t>52%</w:t>
            </w:r>
          </w:p>
        </w:tc>
        <w:tc>
          <w:tcPr>
            <w:tcW w:w="1699" w:type="dxa"/>
          </w:tcPr>
          <w:p w14:paraId="4B8AE95B" w14:textId="561E49BA" w:rsidR="00B01690" w:rsidRDefault="00A02E4F" w:rsidP="000A0C3C">
            <w:pPr>
              <w:jc w:val="right"/>
            </w:pPr>
            <w:r>
              <w:t>52%</w:t>
            </w:r>
          </w:p>
        </w:tc>
        <w:tc>
          <w:tcPr>
            <w:tcW w:w="1699" w:type="dxa"/>
          </w:tcPr>
          <w:p w14:paraId="2B27201A" w14:textId="30226E36" w:rsidR="00B01690" w:rsidRDefault="00A02E4F" w:rsidP="000A0C3C">
            <w:pPr>
              <w:jc w:val="right"/>
            </w:pPr>
            <w:r>
              <w:t>51%</w:t>
            </w:r>
          </w:p>
        </w:tc>
        <w:tc>
          <w:tcPr>
            <w:tcW w:w="1699" w:type="dxa"/>
          </w:tcPr>
          <w:p w14:paraId="17074955" w14:textId="61F062EC" w:rsidR="00B01690" w:rsidRDefault="00A02E4F" w:rsidP="000A0C3C">
            <w:pPr>
              <w:jc w:val="right"/>
            </w:pPr>
            <w:r>
              <w:t>51%</w:t>
            </w:r>
          </w:p>
        </w:tc>
      </w:tr>
    </w:tbl>
    <w:p w14:paraId="29D7103A" w14:textId="3F4452CA" w:rsidR="00B01690" w:rsidRPr="000150E8" w:rsidRDefault="00B01690" w:rsidP="00B01690">
      <w:pPr>
        <w:rPr>
          <w:sz w:val="18"/>
        </w:rPr>
      </w:pPr>
      <w:r w:rsidRPr="000150E8">
        <w:rPr>
          <w:sz w:val="18"/>
        </w:rPr>
        <w:t xml:space="preserve">Source: </w:t>
      </w:r>
      <w:r>
        <w:rPr>
          <w:sz w:val="18"/>
        </w:rPr>
        <w:t>Office for National Statistics (2018) Mid-Year population estimates</w:t>
      </w:r>
    </w:p>
    <w:p w14:paraId="7310447F" w14:textId="60B460C6" w:rsidR="00345F8E" w:rsidRPr="00345F8E" w:rsidRDefault="00811219" w:rsidP="00B01690">
      <w:r w:rsidRPr="00811219">
        <w:t xml:space="preserve">The </w:t>
      </w:r>
      <w:r>
        <w:t>proportion</w:t>
      </w:r>
      <w:r w:rsidRPr="00811219">
        <w:t xml:space="preserve"> of men and women in </w:t>
      </w:r>
      <w:r w:rsidR="009F15B7">
        <w:t>Tangmere</w:t>
      </w:r>
      <w:r w:rsidRPr="00811219">
        <w:t xml:space="preserve"> is in line with </w:t>
      </w:r>
      <w:r w:rsidR="00697321">
        <w:t xml:space="preserve">Chichester, South East and </w:t>
      </w:r>
      <w:r w:rsidRPr="00811219">
        <w:t>national average</w:t>
      </w:r>
      <w:r w:rsidR="009A3C5D">
        <w:t>s.</w:t>
      </w:r>
    </w:p>
    <w:p w14:paraId="7161E794" w14:textId="2BB207DB" w:rsidR="00A055A6" w:rsidRDefault="00A055A6" w:rsidP="00A055A6">
      <w:pPr>
        <w:pStyle w:val="Heading3"/>
      </w:pPr>
      <w:r>
        <w:lastRenderedPageBreak/>
        <w:t>Sexual orientation</w:t>
      </w:r>
    </w:p>
    <w:p w14:paraId="510FA698" w14:textId="00986E81" w:rsidR="00365D8E" w:rsidRDefault="00365D8E" w:rsidP="00365D8E">
      <w:r>
        <w:t xml:space="preserve">There is no data available on this protected characteristic for the study area. However, emerging experimental statistics relating to sexual identity are available nationally and at a regional level. </w:t>
      </w:r>
    </w:p>
    <w:p w14:paraId="6076F460" w14:textId="77777777" w:rsidR="00365D8E" w:rsidRPr="00E803D3" w:rsidRDefault="00365D8E" w:rsidP="00365D8E">
      <w:r w:rsidRPr="00E803D3">
        <w:t>In 2016, estimates from the Annual Population Survey (APS)</w:t>
      </w:r>
      <w:r>
        <w:rPr>
          <w:rStyle w:val="FootnoteReference"/>
        </w:rPr>
        <w:footnoteReference w:id="10"/>
      </w:r>
      <w:r w:rsidRPr="00E803D3">
        <w:t xml:space="preserve"> show</w:t>
      </w:r>
      <w:r>
        <w:t>ed that 93</w:t>
      </w:r>
      <w:r w:rsidRPr="00E803D3">
        <w:t xml:space="preserve">% of the UK population identified as </w:t>
      </w:r>
      <w:r>
        <w:t>heterosexual or straight and 2</w:t>
      </w:r>
      <w:r w:rsidRPr="00E803D3">
        <w:t>% of the population identified themselves as lesbian, gay or bisexual (LGB). This comprised of:</w:t>
      </w:r>
    </w:p>
    <w:p w14:paraId="4E89FAF0" w14:textId="77777777" w:rsidR="00365D8E" w:rsidRPr="00E803D3" w:rsidRDefault="00365D8E" w:rsidP="00365D8E">
      <w:pPr>
        <w:pStyle w:val="Bullet1"/>
        <w:numPr>
          <w:ilvl w:val="0"/>
          <w:numId w:val="35"/>
        </w:numPr>
      </w:pPr>
      <w:r w:rsidRPr="00E803D3">
        <w:t>1.2% identifying as gay or lesbian</w:t>
      </w:r>
    </w:p>
    <w:p w14:paraId="1E6CB0E4" w14:textId="77777777" w:rsidR="00365D8E" w:rsidRPr="00E803D3" w:rsidRDefault="00365D8E" w:rsidP="00365D8E">
      <w:pPr>
        <w:pStyle w:val="Bullet1"/>
        <w:numPr>
          <w:ilvl w:val="0"/>
          <w:numId w:val="35"/>
        </w:numPr>
      </w:pPr>
      <w:r w:rsidRPr="00E803D3">
        <w:t>0.8% identifying as bisexual</w:t>
      </w:r>
    </w:p>
    <w:p w14:paraId="4ACADD4A" w14:textId="77777777" w:rsidR="00365D8E" w:rsidRDefault="00365D8E" w:rsidP="00365D8E">
      <w:pPr>
        <w:pStyle w:val="Bullet1"/>
        <w:numPr>
          <w:ilvl w:val="0"/>
          <w:numId w:val="35"/>
        </w:numPr>
      </w:pPr>
      <w:r w:rsidRPr="00E803D3">
        <w:t xml:space="preserve">A further 0.5% of the population identified themselves as “Other”, which means that they did not consider themselves to fit into the heterosexual or straight, bisexual, gay or lesbian categories. </w:t>
      </w:r>
    </w:p>
    <w:p w14:paraId="63983E24" w14:textId="77777777" w:rsidR="00365D8E" w:rsidRDefault="00365D8E" w:rsidP="00365D8E">
      <w:pPr>
        <w:pStyle w:val="Bullet1"/>
        <w:numPr>
          <w:ilvl w:val="0"/>
          <w:numId w:val="35"/>
        </w:numPr>
      </w:pPr>
      <w:r w:rsidRPr="00E803D3">
        <w:t>A further 4.1% refused or did not know how to identify themselves.</w:t>
      </w:r>
      <w:r>
        <w:t xml:space="preserve"> </w:t>
      </w:r>
    </w:p>
    <w:p w14:paraId="34BDAA21" w14:textId="0DA41090" w:rsidR="00A055A6" w:rsidRDefault="0012186D" w:rsidP="00A055A6">
      <w:pPr>
        <w:pStyle w:val="Heading3"/>
      </w:pPr>
      <w:r>
        <w:t>Socio-economic data</w:t>
      </w:r>
    </w:p>
    <w:p w14:paraId="2D5B6010" w14:textId="7C070E34" w:rsidR="002D06BD" w:rsidRDefault="00CF6464" w:rsidP="002D06BD">
      <w:pPr>
        <w:pStyle w:val="Caption"/>
      </w:pPr>
      <w:bookmarkStart w:id="33" w:name="_Toc31809588"/>
      <w:r>
        <w:t>Table</w:t>
      </w:r>
      <w:r w:rsidR="002D06BD" w:rsidRPr="009C1C7C">
        <w:t xml:space="preserve"> </w:t>
      </w:r>
      <w:r w:rsidR="002D06BD">
        <w:rPr>
          <w:noProof/>
        </w:rPr>
        <w:fldChar w:fldCharType="begin"/>
      </w:r>
      <w:r w:rsidR="002D06BD">
        <w:rPr>
          <w:noProof/>
        </w:rPr>
        <w:instrText xml:space="preserve"> STYLEREF 1 \s </w:instrText>
      </w:r>
      <w:r w:rsidR="002D06BD">
        <w:rPr>
          <w:noProof/>
        </w:rPr>
        <w:fldChar w:fldCharType="separate"/>
      </w:r>
      <w:r>
        <w:rPr>
          <w:noProof/>
        </w:rPr>
        <w:t>3</w:t>
      </w:r>
      <w:r w:rsidR="002D06BD">
        <w:rPr>
          <w:noProof/>
        </w:rPr>
        <w:fldChar w:fldCharType="end"/>
      </w:r>
      <w:r w:rsidR="002D06BD">
        <w:t>.</w:t>
      </w:r>
      <w:r w:rsidR="002D06BD">
        <w:rPr>
          <w:noProof/>
        </w:rPr>
        <w:fldChar w:fldCharType="begin"/>
      </w:r>
      <w:r w:rsidR="002D06BD">
        <w:rPr>
          <w:noProof/>
        </w:rPr>
        <w:instrText xml:space="preserve"> SEQ Table \* ARABIC \s 1 </w:instrText>
      </w:r>
      <w:r w:rsidR="002D06BD">
        <w:rPr>
          <w:noProof/>
        </w:rPr>
        <w:fldChar w:fldCharType="separate"/>
      </w:r>
      <w:r>
        <w:rPr>
          <w:noProof/>
        </w:rPr>
        <w:t>7</w:t>
      </w:r>
      <w:r w:rsidR="002D06BD">
        <w:rPr>
          <w:noProof/>
        </w:rPr>
        <w:fldChar w:fldCharType="end"/>
      </w:r>
      <w:r w:rsidR="002D06BD" w:rsidRPr="009C1C7C">
        <w:t>:</w:t>
      </w:r>
      <w:r w:rsidR="002D06BD">
        <w:t xml:space="preserve"> Employment </w:t>
      </w:r>
      <w:r w:rsidR="00164C82">
        <w:t>rate of population</w:t>
      </w:r>
      <w:bookmarkEnd w:id="33"/>
    </w:p>
    <w:p w14:paraId="2948DB1D" w14:textId="3C60BE66" w:rsidR="00407BED" w:rsidRPr="00407BED" w:rsidRDefault="00407BED" w:rsidP="00407BED">
      <w:r w:rsidRPr="00407BED">
        <w:t xml:space="preserve">The table below shows the </w:t>
      </w:r>
      <w:r w:rsidR="001925B9">
        <w:t>proportion of the populations</w:t>
      </w:r>
      <w:r w:rsidR="00BD1D03">
        <w:t xml:space="preserve"> </w:t>
      </w:r>
      <w:r w:rsidR="001925B9">
        <w:t>of</w:t>
      </w:r>
      <w:r w:rsidR="001751F0">
        <w:t xml:space="preserve"> Chichester, </w:t>
      </w:r>
      <w:r w:rsidR="001925B9">
        <w:t xml:space="preserve">the </w:t>
      </w:r>
      <w:r w:rsidR="001751F0">
        <w:t>South East</w:t>
      </w:r>
      <w:r w:rsidR="00E72CF5">
        <w:t xml:space="preserve"> and England</w:t>
      </w:r>
      <w:r w:rsidR="001925B9">
        <w:t xml:space="preserve"> who are </w:t>
      </w:r>
      <w:r w:rsidR="00C1633A">
        <w:t>employed and unemployed</w:t>
      </w:r>
      <w:r w:rsidRPr="00407BED">
        <w:t>.</w:t>
      </w:r>
    </w:p>
    <w:tbl>
      <w:tblPr>
        <w:tblStyle w:val="MMTable"/>
        <w:tblW w:w="8520" w:type="dxa"/>
        <w:tblLook w:val="04A0" w:firstRow="1" w:lastRow="0" w:firstColumn="1" w:lastColumn="0" w:noHBand="0" w:noVBand="1"/>
      </w:tblPr>
      <w:tblGrid>
        <w:gridCol w:w="3319"/>
        <w:gridCol w:w="1817"/>
        <w:gridCol w:w="1653"/>
        <w:gridCol w:w="1731"/>
      </w:tblGrid>
      <w:tr w:rsidR="00566E69" w14:paraId="0C9D047F" w14:textId="77777777" w:rsidTr="00622999">
        <w:trPr>
          <w:cnfStyle w:val="100000000000" w:firstRow="1" w:lastRow="0" w:firstColumn="0" w:lastColumn="0" w:oddVBand="0" w:evenVBand="0" w:oddHBand="0" w:evenHBand="0" w:firstRowFirstColumn="0" w:firstRowLastColumn="0" w:lastRowFirstColumn="0" w:lastRowLastColumn="0"/>
          <w:trHeight w:val="411"/>
        </w:trPr>
        <w:tc>
          <w:tcPr>
            <w:tcW w:w="3319" w:type="dxa"/>
          </w:tcPr>
          <w:p w14:paraId="25810953" w14:textId="6DCDAF5C" w:rsidR="00622999" w:rsidRPr="00282E94" w:rsidRDefault="00622999" w:rsidP="00457F99">
            <w:pPr>
              <w:rPr>
                <w:b/>
                <w:color w:val="2FB6BC" w:themeColor="accent1"/>
              </w:rPr>
            </w:pPr>
            <w:r>
              <w:rPr>
                <w:b/>
                <w:color w:val="2FB6BC" w:themeColor="accent1"/>
              </w:rPr>
              <w:t>Employment status</w:t>
            </w:r>
          </w:p>
        </w:tc>
        <w:tc>
          <w:tcPr>
            <w:tcW w:w="1817" w:type="dxa"/>
          </w:tcPr>
          <w:p w14:paraId="1F366E94" w14:textId="77777777" w:rsidR="00622999" w:rsidRPr="00282E94" w:rsidRDefault="00622999" w:rsidP="000A0C3C">
            <w:pPr>
              <w:jc w:val="right"/>
              <w:rPr>
                <w:b/>
                <w:color w:val="2FB6BC" w:themeColor="accent1"/>
              </w:rPr>
            </w:pPr>
            <w:r w:rsidRPr="00282E94">
              <w:rPr>
                <w:b/>
                <w:color w:val="2FB6BC" w:themeColor="accent1"/>
              </w:rPr>
              <w:t>Chichester</w:t>
            </w:r>
          </w:p>
        </w:tc>
        <w:tc>
          <w:tcPr>
            <w:tcW w:w="1653" w:type="dxa"/>
          </w:tcPr>
          <w:p w14:paraId="063CF571" w14:textId="77777777" w:rsidR="00622999" w:rsidRPr="00282E94" w:rsidRDefault="00622999" w:rsidP="000A0C3C">
            <w:pPr>
              <w:jc w:val="right"/>
              <w:rPr>
                <w:b/>
                <w:color w:val="2FB6BC" w:themeColor="accent1"/>
              </w:rPr>
            </w:pPr>
            <w:r w:rsidRPr="00282E94">
              <w:rPr>
                <w:b/>
                <w:color w:val="2FB6BC" w:themeColor="accent1"/>
              </w:rPr>
              <w:t>South East</w:t>
            </w:r>
          </w:p>
        </w:tc>
        <w:tc>
          <w:tcPr>
            <w:tcW w:w="1731" w:type="dxa"/>
          </w:tcPr>
          <w:p w14:paraId="6BA0A313" w14:textId="77777777" w:rsidR="00622999" w:rsidRPr="00282E94" w:rsidRDefault="00622999" w:rsidP="000A0C3C">
            <w:pPr>
              <w:jc w:val="right"/>
              <w:rPr>
                <w:b/>
                <w:color w:val="2FB6BC" w:themeColor="accent1"/>
              </w:rPr>
            </w:pPr>
            <w:r w:rsidRPr="00282E94">
              <w:rPr>
                <w:b/>
                <w:color w:val="2FB6BC" w:themeColor="accent1"/>
              </w:rPr>
              <w:t>England</w:t>
            </w:r>
          </w:p>
        </w:tc>
      </w:tr>
      <w:tr w:rsidR="00622999" w14:paraId="55953D3D" w14:textId="77777777" w:rsidTr="00622999">
        <w:trPr>
          <w:cnfStyle w:val="000000100000" w:firstRow="0" w:lastRow="0" w:firstColumn="0" w:lastColumn="0" w:oddVBand="0" w:evenVBand="0" w:oddHBand="1" w:evenHBand="0" w:firstRowFirstColumn="0" w:firstRowLastColumn="0" w:lastRowFirstColumn="0" w:lastRowLastColumn="0"/>
          <w:trHeight w:val="357"/>
        </w:trPr>
        <w:tc>
          <w:tcPr>
            <w:tcW w:w="3319" w:type="dxa"/>
          </w:tcPr>
          <w:p w14:paraId="7EC22186" w14:textId="235335AA" w:rsidR="00622999" w:rsidRPr="007C104D" w:rsidRDefault="00622999" w:rsidP="00E05C50">
            <w:pPr>
              <w:rPr>
                <w:b/>
              </w:rPr>
            </w:pPr>
            <w:r>
              <w:rPr>
                <w:rFonts w:cs="Arial"/>
                <w:color w:val="000000"/>
              </w:rPr>
              <w:t xml:space="preserve">% </w:t>
            </w:r>
            <w:r w:rsidRPr="00C21CB0">
              <w:rPr>
                <w:rFonts w:cs="Arial"/>
                <w:color w:val="000000"/>
              </w:rPr>
              <w:t xml:space="preserve">Employment rate </w:t>
            </w:r>
            <w:r w:rsidR="008F575B">
              <w:rPr>
                <w:rFonts w:cs="Arial"/>
                <w:color w:val="000000"/>
              </w:rPr>
              <w:t xml:space="preserve">(% </w:t>
            </w:r>
            <w:r w:rsidRPr="00C21CB0">
              <w:rPr>
                <w:rFonts w:cs="Arial"/>
                <w:color w:val="000000"/>
              </w:rPr>
              <w:t>16-64</w:t>
            </w:r>
            <w:r w:rsidR="006E5733">
              <w:rPr>
                <w:rFonts w:cs="Arial"/>
                <w:color w:val="000000"/>
              </w:rPr>
              <w:t xml:space="preserve"> year olds)</w:t>
            </w:r>
          </w:p>
        </w:tc>
        <w:tc>
          <w:tcPr>
            <w:tcW w:w="1817" w:type="dxa"/>
          </w:tcPr>
          <w:p w14:paraId="54E014D9" w14:textId="1987229F" w:rsidR="00622999" w:rsidRDefault="001A7827" w:rsidP="000A0C3C">
            <w:pPr>
              <w:jc w:val="right"/>
            </w:pPr>
            <w:r>
              <w:t>82.1%</w:t>
            </w:r>
          </w:p>
        </w:tc>
        <w:tc>
          <w:tcPr>
            <w:tcW w:w="1653" w:type="dxa"/>
          </w:tcPr>
          <w:p w14:paraId="338CAB5D" w14:textId="6521A032" w:rsidR="00622999" w:rsidRDefault="005448B5" w:rsidP="000A0C3C">
            <w:pPr>
              <w:jc w:val="right"/>
            </w:pPr>
            <w:r>
              <w:t>78%</w:t>
            </w:r>
          </w:p>
        </w:tc>
        <w:tc>
          <w:tcPr>
            <w:tcW w:w="1731" w:type="dxa"/>
          </w:tcPr>
          <w:p w14:paraId="3696E328" w14:textId="44BA81C1" w:rsidR="00622999" w:rsidRDefault="00980850" w:rsidP="000A0C3C">
            <w:pPr>
              <w:jc w:val="right"/>
            </w:pPr>
            <w:r>
              <w:t>75.4%</w:t>
            </w:r>
          </w:p>
        </w:tc>
      </w:tr>
      <w:tr w:rsidR="00622999" w14:paraId="6EA25324" w14:textId="77777777" w:rsidTr="00622999">
        <w:trPr>
          <w:trHeight w:val="368"/>
        </w:trPr>
        <w:tc>
          <w:tcPr>
            <w:tcW w:w="3319" w:type="dxa"/>
          </w:tcPr>
          <w:p w14:paraId="595B207B" w14:textId="21880F26" w:rsidR="00622999" w:rsidRPr="007C104D" w:rsidRDefault="00622999" w:rsidP="00E05C50">
            <w:pPr>
              <w:rPr>
                <w:b/>
              </w:rPr>
            </w:pPr>
            <w:r>
              <w:rPr>
                <w:rFonts w:cs="Arial"/>
                <w:color w:val="000000"/>
              </w:rPr>
              <w:t xml:space="preserve">% </w:t>
            </w:r>
            <w:r w:rsidR="006E5733">
              <w:rPr>
                <w:rFonts w:cs="Arial"/>
                <w:color w:val="000000"/>
              </w:rPr>
              <w:t>Une</w:t>
            </w:r>
            <w:r w:rsidRPr="00C21CB0">
              <w:rPr>
                <w:rFonts w:cs="Arial"/>
                <w:color w:val="000000"/>
              </w:rPr>
              <w:t xml:space="preserve">mployment rate </w:t>
            </w:r>
            <w:r w:rsidR="006E5733">
              <w:rPr>
                <w:rFonts w:cs="Arial"/>
                <w:color w:val="000000"/>
              </w:rPr>
              <w:t xml:space="preserve">(% </w:t>
            </w:r>
            <w:r w:rsidRPr="00C21CB0">
              <w:rPr>
                <w:rFonts w:cs="Arial"/>
                <w:color w:val="000000"/>
              </w:rPr>
              <w:t xml:space="preserve">16-64 </w:t>
            </w:r>
            <w:r w:rsidR="00003731">
              <w:rPr>
                <w:rFonts w:cs="Arial"/>
                <w:color w:val="000000"/>
              </w:rPr>
              <w:t>year olds)</w:t>
            </w:r>
          </w:p>
        </w:tc>
        <w:tc>
          <w:tcPr>
            <w:tcW w:w="1817" w:type="dxa"/>
          </w:tcPr>
          <w:p w14:paraId="69432F62" w14:textId="46758D65" w:rsidR="00622999" w:rsidRDefault="009C6730" w:rsidP="000A0C3C">
            <w:pPr>
              <w:jc w:val="right"/>
            </w:pPr>
            <w:r>
              <w:t>3.8%</w:t>
            </w:r>
          </w:p>
        </w:tc>
        <w:tc>
          <w:tcPr>
            <w:tcW w:w="1653" w:type="dxa"/>
          </w:tcPr>
          <w:p w14:paraId="517DBCF5" w14:textId="22C8B5A2" w:rsidR="00622999" w:rsidRDefault="005448B5" w:rsidP="000A0C3C">
            <w:pPr>
              <w:jc w:val="right"/>
            </w:pPr>
            <w:r>
              <w:t>3.5%</w:t>
            </w:r>
          </w:p>
        </w:tc>
        <w:tc>
          <w:tcPr>
            <w:tcW w:w="1731" w:type="dxa"/>
          </w:tcPr>
          <w:p w14:paraId="5FC6F498" w14:textId="1E703573" w:rsidR="00622999" w:rsidRDefault="00535895" w:rsidP="000A0C3C">
            <w:pPr>
              <w:jc w:val="right"/>
            </w:pPr>
            <w:r>
              <w:t>4.2%</w:t>
            </w:r>
          </w:p>
        </w:tc>
      </w:tr>
    </w:tbl>
    <w:p w14:paraId="645C89CE" w14:textId="3C083181" w:rsidR="002D06BD" w:rsidRPr="000150E8" w:rsidRDefault="002D06BD" w:rsidP="002D06BD">
      <w:pPr>
        <w:rPr>
          <w:sz w:val="18"/>
        </w:rPr>
      </w:pPr>
      <w:r w:rsidRPr="000150E8">
        <w:rPr>
          <w:sz w:val="18"/>
        </w:rPr>
        <w:t xml:space="preserve">Source: </w:t>
      </w:r>
      <w:r>
        <w:rPr>
          <w:sz w:val="18"/>
        </w:rPr>
        <w:t xml:space="preserve">Office for National Statistics (2018) </w:t>
      </w:r>
      <w:r w:rsidR="008C6DB2">
        <w:rPr>
          <w:sz w:val="18"/>
        </w:rPr>
        <w:t>Annual Population Survey</w:t>
      </w:r>
    </w:p>
    <w:p w14:paraId="566900FA" w14:textId="561D92BB" w:rsidR="0012186D" w:rsidRDefault="001751F0" w:rsidP="0012186D">
      <w:r w:rsidRPr="001751F0">
        <w:t xml:space="preserve">The table above shows that </w:t>
      </w:r>
      <w:r w:rsidR="001137AE">
        <w:t>the employment rate in Chichester (82.1%) is slightly higher than both the South East (78%) and England (75.4%) averages.</w:t>
      </w:r>
      <w:r w:rsidR="0029168B">
        <w:t xml:space="preserve"> The unemployment rate </w:t>
      </w:r>
      <w:r w:rsidR="00D92218">
        <w:t xml:space="preserve">in Chichester </w:t>
      </w:r>
      <w:r w:rsidR="0029168B">
        <w:t xml:space="preserve">is in line with </w:t>
      </w:r>
      <w:r w:rsidR="00D92218">
        <w:t xml:space="preserve">both the </w:t>
      </w:r>
      <w:r w:rsidR="003125BE">
        <w:t>region and national averages</w:t>
      </w:r>
      <w:r w:rsidRPr="001751F0">
        <w:t>.</w:t>
      </w:r>
    </w:p>
    <w:p w14:paraId="1A13DF12" w14:textId="30DF3823" w:rsidR="00452142" w:rsidRDefault="00452142" w:rsidP="00067C12">
      <w:pPr>
        <w:pStyle w:val="Heading2"/>
      </w:pPr>
      <w:r>
        <w:t>Summary</w:t>
      </w:r>
    </w:p>
    <w:p w14:paraId="4792F3D0" w14:textId="4899D632" w:rsidR="007706DF" w:rsidRPr="0012186D" w:rsidRDefault="00452142" w:rsidP="0012186D">
      <w:r>
        <w:t>Table 3.8</w:t>
      </w:r>
      <w:r w:rsidR="007706DF">
        <w:t xml:space="preserve"> below </w:t>
      </w:r>
      <w:r w:rsidR="00DC2291">
        <w:t xml:space="preserve">demonstrates where demographic groups </w:t>
      </w:r>
      <w:r w:rsidR="009B5F20">
        <w:t>in Tangmere are</w:t>
      </w:r>
      <w:r w:rsidR="007A2C6D">
        <w:t xml:space="preserve"> under or over-represented </w:t>
      </w:r>
      <w:r w:rsidR="006B6067">
        <w:t>when compared to the regional and national averages, where this data is available.</w:t>
      </w:r>
      <w:r w:rsidR="007706DF">
        <w:t xml:space="preserve"> </w:t>
      </w:r>
    </w:p>
    <w:p w14:paraId="58DC2946" w14:textId="1CC664DE" w:rsidR="007B20BD" w:rsidRDefault="00CF6464" w:rsidP="00C373C4">
      <w:pPr>
        <w:pStyle w:val="Caption"/>
      </w:pPr>
      <w:bookmarkStart w:id="34" w:name="_Toc31809589"/>
      <w:r>
        <w:t>Table</w:t>
      </w:r>
      <w:r w:rsidR="00C373C4" w:rsidRPr="009C1C7C">
        <w:t xml:space="preserve"> </w:t>
      </w:r>
      <w:r w:rsidR="00C373C4">
        <w:rPr>
          <w:noProof/>
        </w:rPr>
        <w:fldChar w:fldCharType="begin"/>
      </w:r>
      <w:r w:rsidR="00C373C4">
        <w:rPr>
          <w:noProof/>
        </w:rPr>
        <w:instrText xml:space="preserve"> STYLEREF 1 \s </w:instrText>
      </w:r>
      <w:r w:rsidR="00C373C4">
        <w:rPr>
          <w:noProof/>
        </w:rPr>
        <w:fldChar w:fldCharType="separate"/>
      </w:r>
      <w:r>
        <w:rPr>
          <w:noProof/>
        </w:rPr>
        <w:t>3</w:t>
      </w:r>
      <w:r w:rsidR="00C373C4">
        <w:rPr>
          <w:noProof/>
        </w:rPr>
        <w:fldChar w:fldCharType="end"/>
      </w:r>
      <w:r w:rsidR="00C373C4">
        <w:t>.</w:t>
      </w:r>
      <w:r w:rsidR="00C373C4">
        <w:rPr>
          <w:noProof/>
        </w:rPr>
        <w:fldChar w:fldCharType="begin"/>
      </w:r>
      <w:r w:rsidR="00C373C4">
        <w:rPr>
          <w:noProof/>
        </w:rPr>
        <w:instrText xml:space="preserve"> SEQ Table \* ARABIC \s 1 </w:instrText>
      </w:r>
      <w:r w:rsidR="00C373C4">
        <w:rPr>
          <w:noProof/>
        </w:rPr>
        <w:fldChar w:fldCharType="separate"/>
      </w:r>
      <w:r>
        <w:rPr>
          <w:noProof/>
        </w:rPr>
        <w:t>8</w:t>
      </w:r>
      <w:r w:rsidR="00C373C4">
        <w:rPr>
          <w:noProof/>
        </w:rPr>
        <w:fldChar w:fldCharType="end"/>
      </w:r>
      <w:r w:rsidR="00C373C4" w:rsidRPr="009C1C7C">
        <w:t>:</w:t>
      </w:r>
      <w:r w:rsidR="00C373C4">
        <w:t xml:space="preserve"> </w:t>
      </w:r>
      <w:r w:rsidR="00A90A6E" w:rsidRPr="00A90A6E">
        <w:t>Summary of demographic groups</w:t>
      </w:r>
      <w:bookmarkEnd w:id="34"/>
    </w:p>
    <w:tbl>
      <w:tblPr>
        <w:tblStyle w:val="MMTable1"/>
        <w:tblW w:w="5000" w:type="pct"/>
        <w:tblLook w:val="04A0" w:firstRow="1" w:lastRow="0" w:firstColumn="1" w:lastColumn="0" w:noHBand="0" w:noVBand="1"/>
      </w:tblPr>
      <w:tblGrid>
        <w:gridCol w:w="2140"/>
        <w:gridCol w:w="2717"/>
        <w:gridCol w:w="1933"/>
        <w:gridCol w:w="1931"/>
      </w:tblGrid>
      <w:tr w:rsidR="00C71470" w:rsidRPr="003140FF" w14:paraId="6BD0F8C9" w14:textId="77777777" w:rsidTr="008A19C4">
        <w:trPr>
          <w:cnfStyle w:val="100000000000" w:firstRow="1" w:lastRow="0" w:firstColumn="0" w:lastColumn="0" w:oddVBand="0" w:evenVBand="0" w:oddHBand="0" w:evenHBand="0" w:firstRowFirstColumn="0" w:firstRowLastColumn="0" w:lastRowFirstColumn="0" w:lastRowLastColumn="0"/>
        </w:trPr>
        <w:tc>
          <w:tcPr>
            <w:tcW w:w="2785" w:type="pct"/>
            <w:gridSpan w:val="2"/>
          </w:tcPr>
          <w:p w14:paraId="75BB3819" w14:textId="77777777" w:rsidR="003140FF" w:rsidRPr="003140FF" w:rsidRDefault="003140FF" w:rsidP="003140FF">
            <w:pPr>
              <w:keepNext/>
              <w:spacing w:before="40" w:line="240" w:lineRule="auto"/>
              <w:ind w:right="113"/>
              <w:rPr>
                <w:rFonts w:eastAsia="SimSun" w:cs="Arial"/>
                <w:b/>
                <w:bCs/>
                <w:color w:val="2FB6BC"/>
                <w:sz w:val="18"/>
                <w:szCs w:val="18"/>
              </w:rPr>
            </w:pPr>
            <w:r w:rsidRPr="003140FF">
              <w:rPr>
                <w:rFonts w:eastAsia="SimSun" w:cs="Arial"/>
                <w:b/>
                <w:bCs/>
                <w:color w:val="2FB6BC"/>
                <w:sz w:val="18"/>
                <w:szCs w:val="18"/>
              </w:rPr>
              <w:t>Protected characteristic group</w:t>
            </w:r>
          </w:p>
        </w:tc>
        <w:tc>
          <w:tcPr>
            <w:tcW w:w="1108" w:type="pct"/>
            <w:vAlign w:val="center"/>
          </w:tcPr>
          <w:p w14:paraId="2A641138" w14:textId="77777777" w:rsidR="003140FF" w:rsidRPr="003140FF" w:rsidRDefault="003140FF" w:rsidP="003140FF">
            <w:pPr>
              <w:keepNext/>
              <w:spacing w:before="40" w:line="240" w:lineRule="auto"/>
              <w:jc w:val="center"/>
              <w:rPr>
                <w:rFonts w:eastAsia="SimSun" w:cs="Arial"/>
                <w:b/>
                <w:bCs/>
                <w:color w:val="2FB6BC"/>
                <w:sz w:val="18"/>
                <w:szCs w:val="18"/>
              </w:rPr>
            </w:pPr>
            <w:r w:rsidRPr="003140FF">
              <w:rPr>
                <w:rFonts w:eastAsia="SimSun" w:cs="Arial"/>
                <w:b/>
                <w:bCs/>
                <w:color w:val="2FB6BC"/>
                <w:sz w:val="18"/>
                <w:szCs w:val="18"/>
              </w:rPr>
              <w:t>Regional average</w:t>
            </w:r>
          </w:p>
        </w:tc>
        <w:tc>
          <w:tcPr>
            <w:tcW w:w="1107" w:type="pct"/>
            <w:vAlign w:val="center"/>
          </w:tcPr>
          <w:p w14:paraId="5BF547D1" w14:textId="77777777" w:rsidR="003140FF" w:rsidRPr="003140FF" w:rsidRDefault="003140FF" w:rsidP="003140FF">
            <w:pPr>
              <w:keepNext/>
              <w:spacing w:before="40" w:line="240" w:lineRule="auto"/>
              <w:jc w:val="center"/>
              <w:rPr>
                <w:rFonts w:eastAsia="SimSun" w:cs="Arial"/>
                <w:b/>
                <w:bCs/>
                <w:color w:val="2FB6BC"/>
                <w:sz w:val="18"/>
                <w:szCs w:val="18"/>
              </w:rPr>
            </w:pPr>
            <w:r w:rsidRPr="003140FF">
              <w:rPr>
                <w:rFonts w:eastAsia="SimSun" w:cs="Arial"/>
                <w:b/>
                <w:bCs/>
                <w:color w:val="2FB6BC"/>
                <w:sz w:val="18"/>
                <w:szCs w:val="18"/>
              </w:rPr>
              <w:t>National average</w:t>
            </w:r>
          </w:p>
        </w:tc>
      </w:tr>
      <w:tr w:rsidR="003140FF" w:rsidRPr="003140FF" w14:paraId="4655B722" w14:textId="77777777" w:rsidTr="000A0C3C">
        <w:trPr>
          <w:cnfStyle w:val="000000100000" w:firstRow="0" w:lastRow="0" w:firstColumn="0" w:lastColumn="0" w:oddVBand="0" w:evenVBand="0" w:oddHBand="1" w:evenHBand="0" w:firstRowFirstColumn="0" w:firstRowLastColumn="0" w:lastRowFirstColumn="0" w:lastRowLastColumn="0"/>
        </w:trPr>
        <w:tc>
          <w:tcPr>
            <w:tcW w:w="0" w:type="pct"/>
            <w:vMerge w:val="restart"/>
          </w:tcPr>
          <w:p w14:paraId="4AE52B62"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Age</w:t>
            </w:r>
          </w:p>
        </w:tc>
        <w:tc>
          <w:tcPr>
            <w:tcW w:w="0" w:type="pct"/>
          </w:tcPr>
          <w:p w14:paraId="54BE2BE3"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Children</w:t>
            </w:r>
          </w:p>
        </w:tc>
        <w:tc>
          <w:tcPr>
            <w:tcW w:w="0" w:type="pct"/>
            <w:shd w:val="clear" w:color="auto" w:fill="FF0000"/>
            <w:vAlign w:val="center"/>
          </w:tcPr>
          <w:p w14:paraId="1EA682C7" w14:textId="6FD38404" w:rsidR="003140FF" w:rsidRPr="005E032F" w:rsidRDefault="003610F5" w:rsidP="003140FF">
            <w:pPr>
              <w:jc w:val="center"/>
              <w:rPr>
                <w:rFonts w:eastAsia="SimSun" w:cs="Arial"/>
                <w:b/>
                <w:bCs/>
                <w:color w:val="000000"/>
                <w:highlight w:val="red"/>
              </w:rPr>
            </w:pPr>
            <w:r w:rsidRPr="005E032F">
              <w:rPr>
                <w:rFonts w:eastAsia="SimSun" w:cs="Arial"/>
                <w:b/>
                <w:bCs/>
                <w:color w:val="000000"/>
                <w:highlight w:val="red"/>
              </w:rPr>
              <w:t>Above average</w:t>
            </w:r>
          </w:p>
        </w:tc>
        <w:tc>
          <w:tcPr>
            <w:tcW w:w="0" w:type="pct"/>
            <w:shd w:val="clear" w:color="auto" w:fill="FF0000"/>
            <w:vAlign w:val="center"/>
          </w:tcPr>
          <w:p w14:paraId="74F3C190" w14:textId="207C9347" w:rsidR="003140FF" w:rsidRPr="005E032F" w:rsidRDefault="003610F5" w:rsidP="003140FF">
            <w:pPr>
              <w:jc w:val="center"/>
              <w:rPr>
                <w:rFonts w:eastAsia="SimSun" w:cs="Arial"/>
                <w:b/>
                <w:bCs/>
                <w:color w:val="000000"/>
                <w:highlight w:val="red"/>
              </w:rPr>
            </w:pPr>
            <w:r w:rsidRPr="005E032F">
              <w:rPr>
                <w:rFonts w:eastAsia="SimSun" w:cs="Arial"/>
                <w:b/>
                <w:bCs/>
                <w:color w:val="000000"/>
                <w:highlight w:val="red"/>
              </w:rPr>
              <w:t>Above average</w:t>
            </w:r>
          </w:p>
        </w:tc>
      </w:tr>
      <w:tr w:rsidR="003140FF" w:rsidRPr="003140FF" w14:paraId="57FD84ED" w14:textId="77777777" w:rsidTr="000A0C3C">
        <w:tc>
          <w:tcPr>
            <w:tcW w:w="0" w:type="pct"/>
            <w:vMerge/>
          </w:tcPr>
          <w:p w14:paraId="615F7D13" w14:textId="77777777" w:rsidR="003140FF" w:rsidRPr="003140FF" w:rsidRDefault="003140FF" w:rsidP="003140FF">
            <w:pPr>
              <w:spacing w:before="40" w:line="240" w:lineRule="auto"/>
              <w:ind w:right="113"/>
              <w:rPr>
                <w:rFonts w:eastAsia="Calibri" w:cs="Arial"/>
                <w:b/>
                <w:color w:val="000000"/>
              </w:rPr>
            </w:pPr>
          </w:p>
        </w:tc>
        <w:tc>
          <w:tcPr>
            <w:tcW w:w="0" w:type="pct"/>
          </w:tcPr>
          <w:p w14:paraId="274E270F"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Younger people</w:t>
            </w:r>
          </w:p>
        </w:tc>
        <w:tc>
          <w:tcPr>
            <w:tcW w:w="0" w:type="pct"/>
            <w:shd w:val="clear" w:color="auto" w:fill="FFC000"/>
            <w:vAlign w:val="center"/>
          </w:tcPr>
          <w:p w14:paraId="7C3D262A" w14:textId="77777777" w:rsidR="003140FF" w:rsidRPr="005E032F" w:rsidRDefault="003140FF" w:rsidP="003140FF">
            <w:pPr>
              <w:jc w:val="center"/>
              <w:rPr>
                <w:rFonts w:eastAsia="SimSun" w:cs="Arial"/>
                <w:b/>
                <w:bCs/>
                <w:color w:val="000000"/>
              </w:rPr>
            </w:pPr>
            <w:r w:rsidRPr="005E032F">
              <w:rPr>
                <w:rFonts w:eastAsia="SimSun" w:cs="Arial"/>
                <w:b/>
                <w:bCs/>
                <w:color w:val="000000"/>
              </w:rPr>
              <w:t>In line</w:t>
            </w:r>
          </w:p>
        </w:tc>
        <w:tc>
          <w:tcPr>
            <w:tcW w:w="0" w:type="pct"/>
            <w:shd w:val="clear" w:color="auto" w:fill="FFC000"/>
            <w:vAlign w:val="center"/>
          </w:tcPr>
          <w:p w14:paraId="50EE108B" w14:textId="77777777" w:rsidR="003140FF" w:rsidRPr="005E032F" w:rsidRDefault="003140FF" w:rsidP="003140FF">
            <w:pPr>
              <w:jc w:val="center"/>
              <w:rPr>
                <w:rFonts w:eastAsia="SimSun" w:cs="Arial"/>
                <w:b/>
                <w:bCs/>
                <w:color w:val="000000"/>
              </w:rPr>
            </w:pPr>
            <w:r w:rsidRPr="005E032F">
              <w:rPr>
                <w:rFonts w:eastAsia="SimSun" w:cs="Arial"/>
                <w:b/>
                <w:bCs/>
                <w:color w:val="000000"/>
              </w:rPr>
              <w:t>In line</w:t>
            </w:r>
          </w:p>
        </w:tc>
      </w:tr>
      <w:tr w:rsidR="003140FF" w:rsidRPr="003140FF" w14:paraId="136C1264" w14:textId="77777777" w:rsidTr="000A0C3C">
        <w:trPr>
          <w:cnfStyle w:val="000000100000" w:firstRow="0" w:lastRow="0" w:firstColumn="0" w:lastColumn="0" w:oddVBand="0" w:evenVBand="0" w:oddHBand="1" w:evenHBand="0" w:firstRowFirstColumn="0" w:firstRowLastColumn="0" w:lastRowFirstColumn="0" w:lastRowLastColumn="0"/>
        </w:trPr>
        <w:tc>
          <w:tcPr>
            <w:tcW w:w="0" w:type="pct"/>
            <w:vMerge/>
          </w:tcPr>
          <w:p w14:paraId="33E16F89" w14:textId="77777777" w:rsidR="003140FF" w:rsidRPr="003140FF" w:rsidRDefault="003140FF" w:rsidP="003140FF">
            <w:pPr>
              <w:spacing w:before="40" w:line="240" w:lineRule="auto"/>
              <w:ind w:right="113"/>
              <w:rPr>
                <w:rFonts w:eastAsia="Calibri" w:cs="Arial"/>
                <w:b/>
                <w:color w:val="000000"/>
              </w:rPr>
            </w:pPr>
          </w:p>
        </w:tc>
        <w:tc>
          <w:tcPr>
            <w:tcW w:w="0" w:type="pct"/>
          </w:tcPr>
          <w:p w14:paraId="6A80A2C6"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Working age</w:t>
            </w:r>
          </w:p>
        </w:tc>
        <w:tc>
          <w:tcPr>
            <w:tcW w:w="0" w:type="pct"/>
            <w:shd w:val="clear" w:color="auto" w:fill="FFC000"/>
            <w:vAlign w:val="center"/>
          </w:tcPr>
          <w:p w14:paraId="63F1751F" w14:textId="77777777" w:rsidR="003140FF" w:rsidRPr="005E032F" w:rsidRDefault="003140FF" w:rsidP="003140FF">
            <w:pPr>
              <w:jc w:val="center"/>
              <w:rPr>
                <w:rFonts w:eastAsia="SimSun" w:cs="Arial"/>
                <w:b/>
                <w:bCs/>
                <w:color w:val="000000"/>
              </w:rPr>
            </w:pPr>
            <w:r w:rsidRPr="005E032F">
              <w:rPr>
                <w:rFonts w:eastAsia="SimSun" w:cs="Arial"/>
                <w:b/>
                <w:bCs/>
                <w:color w:val="000000"/>
              </w:rPr>
              <w:t>In line</w:t>
            </w:r>
          </w:p>
        </w:tc>
        <w:tc>
          <w:tcPr>
            <w:tcW w:w="0" w:type="pct"/>
            <w:shd w:val="clear" w:color="auto" w:fill="FFC000"/>
            <w:vAlign w:val="center"/>
          </w:tcPr>
          <w:p w14:paraId="41271561" w14:textId="77777777" w:rsidR="003140FF" w:rsidRPr="005E032F" w:rsidRDefault="003140FF" w:rsidP="003140FF">
            <w:pPr>
              <w:jc w:val="center"/>
              <w:rPr>
                <w:rFonts w:eastAsia="SimSun" w:cs="Arial"/>
                <w:b/>
                <w:bCs/>
                <w:color w:val="000000"/>
              </w:rPr>
            </w:pPr>
            <w:r w:rsidRPr="005E032F">
              <w:rPr>
                <w:rFonts w:eastAsia="SimSun" w:cs="Arial"/>
                <w:b/>
                <w:bCs/>
                <w:color w:val="000000"/>
              </w:rPr>
              <w:t>In line</w:t>
            </w:r>
          </w:p>
        </w:tc>
      </w:tr>
      <w:tr w:rsidR="003140FF" w:rsidRPr="003140FF" w14:paraId="093E56A7" w14:textId="77777777" w:rsidTr="000A0C3C">
        <w:tc>
          <w:tcPr>
            <w:tcW w:w="0" w:type="pct"/>
            <w:vMerge/>
          </w:tcPr>
          <w:p w14:paraId="340A4C3D" w14:textId="77777777" w:rsidR="003140FF" w:rsidRPr="003140FF" w:rsidRDefault="003140FF" w:rsidP="003140FF">
            <w:pPr>
              <w:spacing w:before="40" w:line="240" w:lineRule="auto"/>
              <w:ind w:right="113"/>
              <w:rPr>
                <w:rFonts w:eastAsia="Calibri" w:cs="Arial"/>
                <w:b/>
                <w:color w:val="000000"/>
              </w:rPr>
            </w:pPr>
          </w:p>
        </w:tc>
        <w:tc>
          <w:tcPr>
            <w:tcW w:w="0" w:type="pct"/>
          </w:tcPr>
          <w:p w14:paraId="0A1B85B2"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Older people</w:t>
            </w:r>
          </w:p>
        </w:tc>
        <w:tc>
          <w:tcPr>
            <w:tcW w:w="0" w:type="pct"/>
            <w:shd w:val="clear" w:color="auto" w:fill="00B050"/>
            <w:vAlign w:val="center"/>
          </w:tcPr>
          <w:p w14:paraId="5CE4C6B8"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c>
          <w:tcPr>
            <w:tcW w:w="0" w:type="pct"/>
            <w:shd w:val="clear" w:color="auto" w:fill="00B050"/>
            <w:vAlign w:val="center"/>
          </w:tcPr>
          <w:p w14:paraId="4FA85E81"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r>
      <w:tr w:rsidR="003140FF" w:rsidRPr="003140FF" w14:paraId="52FF5B36" w14:textId="77777777" w:rsidTr="000A0C3C">
        <w:trPr>
          <w:cnfStyle w:val="000000100000" w:firstRow="0" w:lastRow="0" w:firstColumn="0" w:lastColumn="0" w:oddVBand="0" w:evenVBand="0" w:oddHBand="1" w:evenHBand="0" w:firstRowFirstColumn="0" w:firstRowLastColumn="0" w:lastRowFirstColumn="0" w:lastRowLastColumn="0"/>
        </w:trPr>
        <w:tc>
          <w:tcPr>
            <w:tcW w:w="0" w:type="pct"/>
          </w:tcPr>
          <w:p w14:paraId="378F0BB3"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Disability</w:t>
            </w:r>
          </w:p>
        </w:tc>
        <w:tc>
          <w:tcPr>
            <w:tcW w:w="0" w:type="pct"/>
          </w:tcPr>
          <w:p w14:paraId="05C0B35D"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 xml:space="preserve">Day-to-Day Activities Limited (either a little or a lot) </w:t>
            </w:r>
          </w:p>
        </w:tc>
        <w:tc>
          <w:tcPr>
            <w:tcW w:w="0" w:type="pct"/>
            <w:shd w:val="clear" w:color="auto" w:fill="00B050"/>
            <w:vAlign w:val="center"/>
          </w:tcPr>
          <w:p w14:paraId="4CADA863"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c>
          <w:tcPr>
            <w:tcW w:w="0" w:type="pct"/>
            <w:shd w:val="clear" w:color="auto" w:fill="00B050"/>
            <w:vAlign w:val="center"/>
          </w:tcPr>
          <w:p w14:paraId="3D21C13F"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r>
      <w:tr w:rsidR="003140FF" w:rsidRPr="003140FF" w14:paraId="16E754EE" w14:textId="77777777" w:rsidTr="008A19C4">
        <w:tc>
          <w:tcPr>
            <w:tcW w:w="2785" w:type="pct"/>
            <w:gridSpan w:val="2"/>
          </w:tcPr>
          <w:p w14:paraId="295B11D7"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lastRenderedPageBreak/>
              <w:t>Gender reassignment</w:t>
            </w:r>
          </w:p>
        </w:tc>
        <w:tc>
          <w:tcPr>
            <w:tcW w:w="1108" w:type="pct"/>
            <w:vAlign w:val="center"/>
          </w:tcPr>
          <w:p w14:paraId="25C83C2D" w14:textId="77777777" w:rsidR="003140FF" w:rsidRPr="005E032F" w:rsidRDefault="003140FF" w:rsidP="003140FF">
            <w:pPr>
              <w:jc w:val="center"/>
              <w:rPr>
                <w:rFonts w:eastAsia="SimSun" w:cs="Arial"/>
                <w:b/>
                <w:bCs/>
                <w:color w:val="000000"/>
              </w:rPr>
            </w:pPr>
            <w:r w:rsidRPr="005E032F">
              <w:rPr>
                <w:rFonts w:eastAsia="SimSun" w:cs="Arial"/>
                <w:b/>
                <w:bCs/>
                <w:color w:val="000000"/>
              </w:rPr>
              <w:t>No data available</w:t>
            </w:r>
          </w:p>
        </w:tc>
        <w:tc>
          <w:tcPr>
            <w:tcW w:w="1107" w:type="pct"/>
            <w:vAlign w:val="center"/>
          </w:tcPr>
          <w:p w14:paraId="0DB94060" w14:textId="77777777" w:rsidR="003140FF" w:rsidRPr="005E032F" w:rsidRDefault="003140FF" w:rsidP="003140FF">
            <w:pPr>
              <w:jc w:val="center"/>
              <w:rPr>
                <w:rFonts w:eastAsia="SimSun" w:cs="Arial"/>
                <w:b/>
                <w:bCs/>
                <w:color w:val="000000"/>
              </w:rPr>
            </w:pPr>
            <w:r w:rsidRPr="005E032F">
              <w:rPr>
                <w:rFonts w:eastAsia="SimSun" w:cs="Arial"/>
                <w:b/>
                <w:bCs/>
                <w:color w:val="000000"/>
              </w:rPr>
              <w:t>No data available</w:t>
            </w:r>
          </w:p>
        </w:tc>
      </w:tr>
      <w:tr w:rsidR="003140FF" w:rsidRPr="003140FF" w14:paraId="5140082A" w14:textId="77777777" w:rsidTr="008A19C4">
        <w:trPr>
          <w:cnfStyle w:val="000000100000" w:firstRow="0" w:lastRow="0" w:firstColumn="0" w:lastColumn="0" w:oddVBand="0" w:evenVBand="0" w:oddHBand="1" w:evenHBand="0" w:firstRowFirstColumn="0" w:firstRowLastColumn="0" w:lastRowFirstColumn="0" w:lastRowLastColumn="0"/>
        </w:trPr>
        <w:tc>
          <w:tcPr>
            <w:tcW w:w="2785" w:type="pct"/>
            <w:gridSpan w:val="2"/>
          </w:tcPr>
          <w:p w14:paraId="43B1EED3"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Marriage and civil partnership</w:t>
            </w:r>
          </w:p>
        </w:tc>
        <w:tc>
          <w:tcPr>
            <w:tcW w:w="1108" w:type="pct"/>
            <w:vAlign w:val="center"/>
          </w:tcPr>
          <w:p w14:paraId="1C23EF9E" w14:textId="77777777" w:rsidR="003140FF" w:rsidRPr="005E032F" w:rsidRDefault="003140FF" w:rsidP="003140FF">
            <w:pPr>
              <w:jc w:val="center"/>
              <w:rPr>
                <w:rFonts w:eastAsia="SimSun" w:cs="Arial"/>
                <w:b/>
                <w:bCs/>
                <w:color w:val="000000"/>
              </w:rPr>
            </w:pPr>
            <w:r w:rsidRPr="005E032F">
              <w:rPr>
                <w:rFonts w:eastAsia="SimSun" w:cs="Arial"/>
                <w:b/>
                <w:bCs/>
                <w:color w:val="000000"/>
              </w:rPr>
              <w:t>n/a</w:t>
            </w:r>
          </w:p>
        </w:tc>
        <w:tc>
          <w:tcPr>
            <w:tcW w:w="1107" w:type="pct"/>
            <w:vAlign w:val="center"/>
          </w:tcPr>
          <w:p w14:paraId="29AC4782" w14:textId="77777777" w:rsidR="003140FF" w:rsidRPr="005E032F" w:rsidRDefault="003140FF" w:rsidP="003140FF">
            <w:pPr>
              <w:jc w:val="center"/>
              <w:rPr>
                <w:rFonts w:eastAsia="SimSun" w:cs="Arial"/>
                <w:b/>
                <w:bCs/>
                <w:color w:val="000000"/>
              </w:rPr>
            </w:pPr>
            <w:r w:rsidRPr="005E032F">
              <w:rPr>
                <w:rFonts w:eastAsia="SimSun" w:cs="Arial"/>
                <w:b/>
                <w:bCs/>
                <w:color w:val="000000"/>
              </w:rPr>
              <w:t>n/a</w:t>
            </w:r>
          </w:p>
        </w:tc>
      </w:tr>
      <w:tr w:rsidR="00C14767" w:rsidRPr="003140FF" w14:paraId="1266C197" w14:textId="77777777" w:rsidTr="008A19C4">
        <w:tc>
          <w:tcPr>
            <w:tcW w:w="1227" w:type="pct"/>
            <w:vMerge w:val="restart"/>
          </w:tcPr>
          <w:p w14:paraId="2086071B" w14:textId="77777777" w:rsidR="00C14767" w:rsidRPr="003140FF" w:rsidRDefault="00C14767" w:rsidP="00C14767">
            <w:pPr>
              <w:spacing w:before="40" w:line="240" w:lineRule="auto"/>
              <w:ind w:right="113"/>
              <w:rPr>
                <w:rFonts w:eastAsia="Calibri" w:cs="Arial"/>
                <w:b/>
                <w:color w:val="000000"/>
              </w:rPr>
            </w:pPr>
            <w:r w:rsidRPr="003140FF">
              <w:rPr>
                <w:rFonts w:eastAsia="Calibri" w:cs="Arial"/>
                <w:b/>
                <w:color w:val="000000"/>
              </w:rPr>
              <w:t>Pregnancy and maternity</w:t>
            </w:r>
          </w:p>
        </w:tc>
        <w:tc>
          <w:tcPr>
            <w:tcW w:w="1558" w:type="pct"/>
          </w:tcPr>
          <w:p w14:paraId="50CB5419" w14:textId="77777777" w:rsidR="00C14767" w:rsidRPr="003140FF" w:rsidRDefault="00C14767" w:rsidP="00C14767">
            <w:pPr>
              <w:spacing w:before="40" w:line="240" w:lineRule="auto"/>
              <w:ind w:right="113"/>
              <w:rPr>
                <w:rFonts w:eastAsia="Calibri" w:cs="Arial"/>
                <w:b/>
                <w:color w:val="000000"/>
              </w:rPr>
            </w:pPr>
            <w:r w:rsidRPr="003140FF">
              <w:rPr>
                <w:rFonts w:eastAsia="Calibri" w:cs="Arial"/>
                <w:b/>
                <w:color w:val="000000"/>
              </w:rPr>
              <w:t>Live births</w:t>
            </w:r>
          </w:p>
        </w:tc>
        <w:tc>
          <w:tcPr>
            <w:tcW w:w="1108" w:type="pct"/>
            <w:vAlign w:val="center"/>
          </w:tcPr>
          <w:p w14:paraId="23663340" w14:textId="379F184A" w:rsidR="00C14767" w:rsidRPr="005E032F" w:rsidRDefault="00C14767" w:rsidP="00C14767">
            <w:pPr>
              <w:jc w:val="center"/>
              <w:rPr>
                <w:rFonts w:eastAsia="SimSun" w:cs="Arial"/>
                <w:b/>
                <w:bCs/>
                <w:color w:val="000000"/>
              </w:rPr>
            </w:pPr>
            <w:r w:rsidRPr="005E032F">
              <w:rPr>
                <w:rFonts w:eastAsia="SimSun" w:cs="Arial"/>
                <w:b/>
                <w:bCs/>
                <w:color w:val="000000"/>
              </w:rPr>
              <w:t>No data available</w:t>
            </w:r>
          </w:p>
        </w:tc>
        <w:tc>
          <w:tcPr>
            <w:tcW w:w="1107" w:type="pct"/>
            <w:vAlign w:val="center"/>
          </w:tcPr>
          <w:p w14:paraId="22C8F4DF" w14:textId="05C9B92A" w:rsidR="00C14767" w:rsidRPr="005E032F" w:rsidRDefault="00C14767" w:rsidP="00C14767">
            <w:pPr>
              <w:jc w:val="center"/>
              <w:rPr>
                <w:rFonts w:eastAsia="SimSun" w:cs="Arial"/>
                <w:b/>
                <w:bCs/>
                <w:color w:val="000000"/>
              </w:rPr>
            </w:pPr>
            <w:r w:rsidRPr="005E032F">
              <w:rPr>
                <w:rFonts w:eastAsia="SimSun" w:cs="Arial"/>
                <w:b/>
                <w:bCs/>
                <w:color w:val="000000"/>
              </w:rPr>
              <w:t>No data available</w:t>
            </w:r>
          </w:p>
        </w:tc>
      </w:tr>
      <w:tr w:rsidR="00C14767" w:rsidRPr="003140FF" w14:paraId="667CABEC" w14:textId="77777777" w:rsidTr="008A19C4">
        <w:trPr>
          <w:cnfStyle w:val="000000100000" w:firstRow="0" w:lastRow="0" w:firstColumn="0" w:lastColumn="0" w:oddVBand="0" w:evenVBand="0" w:oddHBand="1" w:evenHBand="0" w:firstRowFirstColumn="0" w:firstRowLastColumn="0" w:lastRowFirstColumn="0" w:lastRowLastColumn="0"/>
        </w:trPr>
        <w:tc>
          <w:tcPr>
            <w:tcW w:w="1227" w:type="pct"/>
            <w:vMerge/>
          </w:tcPr>
          <w:p w14:paraId="0B1D88A3" w14:textId="77777777" w:rsidR="00C14767" w:rsidRPr="003140FF" w:rsidRDefault="00C14767" w:rsidP="00C14767">
            <w:pPr>
              <w:spacing w:before="40" w:line="240" w:lineRule="auto"/>
              <w:ind w:right="113"/>
              <w:rPr>
                <w:rFonts w:eastAsia="Calibri" w:cs="Arial"/>
                <w:b/>
                <w:color w:val="000000"/>
              </w:rPr>
            </w:pPr>
          </w:p>
        </w:tc>
        <w:tc>
          <w:tcPr>
            <w:tcW w:w="1558" w:type="pct"/>
          </w:tcPr>
          <w:p w14:paraId="070F9356" w14:textId="77777777" w:rsidR="00C14767" w:rsidRPr="003140FF" w:rsidRDefault="00C14767" w:rsidP="00C14767">
            <w:pPr>
              <w:spacing w:before="40" w:line="240" w:lineRule="auto"/>
              <w:ind w:right="113"/>
              <w:rPr>
                <w:rFonts w:eastAsia="SimSun" w:cs="Arial"/>
                <w:b/>
              </w:rPr>
            </w:pPr>
            <w:r w:rsidRPr="003140FF">
              <w:rPr>
                <w:rFonts w:eastAsia="Calibri" w:cs="Arial"/>
                <w:b/>
                <w:color w:val="000000"/>
              </w:rPr>
              <w:t>TFR</w:t>
            </w:r>
          </w:p>
        </w:tc>
        <w:tc>
          <w:tcPr>
            <w:tcW w:w="1108" w:type="pct"/>
            <w:vAlign w:val="center"/>
          </w:tcPr>
          <w:p w14:paraId="7B93ED9B" w14:textId="2B5D2297" w:rsidR="00C14767" w:rsidRPr="005E032F" w:rsidRDefault="00C14767" w:rsidP="00C14767">
            <w:pPr>
              <w:jc w:val="center"/>
              <w:rPr>
                <w:rFonts w:eastAsia="SimSun" w:cs="Arial"/>
                <w:b/>
                <w:bCs/>
                <w:color w:val="000000"/>
              </w:rPr>
            </w:pPr>
            <w:r w:rsidRPr="005E032F">
              <w:rPr>
                <w:rFonts w:eastAsia="SimSun" w:cs="Arial"/>
                <w:b/>
                <w:bCs/>
                <w:color w:val="000000"/>
              </w:rPr>
              <w:t>No data available</w:t>
            </w:r>
          </w:p>
        </w:tc>
        <w:tc>
          <w:tcPr>
            <w:tcW w:w="1107" w:type="pct"/>
            <w:vAlign w:val="center"/>
          </w:tcPr>
          <w:p w14:paraId="750F4951" w14:textId="658077EE" w:rsidR="00C14767" w:rsidRPr="005E032F" w:rsidRDefault="00C14767" w:rsidP="00C14767">
            <w:pPr>
              <w:jc w:val="center"/>
              <w:rPr>
                <w:rFonts w:eastAsia="SimSun" w:cs="Arial"/>
                <w:b/>
                <w:bCs/>
                <w:color w:val="000000"/>
              </w:rPr>
            </w:pPr>
            <w:r w:rsidRPr="005E032F">
              <w:rPr>
                <w:rFonts w:eastAsia="SimSun" w:cs="Arial"/>
                <w:b/>
                <w:bCs/>
                <w:color w:val="000000"/>
              </w:rPr>
              <w:t>No data available</w:t>
            </w:r>
          </w:p>
        </w:tc>
      </w:tr>
      <w:tr w:rsidR="003140FF" w:rsidRPr="003140FF" w14:paraId="413CA54F" w14:textId="77777777" w:rsidTr="000A0C3C">
        <w:tc>
          <w:tcPr>
            <w:tcW w:w="0" w:type="pct"/>
            <w:vMerge w:val="restart"/>
          </w:tcPr>
          <w:p w14:paraId="57DC748B"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Race and ethnicity</w:t>
            </w:r>
          </w:p>
        </w:tc>
        <w:tc>
          <w:tcPr>
            <w:tcW w:w="0" w:type="pct"/>
          </w:tcPr>
          <w:p w14:paraId="3F6FE358"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White</w:t>
            </w:r>
          </w:p>
        </w:tc>
        <w:tc>
          <w:tcPr>
            <w:tcW w:w="0" w:type="pct"/>
            <w:shd w:val="clear" w:color="auto" w:fill="FF0000"/>
            <w:vAlign w:val="center"/>
          </w:tcPr>
          <w:p w14:paraId="4271818F" w14:textId="77777777" w:rsidR="003140FF" w:rsidRPr="005E032F" w:rsidRDefault="003140FF" w:rsidP="003140FF">
            <w:pPr>
              <w:jc w:val="center"/>
              <w:rPr>
                <w:rFonts w:eastAsia="SimSun" w:cs="Arial"/>
                <w:b/>
                <w:bCs/>
                <w:color w:val="000000"/>
              </w:rPr>
            </w:pPr>
            <w:r w:rsidRPr="005E032F">
              <w:rPr>
                <w:rFonts w:eastAsia="SimSun" w:cs="Arial"/>
                <w:b/>
                <w:bCs/>
                <w:color w:val="000000"/>
              </w:rPr>
              <w:t>Above average</w:t>
            </w:r>
          </w:p>
        </w:tc>
        <w:tc>
          <w:tcPr>
            <w:tcW w:w="0" w:type="pct"/>
            <w:shd w:val="clear" w:color="auto" w:fill="FF0000"/>
            <w:vAlign w:val="center"/>
          </w:tcPr>
          <w:p w14:paraId="17841595" w14:textId="77777777" w:rsidR="003140FF" w:rsidRPr="005E032F" w:rsidRDefault="003140FF" w:rsidP="003140FF">
            <w:pPr>
              <w:jc w:val="center"/>
              <w:rPr>
                <w:rFonts w:eastAsia="SimSun" w:cs="Arial"/>
                <w:b/>
                <w:bCs/>
                <w:color w:val="000000"/>
              </w:rPr>
            </w:pPr>
            <w:r w:rsidRPr="005E032F">
              <w:rPr>
                <w:rFonts w:eastAsia="SimSun" w:cs="Arial"/>
                <w:b/>
                <w:bCs/>
                <w:color w:val="000000"/>
              </w:rPr>
              <w:t>Above average</w:t>
            </w:r>
          </w:p>
        </w:tc>
      </w:tr>
      <w:tr w:rsidR="003140FF" w:rsidRPr="003140FF" w14:paraId="511C609E" w14:textId="77777777" w:rsidTr="000A0C3C">
        <w:trPr>
          <w:cnfStyle w:val="000000100000" w:firstRow="0" w:lastRow="0" w:firstColumn="0" w:lastColumn="0" w:oddVBand="0" w:evenVBand="0" w:oddHBand="1" w:evenHBand="0" w:firstRowFirstColumn="0" w:firstRowLastColumn="0" w:lastRowFirstColumn="0" w:lastRowLastColumn="0"/>
        </w:trPr>
        <w:tc>
          <w:tcPr>
            <w:tcW w:w="0" w:type="pct"/>
            <w:vMerge/>
          </w:tcPr>
          <w:p w14:paraId="4E9E99AC" w14:textId="77777777" w:rsidR="003140FF" w:rsidRPr="003140FF" w:rsidRDefault="003140FF" w:rsidP="003140FF">
            <w:pPr>
              <w:spacing w:before="40" w:line="240" w:lineRule="auto"/>
              <w:ind w:right="113"/>
              <w:rPr>
                <w:rFonts w:eastAsia="Calibri" w:cs="Arial"/>
                <w:b/>
                <w:color w:val="000000"/>
              </w:rPr>
            </w:pPr>
          </w:p>
        </w:tc>
        <w:tc>
          <w:tcPr>
            <w:tcW w:w="0" w:type="pct"/>
          </w:tcPr>
          <w:p w14:paraId="357A2A63"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White Gypsy or Irish Traveller</w:t>
            </w:r>
          </w:p>
        </w:tc>
        <w:tc>
          <w:tcPr>
            <w:tcW w:w="0" w:type="pct"/>
            <w:shd w:val="clear" w:color="auto" w:fill="FF0000"/>
            <w:vAlign w:val="center"/>
          </w:tcPr>
          <w:p w14:paraId="2AB8D5B5" w14:textId="77777777" w:rsidR="003140FF" w:rsidRPr="005E032F" w:rsidRDefault="003140FF" w:rsidP="003140FF">
            <w:pPr>
              <w:jc w:val="center"/>
              <w:rPr>
                <w:rFonts w:eastAsia="SimSun" w:cs="Arial"/>
                <w:b/>
                <w:bCs/>
                <w:color w:val="000000"/>
              </w:rPr>
            </w:pPr>
            <w:r w:rsidRPr="005E032F">
              <w:rPr>
                <w:rFonts w:eastAsia="SimSun" w:cs="Arial"/>
                <w:b/>
                <w:bCs/>
                <w:color w:val="000000"/>
              </w:rPr>
              <w:t>Above average</w:t>
            </w:r>
          </w:p>
        </w:tc>
        <w:tc>
          <w:tcPr>
            <w:tcW w:w="0" w:type="pct"/>
            <w:shd w:val="clear" w:color="auto" w:fill="FF0000"/>
            <w:vAlign w:val="center"/>
          </w:tcPr>
          <w:p w14:paraId="0FEB4E02" w14:textId="77777777" w:rsidR="003140FF" w:rsidRPr="005E032F" w:rsidRDefault="003140FF" w:rsidP="003140FF">
            <w:pPr>
              <w:jc w:val="center"/>
              <w:rPr>
                <w:rFonts w:eastAsia="SimSun" w:cs="Arial"/>
                <w:b/>
                <w:bCs/>
                <w:color w:val="000000"/>
              </w:rPr>
            </w:pPr>
            <w:r w:rsidRPr="005E032F">
              <w:rPr>
                <w:rFonts w:eastAsia="SimSun" w:cs="Arial"/>
                <w:b/>
                <w:bCs/>
                <w:color w:val="000000"/>
              </w:rPr>
              <w:t>Above average</w:t>
            </w:r>
          </w:p>
        </w:tc>
      </w:tr>
      <w:tr w:rsidR="003140FF" w:rsidRPr="003140FF" w14:paraId="5EC44724" w14:textId="77777777" w:rsidTr="000A0C3C">
        <w:tc>
          <w:tcPr>
            <w:tcW w:w="0" w:type="pct"/>
            <w:vMerge/>
          </w:tcPr>
          <w:p w14:paraId="48B36896" w14:textId="77777777" w:rsidR="003140FF" w:rsidRPr="003140FF" w:rsidRDefault="003140FF" w:rsidP="003140FF">
            <w:pPr>
              <w:spacing w:before="40" w:line="240" w:lineRule="auto"/>
              <w:ind w:right="113"/>
              <w:rPr>
                <w:rFonts w:eastAsia="Calibri" w:cs="Arial"/>
                <w:b/>
                <w:color w:val="000000"/>
              </w:rPr>
            </w:pPr>
          </w:p>
        </w:tc>
        <w:tc>
          <w:tcPr>
            <w:tcW w:w="0" w:type="pct"/>
          </w:tcPr>
          <w:p w14:paraId="25C01E82"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Mixed/multiple ethnic groups</w:t>
            </w:r>
          </w:p>
        </w:tc>
        <w:tc>
          <w:tcPr>
            <w:tcW w:w="0" w:type="pct"/>
            <w:shd w:val="clear" w:color="auto" w:fill="00B050"/>
            <w:vAlign w:val="center"/>
          </w:tcPr>
          <w:p w14:paraId="565F16CD"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c>
          <w:tcPr>
            <w:tcW w:w="0" w:type="pct"/>
            <w:shd w:val="clear" w:color="auto" w:fill="00B050"/>
            <w:vAlign w:val="center"/>
          </w:tcPr>
          <w:p w14:paraId="18FA8B72"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r>
      <w:tr w:rsidR="003140FF" w:rsidRPr="003140FF" w14:paraId="2ADD15C3" w14:textId="77777777" w:rsidTr="000A0C3C">
        <w:trPr>
          <w:cnfStyle w:val="000000100000" w:firstRow="0" w:lastRow="0" w:firstColumn="0" w:lastColumn="0" w:oddVBand="0" w:evenVBand="0" w:oddHBand="1" w:evenHBand="0" w:firstRowFirstColumn="0" w:firstRowLastColumn="0" w:lastRowFirstColumn="0" w:lastRowLastColumn="0"/>
        </w:trPr>
        <w:tc>
          <w:tcPr>
            <w:tcW w:w="0" w:type="pct"/>
            <w:vMerge/>
          </w:tcPr>
          <w:p w14:paraId="2AEA08CB" w14:textId="77777777" w:rsidR="003140FF" w:rsidRPr="003140FF" w:rsidRDefault="003140FF" w:rsidP="003140FF">
            <w:pPr>
              <w:spacing w:before="40" w:line="240" w:lineRule="auto"/>
              <w:ind w:right="113"/>
              <w:rPr>
                <w:rFonts w:eastAsia="Calibri" w:cs="Arial"/>
                <w:b/>
                <w:color w:val="000000"/>
              </w:rPr>
            </w:pPr>
          </w:p>
        </w:tc>
        <w:tc>
          <w:tcPr>
            <w:tcW w:w="0" w:type="pct"/>
          </w:tcPr>
          <w:p w14:paraId="6F602FFB"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Asian/Asian British</w:t>
            </w:r>
          </w:p>
        </w:tc>
        <w:tc>
          <w:tcPr>
            <w:tcW w:w="0" w:type="pct"/>
            <w:shd w:val="clear" w:color="auto" w:fill="00B050"/>
            <w:vAlign w:val="center"/>
          </w:tcPr>
          <w:p w14:paraId="581DA106"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c>
          <w:tcPr>
            <w:tcW w:w="0" w:type="pct"/>
            <w:shd w:val="clear" w:color="auto" w:fill="00B050"/>
            <w:vAlign w:val="center"/>
          </w:tcPr>
          <w:p w14:paraId="03B7524D"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r>
      <w:tr w:rsidR="003140FF" w:rsidRPr="003140FF" w14:paraId="24EA399A" w14:textId="77777777" w:rsidTr="000A0C3C">
        <w:tc>
          <w:tcPr>
            <w:tcW w:w="0" w:type="pct"/>
            <w:vMerge/>
          </w:tcPr>
          <w:p w14:paraId="7E989FBF" w14:textId="77777777" w:rsidR="003140FF" w:rsidRPr="003140FF" w:rsidRDefault="003140FF" w:rsidP="003140FF">
            <w:pPr>
              <w:spacing w:before="40" w:line="240" w:lineRule="auto"/>
              <w:ind w:right="113"/>
              <w:rPr>
                <w:rFonts w:eastAsia="Calibri" w:cs="Arial"/>
                <w:b/>
                <w:color w:val="000000"/>
              </w:rPr>
            </w:pPr>
          </w:p>
        </w:tc>
        <w:tc>
          <w:tcPr>
            <w:tcW w:w="0" w:type="pct"/>
          </w:tcPr>
          <w:p w14:paraId="40354E49"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Black/African/Caribbean/Black British</w:t>
            </w:r>
          </w:p>
        </w:tc>
        <w:tc>
          <w:tcPr>
            <w:tcW w:w="0" w:type="pct"/>
            <w:shd w:val="clear" w:color="auto" w:fill="00B050"/>
            <w:vAlign w:val="center"/>
          </w:tcPr>
          <w:p w14:paraId="58090F93"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c>
          <w:tcPr>
            <w:tcW w:w="0" w:type="pct"/>
            <w:shd w:val="clear" w:color="auto" w:fill="00B050"/>
            <w:vAlign w:val="center"/>
          </w:tcPr>
          <w:p w14:paraId="6EA7580F"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r>
      <w:tr w:rsidR="003140FF" w:rsidRPr="003140FF" w14:paraId="2695C18D" w14:textId="77777777" w:rsidTr="000A0C3C">
        <w:trPr>
          <w:cnfStyle w:val="000000100000" w:firstRow="0" w:lastRow="0" w:firstColumn="0" w:lastColumn="0" w:oddVBand="0" w:evenVBand="0" w:oddHBand="1" w:evenHBand="0" w:firstRowFirstColumn="0" w:firstRowLastColumn="0" w:lastRowFirstColumn="0" w:lastRowLastColumn="0"/>
        </w:trPr>
        <w:tc>
          <w:tcPr>
            <w:tcW w:w="0" w:type="pct"/>
            <w:vMerge/>
          </w:tcPr>
          <w:p w14:paraId="48B0900D" w14:textId="77777777" w:rsidR="003140FF" w:rsidRPr="003140FF" w:rsidRDefault="003140FF" w:rsidP="003140FF">
            <w:pPr>
              <w:spacing w:before="40" w:line="240" w:lineRule="auto"/>
              <w:ind w:right="113"/>
              <w:rPr>
                <w:rFonts w:eastAsia="Calibri" w:cs="Arial"/>
                <w:b/>
                <w:color w:val="000000"/>
              </w:rPr>
            </w:pPr>
          </w:p>
        </w:tc>
        <w:tc>
          <w:tcPr>
            <w:tcW w:w="0" w:type="pct"/>
          </w:tcPr>
          <w:p w14:paraId="38932B06"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Other ethnic group</w:t>
            </w:r>
          </w:p>
        </w:tc>
        <w:tc>
          <w:tcPr>
            <w:tcW w:w="0" w:type="pct"/>
            <w:shd w:val="clear" w:color="auto" w:fill="00B050"/>
            <w:vAlign w:val="center"/>
          </w:tcPr>
          <w:p w14:paraId="00E65907"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c>
          <w:tcPr>
            <w:tcW w:w="0" w:type="pct"/>
            <w:shd w:val="clear" w:color="auto" w:fill="00B050"/>
            <w:vAlign w:val="center"/>
          </w:tcPr>
          <w:p w14:paraId="1FF21ED6"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r>
      <w:tr w:rsidR="003140FF" w:rsidRPr="003140FF" w14:paraId="0F56D20F" w14:textId="77777777" w:rsidTr="000A0C3C">
        <w:tc>
          <w:tcPr>
            <w:tcW w:w="0" w:type="pct"/>
            <w:vMerge w:val="restart"/>
          </w:tcPr>
          <w:p w14:paraId="5A2EF9FA"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Religion and belief</w:t>
            </w:r>
          </w:p>
        </w:tc>
        <w:tc>
          <w:tcPr>
            <w:tcW w:w="0" w:type="pct"/>
          </w:tcPr>
          <w:p w14:paraId="5738D368"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Christian</w:t>
            </w:r>
          </w:p>
        </w:tc>
        <w:tc>
          <w:tcPr>
            <w:tcW w:w="0" w:type="pct"/>
            <w:shd w:val="clear" w:color="auto" w:fill="FF0000"/>
            <w:vAlign w:val="center"/>
          </w:tcPr>
          <w:p w14:paraId="3A132E60" w14:textId="77777777" w:rsidR="003140FF" w:rsidRPr="005E032F" w:rsidRDefault="003140FF" w:rsidP="003140FF">
            <w:pPr>
              <w:jc w:val="center"/>
              <w:rPr>
                <w:rFonts w:eastAsia="SimSun" w:cs="Arial"/>
                <w:b/>
                <w:bCs/>
                <w:color w:val="000000"/>
              </w:rPr>
            </w:pPr>
            <w:r w:rsidRPr="005E032F">
              <w:rPr>
                <w:rFonts w:eastAsia="SimSun" w:cs="Arial"/>
                <w:b/>
                <w:bCs/>
                <w:color w:val="000000"/>
              </w:rPr>
              <w:t>Above average</w:t>
            </w:r>
          </w:p>
        </w:tc>
        <w:tc>
          <w:tcPr>
            <w:tcW w:w="0" w:type="pct"/>
            <w:shd w:val="clear" w:color="auto" w:fill="FF0000"/>
            <w:vAlign w:val="center"/>
          </w:tcPr>
          <w:p w14:paraId="0CE6DA71" w14:textId="77777777" w:rsidR="003140FF" w:rsidRPr="005E032F" w:rsidRDefault="003140FF" w:rsidP="003140FF">
            <w:pPr>
              <w:jc w:val="center"/>
              <w:rPr>
                <w:rFonts w:eastAsia="SimSun" w:cs="Arial"/>
                <w:b/>
                <w:bCs/>
                <w:color w:val="000000"/>
              </w:rPr>
            </w:pPr>
            <w:r w:rsidRPr="005E032F">
              <w:rPr>
                <w:rFonts w:eastAsia="SimSun" w:cs="Arial"/>
                <w:b/>
                <w:bCs/>
                <w:color w:val="000000"/>
              </w:rPr>
              <w:t>Above average</w:t>
            </w:r>
          </w:p>
        </w:tc>
      </w:tr>
      <w:tr w:rsidR="003140FF" w:rsidRPr="003140FF" w14:paraId="3A6819F2" w14:textId="77777777" w:rsidTr="000A0C3C">
        <w:trPr>
          <w:cnfStyle w:val="000000100000" w:firstRow="0" w:lastRow="0" w:firstColumn="0" w:lastColumn="0" w:oddVBand="0" w:evenVBand="0" w:oddHBand="1" w:evenHBand="0" w:firstRowFirstColumn="0" w:firstRowLastColumn="0" w:lastRowFirstColumn="0" w:lastRowLastColumn="0"/>
        </w:trPr>
        <w:tc>
          <w:tcPr>
            <w:tcW w:w="0" w:type="pct"/>
            <w:vMerge/>
          </w:tcPr>
          <w:p w14:paraId="10C534FC" w14:textId="77777777" w:rsidR="003140FF" w:rsidRPr="003140FF" w:rsidRDefault="003140FF" w:rsidP="003140FF">
            <w:pPr>
              <w:spacing w:before="40" w:line="240" w:lineRule="auto"/>
              <w:ind w:right="113"/>
              <w:rPr>
                <w:rFonts w:eastAsia="Calibri" w:cs="Arial"/>
                <w:b/>
                <w:color w:val="000000"/>
              </w:rPr>
            </w:pPr>
          </w:p>
        </w:tc>
        <w:tc>
          <w:tcPr>
            <w:tcW w:w="0" w:type="pct"/>
          </w:tcPr>
          <w:p w14:paraId="788E6F7A"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Minority religions</w:t>
            </w:r>
          </w:p>
        </w:tc>
        <w:tc>
          <w:tcPr>
            <w:tcW w:w="0" w:type="pct"/>
            <w:shd w:val="clear" w:color="auto" w:fill="00B050"/>
            <w:vAlign w:val="center"/>
          </w:tcPr>
          <w:p w14:paraId="0B57838D"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c>
          <w:tcPr>
            <w:tcW w:w="0" w:type="pct"/>
            <w:shd w:val="clear" w:color="auto" w:fill="00B050"/>
            <w:vAlign w:val="center"/>
          </w:tcPr>
          <w:p w14:paraId="375E5ED0" w14:textId="77777777" w:rsidR="003140FF" w:rsidRPr="005E032F" w:rsidRDefault="003140FF" w:rsidP="003140FF">
            <w:pPr>
              <w:jc w:val="center"/>
              <w:rPr>
                <w:rFonts w:eastAsia="SimSun" w:cs="Arial"/>
                <w:b/>
                <w:bCs/>
                <w:color w:val="000000"/>
              </w:rPr>
            </w:pPr>
            <w:r w:rsidRPr="005E032F">
              <w:rPr>
                <w:rFonts w:eastAsia="SimSun" w:cs="Arial"/>
                <w:b/>
                <w:bCs/>
                <w:color w:val="000000"/>
              </w:rPr>
              <w:t>Below average</w:t>
            </w:r>
          </w:p>
        </w:tc>
      </w:tr>
      <w:tr w:rsidR="003140FF" w:rsidRPr="003140FF" w14:paraId="319AE24F" w14:textId="77777777" w:rsidTr="000A0C3C">
        <w:tc>
          <w:tcPr>
            <w:tcW w:w="0" w:type="pct"/>
            <w:vMerge/>
            <w:vAlign w:val="bottom"/>
          </w:tcPr>
          <w:p w14:paraId="46B81E39" w14:textId="77777777" w:rsidR="003140FF" w:rsidRPr="003140FF" w:rsidRDefault="003140FF" w:rsidP="003140FF">
            <w:pPr>
              <w:spacing w:before="40" w:line="240" w:lineRule="auto"/>
              <w:ind w:right="113"/>
              <w:rPr>
                <w:rFonts w:eastAsia="Calibri" w:cs="Arial"/>
                <w:b/>
                <w:color w:val="000000"/>
              </w:rPr>
            </w:pPr>
          </w:p>
        </w:tc>
        <w:tc>
          <w:tcPr>
            <w:tcW w:w="0" w:type="pct"/>
          </w:tcPr>
          <w:p w14:paraId="206C4B39"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No religion/not stated</w:t>
            </w:r>
          </w:p>
        </w:tc>
        <w:tc>
          <w:tcPr>
            <w:tcW w:w="0" w:type="pct"/>
            <w:shd w:val="clear" w:color="auto" w:fill="FF0000"/>
            <w:vAlign w:val="center"/>
          </w:tcPr>
          <w:p w14:paraId="758E8D5D" w14:textId="77777777" w:rsidR="003140FF" w:rsidRPr="005E032F" w:rsidRDefault="003140FF" w:rsidP="003140FF">
            <w:pPr>
              <w:jc w:val="center"/>
              <w:rPr>
                <w:rFonts w:eastAsia="SimSun" w:cs="Arial"/>
                <w:b/>
                <w:bCs/>
                <w:color w:val="000000"/>
              </w:rPr>
            </w:pPr>
            <w:r w:rsidRPr="005E032F">
              <w:rPr>
                <w:rFonts w:eastAsia="SimSun" w:cs="Arial"/>
                <w:b/>
                <w:bCs/>
                <w:color w:val="000000"/>
              </w:rPr>
              <w:t>Above average</w:t>
            </w:r>
          </w:p>
        </w:tc>
        <w:tc>
          <w:tcPr>
            <w:tcW w:w="0" w:type="pct"/>
            <w:shd w:val="clear" w:color="auto" w:fill="FF0000"/>
            <w:vAlign w:val="center"/>
          </w:tcPr>
          <w:p w14:paraId="78D229CF" w14:textId="77777777" w:rsidR="003140FF" w:rsidRPr="005E032F" w:rsidRDefault="003140FF" w:rsidP="003140FF">
            <w:pPr>
              <w:jc w:val="center"/>
              <w:rPr>
                <w:rFonts w:eastAsia="SimSun" w:cs="Arial"/>
                <w:b/>
                <w:bCs/>
                <w:color w:val="000000"/>
              </w:rPr>
            </w:pPr>
            <w:r w:rsidRPr="005E032F">
              <w:rPr>
                <w:rFonts w:eastAsia="SimSun" w:cs="Arial"/>
                <w:b/>
                <w:bCs/>
                <w:color w:val="000000"/>
              </w:rPr>
              <w:t>Above average</w:t>
            </w:r>
          </w:p>
        </w:tc>
      </w:tr>
      <w:tr w:rsidR="003140FF" w:rsidRPr="003140FF" w14:paraId="026937D6" w14:textId="77777777" w:rsidTr="000A0C3C">
        <w:trPr>
          <w:cnfStyle w:val="000000100000" w:firstRow="0" w:lastRow="0" w:firstColumn="0" w:lastColumn="0" w:oddVBand="0" w:evenVBand="0" w:oddHBand="1" w:evenHBand="0" w:firstRowFirstColumn="0" w:firstRowLastColumn="0" w:lastRowFirstColumn="0" w:lastRowLastColumn="0"/>
        </w:trPr>
        <w:tc>
          <w:tcPr>
            <w:tcW w:w="0" w:type="pct"/>
            <w:vAlign w:val="bottom"/>
          </w:tcPr>
          <w:p w14:paraId="1DE8D122"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Sex</w:t>
            </w:r>
          </w:p>
        </w:tc>
        <w:tc>
          <w:tcPr>
            <w:tcW w:w="0" w:type="pct"/>
          </w:tcPr>
          <w:p w14:paraId="07ABD66E"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Female</w:t>
            </w:r>
          </w:p>
        </w:tc>
        <w:tc>
          <w:tcPr>
            <w:tcW w:w="0" w:type="pct"/>
            <w:shd w:val="clear" w:color="auto" w:fill="FFC000"/>
            <w:vAlign w:val="center"/>
          </w:tcPr>
          <w:p w14:paraId="664DDB9A" w14:textId="77777777" w:rsidR="003140FF" w:rsidRPr="005E032F" w:rsidRDefault="003140FF" w:rsidP="003140FF">
            <w:pPr>
              <w:jc w:val="center"/>
              <w:rPr>
                <w:rFonts w:eastAsia="SimSun" w:cs="Arial"/>
                <w:b/>
                <w:bCs/>
                <w:color w:val="000000"/>
              </w:rPr>
            </w:pPr>
            <w:r w:rsidRPr="005E032F">
              <w:rPr>
                <w:rFonts w:eastAsia="SimSun" w:cs="Arial"/>
                <w:b/>
                <w:bCs/>
                <w:color w:val="000000"/>
              </w:rPr>
              <w:t>In line</w:t>
            </w:r>
          </w:p>
        </w:tc>
        <w:tc>
          <w:tcPr>
            <w:tcW w:w="0" w:type="pct"/>
            <w:shd w:val="clear" w:color="auto" w:fill="FFC000"/>
            <w:vAlign w:val="center"/>
          </w:tcPr>
          <w:p w14:paraId="53EE9223" w14:textId="77777777" w:rsidR="003140FF" w:rsidRPr="005E032F" w:rsidRDefault="003140FF" w:rsidP="003140FF">
            <w:pPr>
              <w:jc w:val="center"/>
              <w:rPr>
                <w:rFonts w:eastAsia="SimSun" w:cs="Arial"/>
                <w:b/>
                <w:bCs/>
                <w:color w:val="000000"/>
              </w:rPr>
            </w:pPr>
            <w:r w:rsidRPr="005E032F">
              <w:rPr>
                <w:rFonts w:eastAsia="SimSun" w:cs="Arial"/>
                <w:b/>
                <w:bCs/>
                <w:color w:val="000000"/>
              </w:rPr>
              <w:t>In line</w:t>
            </w:r>
          </w:p>
        </w:tc>
      </w:tr>
      <w:tr w:rsidR="003140FF" w:rsidRPr="003140FF" w14:paraId="68787054" w14:textId="77777777" w:rsidTr="000A0C3C">
        <w:trPr>
          <w:trHeight w:val="90"/>
        </w:trPr>
        <w:tc>
          <w:tcPr>
            <w:tcW w:w="0" w:type="pct"/>
          </w:tcPr>
          <w:p w14:paraId="198FCE88" w14:textId="77777777" w:rsidR="003140FF" w:rsidRPr="003140FF" w:rsidRDefault="003140FF" w:rsidP="003140FF">
            <w:pPr>
              <w:spacing w:before="40" w:line="240" w:lineRule="auto"/>
              <w:ind w:right="113"/>
              <w:rPr>
                <w:rFonts w:eastAsia="Calibri" w:cs="Arial"/>
                <w:b/>
                <w:color w:val="000000"/>
              </w:rPr>
            </w:pPr>
          </w:p>
        </w:tc>
        <w:tc>
          <w:tcPr>
            <w:tcW w:w="0" w:type="pct"/>
          </w:tcPr>
          <w:p w14:paraId="3CF2FD51"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Male</w:t>
            </w:r>
          </w:p>
        </w:tc>
        <w:tc>
          <w:tcPr>
            <w:tcW w:w="0" w:type="pct"/>
            <w:shd w:val="clear" w:color="auto" w:fill="FFC000"/>
            <w:vAlign w:val="center"/>
          </w:tcPr>
          <w:p w14:paraId="50ECE8F6" w14:textId="77777777" w:rsidR="003140FF" w:rsidRPr="005E032F" w:rsidRDefault="003140FF" w:rsidP="003140FF">
            <w:pPr>
              <w:jc w:val="center"/>
              <w:rPr>
                <w:rFonts w:eastAsia="SimSun" w:cs="Arial"/>
                <w:b/>
                <w:bCs/>
                <w:color w:val="000000"/>
              </w:rPr>
            </w:pPr>
            <w:r w:rsidRPr="005E032F">
              <w:rPr>
                <w:rFonts w:eastAsia="SimSun" w:cs="Arial"/>
                <w:b/>
                <w:bCs/>
                <w:color w:val="000000"/>
              </w:rPr>
              <w:t>In line</w:t>
            </w:r>
          </w:p>
        </w:tc>
        <w:tc>
          <w:tcPr>
            <w:tcW w:w="0" w:type="pct"/>
            <w:shd w:val="clear" w:color="auto" w:fill="FFC000"/>
            <w:vAlign w:val="center"/>
          </w:tcPr>
          <w:p w14:paraId="2BB20BB9" w14:textId="77777777" w:rsidR="003140FF" w:rsidRPr="005E032F" w:rsidRDefault="003140FF" w:rsidP="003140FF">
            <w:pPr>
              <w:jc w:val="center"/>
              <w:rPr>
                <w:rFonts w:eastAsia="SimSun" w:cs="Arial"/>
                <w:b/>
                <w:bCs/>
                <w:color w:val="000000"/>
              </w:rPr>
            </w:pPr>
            <w:r w:rsidRPr="005E032F">
              <w:rPr>
                <w:rFonts w:eastAsia="SimSun" w:cs="Arial"/>
                <w:b/>
                <w:bCs/>
                <w:color w:val="000000"/>
              </w:rPr>
              <w:t>In line</w:t>
            </w:r>
          </w:p>
        </w:tc>
      </w:tr>
      <w:tr w:rsidR="003140FF" w:rsidRPr="003140FF" w14:paraId="2E4EAA52" w14:textId="77777777" w:rsidTr="008A19C4">
        <w:trPr>
          <w:cnfStyle w:val="000000100000" w:firstRow="0" w:lastRow="0" w:firstColumn="0" w:lastColumn="0" w:oddVBand="0" w:evenVBand="0" w:oddHBand="1" w:evenHBand="0" w:firstRowFirstColumn="0" w:firstRowLastColumn="0" w:lastRowFirstColumn="0" w:lastRowLastColumn="0"/>
          <w:trHeight w:val="90"/>
        </w:trPr>
        <w:tc>
          <w:tcPr>
            <w:tcW w:w="2785" w:type="pct"/>
            <w:gridSpan w:val="2"/>
          </w:tcPr>
          <w:p w14:paraId="6F7A223A" w14:textId="77777777" w:rsidR="003140FF" w:rsidRPr="003140FF" w:rsidRDefault="003140FF" w:rsidP="003140FF">
            <w:pPr>
              <w:spacing w:before="40" w:line="240" w:lineRule="auto"/>
              <w:ind w:right="113"/>
              <w:rPr>
                <w:rFonts w:eastAsia="Calibri" w:cs="Arial"/>
                <w:b/>
                <w:color w:val="000000"/>
              </w:rPr>
            </w:pPr>
            <w:r w:rsidRPr="003140FF">
              <w:rPr>
                <w:rFonts w:eastAsia="Calibri" w:cs="Arial"/>
                <w:b/>
                <w:color w:val="000000"/>
              </w:rPr>
              <w:t>Sexual orientation</w:t>
            </w:r>
          </w:p>
        </w:tc>
        <w:tc>
          <w:tcPr>
            <w:tcW w:w="1108" w:type="pct"/>
            <w:vAlign w:val="center"/>
          </w:tcPr>
          <w:p w14:paraId="3B7FF17F" w14:textId="77777777" w:rsidR="003140FF" w:rsidRPr="005E032F" w:rsidRDefault="003140FF" w:rsidP="003140FF">
            <w:pPr>
              <w:jc w:val="center"/>
              <w:rPr>
                <w:rFonts w:eastAsia="SimSun" w:cs="Arial"/>
                <w:b/>
                <w:bCs/>
                <w:color w:val="000000"/>
              </w:rPr>
            </w:pPr>
            <w:r w:rsidRPr="005E032F">
              <w:rPr>
                <w:rFonts w:eastAsia="SimSun" w:cs="Arial"/>
                <w:b/>
                <w:bCs/>
                <w:color w:val="000000"/>
              </w:rPr>
              <w:t>No data available</w:t>
            </w:r>
          </w:p>
        </w:tc>
        <w:tc>
          <w:tcPr>
            <w:tcW w:w="1107" w:type="pct"/>
            <w:vAlign w:val="center"/>
          </w:tcPr>
          <w:p w14:paraId="36607AAA" w14:textId="77777777" w:rsidR="003140FF" w:rsidRPr="005E032F" w:rsidRDefault="003140FF" w:rsidP="003140FF">
            <w:pPr>
              <w:jc w:val="center"/>
              <w:rPr>
                <w:rFonts w:eastAsia="SimSun" w:cs="Arial"/>
                <w:b/>
                <w:bCs/>
                <w:color w:val="000000"/>
              </w:rPr>
            </w:pPr>
            <w:r w:rsidRPr="005E032F">
              <w:rPr>
                <w:rFonts w:eastAsia="SimSun" w:cs="Arial"/>
                <w:b/>
                <w:bCs/>
                <w:color w:val="000000"/>
              </w:rPr>
              <w:t>No data available</w:t>
            </w:r>
          </w:p>
        </w:tc>
      </w:tr>
    </w:tbl>
    <w:p w14:paraId="4D2C390C" w14:textId="47E3D2B6" w:rsidR="007B20BD" w:rsidRDefault="00794D01" w:rsidP="007B20BD">
      <w:r w:rsidRPr="00794D01">
        <w:rPr>
          <w:sz w:val="16"/>
        </w:rPr>
        <w:t>Source: Mott MacDonald, 20</w:t>
      </w:r>
      <w:r w:rsidR="00F412C6">
        <w:rPr>
          <w:sz w:val="16"/>
        </w:rPr>
        <w:t>20</w:t>
      </w:r>
    </w:p>
    <w:p w14:paraId="5F7CB4D9" w14:textId="4AED7F56" w:rsidR="000071CC" w:rsidRPr="000071CC" w:rsidRDefault="007B20BD" w:rsidP="000071CC">
      <w:pPr>
        <w:pStyle w:val="Heading1"/>
      </w:pPr>
      <w:bookmarkStart w:id="35" w:name="_Toc31809577"/>
      <w:r>
        <w:lastRenderedPageBreak/>
        <w:t>Impact assessment</w:t>
      </w:r>
      <w:bookmarkEnd w:id="35"/>
      <w:r>
        <w:t xml:space="preserve"> </w:t>
      </w:r>
    </w:p>
    <w:p w14:paraId="69647E34" w14:textId="77777777" w:rsidR="00A35EFF" w:rsidRDefault="00A35EFF" w:rsidP="00A35EFF">
      <w:pPr>
        <w:pStyle w:val="Heading2"/>
      </w:pPr>
      <w:r>
        <w:t>Overview</w:t>
      </w:r>
    </w:p>
    <w:p w14:paraId="16CBC7D6" w14:textId="3CA792DF" w:rsidR="00DF3665" w:rsidRDefault="00DF3665" w:rsidP="00DF3665">
      <w:r>
        <w:t xml:space="preserve">This section of the report presents the impacts that have been identified in relation to protected characteristic groups. </w:t>
      </w:r>
      <w:r w:rsidR="00D679B2">
        <w:t xml:space="preserve">Wherever possible, </w:t>
      </w:r>
      <w:r w:rsidR="00033CC9">
        <w:t>f</w:t>
      </w:r>
      <w:r>
        <w:t xml:space="preserve">indings from the wider literature have been included to provide supporting evidence. Impacts that have been identified </w:t>
      </w:r>
      <w:r w:rsidR="000F71E5">
        <w:t>for the</w:t>
      </w:r>
      <w:r w:rsidR="00FB59A6">
        <w:t xml:space="preserve"> </w:t>
      </w:r>
      <w:r w:rsidR="00AC1627">
        <w:t>TSDL</w:t>
      </w:r>
      <w:r w:rsidR="00626C85">
        <w:t xml:space="preserve"> include those </w:t>
      </w:r>
      <w:r w:rsidR="000F71E5">
        <w:t>in relation to the</w:t>
      </w:r>
      <w:r w:rsidR="00AC1627">
        <w:t xml:space="preserve"> construction phase</w:t>
      </w:r>
      <w:r w:rsidR="00FB59A6">
        <w:t xml:space="preserve">, </w:t>
      </w:r>
      <w:r>
        <w:t xml:space="preserve">new housing development, the creation of </w:t>
      </w:r>
      <w:r w:rsidR="003E3055">
        <w:t>new community facilities</w:t>
      </w:r>
      <w:r w:rsidR="00974880">
        <w:t xml:space="preserve">, </w:t>
      </w:r>
      <w:r w:rsidR="00E64B79">
        <w:t>an improved public realm</w:t>
      </w:r>
      <w:r w:rsidR="00FA7057">
        <w:t xml:space="preserve"> and loss of </w:t>
      </w:r>
      <w:r w:rsidR="00B63585">
        <w:t>income</w:t>
      </w:r>
      <w:r w:rsidR="00E64B79">
        <w:t>.</w:t>
      </w:r>
      <w:r>
        <w:t xml:space="preserve"> </w:t>
      </w:r>
    </w:p>
    <w:p w14:paraId="1AF10179" w14:textId="37662687" w:rsidR="00D30ADE" w:rsidRPr="00DF3665" w:rsidRDefault="00DF3665" w:rsidP="00DF3665">
      <w:r>
        <w:t>Where impacts have not been stated, this is because it is felt that no impact would disproportionately or differentially impact the protected characteristic group.</w:t>
      </w:r>
    </w:p>
    <w:p w14:paraId="79B60C23" w14:textId="03BA45F0" w:rsidR="00F24BE0" w:rsidRPr="00F24BE0" w:rsidRDefault="00CF6464" w:rsidP="00AE7006">
      <w:pPr>
        <w:pStyle w:val="Caption"/>
      </w:pPr>
      <w:bookmarkStart w:id="36" w:name="_Toc31809590"/>
      <w:r>
        <w:t>Table</w:t>
      </w:r>
      <w:r w:rsidR="00F24BE0" w:rsidRPr="009C1C7C">
        <w:t xml:space="preserve"> </w:t>
      </w:r>
      <w:r w:rsidR="004C71EF">
        <w:rPr>
          <w:noProof/>
        </w:rPr>
        <w:fldChar w:fldCharType="begin"/>
      </w:r>
      <w:r w:rsidR="004C71EF">
        <w:rPr>
          <w:noProof/>
        </w:rPr>
        <w:instrText xml:space="preserve"> STYLEREF 1 \s </w:instrText>
      </w:r>
      <w:r w:rsidR="004C71EF">
        <w:rPr>
          <w:noProof/>
        </w:rPr>
        <w:fldChar w:fldCharType="separate"/>
      </w:r>
      <w:r>
        <w:rPr>
          <w:noProof/>
        </w:rPr>
        <w:t>4</w:t>
      </w:r>
      <w:r w:rsidR="004C71EF">
        <w:rPr>
          <w:noProof/>
        </w:rPr>
        <w:fldChar w:fldCharType="end"/>
      </w:r>
      <w:r w:rsidR="00F24BE0">
        <w:t>.</w:t>
      </w:r>
      <w:r w:rsidR="00F24BE0">
        <w:rPr>
          <w:noProof/>
        </w:rPr>
        <w:fldChar w:fldCharType="begin"/>
      </w:r>
      <w:r w:rsidR="00F24BE0">
        <w:rPr>
          <w:noProof/>
        </w:rPr>
        <w:instrText xml:space="preserve"> SEQ Table \* ARABIC \s 1 </w:instrText>
      </w:r>
      <w:r w:rsidR="00F24BE0">
        <w:rPr>
          <w:noProof/>
        </w:rPr>
        <w:fldChar w:fldCharType="separate"/>
      </w:r>
      <w:r>
        <w:rPr>
          <w:noProof/>
        </w:rPr>
        <w:t>1</w:t>
      </w:r>
      <w:r w:rsidR="00F24BE0">
        <w:rPr>
          <w:noProof/>
        </w:rPr>
        <w:fldChar w:fldCharType="end"/>
      </w:r>
      <w:r w:rsidR="00F24BE0" w:rsidRPr="009C1C7C">
        <w:t>:</w:t>
      </w:r>
      <w:r w:rsidR="00F24BE0">
        <w:t xml:space="preserve"> I</w:t>
      </w:r>
      <w:r w:rsidR="00F24BE0" w:rsidRPr="00F24BE0">
        <w:t>mpact assessment</w:t>
      </w:r>
      <w:bookmarkEnd w:id="36"/>
    </w:p>
    <w:tbl>
      <w:tblPr>
        <w:tblStyle w:val="MMTable"/>
        <w:tblpPr w:leftFromText="180" w:rightFromText="180" w:vertAnchor="text" w:tblpY="1"/>
        <w:tblOverlap w:val="never"/>
        <w:tblW w:w="0" w:type="auto"/>
        <w:tblLook w:val="04A0" w:firstRow="1" w:lastRow="0" w:firstColumn="1" w:lastColumn="0" w:noHBand="0" w:noVBand="1"/>
      </w:tblPr>
      <w:tblGrid>
        <w:gridCol w:w="2080"/>
        <w:gridCol w:w="1503"/>
        <w:gridCol w:w="5138"/>
      </w:tblGrid>
      <w:tr w:rsidR="00F92170" w:rsidRPr="00E3373B" w14:paraId="21517112" w14:textId="77777777" w:rsidTr="00793D24">
        <w:trPr>
          <w:cnfStyle w:val="100000000000" w:firstRow="1" w:lastRow="0" w:firstColumn="0" w:lastColumn="0" w:oddVBand="0" w:evenVBand="0" w:oddHBand="0" w:evenHBand="0" w:firstRowFirstColumn="0" w:firstRowLastColumn="0" w:lastRowFirstColumn="0" w:lastRowLastColumn="0"/>
        </w:trPr>
        <w:tc>
          <w:tcPr>
            <w:tcW w:w="0" w:type="auto"/>
            <w:gridSpan w:val="3"/>
            <w:shd w:val="clear" w:color="auto" w:fill="DDDDDC" w:themeFill="text2" w:themeFillTint="33"/>
          </w:tcPr>
          <w:p w14:paraId="0F9D51A2" w14:textId="77777777" w:rsidR="00872D09" w:rsidRPr="00E3373B" w:rsidRDefault="00872D09" w:rsidP="00793D24">
            <w:pPr>
              <w:rPr>
                <w:rFonts w:cs="Arial"/>
                <w:b/>
              </w:rPr>
            </w:pPr>
            <w:r w:rsidRPr="00E3373B">
              <w:rPr>
                <w:rFonts w:cs="Arial"/>
                <w:b/>
              </w:rPr>
              <w:t>Impacts arising due to CPO</w:t>
            </w:r>
          </w:p>
        </w:tc>
      </w:tr>
      <w:tr w:rsidR="001E0915" w:rsidRPr="00E3373B" w14:paraId="6689D43E" w14:textId="77777777" w:rsidTr="00793D2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C6B8260" w14:textId="77777777" w:rsidR="00872D09" w:rsidRPr="00EE5BD1" w:rsidRDefault="00872D09" w:rsidP="00793D24">
            <w:pPr>
              <w:rPr>
                <w:rFonts w:cs="Arial"/>
                <w:b/>
                <w:color w:val="2FB6BC" w:themeColor="accent1"/>
              </w:rPr>
            </w:pPr>
            <w:r w:rsidRPr="00EE5BD1">
              <w:rPr>
                <w:rFonts w:cs="Arial"/>
                <w:b/>
                <w:color w:val="2FB6BC" w:themeColor="accent1"/>
              </w:rPr>
              <w:t>Impact</w:t>
            </w:r>
          </w:p>
        </w:tc>
        <w:tc>
          <w:tcPr>
            <w:tcW w:w="0" w:type="auto"/>
            <w:shd w:val="clear" w:color="auto" w:fill="auto"/>
          </w:tcPr>
          <w:p w14:paraId="5375779D" w14:textId="77777777" w:rsidR="00872D09" w:rsidRPr="00EE5BD1" w:rsidRDefault="00872D09" w:rsidP="00793D24">
            <w:pPr>
              <w:rPr>
                <w:rFonts w:cs="Arial"/>
                <w:b/>
                <w:color w:val="2FB6BC" w:themeColor="accent1"/>
              </w:rPr>
            </w:pPr>
            <w:r w:rsidRPr="00EE5BD1">
              <w:rPr>
                <w:rFonts w:cs="Arial"/>
                <w:b/>
                <w:color w:val="2FB6BC" w:themeColor="accent1"/>
              </w:rPr>
              <w:t>Protected characteristic groups affected</w:t>
            </w:r>
          </w:p>
        </w:tc>
        <w:tc>
          <w:tcPr>
            <w:tcW w:w="0" w:type="auto"/>
            <w:shd w:val="clear" w:color="auto" w:fill="auto"/>
          </w:tcPr>
          <w:p w14:paraId="5C7A9A99" w14:textId="77777777" w:rsidR="00872D09" w:rsidRPr="00EE5BD1" w:rsidRDefault="00872D09" w:rsidP="00793D24">
            <w:pPr>
              <w:rPr>
                <w:rFonts w:cs="Arial"/>
                <w:b/>
                <w:color w:val="2FB6BC" w:themeColor="accent1"/>
              </w:rPr>
            </w:pPr>
            <w:r w:rsidRPr="00EE5BD1">
              <w:rPr>
                <w:rFonts w:cs="Arial"/>
                <w:b/>
                <w:color w:val="2FB6BC" w:themeColor="accent1"/>
              </w:rPr>
              <w:t>Supporting evidence</w:t>
            </w:r>
          </w:p>
        </w:tc>
      </w:tr>
      <w:tr w:rsidR="001E0915" w:rsidRPr="00E3373B" w14:paraId="3F8299B2" w14:textId="77777777" w:rsidTr="00793D24">
        <w:tc>
          <w:tcPr>
            <w:tcW w:w="0" w:type="auto"/>
          </w:tcPr>
          <w:p w14:paraId="4E4B187A" w14:textId="05D90E8E" w:rsidR="0007239C" w:rsidRDefault="0068626E" w:rsidP="00793D24">
            <w:pPr>
              <w:rPr>
                <w:rFonts w:cs="Arial"/>
              </w:rPr>
            </w:pPr>
            <w:r>
              <w:rPr>
                <w:rFonts w:cs="Arial"/>
              </w:rPr>
              <w:t>Potential l</w:t>
            </w:r>
            <w:r w:rsidR="0007239C">
              <w:rPr>
                <w:rFonts w:cs="Arial"/>
              </w:rPr>
              <w:t xml:space="preserve">oss of income due to </w:t>
            </w:r>
            <w:r w:rsidR="0044598C">
              <w:rPr>
                <w:rFonts w:cs="Arial"/>
              </w:rPr>
              <w:t xml:space="preserve">loss of land used for agricultural purposes, including the growing of crops. </w:t>
            </w:r>
          </w:p>
        </w:tc>
        <w:tc>
          <w:tcPr>
            <w:tcW w:w="0" w:type="auto"/>
          </w:tcPr>
          <w:p w14:paraId="31F6E6C0" w14:textId="7D5248CC" w:rsidR="0007239C" w:rsidRPr="00220E03" w:rsidRDefault="00C04011" w:rsidP="00793D24">
            <w:pPr>
              <w:pStyle w:val="ListParagraph"/>
              <w:numPr>
                <w:ilvl w:val="0"/>
                <w:numId w:val="34"/>
              </w:numPr>
            </w:pPr>
            <w:r>
              <w:t>Older people</w:t>
            </w:r>
          </w:p>
        </w:tc>
        <w:tc>
          <w:tcPr>
            <w:tcW w:w="0" w:type="auto"/>
          </w:tcPr>
          <w:p w14:paraId="15EE4797" w14:textId="49B92C81" w:rsidR="00A43FEE" w:rsidRDefault="003056BD" w:rsidP="00793D24">
            <w:pPr>
              <w:rPr>
                <w:rFonts w:cs="Arial"/>
              </w:rPr>
            </w:pPr>
            <w:r w:rsidRPr="005E032F">
              <w:rPr>
                <w:rFonts w:cs="Arial"/>
                <w:b/>
                <w:bCs/>
                <w:color w:val="2FB6BC" w:themeColor="accent1"/>
              </w:rPr>
              <w:t>Older people</w:t>
            </w:r>
            <w:r w:rsidRPr="005E032F">
              <w:rPr>
                <w:rFonts w:cs="Arial"/>
                <w:color w:val="2FB6BC" w:themeColor="accent1"/>
              </w:rPr>
              <w:t xml:space="preserve"> </w:t>
            </w:r>
            <w:r>
              <w:rPr>
                <w:rFonts w:cs="Arial"/>
              </w:rPr>
              <w:t xml:space="preserve">tend to have less financial flexibility than the general population and may be disproportionately affected by the financial implications </w:t>
            </w:r>
            <w:r w:rsidR="00FA1381">
              <w:rPr>
                <w:rFonts w:cs="Arial"/>
              </w:rPr>
              <w:t xml:space="preserve">of the CPO </w:t>
            </w:r>
            <w:r>
              <w:rPr>
                <w:rFonts w:cs="Arial"/>
              </w:rPr>
              <w:t xml:space="preserve">due to loss of agricultural land. </w:t>
            </w:r>
            <w:r w:rsidR="005C7D3D">
              <w:rPr>
                <w:rFonts w:cs="Arial"/>
              </w:rPr>
              <w:t xml:space="preserve">Research suggests that those who are older when they are made redundant </w:t>
            </w:r>
            <w:r w:rsidR="0082020F">
              <w:rPr>
                <w:rFonts w:cs="Arial"/>
              </w:rPr>
              <w:t xml:space="preserve">experience additional barriers in returning to </w:t>
            </w:r>
            <w:r w:rsidR="0082020F" w:rsidDel="00076A26">
              <w:rPr>
                <w:rFonts w:cs="Arial"/>
              </w:rPr>
              <w:t>employment</w:t>
            </w:r>
            <w:r w:rsidR="00076A26">
              <w:rPr>
                <w:rFonts w:cs="Arial"/>
              </w:rPr>
              <w:t xml:space="preserve"> and</w:t>
            </w:r>
            <w:r w:rsidR="0082020F">
              <w:rPr>
                <w:rFonts w:cs="Arial"/>
              </w:rPr>
              <w:t xml:space="preserve"> achieving financial stability again</w:t>
            </w:r>
            <w:r w:rsidR="00687E86">
              <w:rPr>
                <w:rFonts w:cs="Arial"/>
              </w:rPr>
              <w:t>.</w:t>
            </w:r>
            <w:r w:rsidR="00907D7A">
              <w:rPr>
                <w:rStyle w:val="FootnoteReference"/>
                <w:rFonts w:cs="Arial"/>
              </w:rPr>
              <w:footnoteReference w:id="11"/>
            </w:r>
            <w:r w:rsidR="0082020F">
              <w:rPr>
                <w:rFonts w:cs="Arial"/>
              </w:rPr>
              <w:t xml:space="preserve"> </w:t>
            </w:r>
          </w:p>
          <w:p w14:paraId="67FF12D6" w14:textId="29B9A27D" w:rsidR="0007239C" w:rsidRPr="00E3373B" w:rsidRDefault="00D37375" w:rsidP="00793D24">
            <w:pPr>
              <w:rPr>
                <w:rFonts w:cs="Arial"/>
              </w:rPr>
            </w:pPr>
            <w:r>
              <w:rPr>
                <w:rFonts w:cs="Arial"/>
              </w:rPr>
              <w:t xml:space="preserve">As the proposed scheme will lead to a loss of agricultural </w:t>
            </w:r>
            <w:r w:rsidR="006B4DD3">
              <w:rPr>
                <w:rFonts w:cs="Arial"/>
              </w:rPr>
              <w:t>land</w:t>
            </w:r>
            <w:r>
              <w:rPr>
                <w:rFonts w:cs="Arial"/>
              </w:rPr>
              <w:t xml:space="preserve">, </w:t>
            </w:r>
            <w:r w:rsidR="002E68E8">
              <w:rPr>
                <w:rFonts w:cs="Arial"/>
              </w:rPr>
              <w:t>adverse impacts on</w:t>
            </w:r>
            <w:r w:rsidR="00135C2A">
              <w:rPr>
                <w:rFonts w:cs="Arial"/>
              </w:rPr>
              <w:t xml:space="preserve"> financial </w:t>
            </w:r>
            <w:r w:rsidR="002E68E8">
              <w:rPr>
                <w:rFonts w:cs="Arial"/>
              </w:rPr>
              <w:t>security of old</w:t>
            </w:r>
            <w:r w:rsidR="00B00769">
              <w:rPr>
                <w:rFonts w:cs="Arial"/>
              </w:rPr>
              <w:t>er</w:t>
            </w:r>
            <w:r w:rsidR="002E68E8">
              <w:rPr>
                <w:rFonts w:cs="Arial"/>
              </w:rPr>
              <w:t xml:space="preserve"> people</w:t>
            </w:r>
            <w:r w:rsidR="00135C2A">
              <w:rPr>
                <w:rFonts w:cs="Arial"/>
              </w:rPr>
              <w:t xml:space="preserve"> might arise </w:t>
            </w:r>
            <w:r w:rsidR="00B00769">
              <w:rPr>
                <w:rFonts w:cs="Arial"/>
              </w:rPr>
              <w:t xml:space="preserve">should they be landowners. </w:t>
            </w:r>
            <w:r w:rsidR="00135C2A">
              <w:rPr>
                <w:rFonts w:cs="Arial"/>
              </w:rPr>
              <w:t xml:space="preserve"> </w:t>
            </w:r>
          </w:p>
        </w:tc>
      </w:tr>
      <w:tr w:rsidR="001E0915" w:rsidRPr="00E3373B" w14:paraId="08CC51F9" w14:textId="77777777" w:rsidTr="005E032F">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FF" w:themeFill="background1"/>
          </w:tcPr>
          <w:p w14:paraId="50A0479B" w14:textId="4F8CA403" w:rsidR="00872D09" w:rsidRPr="00E3373B" w:rsidRDefault="00872D09" w:rsidP="005E032F">
            <w:pPr>
              <w:rPr>
                <w:rFonts w:cs="Arial"/>
              </w:rPr>
            </w:pPr>
            <w:r>
              <w:rPr>
                <w:rFonts w:cs="Arial"/>
              </w:rPr>
              <w:t>Impact of redundancy on health and wellbeing due to loss of</w:t>
            </w:r>
            <w:r w:rsidRPr="00E3373B">
              <w:rPr>
                <w:rFonts w:cs="Arial"/>
              </w:rPr>
              <w:t xml:space="preserve"> agricultural land </w:t>
            </w:r>
            <w:r w:rsidR="00555447">
              <w:rPr>
                <w:rFonts w:cs="Arial"/>
              </w:rPr>
              <w:t>potentially</w:t>
            </w:r>
            <w:r w:rsidR="00555447" w:rsidRPr="00E3373B">
              <w:rPr>
                <w:rFonts w:cs="Arial"/>
              </w:rPr>
              <w:t xml:space="preserve"> </w:t>
            </w:r>
            <w:r w:rsidRPr="00E3373B">
              <w:rPr>
                <w:rFonts w:cs="Arial"/>
              </w:rPr>
              <w:t>used for business purposes</w:t>
            </w:r>
            <w:r>
              <w:rPr>
                <w:rFonts w:cs="Arial"/>
              </w:rPr>
              <w:t>.</w:t>
            </w:r>
          </w:p>
        </w:tc>
        <w:tc>
          <w:tcPr>
            <w:tcW w:w="0" w:type="auto"/>
            <w:shd w:val="clear" w:color="auto" w:fill="FFFFFF" w:themeFill="background1"/>
          </w:tcPr>
          <w:p w14:paraId="2FE7F388" w14:textId="77777777" w:rsidR="00872D09" w:rsidRPr="00220E03" w:rsidRDefault="00872D09" w:rsidP="00793D24">
            <w:pPr>
              <w:pStyle w:val="ListParagraph"/>
              <w:numPr>
                <w:ilvl w:val="0"/>
                <w:numId w:val="34"/>
              </w:numPr>
            </w:pPr>
            <w:r w:rsidRPr="00220E03">
              <w:t>Older people</w:t>
            </w:r>
          </w:p>
        </w:tc>
        <w:tc>
          <w:tcPr>
            <w:tcW w:w="0" w:type="auto"/>
            <w:shd w:val="clear" w:color="auto" w:fill="FFFFFF" w:themeFill="background1"/>
          </w:tcPr>
          <w:p w14:paraId="5207449E" w14:textId="107748FF" w:rsidR="00872D09" w:rsidRDefault="00872D09" w:rsidP="00793D24">
            <w:r w:rsidRPr="00E3373B">
              <w:rPr>
                <w:rFonts w:cs="Arial"/>
              </w:rPr>
              <w:t>Evidence suggests tha</w:t>
            </w:r>
            <w:r>
              <w:rPr>
                <w:rFonts w:cs="Arial"/>
              </w:rPr>
              <w:t xml:space="preserve">t the health and wellbeing of </w:t>
            </w:r>
            <w:r w:rsidRPr="00EF615D">
              <w:rPr>
                <w:rFonts w:cs="Arial"/>
                <w:b/>
                <w:color w:val="2FB6BC" w:themeColor="accent1"/>
              </w:rPr>
              <w:t>older people</w:t>
            </w:r>
            <w:r w:rsidRPr="00D5584D">
              <w:rPr>
                <w:rFonts w:cs="Arial"/>
                <w:color w:val="2FB6BC" w:themeColor="accent1"/>
              </w:rPr>
              <w:t xml:space="preserve"> </w:t>
            </w:r>
            <w:r w:rsidR="00E4159F">
              <w:rPr>
                <w:rFonts w:cs="Arial"/>
              </w:rPr>
              <w:t>are</w:t>
            </w:r>
            <w:r>
              <w:rPr>
                <w:rFonts w:cs="Arial"/>
              </w:rPr>
              <w:t xml:space="preserve"> particularly vulnerable to impacts associated with involuntary unemployment. This group can be </w:t>
            </w:r>
            <w:r>
              <w:t>disproportionately negatively impacted by a lower likelihood or re-employment, loss of income and social severance of work-based interactions.</w:t>
            </w:r>
            <w:r>
              <w:rPr>
                <w:rStyle w:val="FootnoteReference"/>
              </w:rPr>
              <w:footnoteReference w:id="12"/>
            </w:r>
            <w:r w:rsidR="00BD1D03">
              <w:t xml:space="preserve"> </w:t>
            </w:r>
          </w:p>
          <w:p w14:paraId="7076634C" w14:textId="101C4600" w:rsidR="00A43FEE" w:rsidRPr="00E3373B" w:rsidRDefault="00A43FEE" w:rsidP="00793D24">
            <w:pPr>
              <w:rPr>
                <w:rFonts w:cs="Arial"/>
              </w:rPr>
            </w:pPr>
            <w:r>
              <w:rPr>
                <w:rFonts w:cs="Arial"/>
              </w:rPr>
              <w:t xml:space="preserve">Should the redevelopment result in loss of employment </w:t>
            </w:r>
            <w:r w:rsidR="00B770A9">
              <w:rPr>
                <w:rFonts w:cs="Arial"/>
              </w:rPr>
              <w:t xml:space="preserve">currently provided on agricultural land, this may </w:t>
            </w:r>
            <w:r w:rsidR="00035E2A">
              <w:rPr>
                <w:rFonts w:cs="Arial"/>
              </w:rPr>
              <w:t xml:space="preserve">negatively </w:t>
            </w:r>
            <w:r w:rsidR="00B770A9">
              <w:rPr>
                <w:rFonts w:cs="Arial"/>
              </w:rPr>
              <w:t>impact older people.</w:t>
            </w:r>
          </w:p>
        </w:tc>
      </w:tr>
      <w:tr w:rsidR="00BF0FEF" w:rsidRPr="00E3373B" w14:paraId="355C8B14" w14:textId="77777777" w:rsidTr="000A0C3C">
        <w:tc>
          <w:tcPr>
            <w:tcW w:w="0" w:type="auto"/>
            <w:shd w:val="clear" w:color="auto" w:fill="auto"/>
          </w:tcPr>
          <w:p w14:paraId="40E9482F" w14:textId="174DD0D5" w:rsidR="00BF0FEF" w:rsidRDefault="00BF0FEF" w:rsidP="00BF0FEF">
            <w:pPr>
              <w:rPr>
                <w:rFonts w:cs="Arial"/>
              </w:rPr>
            </w:pPr>
            <w:r>
              <w:rPr>
                <w:rFonts w:cs="Arial"/>
              </w:rPr>
              <w:t xml:space="preserve">Impact of increased noise exposure </w:t>
            </w:r>
            <w:r w:rsidRPr="00775CE5">
              <w:rPr>
                <w:rFonts w:cs="Arial"/>
              </w:rPr>
              <w:t>associated with the construction phase of the development</w:t>
            </w:r>
            <w:r>
              <w:rPr>
                <w:rFonts w:cs="Arial"/>
              </w:rPr>
              <w:t>.</w:t>
            </w:r>
          </w:p>
        </w:tc>
        <w:tc>
          <w:tcPr>
            <w:tcW w:w="0" w:type="auto"/>
            <w:shd w:val="clear" w:color="auto" w:fill="auto"/>
          </w:tcPr>
          <w:p w14:paraId="1F514483" w14:textId="77777777" w:rsidR="00BF0FEF" w:rsidRDefault="00BF0FEF" w:rsidP="00BF0FEF">
            <w:pPr>
              <w:pStyle w:val="ListParagraph"/>
              <w:numPr>
                <w:ilvl w:val="0"/>
                <w:numId w:val="34"/>
              </w:numPr>
            </w:pPr>
            <w:r>
              <w:t>Children</w:t>
            </w:r>
          </w:p>
          <w:p w14:paraId="0BBE13DC" w14:textId="77777777" w:rsidR="00BF0FEF" w:rsidRDefault="00BF0FEF" w:rsidP="00BF0FEF">
            <w:pPr>
              <w:pStyle w:val="ListParagraph"/>
              <w:numPr>
                <w:ilvl w:val="0"/>
                <w:numId w:val="34"/>
              </w:numPr>
            </w:pPr>
            <w:r>
              <w:t>Older people</w:t>
            </w:r>
          </w:p>
          <w:p w14:paraId="4C4D39D8" w14:textId="77777777" w:rsidR="00BF0FEF" w:rsidRDefault="00BF0FEF" w:rsidP="00BF0FEF">
            <w:pPr>
              <w:pStyle w:val="ListParagraph"/>
              <w:numPr>
                <w:ilvl w:val="0"/>
                <w:numId w:val="34"/>
              </w:numPr>
            </w:pPr>
            <w:r>
              <w:t>Disabled people</w:t>
            </w:r>
          </w:p>
          <w:p w14:paraId="50830040" w14:textId="55BC82E2" w:rsidR="00BE67CB" w:rsidRPr="00220E03" w:rsidRDefault="00BE67CB" w:rsidP="00BF0FEF">
            <w:pPr>
              <w:pStyle w:val="ListParagraph"/>
              <w:numPr>
                <w:ilvl w:val="0"/>
                <w:numId w:val="34"/>
              </w:numPr>
            </w:pPr>
            <w:r>
              <w:t>Religious groups</w:t>
            </w:r>
          </w:p>
        </w:tc>
        <w:tc>
          <w:tcPr>
            <w:tcW w:w="0" w:type="auto"/>
            <w:shd w:val="clear" w:color="auto" w:fill="auto"/>
          </w:tcPr>
          <w:p w14:paraId="0D04A695" w14:textId="77777777" w:rsidR="00BF0FEF" w:rsidRDefault="00BF0FEF" w:rsidP="00BF0FEF">
            <w:pPr>
              <w:rPr>
                <w:rFonts w:cs="Arial"/>
              </w:rPr>
            </w:pPr>
            <w:r>
              <w:rPr>
                <w:rFonts w:cs="Arial"/>
              </w:rPr>
              <w:t>Increased n</w:t>
            </w:r>
            <w:r w:rsidRPr="0060040F">
              <w:rPr>
                <w:rFonts w:cs="Arial"/>
              </w:rPr>
              <w:t xml:space="preserve">oise </w:t>
            </w:r>
            <w:r>
              <w:rPr>
                <w:rFonts w:cs="Arial"/>
              </w:rPr>
              <w:t>exposure</w:t>
            </w:r>
            <w:r w:rsidRPr="0060040F">
              <w:rPr>
                <w:rFonts w:cs="Arial"/>
              </w:rPr>
              <w:t xml:space="preserve"> has been linked to several negative health outcomes for </w:t>
            </w:r>
            <w:r w:rsidRPr="00017A08">
              <w:rPr>
                <w:rFonts w:cs="Arial"/>
                <w:b/>
                <w:color w:val="2FB6BC" w:themeColor="accent1"/>
              </w:rPr>
              <w:t>children</w:t>
            </w:r>
            <w:r>
              <w:rPr>
                <w:rFonts w:cs="Arial"/>
                <w:b/>
                <w:color w:val="2FB6BC" w:themeColor="accent1"/>
              </w:rPr>
              <w:t xml:space="preserve">, </w:t>
            </w:r>
            <w:r w:rsidRPr="00017A08">
              <w:rPr>
                <w:rFonts w:cs="Arial"/>
                <w:b/>
                <w:color w:val="2FB6BC" w:themeColor="accent1"/>
              </w:rPr>
              <w:t>older people</w:t>
            </w:r>
            <w:r>
              <w:rPr>
                <w:rFonts w:cs="Arial"/>
                <w:b/>
                <w:color w:val="2FB6BC" w:themeColor="accent1"/>
              </w:rPr>
              <w:t xml:space="preserve"> </w:t>
            </w:r>
            <w:r w:rsidRPr="00D60D33">
              <w:rPr>
                <w:rFonts w:cs="Arial"/>
                <w:bCs/>
              </w:rPr>
              <w:t>and</w:t>
            </w:r>
            <w:r w:rsidRPr="00D60D33">
              <w:rPr>
                <w:rFonts w:cs="Arial"/>
                <w:b/>
              </w:rPr>
              <w:t xml:space="preserve"> </w:t>
            </w:r>
            <w:r>
              <w:rPr>
                <w:rFonts w:cs="Arial"/>
                <w:b/>
                <w:color w:val="2FB6BC" w:themeColor="accent1"/>
              </w:rPr>
              <w:t>disabled people</w:t>
            </w:r>
            <w:r w:rsidRPr="0060040F">
              <w:rPr>
                <w:rFonts w:cs="Arial"/>
              </w:rPr>
              <w:t xml:space="preserve"> as they are more vulnerable to the negative healthcare outcomes which occur as a result. </w:t>
            </w:r>
          </w:p>
          <w:p w14:paraId="06776305" w14:textId="77777777" w:rsidR="00BF0FEF" w:rsidRPr="00620C57" w:rsidRDefault="00BF0FEF" w:rsidP="00BF0FEF">
            <w:pPr>
              <w:rPr>
                <w:rFonts w:cs="Arial"/>
              </w:rPr>
            </w:pPr>
            <w:r w:rsidRPr="00480F7F">
              <w:rPr>
                <w:rFonts w:cs="Arial" w:hint="eastAsia"/>
              </w:rPr>
              <w:t xml:space="preserve">Noise levels due to increased </w:t>
            </w:r>
            <w:r>
              <w:rPr>
                <w:rFonts w:cs="Arial"/>
              </w:rPr>
              <w:t xml:space="preserve">construction </w:t>
            </w:r>
            <w:r w:rsidRPr="00480F7F">
              <w:rPr>
                <w:rFonts w:cs="Arial" w:hint="eastAsia"/>
              </w:rPr>
              <w:t xml:space="preserve">traffic in proximity to schools, or community facilities frequently used by </w:t>
            </w:r>
            <w:r w:rsidRPr="00480F7F">
              <w:rPr>
                <w:rFonts w:cs="Arial" w:hint="eastAsia"/>
                <w:b/>
                <w:color w:val="2FB6BC" w:themeColor="accent1"/>
              </w:rPr>
              <w:t>children</w:t>
            </w:r>
            <w:r w:rsidRPr="00480F7F">
              <w:rPr>
                <w:rFonts w:cs="Arial" w:hint="eastAsia"/>
              </w:rPr>
              <w:t xml:space="preserve"> can negatively impact their concentration and </w:t>
            </w:r>
            <w:r w:rsidRPr="00480F7F">
              <w:rPr>
                <w:rFonts w:cs="Arial"/>
              </w:rPr>
              <w:t>long-term</w:t>
            </w:r>
            <w:r w:rsidRPr="00480F7F">
              <w:rPr>
                <w:rFonts w:cs="Arial" w:hint="eastAsia"/>
              </w:rPr>
              <w:t xml:space="preserve"> cognitive development.</w:t>
            </w:r>
            <w:r>
              <w:rPr>
                <w:rStyle w:val="FootnoteReference"/>
                <w:rFonts w:cs="Arial"/>
              </w:rPr>
              <w:footnoteReference w:id="13"/>
            </w:r>
            <w:r>
              <w:rPr>
                <w:rFonts w:cs="Arial"/>
              </w:rPr>
              <w:t xml:space="preserve"> A children’s nursery and a primary school are in </w:t>
            </w:r>
            <w:r>
              <w:rPr>
                <w:rFonts w:cs="Arial"/>
              </w:rPr>
              <w:lastRenderedPageBreak/>
              <w:t>proximity of TSDL and are likely to be impacted by increased noise exposure, and a new school could be created at the early stages of the development.</w:t>
            </w:r>
          </w:p>
          <w:p w14:paraId="2D1E75D5" w14:textId="77777777" w:rsidR="00BF0FEF" w:rsidRDefault="00BF0FEF" w:rsidP="00BF0FEF">
            <w:pPr>
              <w:rPr>
                <w:rFonts w:cs="Arial"/>
              </w:rPr>
            </w:pPr>
            <w:r w:rsidRPr="0060040F">
              <w:rPr>
                <w:rFonts w:cs="Arial"/>
              </w:rPr>
              <w:t xml:space="preserve">Health impacts of </w:t>
            </w:r>
            <w:r>
              <w:rPr>
                <w:rFonts w:cs="Arial"/>
              </w:rPr>
              <w:t xml:space="preserve">increased </w:t>
            </w:r>
            <w:r w:rsidRPr="0060040F">
              <w:rPr>
                <w:rFonts w:cs="Arial"/>
              </w:rPr>
              <w:t xml:space="preserve">noise </w:t>
            </w:r>
            <w:r>
              <w:rPr>
                <w:rFonts w:cs="Arial"/>
              </w:rPr>
              <w:t xml:space="preserve">exposure on </w:t>
            </w:r>
            <w:r w:rsidRPr="006F084C">
              <w:rPr>
                <w:rFonts w:cs="Arial"/>
                <w:b/>
                <w:color w:val="2FB6BC" w:themeColor="accent1"/>
              </w:rPr>
              <w:t>older people</w:t>
            </w:r>
            <w:r w:rsidRPr="0060040F">
              <w:rPr>
                <w:rFonts w:cs="Arial"/>
              </w:rPr>
              <w:t xml:space="preserve"> include cardiovascular disease, sleep deprivation, stress and anxiety.</w:t>
            </w:r>
            <w:r>
              <w:rPr>
                <w:rStyle w:val="FootnoteReference"/>
                <w:rFonts w:cs="Arial"/>
              </w:rPr>
              <w:footnoteReference w:id="14"/>
            </w:r>
            <w:r>
              <w:rPr>
                <w:rFonts w:cs="Arial"/>
              </w:rPr>
              <w:t xml:space="preserve"> </w:t>
            </w:r>
          </w:p>
          <w:p w14:paraId="049B3D01" w14:textId="77777777" w:rsidR="00DD0E55" w:rsidRPr="00DD0E55" w:rsidRDefault="00BF0FEF" w:rsidP="00DD0E55">
            <w:pPr>
              <w:rPr>
                <w:rFonts w:cs="Arial"/>
              </w:rPr>
            </w:pPr>
            <w:r w:rsidRPr="00864776">
              <w:rPr>
                <w:rFonts w:cs="Arial" w:hint="eastAsia"/>
              </w:rPr>
              <w:t xml:space="preserve">Changes to noise levels can impact </w:t>
            </w:r>
            <w:r w:rsidRPr="00864776">
              <w:rPr>
                <w:rFonts w:cs="Arial" w:hint="eastAsia"/>
                <w:b/>
                <w:color w:val="2FB6BC" w:themeColor="accent1"/>
              </w:rPr>
              <w:t>those with learning disabilities</w:t>
            </w:r>
            <w:r w:rsidRPr="00864776">
              <w:rPr>
                <w:rFonts w:cs="Arial" w:hint="eastAsia"/>
              </w:rPr>
              <w:t xml:space="preserve"> by creating challenging behaviours.</w:t>
            </w:r>
            <w:r>
              <w:rPr>
                <w:rFonts w:cs="Arial"/>
              </w:rPr>
              <w:t xml:space="preserve"> Also, n</w:t>
            </w:r>
            <w:r w:rsidRPr="00864776">
              <w:rPr>
                <w:rFonts w:cs="Arial" w:hint="eastAsia"/>
              </w:rPr>
              <w:t xml:space="preserve">oise can discourage </w:t>
            </w:r>
            <w:r w:rsidRPr="00864776">
              <w:rPr>
                <w:rFonts w:cs="Arial" w:hint="eastAsia"/>
                <w:b/>
                <w:color w:val="2FB6BC" w:themeColor="accent1"/>
              </w:rPr>
              <w:t>disabled people</w:t>
            </w:r>
            <w:r w:rsidRPr="00864776">
              <w:rPr>
                <w:rFonts w:cs="Arial" w:hint="eastAsia"/>
                <w:color w:val="2FB6BC" w:themeColor="accent1"/>
              </w:rPr>
              <w:t xml:space="preserve"> </w:t>
            </w:r>
            <w:r w:rsidRPr="00864776">
              <w:rPr>
                <w:rFonts w:cs="Arial" w:hint="eastAsia"/>
              </w:rPr>
              <w:t>from participating in activities outside the home, leading to social isolation.</w:t>
            </w:r>
            <w:r>
              <w:rPr>
                <w:rStyle w:val="FootnoteReference"/>
                <w:rFonts w:cs="Arial"/>
              </w:rPr>
              <w:footnoteReference w:id="15"/>
            </w:r>
          </w:p>
          <w:p w14:paraId="677DB29E" w14:textId="35D2C40E" w:rsidR="00D101D0" w:rsidRDefault="00D101D0" w:rsidP="00BF0FEF">
            <w:pPr>
              <w:rPr>
                <w:rFonts w:cs="Arial"/>
              </w:rPr>
            </w:pPr>
            <w:r>
              <w:rPr>
                <w:rFonts w:cs="Arial"/>
              </w:rPr>
              <w:t xml:space="preserve">There is a </w:t>
            </w:r>
            <w:r w:rsidR="00B420EE">
              <w:rPr>
                <w:rFonts w:cs="Arial"/>
              </w:rPr>
              <w:t>church located next to the</w:t>
            </w:r>
            <w:r w:rsidR="00D06ABC">
              <w:rPr>
                <w:rFonts w:cs="Arial"/>
              </w:rPr>
              <w:t xml:space="preserve"> boundary of the</w:t>
            </w:r>
            <w:r>
              <w:rPr>
                <w:rFonts w:cs="Arial"/>
              </w:rPr>
              <w:t xml:space="preserve"> </w:t>
            </w:r>
            <w:r w:rsidR="00B420EE">
              <w:rPr>
                <w:rFonts w:cs="Arial"/>
              </w:rPr>
              <w:t>TSDL site</w:t>
            </w:r>
            <w:r w:rsidR="00D06ABC">
              <w:rPr>
                <w:rFonts w:cs="Arial"/>
              </w:rPr>
              <w:t xml:space="preserve">. </w:t>
            </w:r>
            <w:r w:rsidR="00DD739D">
              <w:rPr>
                <w:rFonts w:cs="Arial"/>
              </w:rPr>
              <w:t>An increase in noise throughout construction</w:t>
            </w:r>
            <w:r w:rsidR="00D06ABC">
              <w:rPr>
                <w:rFonts w:cs="Arial"/>
              </w:rPr>
              <w:t xml:space="preserve"> has the potential to impact</w:t>
            </w:r>
            <w:r w:rsidR="00B45345">
              <w:rPr>
                <w:rFonts w:cs="Arial"/>
              </w:rPr>
              <w:t xml:space="preserve"> </w:t>
            </w:r>
            <w:r w:rsidR="004C450D">
              <w:rPr>
                <w:rFonts w:cs="Arial"/>
              </w:rPr>
              <w:t xml:space="preserve">religious ceremonies, should these </w:t>
            </w:r>
            <w:r w:rsidR="00285D6B">
              <w:rPr>
                <w:rFonts w:cs="Arial"/>
              </w:rPr>
              <w:t xml:space="preserve">take place when constructions works are </w:t>
            </w:r>
            <w:r w:rsidR="00581E07">
              <w:rPr>
                <w:rFonts w:cs="Arial"/>
              </w:rPr>
              <w:t xml:space="preserve">taking place. </w:t>
            </w:r>
            <w:r w:rsidR="00581E07" w:rsidRPr="005E032F">
              <w:rPr>
                <w:rFonts w:cs="Arial"/>
                <w:b/>
                <w:bCs/>
                <w:color w:val="2FB6BC" w:themeColor="accent1"/>
              </w:rPr>
              <w:t>Relig</w:t>
            </w:r>
            <w:r w:rsidR="00BE67CB" w:rsidRPr="005E032F">
              <w:rPr>
                <w:rFonts w:cs="Arial"/>
                <w:b/>
                <w:bCs/>
                <w:color w:val="2FB6BC" w:themeColor="accent1"/>
              </w:rPr>
              <w:t>ious groups</w:t>
            </w:r>
            <w:r w:rsidR="00BE67CB" w:rsidRPr="005E032F">
              <w:rPr>
                <w:rFonts w:cs="Arial"/>
                <w:color w:val="2FB6BC" w:themeColor="accent1"/>
              </w:rPr>
              <w:t xml:space="preserve"> </w:t>
            </w:r>
            <w:r w:rsidR="00BE67CB">
              <w:rPr>
                <w:rFonts w:cs="Arial"/>
              </w:rPr>
              <w:t xml:space="preserve">may therefore be </w:t>
            </w:r>
            <w:r w:rsidR="00B45345">
              <w:rPr>
                <w:rFonts w:cs="Arial"/>
              </w:rPr>
              <w:t xml:space="preserve">impacted from </w:t>
            </w:r>
            <w:r w:rsidR="00DD739D">
              <w:rPr>
                <w:rFonts w:cs="Arial"/>
              </w:rPr>
              <w:t>an</w:t>
            </w:r>
            <w:r w:rsidR="00B45345">
              <w:rPr>
                <w:rFonts w:cs="Arial"/>
              </w:rPr>
              <w:t xml:space="preserve"> </w:t>
            </w:r>
            <w:r w:rsidR="009A074B">
              <w:rPr>
                <w:rFonts w:cs="Arial"/>
              </w:rPr>
              <w:t>increased exposure to construction</w:t>
            </w:r>
            <w:r w:rsidR="00B45345">
              <w:rPr>
                <w:rFonts w:cs="Arial"/>
              </w:rPr>
              <w:t xml:space="preserve"> noise</w:t>
            </w:r>
            <w:r w:rsidR="009A074B">
              <w:rPr>
                <w:rFonts w:cs="Arial"/>
              </w:rPr>
              <w:t xml:space="preserve">. </w:t>
            </w:r>
          </w:p>
          <w:p w14:paraId="4CAD7489" w14:textId="528013EC" w:rsidR="00BF0FEF" w:rsidRPr="00E3373B" w:rsidRDefault="00BF0FEF" w:rsidP="00BF0FEF">
            <w:pPr>
              <w:rPr>
                <w:rFonts w:cs="Arial"/>
              </w:rPr>
            </w:pPr>
            <w:r>
              <w:rPr>
                <w:rFonts w:cs="Arial"/>
              </w:rPr>
              <w:t xml:space="preserve">Should construction of the TSDL lead to a significant increase in noise levels, these groups may be differentially impacted. </w:t>
            </w:r>
          </w:p>
        </w:tc>
      </w:tr>
      <w:tr w:rsidR="001E0915" w:rsidRPr="00E3373B" w14:paraId="0A3F5FA7" w14:textId="77777777" w:rsidTr="009D122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48A3E9BA" w14:textId="1AB9037F" w:rsidR="002C6680" w:rsidRDefault="00C735AC" w:rsidP="00793D24">
            <w:pPr>
              <w:rPr>
                <w:rFonts w:cs="Arial"/>
              </w:rPr>
            </w:pPr>
            <w:r>
              <w:rPr>
                <w:rFonts w:cs="Arial"/>
              </w:rPr>
              <w:lastRenderedPageBreak/>
              <w:t xml:space="preserve">Impact of </w:t>
            </w:r>
            <w:r w:rsidR="00BB6634">
              <w:rPr>
                <w:rFonts w:cs="Arial"/>
              </w:rPr>
              <w:t>reduced air quality</w:t>
            </w:r>
            <w:r w:rsidR="003A5F8F">
              <w:rPr>
                <w:rFonts w:cs="Arial"/>
              </w:rPr>
              <w:t xml:space="preserve"> </w:t>
            </w:r>
            <w:r w:rsidR="003A5F8F" w:rsidRPr="003A5F8F">
              <w:rPr>
                <w:rFonts w:cs="Arial"/>
              </w:rPr>
              <w:t>associated with the construction phase of the development</w:t>
            </w:r>
            <w:r w:rsidR="001E0915">
              <w:rPr>
                <w:rFonts w:cs="Arial"/>
              </w:rPr>
              <w:t>.</w:t>
            </w:r>
          </w:p>
        </w:tc>
        <w:tc>
          <w:tcPr>
            <w:tcW w:w="0" w:type="auto"/>
            <w:shd w:val="clear" w:color="auto" w:fill="auto"/>
          </w:tcPr>
          <w:p w14:paraId="11133440" w14:textId="77777777" w:rsidR="000B2066" w:rsidRPr="000B2066" w:rsidRDefault="00C735AC" w:rsidP="000B2066">
            <w:pPr>
              <w:pStyle w:val="ListParagraph"/>
              <w:numPr>
                <w:ilvl w:val="0"/>
                <w:numId w:val="34"/>
              </w:numPr>
            </w:pPr>
            <w:r>
              <w:t>Children</w:t>
            </w:r>
          </w:p>
          <w:p w14:paraId="654FCCB6" w14:textId="77777777" w:rsidR="00F409E2" w:rsidRPr="00F409E2" w:rsidRDefault="00B95E01" w:rsidP="00F409E2">
            <w:pPr>
              <w:pStyle w:val="ListParagraph"/>
              <w:numPr>
                <w:ilvl w:val="0"/>
                <w:numId w:val="34"/>
              </w:numPr>
            </w:pPr>
            <w:r w:rsidRPr="00B95E01">
              <w:t>Older people</w:t>
            </w:r>
          </w:p>
          <w:p w14:paraId="7790D2EE" w14:textId="503E534E" w:rsidR="00080802" w:rsidRPr="00080802" w:rsidRDefault="00080802" w:rsidP="00080802">
            <w:pPr>
              <w:pStyle w:val="ListParagraph"/>
              <w:numPr>
                <w:ilvl w:val="0"/>
                <w:numId w:val="34"/>
              </w:numPr>
            </w:pPr>
            <w:r w:rsidRPr="00080802">
              <w:t>Pregnant women</w:t>
            </w:r>
          </w:p>
          <w:p w14:paraId="534A6C92" w14:textId="0854CDA4" w:rsidR="002C6680" w:rsidRPr="00220E03" w:rsidRDefault="00745A47" w:rsidP="00793D24">
            <w:pPr>
              <w:pStyle w:val="ListParagraph"/>
              <w:numPr>
                <w:ilvl w:val="0"/>
                <w:numId w:val="34"/>
              </w:numPr>
            </w:pPr>
            <w:r>
              <w:t>Disabled people</w:t>
            </w:r>
          </w:p>
        </w:tc>
        <w:tc>
          <w:tcPr>
            <w:tcW w:w="0" w:type="auto"/>
            <w:shd w:val="clear" w:color="auto" w:fill="auto"/>
          </w:tcPr>
          <w:p w14:paraId="187164A2" w14:textId="71B81923" w:rsidR="00F409E2" w:rsidRPr="00F409E2" w:rsidRDefault="003459EC" w:rsidP="00F409E2">
            <w:pPr>
              <w:rPr>
                <w:rFonts w:cs="Arial"/>
              </w:rPr>
            </w:pPr>
            <w:r>
              <w:rPr>
                <w:rFonts w:cs="Arial"/>
                <w:b/>
                <w:color w:val="2FB6BC" w:themeColor="accent1"/>
              </w:rPr>
              <w:t xml:space="preserve">Children </w:t>
            </w:r>
            <w:r w:rsidRPr="003459EC">
              <w:rPr>
                <w:rFonts w:cs="Arial"/>
              </w:rPr>
              <w:t xml:space="preserve">can be </w:t>
            </w:r>
            <w:r w:rsidR="000118F7">
              <w:rPr>
                <w:rFonts w:cs="Arial"/>
              </w:rPr>
              <w:t xml:space="preserve">negatively </w:t>
            </w:r>
            <w:r w:rsidRPr="003459EC">
              <w:rPr>
                <w:rFonts w:cs="Arial"/>
              </w:rPr>
              <w:t xml:space="preserve">affected </w:t>
            </w:r>
            <w:r w:rsidR="00300FA2">
              <w:rPr>
                <w:rFonts w:cs="Arial"/>
              </w:rPr>
              <w:t xml:space="preserve">by </w:t>
            </w:r>
            <w:r w:rsidR="00BB6634">
              <w:rPr>
                <w:rFonts w:cs="Arial"/>
              </w:rPr>
              <w:t>reduced air quality</w:t>
            </w:r>
            <w:r w:rsidR="00300FA2">
              <w:rPr>
                <w:rFonts w:cs="Arial"/>
              </w:rPr>
              <w:t xml:space="preserve">, as </w:t>
            </w:r>
            <w:r w:rsidR="00AD5E60" w:rsidRPr="00AD5E60">
              <w:rPr>
                <w:rFonts w:cs="Arial"/>
              </w:rPr>
              <w:t>they have faster breathing rates, their lungs are still developing (and thus are more susceptible to changes in air quality) and they are more likely to spend time outdoors</w:t>
            </w:r>
            <w:r w:rsidR="002E72F9">
              <w:rPr>
                <w:rStyle w:val="FootnoteReference"/>
                <w:rFonts w:cs="Arial"/>
              </w:rPr>
              <w:footnoteReference w:id="16"/>
            </w:r>
            <w:r w:rsidR="0019635A">
              <w:rPr>
                <w:rFonts w:cs="Arial"/>
              </w:rPr>
              <w:t xml:space="preserve">, </w:t>
            </w:r>
            <w:r w:rsidR="00C344BE">
              <w:rPr>
                <w:rFonts w:cs="Arial"/>
              </w:rPr>
              <w:t>where changes in air quality</w:t>
            </w:r>
            <w:r w:rsidR="00C134BB">
              <w:rPr>
                <w:rFonts w:cs="Arial"/>
              </w:rPr>
              <w:t xml:space="preserve"> tend to be greatest.</w:t>
            </w:r>
          </w:p>
          <w:p w14:paraId="7CAD6711" w14:textId="3FB240A9" w:rsidR="00080802" w:rsidRDefault="00080802" w:rsidP="00793D24">
            <w:pPr>
              <w:rPr>
                <w:rFonts w:cs="Arial"/>
              </w:rPr>
            </w:pPr>
            <w:r w:rsidRPr="00D523AE">
              <w:rPr>
                <w:rFonts w:cs="Arial"/>
                <w:b/>
                <w:color w:val="2FB6BC" w:themeColor="accent1"/>
              </w:rPr>
              <w:t>Older people</w:t>
            </w:r>
            <w:r w:rsidRPr="00D523AE">
              <w:rPr>
                <w:rFonts w:cs="Arial"/>
                <w:color w:val="2FB6BC" w:themeColor="accent1"/>
              </w:rPr>
              <w:t xml:space="preserve"> </w:t>
            </w:r>
            <w:r w:rsidRPr="00935242">
              <w:rPr>
                <w:rFonts w:cs="Arial"/>
              </w:rPr>
              <w:t xml:space="preserve">are more likely to have respiratory or cardiovascular illness when compared to </w:t>
            </w:r>
            <w:r w:rsidR="00BC7377">
              <w:rPr>
                <w:rFonts w:cs="Arial"/>
              </w:rPr>
              <w:t xml:space="preserve">most </w:t>
            </w:r>
            <w:r w:rsidR="00937067">
              <w:rPr>
                <w:rFonts w:cs="Arial"/>
              </w:rPr>
              <w:t>other age groups</w:t>
            </w:r>
            <w:r w:rsidRPr="00935242">
              <w:rPr>
                <w:rFonts w:cs="Arial"/>
              </w:rPr>
              <w:t xml:space="preserve">, making them more susceptible to the effects of </w:t>
            </w:r>
            <w:r w:rsidR="00C1743F">
              <w:rPr>
                <w:rFonts w:cs="Arial"/>
              </w:rPr>
              <w:t>reduced air quality</w:t>
            </w:r>
            <w:r w:rsidRPr="00935242">
              <w:rPr>
                <w:rFonts w:cs="Arial"/>
              </w:rPr>
              <w:t>. Those with COPD (Chronic Obstructive Pulmonary Disorder) are particularly at risk.</w:t>
            </w:r>
            <w:r w:rsidR="00DE418D">
              <w:rPr>
                <w:rStyle w:val="FootnoteReference"/>
                <w:rFonts w:cs="Arial"/>
              </w:rPr>
              <w:footnoteReference w:id="17"/>
            </w:r>
            <w:r w:rsidR="00BE31ED">
              <w:rPr>
                <w:rFonts w:cs="Arial"/>
              </w:rPr>
              <w:t xml:space="preserve"> </w:t>
            </w:r>
            <w:r w:rsidR="00BE31ED">
              <w:t xml:space="preserve"> </w:t>
            </w:r>
            <w:r w:rsidR="00BE31ED" w:rsidRPr="00BE31ED">
              <w:rPr>
                <w:rFonts w:cs="Arial"/>
              </w:rPr>
              <w:t>COPD occurs most often in older adults and can also affect people in their middle ages.</w:t>
            </w:r>
            <w:r w:rsidR="004143DC">
              <w:rPr>
                <w:rStyle w:val="FootnoteReference"/>
                <w:rFonts w:cs="Arial"/>
              </w:rPr>
              <w:footnoteReference w:id="18"/>
            </w:r>
            <w:r w:rsidR="00BD1D03">
              <w:rPr>
                <w:rFonts w:cs="Arial"/>
              </w:rPr>
              <w:t xml:space="preserve"> </w:t>
            </w:r>
          </w:p>
          <w:p w14:paraId="5699BD78" w14:textId="34677939" w:rsidR="00080802" w:rsidRDefault="00800936" w:rsidP="00793D24">
            <w:pPr>
              <w:rPr>
                <w:rFonts w:cs="Arial"/>
                <w:b/>
                <w:color w:val="2FB6BC" w:themeColor="accent1"/>
              </w:rPr>
            </w:pPr>
            <w:r w:rsidRPr="00800936">
              <w:rPr>
                <w:rFonts w:cs="Arial" w:hint="eastAsia"/>
                <w:b/>
                <w:color w:val="2FB6BC" w:themeColor="accent1"/>
              </w:rPr>
              <w:t>Pregnant women</w:t>
            </w:r>
            <w:r w:rsidRPr="00800936">
              <w:rPr>
                <w:rFonts w:cs="Arial" w:hint="eastAsia"/>
                <w:color w:val="2FB6BC" w:themeColor="accent1"/>
              </w:rPr>
              <w:t xml:space="preserve"> </w:t>
            </w:r>
            <w:r w:rsidRPr="00800936">
              <w:rPr>
                <w:rFonts w:cs="Arial" w:hint="eastAsia"/>
              </w:rPr>
              <w:t xml:space="preserve">living in areas with </w:t>
            </w:r>
            <w:r w:rsidR="00BC7377">
              <w:rPr>
                <w:rFonts w:cs="Arial"/>
              </w:rPr>
              <w:t>poor air quality</w:t>
            </w:r>
            <w:r w:rsidRPr="00800936">
              <w:rPr>
                <w:rFonts w:cs="Arial" w:hint="eastAsia"/>
              </w:rPr>
              <w:t xml:space="preserve"> are at risk of giving birth to a baby with a low birthweight, which can lead to an increased risk of the child developing a chronic disease</w:t>
            </w:r>
            <w:r w:rsidR="00B42239">
              <w:rPr>
                <w:rFonts w:cs="Arial"/>
              </w:rPr>
              <w:t xml:space="preserve"> in later life</w:t>
            </w:r>
            <w:r w:rsidRPr="00800936">
              <w:rPr>
                <w:rFonts w:cs="Arial" w:hint="eastAsia"/>
              </w:rPr>
              <w:t>. Research conducted by the Royal College of Physician</w:t>
            </w:r>
            <w:r w:rsidRPr="00800936">
              <w:rPr>
                <w:rFonts w:cs="Arial"/>
              </w:rPr>
              <w:t>s indicates that air pollution may negatively impact upon the growth, intelligence and weight of babies in the womb</w:t>
            </w:r>
            <w:r w:rsidR="00F35A63">
              <w:rPr>
                <w:rFonts w:cs="Arial"/>
              </w:rPr>
              <w:t>.</w:t>
            </w:r>
            <w:r w:rsidR="00F35A63">
              <w:rPr>
                <w:rStyle w:val="FootnoteReference"/>
                <w:rFonts w:cs="Arial"/>
              </w:rPr>
              <w:footnoteReference w:id="19"/>
            </w:r>
          </w:p>
          <w:p w14:paraId="354A2AF2" w14:textId="6E74CB7D" w:rsidR="002C6680" w:rsidRDefault="00935242" w:rsidP="00793D24">
            <w:pPr>
              <w:rPr>
                <w:rFonts w:cs="Arial"/>
              </w:rPr>
            </w:pPr>
            <w:r w:rsidRPr="00935242">
              <w:rPr>
                <w:rFonts w:cs="Arial"/>
                <w:b/>
                <w:color w:val="2FB6BC" w:themeColor="accent1"/>
              </w:rPr>
              <w:t>Disabled people</w:t>
            </w:r>
            <w:r w:rsidRPr="00935242">
              <w:rPr>
                <w:rFonts w:cs="Arial"/>
                <w:color w:val="2FB6BC" w:themeColor="accent1"/>
              </w:rPr>
              <w:t xml:space="preserve"> </w:t>
            </w:r>
            <w:r w:rsidRPr="00935242">
              <w:rPr>
                <w:rFonts w:cs="Arial"/>
              </w:rPr>
              <w:t>with heart or lung conditions are particularly vulnerable to serious negative health outcomes linked to reduced air quality.</w:t>
            </w:r>
            <w:r w:rsidR="00286853">
              <w:rPr>
                <w:rStyle w:val="FootnoteReference"/>
                <w:rFonts w:cs="Arial"/>
              </w:rPr>
              <w:footnoteReference w:id="20"/>
            </w:r>
            <w:r w:rsidR="00BD1D03">
              <w:rPr>
                <w:rFonts w:cs="Arial"/>
              </w:rPr>
              <w:t xml:space="preserve"> </w:t>
            </w:r>
          </w:p>
          <w:p w14:paraId="6933FB5F" w14:textId="03D1569D" w:rsidR="000118F7" w:rsidRPr="00E3373B" w:rsidRDefault="000118F7" w:rsidP="00793D24">
            <w:pPr>
              <w:rPr>
                <w:rFonts w:cs="Arial"/>
              </w:rPr>
            </w:pPr>
            <w:r>
              <w:rPr>
                <w:rFonts w:cs="Arial"/>
              </w:rPr>
              <w:t>Should construction of the TSDL lead to a significant increase in air pollution in the local area, these groups may be differentially impacted.</w:t>
            </w:r>
          </w:p>
        </w:tc>
      </w:tr>
      <w:tr w:rsidR="001E0915" w:rsidRPr="00E3373B" w14:paraId="4C75E93C" w14:textId="77777777" w:rsidTr="009D122F">
        <w:tc>
          <w:tcPr>
            <w:tcW w:w="0" w:type="auto"/>
            <w:shd w:val="clear" w:color="auto" w:fill="auto"/>
          </w:tcPr>
          <w:p w14:paraId="1FEF9BA5" w14:textId="3AFE73C0" w:rsidR="00AD1774" w:rsidRDefault="002C1AD0" w:rsidP="00793D24">
            <w:pPr>
              <w:rPr>
                <w:rFonts w:cs="Arial"/>
              </w:rPr>
            </w:pPr>
            <w:r>
              <w:rPr>
                <w:rFonts w:cs="Arial"/>
              </w:rPr>
              <w:lastRenderedPageBreak/>
              <w:t>Potential increase in</w:t>
            </w:r>
            <w:r w:rsidR="00E40166">
              <w:rPr>
                <w:rFonts w:cs="Arial"/>
              </w:rPr>
              <w:t xml:space="preserve"> traffic</w:t>
            </w:r>
            <w:r w:rsidR="0004368B">
              <w:rPr>
                <w:rFonts w:cs="Arial"/>
              </w:rPr>
              <w:t xml:space="preserve"> </w:t>
            </w:r>
            <w:r>
              <w:rPr>
                <w:rFonts w:cs="Arial"/>
              </w:rPr>
              <w:t xml:space="preserve">flow </w:t>
            </w:r>
            <w:r w:rsidR="0004368B">
              <w:rPr>
                <w:rFonts w:cs="Arial"/>
              </w:rPr>
              <w:t xml:space="preserve">during </w:t>
            </w:r>
            <w:r>
              <w:rPr>
                <w:rFonts w:cs="Arial"/>
              </w:rPr>
              <w:t>the construction phase</w:t>
            </w:r>
            <w:r w:rsidR="00511083">
              <w:rPr>
                <w:rFonts w:cs="Arial"/>
              </w:rPr>
              <w:t xml:space="preserve"> and barriers to accessing the community resources</w:t>
            </w:r>
            <w:r w:rsidR="001E0915">
              <w:rPr>
                <w:rFonts w:cs="Arial"/>
              </w:rPr>
              <w:t>.</w:t>
            </w:r>
          </w:p>
        </w:tc>
        <w:tc>
          <w:tcPr>
            <w:tcW w:w="0" w:type="auto"/>
            <w:shd w:val="clear" w:color="auto" w:fill="auto"/>
          </w:tcPr>
          <w:p w14:paraId="584A6EF0" w14:textId="77777777" w:rsidR="00AD1774" w:rsidRPr="00831285" w:rsidRDefault="00BA6EB2" w:rsidP="00793D24">
            <w:pPr>
              <w:pStyle w:val="ListParagraph"/>
              <w:numPr>
                <w:ilvl w:val="0"/>
                <w:numId w:val="34"/>
              </w:numPr>
            </w:pPr>
            <w:r w:rsidRPr="00831285">
              <w:t>Children</w:t>
            </w:r>
          </w:p>
          <w:p w14:paraId="2691EEBB" w14:textId="77777777" w:rsidR="00831285" w:rsidRPr="00831285" w:rsidRDefault="00831285" w:rsidP="00793D24">
            <w:pPr>
              <w:pStyle w:val="ListParagraph"/>
              <w:numPr>
                <w:ilvl w:val="0"/>
                <w:numId w:val="34"/>
              </w:numPr>
            </w:pPr>
            <w:r w:rsidRPr="00831285">
              <w:t>Older people</w:t>
            </w:r>
          </w:p>
          <w:p w14:paraId="4632C675" w14:textId="09B4FA85" w:rsidR="00AD1774" w:rsidRPr="00BA6EB2" w:rsidRDefault="00831285" w:rsidP="00793D24">
            <w:pPr>
              <w:pStyle w:val="ListParagraph"/>
              <w:numPr>
                <w:ilvl w:val="0"/>
                <w:numId w:val="34"/>
              </w:numPr>
              <w:rPr>
                <w:b/>
              </w:rPr>
            </w:pPr>
            <w:r w:rsidRPr="00831285">
              <w:t>Disabled people</w:t>
            </w:r>
          </w:p>
        </w:tc>
        <w:tc>
          <w:tcPr>
            <w:tcW w:w="0" w:type="auto"/>
            <w:shd w:val="clear" w:color="auto" w:fill="auto"/>
          </w:tcPr>
          <w:p w14:paraId="0ACA68DB" w14:textId="19CC6E67" w:rsidR="00831285" w:rsidRDefault="00207E34" w:rsidP="00793D24">
            <w:pPr>
              <w:rPr>
                <w:rFonts w:cs="Arial"/>
              </w:rPr>
            </w:pPr>
            <w:r>
              <w:rPr>
                <w:rFonts w:cs="Arial"/>
              </w:rPr>
              <w:t xml:space="preserve">Construction of the proposed scheme is likely to </w:t>
            </w:r>
            <w:r w:rsidR="001F5282">
              <w:rPr>
                <w:rFonts w:cs="Arial"/>
              </w:rPr>
              <w:t>increase</w:t>
            </w:r>
            <w:r>
              <w:rPr>
                <w:rFonts w:cs="Arial"/>
              </w:rPr>
              <w:t xml:space="preserve"> vehicle movements and congestion </w:t>
            </w:r>
            <w:r w:rsidR="00763F5F">
              <w:rPr>
                <w:rFonts w:cs="Arial"/>
              </w:rPr>
              <w:t xml:space="preserve">around Tangmere and the surrounding area. There is a potential </w:t>
            </w:r>
            <w:r w:rsidR="00131C27">
              <w:rPr>
                <w:rFonts w:cs="Arial"/>
              </w:rPr>
              <w:t>negative</w:t>
            </w:r>
            <w:r w:rsidR="00763F5F">
              <w:rPr>
                <w:rFonts w:cs="Arial"/>
              </w:rPr>
              <w:t xml:space="preserve"> impact of increased traffic on </w:t>
            </w:r>
            <w:r w:rsidR="00763F5F" w:rsidRPr="00407FD3">
              <w:rPr>
                <w:rFonts w:cs="Arial"/>
                <w:b/>
                <w:bCs/>
                <w:color w:val="2FB6BC" w:themeColor="accent1"/>
              </w:rPr>
              <w:t>children</w:t>
            </w:r>
            <w:r w:rsidR="00763F5F">
              <w:rPr>
                <w:rFonts w:cs="Arial"/>
              </w:rPr>
              <w:t xml:space="preserve">, </w:t>
            </w:r>
            <w:r w:rsidR="00763F5F" w:rsidRPr="00407FD3">
              <w:rPr>
                <w:rFonts w:cs="Arial"/>
                <w:b/>
                <w:bCs/>
                <w:color w:val="2FB6BC" w:themeColor="accent1"/>
              </w:rPr>
              <w:t>older people</w:t>
            </w:r>
            <w:r w:rsidR="00763F5F" w:rsidRPr="00407FD3">
              <w:rPr>
                <w:rFonts w:cs="Arial"/>
                <w:color w:val="2FB6BC" w:themeColor="accent1"/>
              </w:rPr>
              <w:t xml:space="preserve"> </w:t>
            </w:r>
            <w:r w:rsidR="00763F5F">
              <w:rPr>
                <w:rFonts w:cs="Arial"/>
              </w:rPr>
              <w:t xml:space="preserve">and </w:t>
            </w:r>
            <w:r w:rsidR="00407FD3" w:rsidRPr="00407FD3">
              <w:rPr>
                <w:rFonts w:cs="Arial"/>
                <w:b/>
                <w:bCs/>
                <w:color w:val="2FB6BC" w:themeColor="accent1"/>
              </w:rPr>
              <w:t>disabled people</w:t>
            </w:r>
            <w:r w:rsidR="00763F5F">
              <w:rPr>
                <w:rFonts w:cs="Arial"/>
              </w:rPr>
              <w:t xml:space="preserve">. </w:t>
            </w:r>
            <w:r w:rsidR="00407FD3">
              <w:rPr>
                <w:rFonts w:cs="Arial"/>
              </w:rPr>
              <w:t>These</w:t>
            </w:r>
            <w:r w:rsidR="00763F5F">
              <w:rPr>
                <w:rFonts w:cs="Arial"/>
              </w:rPr>
              <w:t xml:space="preserve"> </w:t>
            </w:r>
            <w:r w:rsidR="001F5282">
              <w:rPr>
                <w:rFonts w:cs="Arial"/>
              </w:rPr>
              <w:t>protected characteristic</w:t>
            </w:r>
            <w:r w:rsidR="00407FD3">
              <w:rPr>
                <w:rFonts w:cs="Arial"/>
              </w:rPr>
              <w:t xml:space="preserve"> groups </w:t>
            </w:r>
            <w:r w:rsidR="00763F5F">
              <w:rPr>
                <w:rFonts w:cs="Arial"/>
              </w:rPr>
              <w:t xml:space="preserve">are </w:t>
            </w:r>
            <w:r w:rsidR="00131C27">
              <w:rPr>
                <w:rFonts w:cs="Arial"/>
              </w:rPr>
              <w:t>likely to be</w:t>
            </w:r>
            <w:r w:rsidR="00763F5F">
              <w:rPr>
                <w:rFonts w:cs="Arial"/>
              </w:rPr>
              <w:t xml:space="preserve"> regular users of at least </w:t>
            </w:r>
            <w:r w:rsidR="001F5282">
              <w:rPr>
                <w:rFonts w:cs="Arial"/>
              </w:rPr>
              <w:t xml:space="preserve">one of the community facilities identified to be of close proximity to </w:t>
            </w:r>
            <w:r w:rsidR="008B601C">
              <w:rPr>
                <w:rFonts w:cs="Arial"/>
              </w:rPr>
              <w:t>the TSDL site</w:t>
            </w:r>
            <w:r w:rsidR="001F5282">
              <w:rPr>
                <w:rFonts w:cs="Arial"/>
              </w:rPr>
              <w:t xml:space="preserve"> (please see figure 2.2). </w:t>
            </w:r>
          </w:p>
          <w:p w14:paraId="773F7259" w14:textId="58023088" w:rsidR="00AD1774" w:rsidRDefault="00FF37E6" w:rsidP="00793D24">
            <w:pPr>
              <w:rPr>
                <w:rFonts w:cs="Arial"/>
              </w:rPr>
            </w:pPr>
            <w:r w:rsidRPr="00FF37E6">
              <w:rPr>
                <w:rFonts w:cs="Arial" w:hint="eastAsia"/>
              </w:rPr>
              <w:t xml:space="preserve">Increased traffic in proximity to schools, or community facilities that are frequently used by </w:t>
            </w:r>
            <w:r w:rsidRPr="00A62D5B">
              <w:rPr>
                <w:rFonts w:cs="Arial" w:hint="eastAsia"/>
                <w:b/>
                <w:bCs/>
                <w:color w:val="2FB6BC" w:themeColor="accent1"/>
              </w:rPr>
              <w:t>children</w:t>
            </w:r>
            <w:r w:rsidRPr="00A62D5B">
              <w:rPr>
                <w:rFonts w:cs="Arial" w:hint="eastAsia"/>
                <w:color w:val="2FB6BC" w:themeColor="accent1"/>
              </w:rPr>
              <w:t xml:space="preserve"> </w:t>
            </w:r>
            <w:r w:rsidRPr="00FF37E6">
              <w:rPr>
                <w:rFonts w:cs="Arial" w:hint="eastAsia"/>
              </w:rPr>
              <w:t>can also negatively impact their concentration and long term cognitive development</w:t>
            </w:r>
            <w:r w:rsidR="00F244FF">
              <w:rPr>
                <w:rFonts w:cs="Arial"/>
              </w:rPr>
              <w:t>.</w:t>
            </w:r>
            <w:r w:rsidR="00F244FF">
              <w:rPr>
                <w:rStyle w:val="FootnoteReference"/>
                <w:rFonts w:cs="Arial"/>
              </w:rPr>
              <w:footnoteReference w:id="21"/>
            </w:r>
            <w:r w:rsidR="006D384E">
              <w:rPr>
                <w:rFonts w:cs="Arial"/>
              </w:rPr>
              <w:t xml:space="preserve"> Stakeholde</w:t>
            </w:r>
            <w:r w:rsidR="00612540">
              <w:rPr>
                <w:rFonts w:cs="Arial"/>
              </w:rPr>
              <w:t>r</w:t>
            </w:r>
            <w:r w:rsidR="001430A2">
              <w:rPr>
                <w:rFonts w:cs="Arial"/>
              </w:rPr>
              <w:t>s also expressed their concern</w:t>
            </w:r>
            <w:r w:rsidR="00480A26">
              <w:rPr>
                <w:rFonts w:cs="Arial"/>
              </w:rPr>
              <w:t>s over traffic speeds and the severance impacts affecting the pedestrian safety of children crossing the Meadow Way to get to the primary school.</w:t>
            </w:r>
          </w:p>
          <w:p w14:paraId="24F45537" w14:textId="4293F005" w:rsidR="00B42239" w:rsidRPr="00E3373B" w:rsidRDefault="005B690C" w:rsidP="00793D24">
            <w:pPr>
              <w:rPr>
                <w:rFonts w:cs="Arial"/>
              </w:rPr>
            </w:pPr>
            <w:r>
              <w:rPr>
                <w:rFonts w:cs="Arial"/>
              </w:rPr>
              <w:t xml:space="preserve">Research evidence also shows that the presence of vehicular traffic can present a barrier to </w:t>
            </w:r>
            <w:r w:rsidR="00081261">
              <w:rPr>
                <w:rFonts w:cs="Arial"/>
              </w:rPr>
              <w:t xml:space="preserve">ability of </w:t>
            </w:r>
            <w:r w:rsidR="00081261" w:rsidRPr="00A62D5B">
              <w:rPr>
                <w:rFonts w:cs="Arial"/>
                <w:b/>
                <w:bCs/>
                <w:color w:val="2FB6BC" w:themeColor="accent1"/>
              </w:rPr>
              <w:t>disabled</w:t>
            </w:r>
            <w:r w:rsidR="00081261" w:rsidRPr="00A62D5B">
              <w:rPr>
                <w:rFonts w:cs="Arial"/>
                <w:color w:val="2FB6BC" w:themeColor="accent1"/>
              </w:rPr>
              <w:t xml:space="preserve"> </w:t>
            </w:r>
            <w:r w:rsidR="00081261">
              <w:rPr>
                <w:rFonts w:cs="Arial"/>
              </w:rPr>
              <w:t>people</w:t>
            </w:r>
            <w:r w:rsidR="00623DA6">
              <w:rPr>
                <w:rStyle w:val="FootnoteReference"/>
                <w:rFonts w:cs="Arial"/>
              </w:rPr>
              <w:footnoteReference w:id="22"/>
            </w:r>
            <w:r w:rsidR="00081261">
              <w:rPr>
                <w:rFonts w:cs="Arial"/>
              </w:rPr>
              <w:t xml:space="preserve"> </w:t>
            </w:r>
            <w:r w:rsidR="00502B55">
              <w:rPr>
                <w:rFonts w:cs="Arial"/>
              </w:rPr>
              <w:t xml:space="preserve">and </w:t>
            </w:r>
            <w:r w:rsidR="00502B55" w:rsidRPr="00A62D5B">
              <w:rPr>
                <w:rFonts w:cs="Arial"/>
                <w:b/>
                <w:bCs/>
                <w:color w:val="2FB6BC" w:themeColor="accent1"/>
              </w:rPr>
              <w:t>older</w:t>
            </w:r>
            <w:r w:rsidR="00502B55" w:rsidRPr="00A62D5B">
              <w:rPr>
                <w:rFonts w:cs="Arial"/>
                <w:color w:val="2FB6BC" w:themeColor="accent1"/>
              </w:rPr>
              <w:t xml:space="preserve"> </w:t>
            </w:r>
            <w:r w:rsidR="00502B55" w:rsidRPr="00A62D5B">
              <w:rPr>
                <w:rFonts w:cs="Arial"/>
                <w:b/>
                <w:bCs/>
                <w:color w:val="2FB6BC" w:themeColor="accent1"/>
              </w:rPr>
              <w:t>people</w:t>
            </w:r>
            <w:r w:rsidR="00623DA6">
              <w:rPr>
                <w:rStyle w:val="FootnoteReference"/>
                <w:rFonts w:cs="Arial"/>
              </w:rPr>
              <w:footnoteReference w:id="23"/>
            </w:r>
            <w:r w:rsidR="00081261">
              <w:rPr>
                <w:rFonts w:cs="Arial"/>
              </w:rPr>
              <w:t xml:space="preserve"> </w:t>
            </w:r>
            <w:r w:rsidR="00502B55">
              <w:rPr>
                <w:rFonts w:cs="Arial"/>
              </w:rPr>
              <w:t>in accessing</w:t>
            </w:r>
            <w:r w:rsidR="00081261">
              <w:rPr>
                <w:rFonts w:cs="Arial"/>
              </w:rPr>
              <w:t xml:space="preserve"> community </w:t>
            </w:r>
            <w:r w:rsidR="00502B55">
              <w:rPr>
                <w:rFonts w:cs="Arial"/>
              </w:rPr>
              <w:t>resources.</w:t>
            </w:r>
            <w:r w:rsidR="007D56C5">
              <w:rPr>
                <w:rFonts w:cs="Arial"/>
              </w:rPr>
              <w:t xml:space="preserve"> </w:t>
            </w:r>
          </w:p>
        </w:tc>
      </w:tr>
      <w:tr w:rsidR="000912D4" w:rsidRPr="00E3373B" w14:paraId="00D4C4A0" w14:textId="77777777" w:rsidTr="009D122F">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4174773" w14:textId="26E87E0E" w:rsidR="000912D4" w:rsidRDefault="00E95D69" w:rsidP="00793D24">
            <w:pPr>
              <w:rPr>
                <w:rFonts w:cs="Arial"/>
              </w:rPr>
            </w:pPr>
            <w:r>
              <w:rPr>
                <w:rFonts w:cs="Arial"/>
              </w:rPr>
              <w:t>Access to employment opportunities</w:t>
            </w:r>
          </w:p>
        </w:tc>
        <w:tc>
          <w:tcPr>
            <w:tcW w:w="0" w:type="auto"/>
            <w:shd w:val="clear" w:color="auto" w:fill="auto"/>
          </w:tcPr>
          <w:p w14:paraId="14C9A641" w14:textId="77777777" w:rsidR="000912D4" w:rsidRDefault="00236605" w:rsidP="00793D24">
            <w:pPr>
              <w:pStyle w:val="ListParagraph"/>
              <w:numPr>
                <w:ilvl w:val="0"/>
                <w:numId w:val="34"/>
              </w:numPr>
            </w:pPr>
            <w:r>
              <w:t>Younger people</w:t>
            </w:r>
          </w:p>
          <w:p w14:paraId="0C1CAE1E" w14:textId="43E85142" w:rsidR="00E100A7" w:rsidRPr="00831285" w:rsidRDefault="00E100A7" w:rsidP="00793D24">
            <w:pPr>
              <w:pStyle w:val="ListParagraph"/>
              <w:numPr>
                <w:ilvl w:val="0"/>
                <w:numId w:val="34"/>
              </w:numPr>
            </w:pPr>
            <w:r>
              <w:t>BAME groups</w:t>
            </w:r>
          </w:p>
        </w:tc>
        <w:tc>
          <w:tcPr>
            <w:tcW w:w="0" w:type="auto"/>
            <w:shd w:val="clear" w:color="auto" w:fill="auto"/>
          </w:tcPr>
          <w:p w14:paraId="41B8D448" w14:textId="77777777" w:rsidR="006D6F42" w:rsidRDefault="006D6F42" w:rsidP="006D6F42">
            <w:pPr>
              <w:rPr>
                <w:rFonts w:cs="Arial"/>
              </w:rPr>
            </w:pPr>
            <w:r w:rsidRPr="005A7664">
              <w:rPr>
                <w:rFonts w:cs="Arial"/>
              </w:rPr>
              <w:t>Research shows that youth unemployment has consistently been an issue in the UK for around a decade. The unemployment rate for</w:t>
            </w:r>
            <w:r>
              <w:rPr>
                <w:rFonts w:cs="Arial"/>
              </w:rPr>
              <w:t xml:space="preserve"> </w:t>
            </w:r>
            <w:r w:rsidRPr="00A32A94">
              <w:rPr>
                <w:rFonts w:cs="Arial"/>
                <w:b/>
                <w:bCs/>
                <w:color w:val="2FB6BC" w:themeColor="accent1"/>
              </w:rPr>
              <w:t>young people</w:t>
            </w:r>
            <w:r w:rsidRPr="00A32A94">
              <w:rPr>
                <w:rFonts w:cs="Arial"/>
                <w:color w:val="2FB6BC" w:themeColor="accent1"/>
              </w:rPr>
              <w:t xml:space="preserve"> </w:t>
            </w:r>
            <w:r>
              <w:rPr>
                <w:rFonts w:cs="Arial"/>
              </w:rPr>
              <w:t>aged</w:t>
            </w:r>
            <w:r w:rsidRPr="005A7664">
              <w:rPr>
                <w:rFonts w:cs="Arial"/>
              </w:rPr>
              <w:t xml:space="preserve"> </w:t>
            </w:r>
            <w:r w:rsidRPr="00A32A94">
              <w:rPr>
                <w:rFonts w:cs="Arial"/>
              </w:rPr>
              <w:t xml:space="preserve">16-24 </w:t>
            </w:r>
            <w:r w:rsidRPr="005A7664">
              <w:rPr>
                <w:rFonts w:cs="Arial"/>
              </w:rPr>
              <w:t>is proportionally higher when compared to other age groups.</w:t>
            </w:r>
            <w:r>
              <w:rPr>
                <w:rStyle w:val="FootnoteReference"/>
                <w:rFonts w:cs="Arial"/>
              </w:rPr>
              <w:footnoteReference w:id="24"/>
            </w:r>
            <w:r w:rsidRPr="005A7664">
              <w:rPr>
                <w:rFonts w:cs="Arial"/>
              </w:rPr>
              <w:t xml:space="preserve"> </w:t>
            </w:r>
          </w:p>
          <w:p w14:paraId="6AB49A22" w14:textId="46433239" w:rsidR="006D6F42" w:rsidRDefault="006D6F42" w:rsidP="006D6F42">
            <w:pPr>
              <w:rPr>
                <w:rFonts w:cs="Arial"/>
              </w:rPr>
            </w:pPr>
            <w:r w:rsidRPr="00263103">
              <w:rPr>
                <w:rFonts w:cs="Arial"/>
              </w:rPr>
              <w:t xml:space="preserve">Research has found that </w:t>
            </w:r>
            <w:r>
              <w:rPr>
                <w:rFonts w:cs="Arial"/>
                <w:b/>
                <w:color w:val="2FB6BC" w:themeColor="accent1"/>
              </w:rPr>
              <w:t xml:space="preserve">BAME </w:t>
            </w:r>
            <w:r w:rsidR="00023571" w:rsidRPr="0077203F">
              <w:t xml:space="preserve">(Black, Asian and Minority Ethnic) </w:t>
            </w:r>
            <w:r w:rsidRPr="00C768F5">
              <w:rPr>
                <w:rFonts w:cs="Arial"/>
                <w:bCs/>
              </w:rPr>
              <w:t>groups</w:t>
            </w:r>
            <w:r w:rsidRPr="00C768F5">
              <w:rPr>
                <w:rFonts w:cs="Arial"/>
              </w:rPr>
              <w:t xml:space="preserve"> </w:t>
            </w:r>
            <w:r w:rsidRPr="00263103">
              <w:rPr>
                <w:rFonts w:cs="Arial"/>
              </w:rPr>
              <w:t>are at a disadvantage compared to the White British population, with such inequalities persisting over time. Unemployment rates are particularly high among the African, White Gypsy/Irish Traveller, Pakistani and Bangladeshi ethnic groups.</w:t>
            </w:r>
            <w:r>
              <w:rPr>
                <w:rStyle w:val="FootnoteReference"/>
                <w:rFonts w:cs="Arial"/>
              </w:rPr>
              <w:footnoteReference w:id="25"/>
            </w:r>
          </w:p>
          <w:p w14:paraId="4350763C" w14:textId="6E21ECC1" w:rsidR="000912D4" w:rsidRDefault="000D5F5F" w:rsidP="00793D24">
            <w:pPr>
              <w:rPr>
                <w:rFonts w:cs="Arial"/>
              </w:rPr>
            </w:pPr>
            <w:r w:rsidRPr="000D5F5F">
              <w:rPr>
                <w:rFonts w:cs="Arial"/>
              </w:rPr>
              <w:t>Temporary employment generated through the need to provide construction and non-construction support throughout the construction period</w:t>
            </w:r>
            <w:r w:rsidR="00BB7F99">
              <w:rPr>
                <w:rFonts w:cs="Arial"/>
              </w:rPr>
              <w:t xml:space="preserve"> would benefit young people and BAME groups.</w:t>
            </w:r>
          </w:p>
        </w:tc>
      </w:tr>
      <w:tr w:rsidR="00872D09" w:rsidRPr="00E3373B" w14:paraId="1A117AF6" w14:textId="77777777" w:rsidTr="00793D24">
        <w:tc>
          <w:tcPr>
            <w:tcW w:w="0" w:type="auto"/>
            <w:gridSpan w:val="3"/>
          </w:tcPr>
          <w:p w14:paraId="21717E92" w14:textId="77777777" w:rsidR="00872D09" w:rsidRPr="00E3373B" w:rsidRDefault="00872D09" w:rsidP="005E032F">
            <w:pPr>
              <w:keepNext/>
              <w:rPr>
                <w:rFonts w:cs="Arial"/>
                <w:b/>
              </w:rPr>
            </w:pPr>
            <w:r w:rsidRPr="00E3373B">
              <w:rPr>
                <w:rFonts w:cs="Arial"/>
                <w:b/>
              </w:rPr>
              <w:t>Impacts arising due to development of the T</w:t>
            </w:r>
            <w:r>
              <w:rPr>
                <w:rFonts w:cs="Arial"/>
                <w:b/>
              </w:rPr>
              <w:t>angmere Strategic Development Location</w:t>
            </w:r>
          </w:p>
        </w:tc>
      </w:tr>
      <w:tr w:rsidR="00553068" w:rsidRPr="00E3373B" w14:paraId="0C76973E" w14:textId="77777777" w:rsidTr="00793D24">
        <w:trPr>
          <w:cnfStyle w:val="000000100000" w:firstRow="0" w:lastRow="0" w:firstColumn="0" w:lastColumn="0" w:oddVBand="0" w:evenVBand="0" w:oddHBand="1" w:evenHBand="0" w:firstRowFirstColumn="0" w:firstRowLastColumn="0" w:lastRowFirstColumn="0" w:lastRowLastColumn="0"/>
        </w:trPr>
        <w:tc>
          <w:tcPr>
            <w:tcW w:w="0" w:type="auto"/>
          </w:tcPr>
          <w:p w14:paraId="2BA6F3A1" w14:textId="77777777" w:rsidR="00872D09" w:rsidRPr="00EE5BD1" w:rsidRDefault="00872D09" w:rsidP="00793D24">
            <w:pPr>
              <w:rPr>
                <w:rFonts w:cs="Arial"/>
                <w:b/>
                <w:color w:val="2FB6BC" w:themeColor="accent1"/>
              </w:rPr>
            </w:pPr>
            <w:r w:rsidRPr="00EE5BD1">
              <w:rPr>
                <w:rFonts w:cs="Arial"/>
                <w:b/>
                <w:color w:val="2FB6BC" w:themeColor="accent1"/>
              </w:rPr>
              <w:t>Impact</w:t>
            </w:r>
          </w:p>
        </w:tc>
        <w:tc>
          <w:tcPr>
            <w:tcW w:w="0" w:type="auto"/>
          </w:tcPr>
          <w:p w14:paraId="3EDD2D2C" w14:textId="77777777" w:rsidR="00872D09" w:rsidRPr="00EE5BD1" w:rsidRDefault="00872D09" w:rsidP="00793D24">
            <w:pPr>
              <w:rPr>
                <w:rFonts w:cs="Arial"/>
                <w:b/>
                <w:color w:val="2FB6BC" w:themeColor="accent1"/>
              </w:rPr>
            </w:pPr>
            <w:r w:rsidRPr="00EE5BD1">
              <w:rPr>
                <w:rFonts w:cs="Arial"/>
                <w:b/>
                <w:color w:val="2FB6BC" w:themeColor="accent1"/>
              </w:rPr>
              <w:t>Protected characteristic groups affected</w:t>
            </w:r>
          </w:p>
        </w:tc>
        <w:tc>
          <w:tcPr>
            <w:tcW w:w="0" w:type="auto"/>
          </w:tcPr>
          <w:p w14:paraId="461AC7FA" w14:textId="77777777" w:rsidR="00872D09" w:rsidRPr="00EE5BD1" w:rsidRDefault="00872D09" w:rsidP="00793D24">
            <w:pPr>
              <w:rPr>
                <w:rFonts w:cs="Arial"/>
                <w:b/>
                <w:color w:val="2FB6BC" w:themeColor="accent1"/>
              </w:rPr>
            </w:pPr>
            <w:r w:rsidRPr="00EE5BD1">
              <w:rPr>
                <w:rFonts w:cs="Arial"/>
                <w:b/>
                <w:color w:val="2FB6BC" w:themeColor="accent1"/>
              </w:rPr>
              <w:t>Supporting evidence</w:t>
            </w:r>
          </w:p>
        </w:tc>
      </w:tr>
      <w:tr w:rsidR="001E0915" w:rsidRPr="00E3373B" w14:paraId="5E302055" w14:textId="77777777" w:rsidTr="00793D24">
        <w:tc>
          <w:tcPr>
            <w:tcW w:w="0" w:type="auto"/>
            <w:shd w:val="clear" w:color="auto" w:fill="auto"/>
          </w:tcPr>
          <w:p w14:paraId="3C94DBB2" w14:textId="18C5CF54" w:rsidR="00872D09" w:rsidRPr="00E3373B" w:rsidRDefault="00872D09" w:rsidP="00793D24">
            <w:pPr>
              <w:rPr>
                <w:rFonts w:cs="Arial"/>
              </w:rPr>
            </w:pPr>
            <w:r w:rsidRPr="00E3373B">
              <w:rPr>
                <w:rFonts w:cs="Arial"/>
              </w:rPr>
              <w:t xml:space="preserve">Delivery of </w:t>
            </w:r>
            <w:r w:rsidR="00E63385">
              <w:rPr>
                <w:rFonts w:cs="Arial"/>
              </w:rPr>
              <w:t>1,300</w:t>
            </w:r>
            <w:r w:rsidRPr="00E3373B">
              <w:rPr>
                <w:rFonts w:cs="Arial"/>
              </w:rPr>
              <w:t xml:space="preserve"> homes</w:t>
            </w:r>
            <w:r w:rsidR="001D1BE8">
              <w:rPr>
                <w:rFonts w:cs="Arial"/>
              </w:rPr>
              <w:t xml:space="preserve">, </w:t>
            </w:r>
            <w:r w:rsidR="001E0915">
              <w:rPr>
                <w:rFonts w:cs="Arial"/>
              </w:rPr>
              <w:t>30% of which will be affordable</w:t>
            </w:r>
          </w:p>
        </w:tc>
        <w:tc>
          <w:tcPr>
            <w:tcW w:w="0" w:type="auto"/>
            <w:shd w:val="clear" w:color="auto" w:fill="auto"/>
          </w:tcPr>
          <w:p w14:paraId="1F2AA32F" w14:textId="733B3741" w:rsidR="00991E6A" w:rsidRPr="00E3373B" w:rsidRDefault="00991E6A" w:rsidP="0010229D">
            <w:pPr>
              <w:pStyle w:val="ListParagraph"/>
              <w:numPr>
                <w:ilvl w:val="0"/>
                <w:numId w:val="34"/>
              </w:numPr>
              <w:rPr>
                <w:rFonts w:cs="Arial"/>
              </w:rPr>
            </w:pPr>
            <w:r w:rsidRPr="0010229D">
              <w:t>Young</w:t>
            </w:r>
            <w:r>
              <w:rPr>
                <w:rFonts w:cs="Arial"/>
              </w:rPr>
              <w:t xml:space="preserve"> people</w:t>
            </w:r>
          </w:p>
          <w:p w14:paraId="1F725780" w14:textId="497718DE" w:rsidR="00872D09" w:rsidRDefault="00872D09" w:rsidP="00793D24">
            <w:pPr>
              <w:pStyle w:val="ListParagraph"/>
              <w:numPr>
                <w:ilvl w:val="0"/>
                <w:numId w:val="33"/>
              </w:numPr>
              <w:spacing w:before="0" w:after="0" w:line="240" w:lineRule="auto"/>
              <w:rPr>
                <w:rFonts w:cs="Arial"/>
              </w:rPr>
            </w:pPr>
            <w:r w:rsidRPr="00E3373B">
              <w:rPr>
                <w:rFonts w:cs="Arial"/>
              </w:rPr>
              <w:t xml:space="preserve">BAME </w:t>
            </w:r>
            <w:r w:rsidR="00B56C67">
              <w:rPr>
                <w:rFonts w:cs="Arial"/>
              </w:rPr>
              <w:t>groups</w:t>
            </w:r>
          </w:p>
          <w:p w14:paraId="07C6C0FC" w14:textId="3FB5FE5B" w:rsidR="00872D09" w:rsidRPr="00E3373B" w:rsidRDefault="00872D09" w:rsidP="00377330">
            <w:pPr>
              <w:pStyle w:val="ListParagraph"/>
              <w:spacing w:before="0" w:after="0" w:line="240" w:lineRule="auto"/>
              <w:ind w:left="360"/>
              <w:rPr>
                <w:rFonts w:cs="Arial"/>
              </w:rPr>
            </w:pPr>
          </w:p>
        </w:tc>
        <w:tc>
          <w:tcPr>
            <w:tcW w:w="0" w:type="auto"/>
            <w:shd w:val="clear" w:color="auto" w:fill="auto"/>
          </w:tcPr>
          <w:p w14:paraId="4D18E226" w14:textId="045F8593" w:rsidR="00F47A93" w:rsidRDefault="00AA5E43" w:rsidP="00793D24">
            <w:pPr>
              <w:rPr>
                <w:rFonts w:cs="Arial"/>
              </w:rPr>
            </w:pPr>
            <w:r>
              <w:rPr>
                <w:rFonts w:cs="Arial"/>
              </w:rPr>
              <w:t>A</w:t>
            </w:r>
            <w:r w:rsidR="00152DD9">
              <w:rPr>
                <w:rFonts w:cs="Arial"/>
              </w:rPr>
              <w:t xml:space="preserve"> study published by </w:t>
            </w:r>
            <w:r>
              <w:rPr>
                <w:rFonts w:cs="Arial"/>
              </w:rPr>
              <w:t xml:space="preserve">Joseph Rowntree </w:t>
            </w:r>
            <w:r w:rsidR="00261CFA">
              <w:rPr>
                <w:rFonts w:cs="Arial"/>
              </w:rPr>
              <w:t>F</w:t>
            </w:r>
            <w:r w:rsidR="001443F1">
              <w:rPr>
                <w:rFonts w:cs="Arial"/>
              </w:rPr>
              <w:t>o</w:t>
            </w:r>
            <w:r w:rsidR="00261CFA">
              <w:rPr>
                <w:rFonts w:cs="Arial"/>
              </w:rPr>
              <w:t>undation states that</w:t>
            </w:r>
            <w:r w:rsidR="008E043F">
              <w:rPr>
                <w:rFonts w:cs="Arial"/>
              </w:rPr>
              <w:t xml:space="preserve"> in 2020 competition </w:t>
            </w:r>
            <w:r w:rsidR="001009B0">
              <w:rPr>
                <w:rFonts w:cs="Arial"/>
              </w:rPr>
              <w:t xml:space="preserve">for the limited supply of </w:t>
            </w:r>
            <w:r w:rsidR="00CD53E6">
              <w:rPr>
                <w:rFonts w:cs="Arial"/>
              </w:rPr>
              <w:t>social housing will increase</w:t>
            </w:r>
            <w:r w:rsidR="00C82F4B">
              <w:rPr>
                <w:rFonts w:cs="Arial"/>
              </w:rPr>
              <w:t xml:space="preserve">. It is predicted that </w:t>
            </w:r>
            <w:r w:rsidR="00AC52E2">
              <w:rPr>
                <w:rFonts w:cs="Arial"/>
              </w:rPr>
              <w:t xml:space="preserve">more young people </w:t>
            </w:r>
            <w:r w:rsidR="00833565">
              <w:rPr>
                <w:rFonts w:cs="Arial"/>
              </w:rPr>
              <w:t>will stay at home for longer</w:t>
            </w:r>
            <w:r w:rsidR="009A3044">
              <w:rPr>
                <w:rFonts w:cs="Arial"/>
              </w:rPr>
              <w:t xml:space="preserve">, while others will be forced to live </w:t>
            </w:r>
            <w:r w:rsidR="00774383">
              <w:rPr>
                <w:rFonts w:cs="Arial"/>
              </w:rPr>
              <w:t>in lower-end accommodation as a result of low incomes</w:t>
            </w:r>
            <w:r w:rsidR="00BD20B6">
              <w:rPr>
                <w:rFonts w:cs="Arial"/>
              </w:rPr>
              <w:t>. T</w:t>
            </w:r>
            <w:r w:rsidR="002B1B0B">
              <w:rPr>
                <w:rFonts w:cs="Arial"/>
              </w:rPr>
              <w:t xml:space="preserve">herefore, </w:t>
            </w:r>
            <w:r w:rsidR="00B1798F">
              <w:rPr>
                <w:rFonts w:cs="Arial"/>
              </w:rPr>
              <w:t xml:space="preserve">low-income and vulnerable </w:t>
            </w:r>
            <w:r w:rsidR="00A47C37" w:rsidRPr="005E032F">
              <w:rPr>
                <w:rFonts w:cs="Arial"/>
                <w:b/>
                <w:bCs/>
                <w:color w:val="2FB6BC" w:themeColor="accent1"/>
              </w:rPr>
              <w:t>young people</w:t>
            </w:r>
            <w:r w:rsidR="00A47C37" w:rsidRPr="005E032F">
              <w:rPr>
                <w:rFonts w:cs="Arial"/>
                <w:color w:val="2FB6BC" w:themeColor="accent1"/>
              </w:rPr>
              <w:t xml:space="preserve"> </w:t>
            </w:r>
            <w:r w:rsidR="00A47C37">
              <w:rPr>
                <w:rFonts w:cs="Arial"/>
              </w:rPr>
              <w:t>should have</w:t>
            </w:r>
            <w:r w:rsidR="00BD20B6">
              <w:rPr>
                <w:rFonts w:cs="Arial"/>
              </w:rPr>
              <w:t xml:space="preserve"> improved</w:t>
            </w:r>
            <w:r w:rsidR="00A47C37">
              <w:rPr>
                <w:rFonts w:cs="Arial"/>
              </w:rPr>
              <w:t xml:space="preserve"> access </w:t>
            </w:r>
            <w:r w:rsidR="007A2DD0">
              <w:rPr>
                <w:rFonts w:cs="Arial"/>
              </w:rPr>
              <w:t xml:space="preserve">to social rented </w:t>
            </w:r>
            <w:r w:rsidR="007A2DD0">
              <w:rPr>
                <w:rFonts w:cs="Arial"/>
              </w:rPr>
              <w:lastRenderedPageBreak/>
              <w:t>housing</w:t>
            </w:r>
            <w:r w:rsidR="003F6683">
              <w:rPr>
                <w:rFonts w:cs="Arial"/>
              </w:rPr>
              <w:t>.</w:t>
            </w:r>
            <w:r w:rsidR="003F6683">
              <w:rPr>
                <w:rStyle w:val="FootnoteReference"/>
                <w:rFonts w:cs="Arial"/>
              </w:rPr>
              <w:footnoteReference w:id="26"/>
            </w:r>
          </w:p>
          <w:p w14:paraId="56D3B469" w14:textId="5055E8DB" w:rsidR="00047C3B" w:rsidRDefault="00281B52" w:rsidP="00793D24">
            <w:r w:rsidRPr="004A2AF5">
              <w:rPr>
                <w:b/>
                <w:bCs/>
                <w:color w:val="2FB6BC" w:themeColor="accent1"/>
              </w:rPr>
              <w:t>BAME</w:t>
            </w:r>
            <w:r w:rsidRPr="004A2AF5">
              <w:rPr>
                <w:color w:val="2FB6BC" w:themeColor="accent1"/>
              </w:rPr>
              <w:t xml:space="preserve"> </w:t>
            </w:r>
            <w:r w:rsidRPr="00281B52">
              <w:t>households may also be impacted by the availability of affordable housing. In 2017</w:t>
            </w:r>
            <w:r w:rsidR="00886370">
              <w:t>,</w:t>
            </w:r>
            <w:r w:rsidRPr="00281B52">
              <w:t xml:space="preserve"> it was reported that rents </w:t>
            </w:r>
            <w:r w:rsidR="002B0A81">
              <w:t>were</w:t>
            </w:r>
            <w:r w:rsidRPr="00281B52">
              <w:t xml:space="preserve"> less affordable for most BAME groups when compared to White British households. Two-fifths of people from a BAME background live</w:t>
            </w:r>
            <w:r w:rsidR="002B0A81">
              <w:t>d</w:t>
            </w:r>
            <w:r w:rsidRPr="00281B52">
              <w:t xml:space="preserve"> in low-income households, and 52</w:t>
            </w:r>
            <w:r w:rsidR="00B65686">
              <w:t xml:space="preserve">% </w:t>
            </w:r>
            <w:r w:rsidRPr="00281B52">
              <w:t>of Black African, Black Caribbean, and Black British households live</w:t>
            </w:r>
            <w:r w:rsidR="00F7124F">
              <w:t>d</w:t>
            </w:r>
            <w:r w:rsidRPr="00281B52">
              <w:t xml:space="preserve"> in Council accommodation compared to 24 per cent of White British.</w:t>
            </w:r>
            <w:r>
              <w:rPr>
                <w:rStyle w:val="FootnoteReference"/>
              </w:rPr>
              <w:footnoteReference w:id="27"/>
            </w:r>
          </w:p>
          <w:p w14:paraId="2FD374AF" w14:textId="0EE6CE6D" w:rsidR="00872D09" w:rsidRPr="00F245D8" w:rsidRDefault="00872D09" w:rsidP="00793D24">
            <w:r>
              <w:t xml:space="preserve">The above groups are therefore likely to benefit from </w:t>
            </w:r>
            <w:r w:rsidR="00E52D8D">
              <w:t>new</w:t>
            </w:r>
            <w:r w:rsidR="00823E67">
              <w:t>, affordable</w:t>
            </w:r>
            <w:r w:rsidR="00E52D8D">
              <w:t xml:space="preserve"> </w:t>
            </w:r>
            <w:r>
              <w:t>housing</w:t>
            </w:r>
            <w:r w:rsidR="00823E67">
              <w:t xml:space="preserve"> as a result of the TSDL.</w:t>
            </w:r>
            <w:r w:rsidR="00DB0CBE">
              <w:t xml:space="preserve"> However, in the stakeholder engagement process, </w:t>
            </w:r>
            <w:r w:rsidR="003E2055">
              <w:t>there were concerns around the proportion</w:t>
            </w:r>
            <w:r w:rsidR="00DB0CBE">
              <w:t xml:space="preserve"> affordable housing </w:t>
            </w:r>
            <w:r w:rsidR="003E2055">
              <w:t>proposed</w:t>
            </w:r>
            <w:r w:rsidR="00886370">
              <w:t xml:space="preserve"> (30%)</w:t>
            </w:r>
            <w:r w:rsidR="003E2055">
              <w:t xml:space="preserve"> being</w:t>
            </w:r>
            <w:r w:rsidR="00DB0CBE">
              <w:t xml:space="preserve"> too high. </w:t>
            </w:r>
          </w:p>
        </w:tc>
      </w:tr>
      <w:tr w:rsidR="001D1BE8" w:rsidRPr="00E3373B" w14:paraId="6F94FE69" w14:textId="77777777" w:rsidTr="00793D2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59BCB93" w14:textId="5A5EDFA6" w:rsidR="001D1BE8" w:rsidRPr="00E3373B" w:rsidRDefault="001D1BE8" w:rsidP="00793D24">
            <w:pPr>
              <w:rPr>
                <w:rFonts w:cs="Arial"/>
              </w:rPr>
            </w:pPr>
            <w:r>
              <w:rPr>
                <w:rFonts w:cs="Arial"/>
              </w:rPr>
              <w:lastRenderedPageBreak/>
              <w:t>Delivery of 1,300 homes which will utilise sustainable design and construction techniques and be more energy efficient.</w:t>
            </w:r>
          </w:p>
        </w:tc>
        <w:tc>
          <w:tcPr>
            <w:tcW w:w="0" w:type="auto"/>
            <w:shd w:val="clear" w:color="auto" w:fill="auto"/>
          </w:tcPr>
          <w:p w14:paraId="34CA7724" w14:textId="77777777" w:rsidR="001D1BE8" w:rsidRDefault="00E75B1D" w:rsidP="00B859FC">
            <w:pPr>
              <w:pStyle w:val="ListParagraph"/>
              <w:numPr>
                <w:ilvl w:val="0"/>
                <w:numId w:val="34"/>
              </w:numPr>
              <w:rPr>
                <w:rFonts w:cs="Arial"/>
              </w:rPr>
            </w:pPr>
            <w:r>
              <w:rPr>
                <w:rFonts w:cs="Arial"/>
              </w:rPr>
              <w:t>Children</w:t>
            </w:r>
          </w:p>
          <w:p w14:paraId="1C428AF6" w14:textId="77777777" w:rsidR="00E75B1D" w:rsidRDefault="00E75B1D" w:rsidP="00793D24">
            <w:pPr>
              <w:pStyle w:val="ListParagraph"/>
              <w:numPr>
                <w:ilvl w:val="0"/>
                <w:numId w:val="33"/>
              </w:numPr>
              <w:spacing w:before="0" w:after="0" w:line="240" w:lineRule="auto"/>
              <w:rPr>
                <w:rFonts w:cs="Arial"/>
              </w:rPr>
            </w:pPr>
            <w:r>
              <w:rPr>
                <w:rFonts w:cs="Arial"/>
              </w:rPr>
              <w:t>Older people</w:t>
            </w:r>
          </w:p>
          <w:p w14:paraId="39E3C164" w14:textId="4DF76AC9" w:rsidR="007F3C47" w:rsidRDefault="007F3C47" w:rsidP="00793D24">
            <w:pPr>
              <w:pStyle w:val="ListParagraph"/>
              <w:numPr>
                <w:ilvl w:val="0"/>
                <w:numId w:val="33"/>
              </w:numPr>
              <w:spacing w:before="0" w:after="0" w:line="240" w:lineRule="auto"/>
              <w:rPr>
                <w:rFonts w:cs="Arial"/>
              </w:rPr>
            </w:pPr>
            <w:r>
              <w:rPr>
                <w:rFonts w:cs="Arial"/>
              </w:rPr>
              <w:t>BAME groups</w:t>
            </w:r>
          </w:p>
          <w:p w14:paraId="44DD82DF" w14:textId="7D3B2367" w:rsidR="00E75B1D" w:rsidRPr="00E3373B" w:rsidRDefault="00E75B1D" w:rsidP="00793D24">
            <w:pPr>
              <w:pStyle w:val="ListParagraph"/>
              <w:numPr>
                <w:ilvl w:val="0"/>
                <w:numId w:val="33"/>
              </w:numPr>
              <w:spacing w:before="0" w:after="0" w:line="240" w:lineRule="auto"/>
              <w:rPr>
                <w:rFonts w:cs="Arial"/>
              </w:rPr>
            </w:pPr>
            <w:r>
              <w:rPr>
                <w:rFonts w:cs="Arial"/>
              </w:rPr>
              <w:t>Disabled people</w:t>
            </w:r>
          </w:p>
        </w:tc>
        <w:tc>
          <w:tcPr>
            <w:tcW w:w="0" w:type="auto"/>
            <w:shd w:val="clear" w:color="auto" w:fill="auto"/>
          </w:tcPr>
          <w:p w14:paraId="5DF40089" w14:textId="7D59E6D0" w:rsidR="00A54BD0" w:rsidRPr="00FB106A" w:rsidRDefault="00A54BD0" w:rsidP="00A54BD0">
            <w:pPr>
              <w:rPr>
                <w:rFonts w:cs="Arial"/>
              </w:rPr>
            </w:pPr>
            <w:r>
              <w:rPr>
                <w:rFonts w:cs="Arial"/>
              </w:rPr>
              <w:t xml:space="preserve">Research shows that </w:t>
            </w:r>
            <w:r w:rsidRPr="007E0782">
              <w:rPr>
                <w:rFonts w:cs="Arial"/>
              </w:rPr>
              <w:t xml:space="preserve">well insulated homes are </w:t>
            </w:r>
            <w:r>
              <w:rPr>
                <w:rFonts w:cs="Arial"/>
              </w:rPr>
              <w:t xml:space="preserve">important to </w:t>
            </w:r>
            <w:r w:rsidRPr="00EF615D">
              <w:rPr>
                <w:rFonts w:cs="Arial"/>
                <w:b/>
                <w:color w:val="2FB6BC" w:themeColor="accent1"/>
              </w:rPr>
              <w:t xml:space="preserve">children </w:t>
            </w:r>
            <w:r>
              <w:rPr>
                <w:rFonts w:cs="Arial"/>
              </w:rPr>
              <w:t>as cold housing can be detrimental to their physical and mental health.</w:t>
            </w:r>
            <w:r>
              <w:rPr>
                <w:rStyle w:val="FootnoteReference"/>
              </w:rPr>
              <w:footnoteReference w:id="28"/>
            </w:r>
            <w:r>
              <w:rPr>
                <w:rFonts w:cs="Arial"/>
              </w:rPr>
              <w:t xml:space="preserve"> </w:t>
            </w:r>
          </w:p>
          <w:p w14:paraId="52B4C385" w14:textId="0CD32D2E" w:rsidR="00A54BD0" w:rsidRDefault="00A54BD0" w:rsidP="00A54BD0">
            <w:r w:rsidRPr="00EF615D">
              <w:rPr>
                <w:b/>
                <w:color w:val="2FB6BC" w:themeColor="accent1"/>
              </w:rPr>
              <w:t>Older people</w:t>
            </w:r>
            <w:r w:rsidRPr="001A482A">
              <w:rPr>
                <w:color w:val="2FB6BC" w:themeColor="accent1"/>
              </w:rPr>
              <w:t xml:space="preserve"> </w:t>
            </w:r>
            <w:r>
              <w:t>are particularly vulnerable to the effects of cold housing as they spend 80% of their time in their home,</w:t>
            </w:r>
            <w:r>
              <w:rPr>
                <w:rStyle w:val="FootnoteReference"/>
              </w:rPr>
              <w:footnoteReference w:id="29"/>
            </w:r>
            <w:r>
              <w:t xml:space="preserve"> considerably more when compared to the general population. Conditions such</w:t>
            </w:r>
            <w:r w:rsidR="008B3D04">
              <w:t xml:space="preserve"> as</w:t>
            </w:r>
            <w:r>
              <w:t xml:space="preserve"> arthritis and </w:t>
            </w:r>
            <w:r w:rsidRPr="003D6FEB">
              <w:t>rheumatism</w:t>
            </w:r>
            <w:r>
              <w:t xml:space="preserve"> disproportionately effect older people and are also exacerbated by cold living conditions</w:t>
            </w:r>
            <w:r w:rsidRPr="003D6FEB">
              <w:t>.</w:t>
            </w:r>
            <w:r>
              <w:rPr>
                <w:rStyle w:val="FootnoteReference"/>
              </w:rPr>
              <w:footnoteReference w:id="30"/>
            </w:r>
            <w:r>
              <w:t xml:space="preserve"> </w:t>
            </w:r>
            <w:r w:rsidRPr="00304EE0">
              <w:t>Research shows that damp, cold and unfit housing can lead to a range of health problems for older people including respiratory conditions, arthritis, heart disease and stroke. Poor housing can also lead to mental health problems caused by stress and anxiety, often exacerbated by worries about high energy bills and fuel poverty.</w:t>
            </w:r>
            <w:r w:rsidR="00AA45B8">
              <w:rPr>
                <w:rStyle w:val="FootnoteReference"/>
              </w:rPr>
              <w:footnoteReference w:id="31"/>
            </w:r>
          </w:p>
          <w:p w14:paraId="7BBDADEA" w14:textId="79F53BF5" w:rsidR="00A54BD0" w:rsidRDefault="00A54BD0" w:rsidP="00A54BD0">
            <w:r>
              <w:t>In 2016</w:t>
            </w:r>
            <w:r w:rsidRPr="029186A4">
              <w:t xml:space="preserve">, </w:t>
            </w:r>
            <w:r>
              <w:t xml:space="preserve">17% of </w:t>
            </w:r>
            <w:r w:rsidRPr="008E03CB">
              <w:rPr>
                <w:b/>
                <w:color w:val="2FB6BC" w:themeColor="accent1"/>
              </w:rPr>
              <w:t>BAME</w:t>
            </w:r>
            <w:r w:rsidRPr="008E03CB">
              <w:rPr>
                <w:color w:val="2FB6BC" w:themeColor="accent1"/>
              </w:rPr>
              <w:t xml:space="preserve"> </w:t>
            </w:r>
            <w:r>
              <w:t>households in England were living in fuel poverty compared to 10% of White households (including White ethnic minorities)</w:t>
            </w:r>
            <w:r w:rsidRPr="029186A4">
              <w:t>.</w:t>
            </w:r>
            <w:r>
              <w:rPr>
                <w:rStyle w:val="FootnoteReference"/>
              </w:rPr>
              <w:footnoteReference w:id="32"/>
            </w:r>
            <w:r>
              <w:t xml:space="preserve"> </w:t>
            </w:r>
          </w:p>
          <w:p w14:paraId="00F26EE5" w14:textId="52606412" w:rsidR="001D1BE8" w:rsidRDefault="00823E67" w:rsidP="00793D24">
            <w:pPr>
              <w:rPr>
                <w:rFonts w:cs="Arial"/>
              </w:rPr>
            </w:pPr>
            <w:r>
              <w:t xml:space="preserve">Research has highlighted that over a third of </w:t>
            </w:r>
            <w:r w:rsidRPr="00EF615D">
              <w:rPr>
                <w:b/>
                <w:color w:val="2FB6BC" w:themeColor="accent1"/>
              </w:rPr>
              <w:t>disabled people</w:t>
            </w:r>
            <w:r w:rsidRPr="00237452">
              <w:rPr>
                <w:color w:val="2FB6BC" w:themeColor="accent1"/>
              </w:rPr>
              <w:t xml:space="preserve"> </w:t>
            </w:r>
            <w:r>
              <w:t>think that their impairment or condition has an impact on the amount of energy that they consume and pay for. For example, those with reduced mobility may be required to use the heating more to stay warm.</w:t>
            </w:r>
            <w:r>
              <w:rPr>
                <w:rStyle w:val="FootnoteReference"/>
              </w:rPr>
              <w:footnoteReference w:id="33"/>
            </w:r>
            <w:r w:rsidRPr="029186A4">
              <w:t xml:space="preserve"> </w:t>
            </w:r>
            <w:r w:rsidR="00BA74E5">
              <w:t>Therefore, a</w:t>
            </w:r>
            <w:r w:rsidR="00C53F84">
              <w:t xml:space="preserve"> more energy</w:t>
            </w:r>
            <w:r w:rsidR="00861042">
              <w:t xml:space="preserve"> efficient</w:t>
            </w:r>
            <w:r w:rsidR="00C53F84">
              <w:t xml:space="preserve"> house </w:t>
            </w:r>
            <w:r w:rsidR="00861042">
              <w:t xml:space="preserve">may help to ensure that </w:t>
            </w:r>
            <w:r w:rsidR="00253006">
              <w:t xml:space="preserve">disabled people </w:t>
            </w:r>
            <w:r w:rsidR="00861042">
              <w:t>have less expensive</w:t>
            </w:r>
            <w:r w:rsidR="00ED21BD">
              <w:t xml:space="preserve"> energy bills.</w:t>
            </w:r>
            <w:r w:rsidR="00EF527F">
              <w:t xml:space="preserve"> </w:t>
            </w:r>
            <w:r>
              <w:t xml:space="preserve">The above groups are therefore likely to benefit from </w:t>
            </w:r>
            <w:r w:rsidR="00B0105D">
              <w:t xml:space="preserve">new homes </w:t>
            </w:r>
            <w:r w:rsidR="00AC7522">
              <w:t>built with sustainable construction techniques and enhanced energy efficiency.</w:t>
            </w:r>
            <w:r w:rsidR="00BD1D03">
              <w:t xml:space="preserve"> </w:t>
            </w:r>
          </w:p>
        </w:tc>
      </w:tr>
      <w:tr w:rsidR="002D4A8F" w:rsidRPr="00E3373B" w14:paraId="009C1A7D" w14:textId="77777777" w:rsidTr="00793D24">
        <w:tc>
          <w:tcPr>
            <w:tcW w:w="0" w:type="auto"/>
            <w:shd w:val="clear" w:color="auto" w:fill="auto"/>
          </w:tcPr>
          <w:p w14:paraId="6D6738D4" w14:textId="240B2B8B" w:rsidR="002D4A8F" w:rsidRDefault="00751684" w:rsidP="00793D24">
            <w:pPr>
              <w:rPr>
                <w:rFonts w:cs="Arial"/>
              </w:rPr>
            </w:pPr>
            <w:r>
              <w:rPr>
                <w:rFonts w:cs="Arial"/>
              </w:rPr>
              <w:t xml:space="preserve">Delivery of </w:t>
            </w:r>
            <w:r w:rsidR="00704885" w:rsidRPr="00704885">
              <w:rPr>
                <w:rFonts w:cs="Arial"/>
              </w:rPr>
              <w:t>1</w:t>
            </w:r>
            <w:r>
              <w:rPr>
                <w:rFonts w:cs="Arial"/>
              </w:rPr>
              <w:t>,</w:t>
            </w:r>
            <w:r w:rsidR="00704885" w:rsidRPr="00704885">
              <w:rPr>
                <w:rFonts w:cs="Arial"/>
              </w:rPr>
              <w:t xml:space="preserve">300 mixed tenure homes of varied </w:t>
            </w:r>
            <w:r w:rsidR="00704885" w:rsidRPr="00704885">
              <w:rPr>
                <w:rFonts w:cs="Arial"/>
              </w:rPr>
              <w:lastRenderedPageBreak/>
              <w:t>size and type</w:t>
            </w:r>
            <w:r>
              <w:rPr>
                <w:rFonts w:cs="Arial"/>
              </w:rPr>
              <w:t>.</w:t>
            </w:r>
          </w:p>
        </w:tc>
        <w:tc>
          <w:tcPr>
            <w:tcW w:w="0" w:type="auto"/>
            <w:shd w:val="clear" w:color="auto" w:fill="auto"/>
          </w:tcPr>
          <w:p w14:paraId="695592A6" w14:textId="77777777" w:rsidR="002D4A8F" w:rsidRDefault="00B014DB" w:rsidP="00B859FC">
            <w:pPr>
              <w:pStyle w:val="ListParagraph"/>
              <w:numPr>
                <w:ilvl w:val="0"/>
                <w:numId w:val="34"/>
              </w:numPr>
              <w:rPr>
                <w:rFonts w:cs="Arial"/>
              </w:rPr>
            </w:pPr>
            <w:r>
              <w:rPr>
                <w:rFonts w:cs="Arial"/>
              </w:rPr>
              <w:lastRenderedPageBreak/>
              <w:t>Children</w:t>
            </w:r>
          </w:p>
          <w:p w14:paraId="2BFC20E4" w14:textId="57939419" w:rsidR="000C4AAF" w:rsidRDefault="000C4AAF" w:rsidP="00B859FC">
            <w:pPr>
              <w:pStyle w:val="ListParagraph"/>
              <w:numPr>
                <w:ilvl w:val="0"/>
                <w:numId w:val="34"/>
              </w:numPr>
              <w:rPr>
                <w:rFonts w:cs="Arial"/>
              </w:rPr>
            </w:pPr>
            <w:r>
              <w:rPr>
                <w:rFonts w:cs="Arial"/>
              </w:rPr>
              <w:t xml:space="preserve">BAME </w:t>
            </w:r>
            <w:r>
              <w:rPr>
                <w:rFonts w:cs="Arial"/>
              </w:rPr>
              <w:lastRenderedPageBreak/>
              <w:t>groups</w:t>
            </w:r>
          </w:p>
        </w:tc>
        <w:tc>
          <w:tcPr>
            <w:tcW w:w="0" w:type="auto"/>
            <w:shd w:val="clear" w:color="auto" w:fill="auto"/>
          </w:tcPr>
          <w:p w14:paraId="09C6D01E" w14:textId="1870FFC1" w:rsidR="002D4A8F" w:rsidRDefault="00B014DB" w:rsidP="00A54BD0">
            <w:pPr>
              <w:rPr>
                <w:rFonts w:cs="Arial"/>
              </w:rPr>
            </w:pPr>
            <w:r w:rsidRPr="00B014DB">
              <w:rPr>
                <w:rFonts w:cs="Arial"/>
              </w:rPr>
              <w:lastRenderedPageBreak/>
              <w:t xml:space="preserve">A 2016 report highlighted that 3.6 million </w:t>
            </w:r>
            <w:r w:rsidRPr="005E032F">
              <w:rPr>
                <w:rFonts w:cs="Arial"/>
                <w:b/>
                <w:bCs/>
                <w:color w:val="2FB6BC" w:themeColor="accent1"/>
              </w:rPr>
              <w:t>children</w:t>
            </w:r>
            <w:r w:rsidRPr="005E032F">
              <w:rPr>
                <w:rFonts w:cs="Arial"/>
                <w:color w:val="2FB6BC" w:themeColor="accent1"/>
              </w:rPr>
              <w:t xml:space="preserve"> </w:t>
            </w:r>
            <w:r w:rsidRPr="00B014DB">
              <w:rPr>
                <w:rFonts w:cs="Arial"/>
              </w:rPr>
              <w:t xml:space="preserve">in England are thought to be affected by poor housing, and a higher proportion of </w:t>
            </w:r>
            <w:r w:rsidRPr="00B014DB">
              <w:rPr>
                <w:rFonts w:cs="Arial"/>
              </w:rPr>
              <w:lastRenderedPageBreak/>
              <w:t>children live in overcrowded conditions than any other age group. Overall, overcrowded conditions present a potential source of stress and can negatively impact a child's emotional and physical health in the long term.</w:t>
            </w:r>
            <w:r>
              <w:rPr>
                <w:rStyle w:val="FootnoteReference"/>
                <w:rFonts w:cs="Arial"/>
              </w:rPr>
              <w:footnoteReference w:id="34"/>
            </w:r>
          </w:p>
          <w:p w14:paraId="00812BD1" w14:textId="77777777" w:rsidR="00BF623C" w:rsidRDefault="00BF623C" w:rsidP="00A54BD0">
            <w:r w:rsidRPr="00625CD5">
              <w:t xml:space="preserve">Research by the Runnymede Trust highlighted that people from all </w:t>
            </w:r>
            <w:r w:rsidRPr="005E032F">
              <w:rPr>
                <w:b/>
                <w:bCs/>
                <w:color w:val="2FB6BC" w:themeColor="accent1"/>
              </w:rPr>
              <w:t>BAME</w:t>
            </w:r>
            <w:r w:rsidRPr="005E032F">
              <w:rPr>
                <w:color w:val="2FB6BC" w:themeColor="accent1"/>
              </w:rPr>
              <w:t xml:space="preserve"> </w:t>
            </w:r>
            <w:r w:rsidRPr="00625CD5">
              <w:t>groups are more likely to live in overcrowded housing when compared to the White British population. Around 40</w:t>
            </w:r>
            <w:r>
              <w:t xml:space="preserve">% </w:t>
            </w:r>
            <w:r w:rsidRPr="00625CD5">
              <w:t>of Black African and 36</w:t>
            </w:r>
            <w:r>
              <w:t xml:space="preserve">% </w:t>
            </w:r>
            <w:r w:rsidRPr="00625CD5">
              <w:t>of Bangladeshi people in the UK live in overcrowded housing.</w:t>
            </w:r>
            <w:r>
              <w:rPr>
                <w:rStyle w:val="FootnoteReference"/>
              </w:rPr>
              <w:footnoteReference w:id="35"/>
            </w:r>
          </w:p>
          <w:p w14:paraId="028698AF" w14:textId="21760236" w:rsidR="0070456D" w:rsidRDefault="0070456D" w:rsidP="00A54BD0">
            <w:pPr>
              <w:rPr>
                <w:rFonts w:cs="Arial"/>
              </w:rPr>
            </w:pPr>
            <w:r>
              <w:rPr>
                <w:rFonts w:cs="Arial"/>
              </w:rPr>
              <w:t xml:space="preserve">The above </w:t>
            </w:r>
            <w:r w:rsidR="00F63262">
              <w:rPr>
                <w:rFonts w:cs="Arial"/>
              </w:rPr>
              <w:t>groups may therefore benefit should the TSDL ensure houses of varied size are built</w:t>
            </w:r>
            <w:r w:rsidR="00CE2355">
              <w:rPr>
                <w:rFonts w:cs="Arial"/>
              </w:rPr>
              <w:t xml:space="preserve"> and</w:t>
            </w:r>
            <w:r w:rsidR="002450FC">
              <w:rPr>
                <w:rFonts w:cs="Arial"/>
              </w:rPr>
              <w:t xml:space="preserve"> appropriately</w:t>
            </w:r>
            <w:r w:rsidR="00CE2355">
              <w:rPr>
                <w:rFonts w:cs="Arial"/>
              </w:rPr>
              <w:t xml:space="preserve"> allocated</w:t>
            </w:r>
            <w:r w:rsidR="002450FC">
              <w:rPr>
                <w:rFonts w:cs="Arial"/>
              </w:rPr>
              <w:t xml:space="preserve"> upon completion.</w:t>
            </w:r>
          </w:p>
        </w:tc>
      </w:tr>
      <w:tr w:rsidR="001E0915" w:rsidRPr="00E3373B" w14:paraId="1589A455" w14:textId="77777777" w:rsidTr="00793D2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AEB241A" w14:textId="43A7773D" w:rsidR="0025222A" w:rsidRPr="00E3373B" w:rsidRDefault="00370F44" w:rsidP="00793D24">
            <w:pPr>
              <w:rPr>
                <w:rFonts w:cs="Arial"/>
              </w:rPr>
            </w:pPr>
            <w:r>
              <w:rPr>
                <w:rFonts w:cs="Arial"/>
              </w:rPr>
              <w:lastRenderedPageBreak/>
              <w:t xml:space="preserve">Delivery of a </w:t>
            </w:r>
            <w:r w:rsidRPr="00370F44">
              <w:rPr>
                <w:rFonts w:cs="Arial"/>
              </w:rPr>
              <w:t>two-form entry primary school</w:t>
            </w:r>
            <w:r w:rsidR="005E4C35">
              <w:rPr>
                <w:rFonts w:cs="Arial"/>
              </w:rPr>
              <w:t xml:space="preserve"> </w:t>
            </w:r>
            <w:r w:rsidR="005E4C35" w:rsidRPr="005E4C35">
              <w:rPr>
                <w:rFonts w:cs="Arial"/>
              </w:rPr>
              <w:t>including early years provision</w:t>
            </w:r>
            <w:r w:rsidR="00A62339">
              <w:rPr>
                <w:rFonts w:cs="Arial"/>
              </w:rPr>
              <w:t>.</w:t>
            </w:r>
          </w:p>
        </w:tc>
        <w:tc>
          <w:tcPr>
            <w:tcW w:w="0" w:type="auto"/>
            <w:shd w:val="clear" w:color="auto" w:fill="auto"/>
          </w:tcPr>
          <w:p w14:paraId="23E59691" w14:textId="77777777" w:rsidR="00E07CF4" w:rsidRDefault="00370F44" w:rsidP="007369B0">
            <w:pPr>
              <w:pStyle w:val="ListParagraph"/>
              <w:numPr>
                <w:ilvl w:val="0"/>
                <w:numId w:val="34"/>
              </w:numPr>
              <w:rPr>
                <w:rFonts w:cs="Arial"/>
              </w:rPr>
            </w:pPr>
            <w:r>
              <w:rPr>
                <w:rFonts w:cs="Arial"/>
              </w:rPr>
              <w:t>Children</w:t>
            </w:r>
          </w:p>
          <w:p w14:paraId="79D4B516" w14:textId="1F1A3DC5" w:rsidR="0025222A" w:rsidRPr="00E3373B" w:rsidRDefault="0025222A" w:rsidP="00793D24">
            <w:pPr>
              <w:pStyle w:val="ListParagraph"/>
              <w:spacing w:before="0" w:after="0" w:line="240" w:lineRule="auto"/>
              <w:ind w:left="360"/>
              <w:rPr>
                <w:rFonts w:cs="Arial"/>
              </w:rPr>
            </w:pPr>
          </w:p>
        </w:tc>
        <w:tc>
          <w:tcPr>
            <w:tcW w:w="0" w:type="auto"/>
            <w:shd w:val="clear" w:color="auto" w:fill="auto"/>
          </w:tcPr>
          <w:p w14:paraId="49E17247" w14:textId="0510E9F2" w:rsidR="00B864DD" w:rsidRDefault="002B2A7E" w:rsidP="00793D24">
            <w:pPr>
              <w:rPr>
                <w:rFonts w:cs="Arial"/>
              </w:rPr>
            </w:pPr>
            <w:r w:rsidRPr="002B2A7E">
              <w:rPr>
                <w:rFonts w:cs="Arial"/>
              </w:rPr>
              <w:t>Education is fundamental to improving health</w:t>
            </w:r>
            <w:r w:rsidR="00EE786B">
              <w:rPr>
                <w:rFonts w:cs="Arial"/>
              </w:rPr>
              <w:t xml:space="preserve"> and plays a vital role in social, human and economic development</w:t>
            </w:r>
            <w:r w:rsidR="00633D2B">
              <w:rPr>
                <w:rFonts w:cs="Arial"/>
              </w:rPr>
              <w:t>.</w:t>
            </w:r>
            <w:r w:rsidRPr="002B2A7E">
              <w:rPr>
                <w:rFonts w:cs="Arial"/>
              </w:rPr>
              <w:t xml:space="preserve"> Education is </w:t>
            </w:r>
            <w:r w:rsidR="005B30D0">
              <w:rPr>
                <w:rFonts w:cs="Arial"/>
              </w:rPr>
              <w:t xml:space="preserve">seen as </w:t>
            </w:r>
            <w:r w:rsidRPr="002B2A7E">
              <w:rPr>
                <w:rFonts w:cs="Arial"/>
              </w:rPr>
              <w:t>critical for breaking the poverty cycle</w:t>
            </w:r>
            <w:r w:rsidR="00102149">
              <w:rPr>
                <w:rFonts w:cs="Arial"/>
              </w:rPr>
              <w:t>, with schools</w:t>
            </w:r>
            <w:r w:rsidR="00B864DD" w:rsidRPr="00B864DD">
              <w:rPr>
                <w:rFonts w:cs="Arial"/>
              </w:rPr>
              <w:t xml:space="preserve"> act</w:t>
            </w:r>
            <w:r w:rsidR="00102149">
              <w:rPr>
                <w:rFonts w:cs="Arial"/>
              </w:rPr>
              <w:t>ing</w:t>
            </w:r>
            <w:r w:rsidR="00B864DD" w:rsidRPr="00B864DD">
              <w:rPr>
                <w:rFonts w:cs="Arial"/>
              </w:rPr>
              <w:t xml:space="preserve"> as the central focus of many communitie</w:t>
            </w:r>
            <w:r w:rsidR="00102149">
              <w:rPr>
                <w:rFonts w:cs="Arial"/>
              </w:rPr>
              <w:t>s</w:t>
            </w:r>
            <w:r w:rsidR="00B864DD" w:rsidRPr="00B864DD">
              <w:rPr>
                <w:rFonts w:cs="Arial"/>
              </w:rPr>
              <w:t>.</w:t>
            </w:r>
            <w:r w:rsidR="00C4550B">
              <w:rPr>
                <w:rStyle w:val="FootnoteReference"/>
                <w:rFonts w:cs="Arial"/>
              </w:rPr>
              <w:footnoteReference w:id="36"/>
            </w:r>
            <w:r w:rsidR="009B5044">
              <w:rPr>
                <w:rFonts w:cs="Arial"/>
              </w:rPr>
              <w:t xml:space="preserve"> </w:t>
            </w:r>
            <w:r w:rsidR="0090311B">
              <w:rPr>
                <w:rFonts w:cs="Arial"/>
              </w:rPr>
              <w:t xml:space="preserve">The delivery of a two-form entry primary school will therefore benefit </w:t>
            </w:r>
            <w:r w:rsidR="0090311B" w:rsidRPr="005E032F">
              <w:rPr>
                <w:rFonts w:cs="Arial"/>
                <w:b/>
                <w:bCs/>
                <w:color w:val="2FB6BC" w:themeColor="accent1"/>
              </w:rPr>
              <w:t xml:space="preserve">children (aged </w:t>
            </w:r>
            <w:r w:rsidR="00271255">
              <w:rPr>
                <w:rFonts w:cs="Arial"/>
                <w:b/>
                <w:bCs/>
                <w:color w:val="2FB6BC" w:themeColor="accent1"/>
              </w:rPr>
              <w:t>5</w:t>
            </w:r>
            <w:r w:rsidR="0090311B" w:rsidRPr="005E032F">
              <w:rPr>
                <w:rFonts w:cs="Arial"/>
                <w:b/>
                <w:bCs/>
                <w:color w:val="2FB6BC" w:themeColor="accent1"/>
              </w:rPr>
              <w:t>-11 years).</w:t>
            </w:r>
            <w:r w:rsidR="0090311B" w:rsidRPr="005E032F">
              <w:rPr>
                <w:rFonts w:cs="Arial"/>
                <w:color w:val="2FB6BC" w:themeColor="accent1"/>
              </w:rPr>
              <w:t xml:space="preserve"> </w:t>
            </w:r>
          </w:p>
          <w:p w14:paraId="61268371" w14:textId="74EB963E" w:rsidR="00B1763B" w:rsidRDefault="00AC3A94" w:rsidP="00793D24">
            <w:pPr>
              <w:rPr>
                <w:rFonts w:cs="Arial"/>
              </w:rPr>
            </w:pPr>
            <w:r>
              <w:rPr>
                <w:rFonts w:cs="Arial"/>
                <w:b/>
                <w:color w:val="2FB6BC" w:themeColor="accent1"/>
              </w:rPr>
              <w:t>C</w:t>
            </w:r>
            <w:r w:rsidR="00673FC1" w:rsidRPr="00FB79F8">
              <w:rPr>
                <w:rFonts w:cs="Arial"/>
                <w:b/>
                <w:color w:val="2FB6BC" w:themeColor="accent1"/>
              </w:rPr>
              <w:t>hildren</w:t>
            </w:r>
            <w:r w:rsidR="001425CA">
              <w:rPr>
                <w:rFonts w:cs="Arial"/>
                <w:b/>
                <w:color w:val="2FB6BC" w:themeColor="accent1"/>
              </w:rPr>
              <w:t xml:space="preserve"> (</w:t>
            </w:r>
            <w:r w:rsidR="00130183">
              <w:rPr>
                <w:rFonts w:cs="Arial"/>
                <w:b/>
                <w:color w:val="2FB6BC" w:themeColor="accent1"/>
              </w:rPr>
              <w:t xml:space="preserve">aged </w:t>
            </w:r>
            <w:r w:rsidR="001425CA">
              <w:rPr>
                <w:rFonts w:cs="Arial"/>
                <w:b/>
                <w:color w:val="2FB6BC" w:themeColor="accent1"/>
              </w:rPr>
              <w:t>3-5 y</w:t>
            </w:r>
            <w:r w:rsidR="00E01178">
              <w:rPr>
                <w:rFonts w:cs="Arial"/>
                <w:b/>
                <w:color w:val="2FB6BC" w:themeColor="accent1"/>
              </w:rPr>
              <w:t>ears)</w:t>
            </w:r>
            <w:r>
              <w:rPr>
                <w:rFonts w:cs="Arial"/>
                <w:b/>
                <w:color w:val="2FB6BC" w:themeColor="accent1"/>
              </w:rPr>
              <w:t xml:space="preserve">, </w:t>
            </w:r>
            <w:r w:rsidRPr="00AC3A94">
              <w:rPr>
                <w:rFonts w:cs="Arial"/>
                <w:bCs/>
              </w:rPr>
              <w:t>particularly</w:t>
            </w:r>
            <w:r w:rsidRPr="00AC3A94">
              <w:rPr>
                <w:rFonts w:cs="Arial"/>
              </w:rPr>
              <w:t xml:space="preserve"> </w:t>
            </w:r>
            <w:r>
              <w:rPr>
                <w:rFonts w:cs="Arial"/>
              </w:rPr>
              <w:t>those from disadvantaged backgrounds</w:t>
            </w:r>
            <w:r w:rsidR="00023408">
              <w:rPr>
                <w:rFonts w:cs="Arial"/>
              </w:rPr>
              <w:t>,</w:t>
            </w:r>
            <w:r w:rsidR="00673FC1" w:rsidRPr="00AC3A94">
              <w:rPr>
                <w:rFonts w:cs="Arial"/>
              </w:rPr>
              <w:t xml:space="preserve"> </w:t>
            </w:r>
            <w:r w:rsidR="009B5044">
              <w:rPr>
                <w:rFonts w:cs="Arial"/>
              </w:rPr>
              <w:t xml:space="preserve">will also </w:t>
            </w:r>
            <w:r w:rsidR="00673FC1" w:rsidRPr="00673FC1">
              <w:rPr>
                <w:rFonts w:cs="Arial"/>
              </w:rPr>
              <w:t xml:space="preserve">benefit from high quality </w:t>
            </w:r>
            <w:r w:rsidR="008A33C6">
              <w:rPr>
                <w:rFonts w:cs="Arial"/>
              </w:rPr>
              <w:t>early years</w:t>
            </w:r>
            <w:r w:rsidR="00673FC1" w:rsidRPr="00673FC1">
              <w:rPr>
                <w:rFonts w:cs="Arial"/>
              </w:rPr>
              <w:t xml:space="preserve"> provision</w:t>
            </w:r>
            <w:r w:rsidR="008A630E">
              <w:rPr>
                <w:rFonts w:cs="Arial"/>
              </w:rPr>
              <w:t xml:space="preserve"> at the school</w:t>
            </w:r>
            <w:r w:rsidR="00673FC1" w:rsidRPr="00673FC1">
              <w:rPr>
                <w:rFonts w:cs="Arial"/>
              </w:rPr>
              <w:t xml:space="preserve">. </w:t>
            </w:r>
            <w:r w:rsidR="009D4596">
              <w:rPr>
                <w:rFonts w:cs="Arial"/>
              </w:rPr>
              <w:t>I</w:t>
            </w:r>
            <w:r w:rsidR="00B1763B" w:rsidRPr="00B1763B">
              <w:rPr>
                <w:rFonts w:cs="Arial"/>
              </w:rPr>
              <w:t xml:space="preserve">t is the social skills and improved motivation that </w:t>
            </w:r>
            <w:r w:rsidR="00221E70">
              <w:rPr>
                <w:rFonts w:cs="Arial"/>
              </w:rPr>
              <w:t xml:space="preserve">are gained in this </w:t>
            </w:r>
            <w:r w:rsidR="00660C27">
              <w:rPr>
                <w:rFonts w:cs="Arial"/>
              </w:rPr>
              <w:t xml:space="preserve">setting that can </w:t>
            </w:r>
            <w:r w:rsidR="00B1763B" w:rsidRPr="00B1763B">
              <w:rPr>
                <w:rFonts w:cs="Arial"/>
              </w:rPr>
              <w:t xml:space="preserve">lead to lower levels of special education and school failure and higher educational achievement </w:t>
            </w:r>
            <w:r w:rsidR="00FC084D">
              <w:rPr>
                <w:rFonts w:cs="Arial"/>
              </w:rPr>
              <w:t>in the future</w:t>
            </w:r>
            <w:r w:rsidR="00B1763B" w:rsidRPr="00B1763B">
              <w:rPr>
                <w:rFonts w:cs="Arial"/>
              </w:rPr>
              <w:t>.</w:t>
            </w:r>
            <w:r w:rsidR="00B1763B">
              <w:rPr>
                <w:rStyle w:val="FootnoteReference"/>
                <w:rFonts w:cs="Arial"/>
              </w:rPr>
              <w:footnoteReference w:id="37"/>
            </w:r>
          </w:p>
          <w:p w14:paraId="7033FD4F" w14:textId="0CEFC49C" w:rsidR="0025222A" w:rsidRDefault="00FC084D" w:rsidP="00793D24">
            <w:pPr>
              <w:rPr>
                <w:rFonts w:cs="Arial"/>
              </w:rPr>
            </w:pPr>
            <w:r>
              <w:rPr>
                <w:rFonts w:cs="Arial"/>
              </w:rPr>
              <w:t>Children,</w:t>
            </w:r>
            <w:r w:rsidRPr="00AC3A94">
              <w:rPr>
                <w:rFonts w:cs="Arial"/>
                <w:bCs/>
              </w:rPr>
              <w:t xml:space="preserve"> particularly</w:t>
            </w:r>
            <w:r w:rsidRPr="00AC3A94">
              <w:rPr>
                <w:rFonts w:cs="Arial"/>
              </w:rPr>
              <w:t xml:space="preserve"> </w:t>
            </w:r>
            <w:r>
              <w:rPr>
                <w:rFonts w:cs="Arial"/>
              </w:rPr>
              <w:t xml:space="preserve">those from disadvantaged backgrounds, are </w:t>
            </w:r>
            <w:r w:rsidR="00D61AB2" w:rsidRPr="00D61AB2">
              <w:rPr>
                <w:rFonts w:cs="Arial"/>
              </w:rPr>
              <w:t xml:space="preserve">therefore likely to benefit from </w:t>
            </w:r>
            <w:r w:rsidR="005E1FFB">
              <w:rPr>
                <w:rFonts w:cs="Arial"/>
              </w:rPr>
              <w:t xml:space="preserve">the </w:t>
            </w:r>
            <w:r w:rsidR="00D61AB2" w:rsidRPr="00D61AB2">
              <w:rPr>
                <w:rFonts w:cs="Arial"/>
              </w:rPr>
              <w:t xml:space="preserve">new </w:t>
            </w:r>
            <w:r w:rsidR="00656461" w:rsidRPr="00656461">
              <w:rPr>
                <w:rFonts w:cs="Arial"/>
              </w:rPr>
              <w:t>two-form entry primary school</w:t>
            </w:r>
            <w:r w:rsidR="005E1FFB">
              <w:rPr>
                <w:rFonts w:cs="Arial"/>
              </w:rPr>
              <w:t>, which</w:t>
            </w:r>
            <w:r w:rsidR="00656461" w:rsidRPr="00656461">
              <w:rPr>
                <w:rFonts w:cs="Arial"/>
              </w:rPr>
              <w:t xml:space="preserve"> includ</w:t>
            </w:r>
            <w:r w:rsidR="005E1FFB">
              <w:rPr>
                <w:rFonts w:cs="Arial"/>
              </w:rPr>
              <w:t>es</w:t>
            </w:r>
            <w:r w:rsidR="00656461" w:rsidRPr="00656461">
              <w:rPr>
                <w:rFonts w:cs="Arial"/>
              </w:rPr>
              <w:t xml:space="preserve"> early years provision</w:t>
            </w:r>
            <w:r w:rsidR="00E04FBF">
              <w:rPr>
                <w:rFonts w:cs="Arial"/>
              </w:rPr>
              <w:t>.</w:t>
            </w:r>
          </w:p>
        </w:tc>
      </w:tr>
      <w:tr w:rsidR="0048575D" w:rsidRPr="00E3373B" w14:paraId="0F9E70D6" w14:textId="77777777" w:rsidTr="00793D24">
        <w:tc>
          <w:tcPr>
            <w:tcW w:w="0" w:type="auto"/>
            <w:shd w:val="clear" w:color="auto" w:fill="auto"/>
          </w:tcPr>
          <w:p w14:paraId="66E35CA2" w14:textId="5F650CD0" w:rsidR="0048575D" w:rsidRDefault="0048575D" w:rsidP="0048575D">
            <w:pPr>
              <w:rPr>
                <w:rFonts w:cs="Arial"/>
              </w:rPr>
            </w:pPr>
            <w:r>
              <w:rPr>
                <w:rFonts w:cs="Arial"/>
              </w:rPr>
              <w:t>Delivery of public open space including 2.1ha of allotments and 0.8ha for a community orchard.</w:t>
            </w:r>
          </w:p>
        </w:tc>
        <w:tc>
          <w:tcPr>
            <w:tcW w:w="0" w:type="auto"/>
            <w:shd w:val="clear" w:color="auto" w:fill="auto"/>
          </w:tcPr>
          <w:p w14:paraId="0B3B7E7E" w14:textId="77777777" w:rsidR="0048575D" w:rsidRPr="0072671D" w:rsidRDefault="0048575D" w:rsidP="005E032F">
            <w:pPr>
              <w:pStyle w:val="ListParagraph"/>
              <w:numPr>
                <w:ilvl w:val="0"/>
                <w:numId w:val="34"/>
              </w:numPr>
              <w:rPr>
                <w:rFonts w:cs="Arial"/>
              </w:rPr>
            </w:pPr>
            <w:r w:rsidRPr="0072671D">
              <w:rPr>
                <w:rFonts w:cs="Arial"/>
              </w:rPr>
              <w:t>Disabled</w:t>
            </w:r>
            <w:r w:rsidRPr="0048575D">
              <w:t xml:space="preserve"> people</w:t>
            </w:r>
          </w:p>
          <w:p w14:paraId="09149364" w14:textId="77777777" w:rsidR="0048575D" w:rsidRDefault="0048575D" w:rsidP="0048575D">
            <w:pPr>
              <w:pStyle w:val="ListParagraph"/>
              <w:numPr>
                <w:ilvl w:val="0"/>
                <w:numId w:val="33"/>
              </w:numPr>
              <w:spacing w:before="0" w:after="0" w:line="240" w:lineRule="auto"/>
              <w:rPr>
                <w:rFonts w:cs="Arial"/>
              </w:rPr>
            </w:pPr>
            <w:r>
              <w:rPr>
                <w:rFonts w:cs="Arial"/>
              </w:rPr>
              <w:t>Pregnant women</w:t>
            </w:r>
          </w:p>
          <w:p w14:paraId="3B6590D0" w14:textId="548F07F2" w:rsidR="000A7F49" w:rsidRPr="0072671D" w:rsidDel="00EF5509" w:rsidRDefault="000A7F49" w:rsidP="005E032F">
            <w:pPr>
              <w:pStyle w:val="ListParagraph"/>
              <w:numPr>
                <w:ilvl w:val="0"/>
                <w:numId w:val="33"/>
              </w:numPr>
              <w:spacing w:before="0" w:after="0" w:line="240" w:lineRule="auto"/>
              <w:rPr>
                <w:rFonts w:cs="Arial"/>
              </w:rPr>
            </w:pPr>
            <w:r>
              <w:rPr>
                <w:rFonts w:cs="Arial"/>
              </w:rPr>
              <w:t>Older people</w:t>
            </w:r>
          </w:p>
        </w:tc>
        <w:tc>
          <w:tcPr>
            <w:tcW w:w="0" w:type="auto"/>
            <w:shd w:val="clear" w:color="auto" w:fill="auto"/>
          </w:tcPr>
          <w:p w14:paraId="61D881DE" w14:textId="3196F288" w:rsidR="00112801" w:rsidRPr="00813E4D" w:rsidRDefault="00112801" w:rsidP="00112801">
            <w:pPr>
              <w:rPr>
                <w:rFonts w:cs="Arial"/>
              </w:rPr>
            </w:pPr>
            <w:r>
              <w:rPr>
                <w:rFonts w:cs="Arial"/>
              </w:rPr>
              <w:t>Res</w:t>
            </w:r>
            <w:r w:rsidRPr="00DD1DFD">
              <w:rPr>
                <w:rFonts w:cs="Arial"/>
              </w:rPr>
              <w:t xml:space="preserve">earch into the health benefits of green space has found that it can positively impact both physical and mental health, highlighting the potential impact of increased green space for those who are </w:t>
            </w:r>
            <w:r w:rsidRPr="00D6072E">
              <w:rPr>
                <w:rFonts w:cs="Arial"/>
                <w:b/>
                <w:color w:val="2FB6BC" w:themeColor="accent1"/>
              </w:rPr>
              <w:t>disabled</w:t>
            </w:r>
            <w:r w:rsidRPr="00DD1DFD">
              <w:rPr>
                <w:rFonts w:cs="Arial"/>
              </w:rPr>
              <w:t>.</w:t>
            </w:r>
            <w:r>
              <w:rPr>
                <w:rFonts w:cs="Arial"/>
              </w:rPr>
              <w:t xml:space="preserve"> </w:t>
            </w:r>
            <w:r w:rsidRPr="007C103B">
              <w:rPr>
                <w:rFonts w:cs="Arial"/>
              </w:rPr>
              <w:t xml:space="preserve">Access to safe green and open space can benefit people with mental health illnesses as evidence suggests that </w:t>
            </w:r>
            <w:r>
              <w:rPr>
                <w:rFonts w:cs="Arial"/>
              </w:rPr>
              <w:t xml:space="preserve">this </w:t>
            </w:r>
            <w:r w:rsidRPr="007C103B">
              <w:rPr>
                <w:rFonts w:cs="Arial"/>
              </w:rPr>
              <w:t>can significantly improve people’s mental health and wellbeing.</w:t>
            </w:r>
            <w:r>
              <w:t xml:space="preserve"> S</w:t>
            </w:r>
            <w:r w:rsidRPr="00B321AE">
              <w:rPr>
                <w:rFonts w:cs="Arial"/>
              </w:rPr>
              <w:t>pending time in green and open space can reduce stress, restore thoughts and attention, initiate reflection, reduce mental fatigue and improve cognition.</w:t>
            </w:r>
            <w:r>
              <w:rPr>
                <w:rStyle w:val="FootnoteReference"/>
                <w:rFonts w:cs="Arial"/>
              </w:rPr>
              <w:footnoteReference w:id="38"/>
            </w:r>
            <w:r>
              <w:rPr>
                <w:rFonts w:cs="Arial"/>
              </w:rPr>
              <w:t xml:space="preserve"> </w:t>
            </w:r>
          </w:p>
          <w:p w14:paraId="49FAFAF6" w14:textId="77777777" w:rsidR="00112801" w:rsidRDefault="00112801" w:rsidP="00112801">
            <w:pPr>
              <w:rPr>
                <w:rFonts w:cs="Arial"/>
              </w:rPr>
            </w:pPr>
            <w:r w:rsidRPr="00A048FF">
              <w:rPr>
                <w:rFonts w:cs="Arial"/>
              </w:rPr>
              <w:lastRenderedPageBreak/>
              <w:t xml:space="preserve">Evidence suggests that </w:t>
            </w:r>
            <w:r w:rsidRPr="00A25F7D">
              <w:rPr>
                <w:rFonts w:cs="Arial"/>
                <w:b/>
                <w:color w:val="2FB6BC" w:themeColor="accent1"/>
              </w:rPr>
              <w:t xml:space="preserve">pregnant </w:t>
            </w:r>
            <w:r w:rsidRPr="00C32341">
              <w:rPr>
                <w:rFonts w:cs="Arial"/>
                <w:b/>
                <w:color w:val="2FB6BC" w:themeColor="accent1"/>
              </w:rPr>
              <w:t>women</w:t>
            </w:r>
            <w:r w:rsidRPr="00A048FF">
              <w:rPr>
                <w:rFonts w:cs="Arial"/>
              </w:rPr>
              <w:t>'s exposure to green space can improve children's development in the womb.</w:t>
            </w:r>
            <w:r>
              <w:rPr>
                <w:rStyle w:val="FootnoteReference"/>
                <w:rFonts w:cs="Arial"/>
              </w:rPr>
              <w:footnoteReference w:id="39"/>
            </w:r>
            <w:r>
              <w:rPr>
                <w:rFonts w:cs="Arial"/>
              </w:rPr>
              <w:t xml:space="preserve"> A</w:t>
            </w:r>
            <w:r w:rsidRPr="000A2EBB">
              <w:rPr>
                <w:rFonts w:cs="Arial"/>
              </w:rPr>
              <w:t>ccess to safe green and open space can</w:t>
            </w:r>
            <w:r>
              <w:rPr>
                <w:rFonts w:cs="Arial"/>
              </w:rPr>
              <w:t xml:space="preserve"> also</w:t>
            </w:r>
            <w:r w:rsidRPr="000A2EBB">
              <w:rPr>
                <w:rFonts w:cs="Arial"/>
              </w:rPr>
              <w:t xml:space="preserve"> benefit pregnant women </w:t>
            </w:r>
            <w:r>
              <w:rPr>
                <w:rFonts w:cs="Arial"/>
              </w:rPr>
              <w:t xml:space="preserve">by </w:t>
            </w:r>
            <w:r w:rsidRPr="000A2EBB">
              <w:rPr>
                <w:rFonts w:cs="Arial"/>
              </w:rPr>
              <w:t>reduc</w:t>
            </w:r>
            <w:r>
              <w:rPr>
                <w:rFonts w:cs="Arial"/>
              </w:rPr>
              <w:t>ing</w:t>
            </w:r>
            <w:r w:rsidRPr="000A2EBB">
              <w:rPr>
                <w:rFonts w:cs="Arial"/>
              </w:rPr>
              <w:t xml:space="preserve"> blood pressure and depression.</w:t>
            </w:r>
            <w:r>
              <w:rPr>
                <w:rStyle w:val="FootnoteReference"/>
                <w:rFonts w:cs="Arial"/>
              </w:rPr>
              <w:footnoteReference w:id="40"/>
            </w:r>
          </w:p>
          <w:p w14:paraId="3B2B9833" w14:textId="13A83020" w:rsidR="00566E69" w:rsidRPr="009C4537" w:rsidRDefault="00361078" w:rsidP="00112801">
            <w:pPr>
              <w:rPr>
                <w:rFonts w:cs="Arial"/>
              </w:rPr>
            </w:pPr>
            <w:r>
              <w:rPr>
                <w:rFonts w:cs="Arial"/>
              </w:rPr>
              <w:t xml:space="preserve">Research shows that </w:t>
            </w:r>
            <w:r w:rsidR="003B0ED9">
              <w:rPr>
                <w:rFonts w:cs="Arial"/>
              </w:rPr>
              <w:t xml:space="preserve">gardening can have a positive impact on </w:t>
            </w:r>
            <w:r w:rsidR="003B0ED9" w:rsidRPr="005E032F">
              <w:rPr>
                <w:rFonts w:cs="Arial"/>
                <w:b/>
                <w:bCs/>
                <w:color w:val="2FB6BC" w:themeColor="accent1"/>
              </w:rPr>
              <w:t>older people</w:t>
            </w:r>
            <w:r w:rsidR="00F50900">
              <w:rPr>
                <w:rFonts w:cs="Arial"/>
              </w:rPr>
              <w:t>,</w:t>
            </w:r>
            <w:r w:rsidR="00C6400A">
              <w:rPr>
                <w:rFonts w:cs="Arial"/>
              </w:rPr>
              <w:t xml:space="preserve"> </w:t>
            </w:r>
            <w:r w:rsidR="00346589">
              <w:rPr>
                <w:rFonts w:cs="Arial"/>
              </w:rPr>
              <w:t>suggesting that a</w:t>
            </w:r>
            <w:r w:rsidR="005A6CED">
              <w:rPr>
                <w:rFonts w:cs="Arial"/>
              </w:rPr>
              <w:t>n allotment would be beneficial</w:t>
            </w:r>
            <w:r w:rsidR="00FA645A">
              <w:rPr>
                <w:rFonts w:cs="Arial"/>
              </w:rPr>
              <w:t xml:space="preserve"> to this group. </w:t>
            </w:r>
            <w:r w:rsidR="00864F33">
              <w:rPr>
                <w:rFonts w:cs="Arial"/>
              </w:rPr>
              <w:t>According</w:t>
            </w:r>
            <w:r w:rsidR="00AE431C">
              <w:rPr>
                <w:rFonts w:cs="Arial"/>
              </w:rPr>
              <w:t xml:space="preserve"> to research, gardening can be </w:t>
            </w:r>
            <w:r w:rsidR="00864F33">
              <w:rPr>
                <w:rFonts w:cs="Arial"/>
              </w:rPr>
              <w:t>beneficial</w:t>
            </w:r>
            <w:r w:rsidR="00AE431C">
              <w:rPr>
                <w:rFonts w:cs="Arial"/>
              </w:rPr>
              <w:t xml:space="preserve"> to an older </w:t>
            </w:r>
            <w:r w:rsidR="00A21BE6">
              <w:rPr>
                <w:rFonts w:cs="Arial"/>
              </w:rPr>
              <w:t>person’s</w:t>
            </w:r>
            <w:r w:rsidR="00AE431C">
              <w:rPr>
                <w:rFonts w:cs="Arial"/>
              </w:rPr>
              <w:t xml:space="preserve"> mental health, </w:t>
            </w:r>
            <w:r w:rsidR="00864F33">
              <w:rPr>
                <w:rFonts w:cs="Arial"/>
              </w:rPr>
              <w:t xml:space="preserve">sense of responsibility, </w:t>
            </w:r>
            <w:r w:rsidR="0096395D">
              <w:rPr>
                <w:rFonts w:cs="Arial"/>
              </w:rPr>
              <w:t xml:space="preserve">connection to others </w:t>
            </w:r>
            <w:r w:rsidR="00A21BE6">
              <w:rPr>
                <w:rFonts w:cs="Arial"/>
              </w:rPr>
              <w:t xml:space="preserve">and continuation of learning. </w:t>
            </w:r>
            <w:r w:rsidR="00656C51">
              <w:rPr>
                <w:rFonts w:cs="Arial"/>
              </w:rPr>
              <w:t xml:space="preserve">Gardening, especially in a community environment, can also </w:t>
            </w:r>
            <w:r w:rsidR="00747718">
              <w:rPr>
                <w:rFonts w:cs="Arial"/>
              </w:rPr>
              <w:t>alleviate feelings of loneliness in this group.</w:t>
            </w:r>
            <w:r w:rsidR="00747718">
              <w:rPr>
                <w:rStyle w:val="FootnoteReference"/>
                <w:rFonts w:cs="Arial"/>
              </w:rPr>
              <w:footnoteReference w:id="41"/>
            </w:r>
            <w:r w:rsidR="00747718">
              <w:rPr>
                <w:rFonts w:cs="Arial"/>
              </w:rPr>
              <w:t xml:space="preserve"> </w:t>
            </w:r>
            <w:r w:rsidR="00566E69">
              <w:rPr>
                <w:rFonts w:cs="Arial"/>
              </w:rPr>
              <w:t xml:space="preserve">Stakeholders have identified the need for accessible open spaces and parks designed for </w:t>
            </w:r>
            <w:r w:rsidR="00566E69" w:rsidRPr="00861042">
              <w:rPr>
                <w:rFonts w:cs="Arial"/>
              </w:rPr>
              <w:t>older people</w:t>
            </w:r>
            <w:r w:rsidR="00566E69">
              <w:rPr>
                <w:rFonts w:cs="Arial"/>
              </w:rPr>
              <w:t>.</w:t>
            </w:r>
          </w:p>
          <w:p w14:paraId="42714CDC" w14:textId="3C7A9CFD" w:rsidR="0048575D" w:rsidRPr="00B120CE" w:rsidDel="00095C13" w:rsidRDefault="00112801" w:rsidP="00112801">
            <w:pPr>
              <w:rPr>
                <w:rFonts w:cs="Arial"/>
              </w:rPr>
            </w:pPr>
            <w:r w:rsidRPr="00365626">
              <w:rPr>
                <w:rFonts w:cs="Arial"/>
              </w:rPr>
              <w:t xml:space="preserve">The above groups are therefore likely to benefit from </w:t>
            </w:r>
            <w:r>
              <w:rPr>
                <w:rFonts w:cs="Arial"/>
              </w:rPr>
              <w:t>the public open space, including the 2.1ha allotments and 0.8ha of community orchard.</w:t>
            </w:r>
          </w:p>
        </w:tc>
      </w:tr>
      <w:tr w:rsidR="0048575D" w:rsidRPr="00E3373B" w14:paraId="2C972AA0" w14:textId="77777777" w:rsidTr="00793D2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76A4D5F" w14:textId="711D1E32" w:rsidR="0048575D" w:rsidRDefault="0048575D" w:rsidP="0048575D">
            <w:pPr>
              <w:rPr>
                <w:rFonts w:cs="Arial"/>
              </w:rPr>
            </w:pPr>
            <w:r>
              <w:rPr>
                <w:rFonts w:cs="Arial"/>
              </w:rPr>
              <w:lastRenderedPageBreak/>
              <w:t>Delivery of 1.9ha formal sports provision (sport pitches, sports pavilion, children’s play area)</w:t>
            </w:r>
          </w:p>
          <w:p w14:paraId="71FA039B" w14:textId="1486835D" w:rsidR="0048575D" w:rsidRDefault="0048575D" w:rsidP="0048575D">
            <w:pPr>
              <w:rPr>
                <w:rFonts w:cs="Arial"/>
              </w:rPr>
            </w:pPr>
          </w:p>
        </w:tc>
        <w:tc>
          <w:tcPr>
            <w:tcW w:w="0" w:type="auto"/>
            <w:shd w:val="clear" w:color="auto" w:fill="auto"/>
          </w:tcPr>
          <w:p w14:paraId="5158B851" w14:textId="7A9E4949" w:rsidR="0048575D" w:rsidRDefault="0048575D" w:rsidP="0048575D">
            <w:pPr>
              <w:pStyle w:val="ListParagraph"/>
              <w:numPr>
                <w:ilvl w:val="0"/>
                <w:numId w:val="34"/>
              </w:numPr>
              <w:rPr>
                <w:rFonts w:cs="Arial"/>
              </w:rPr>
            </w:pPr>
            <w:r>
              <w:rPr>
                <w:rFonts w:cs="Arial"/>
              </w:rPr>
              <w:t>Children</w:t>
            </w:r>
          </w:p>
          <w:p w14:paraId="7632A67D" w14:textId="0AB70A9E" w:rsidR="0048575D" w:rsidRDefault="0048575D" w:rsidP="0048575D">
            <w:pPr>
              <w:pStyle w:val="ListParagraph"/>
              <w:numPr>
                <w:ilvl w:val="0"/>
                <w:numId w:val="34"/>
              </w:numPr>
              <w:rPr>
                <w:rFonts w:cs="Arial"/>
              </w:rPr>
            </w:pPr>
            <w:r>
              <w:rPr>
                <w:rFonts w:cs="Arial"/>
              </w:rPr>
              <w:t>Younger people</w:t>
            </w:r>
          </w:p>
          <w:p w14:paraId="246CCAA6" w14:textId="1A6D3650" w:rsidR="004E1B59" w:rsidRDefault="004E1B59" w:rsidP="0048575D">
            <w:pPr>
              <w:pStyle w:val="ListParagraph"/>
              <w:numPr>
                <w:ilvl w:val="0"/>
                <w:numId w:val="34"/>
              </w:numPr>
              <w:rPr>
                <w:rFonts w:cs="Arial"/>
              </w:rPr>
            </w:pPr>
            <w:r>
              <w:rPr>
                <w:rFonts w:cs="Arial"/>
              </w:rPr>
              <w:t>Older people</w:t>
            </w:r>
          </w:p>
          <w:p w14:paraId="6AE50C4C" w14:textId="56981BBB" w:rsidR="0048575D" w:rsidRDefault="0048575D" w:rsidP="0048575D">
            <w:pPr>
              <w:pStyle w:val="ListParagraph"/>
              <w:numPr>
                <w:ilvl w:val="0"/>
                <w:numId w:val="34"/>
              </w:numPr>
              <w:rPr>
                <w:rFonts w:cs="Arial"/>
              </w:rPr>
            </w:pPr>
            <w:r>
              <w:rPr>
                <w:rFonts w:cs="Arial"/>
              </w:rPr>
              <w:t>BAME groups</w:t>
            </w:r>
          </w:p>
          <w:p w14:paraId="1F69447A" w14:textId="46D38750" w:rsidR="0048575D" w:rsidRDefault="0048575D" w:rsidP="0048575D">
            <w:pPr>
              <w:pStyle w:val="ListParagraph"/>
              <w:numPr>
                <w:ilvl w:val="0"/>
                <w:numId w:val="33"/>
              </w:numPr>
              <w:spacing w:before="0" w:after="0" w:line="240" w:lineRule="auto"/>
              <w:rPr>
                <w:rFonts w:cs="Arial"/>
              </w:rPr>
            </w:pPr>
            <w:r>
              <w:rPr>
                <w:rFonts w:cs="Arial"/>
              </w:rPr>
              <w:t>Disabled people</w:t>
            </w:r>
          </w:p>
        </w:tc>
        <w:tc>
          <w:tcPr>
            <w:tcW w:w="0" w:type="auto"/>
            <w:shd w:val="clear" w:color="auto" w:fill="auto"/>
          </w:tcPr>
          <w:p w14:paraId="52800505" w14:textId="7D800770" w:rsidR="0048575D" w:rsidRDefault="0048575D" w:rsidP="0048575D">
            <w:pPr>
              <w:rPr>
                <w:rFonts w:cs="Arial"/>
              </w:rPr>
            </w:pPr>
            <w:r w:rsidRPr="0067671D">
              <w:rPr>
                <w:rFonts w:cs="Arial"/>
                <w:b/>
                <w:color w:val="2FB6BC" w:themeColor="accent1"/>
              </w:rPr>
              <w:t>Children</w:t>
            </w:r>
            <w:r w:rsidRPr="005B185D">
              <w:rPr>
                <w:rFonts w:cs="Arial"/>
              </w:rPr>
              <w:t xml:space="preserve"> are particularly likely to benefit from </w:t>
            </w:r>
            <w:r>
              <w:rPr>
                <w:rFonts w:cs="Arial"/>
              </w:rPr>
              <w:t>increased formal sports provision, including a designated children’s play area</w:t>
            </w:r>
            <w:r w:rsidRPr="005B185D">
              <w:rPr>
                <w:rFonts w:cs="Arial"/>
              </w:rPr>
              <w:t>. Research suggests that, in early childhood, children gain vital social, conceptual and creative skills through outdoor free play.</w:t>
            </w:r>
            <w:r>
              <w:rPr>
                <w:rStyle w:val="FootnoteReference"/>
                <w:rFonts w:cs="Arial"/>
              </w:rPr>
              <w:footnoteReference w:id="42"/>
            </w:r>
          </w:p>
          <w:p w14:paraId="4BD35365" w14:textId="5F963C14" w:rsidR="004E1B59" w:rsidRDefault="0048575D" w:rsidP="0048575D">
            <w:pPr>
              <w:rPr>
                <w:rFonts w:cs="Arial"/>
              </w:rPr>
            </w:pPr>
            <w:r w:rsidRPr="008564A5">
              <w:rPr>
                <w:rFonts w:cs="Arial" w:hint="eastAsia"/>
              </w:rPr>
              <w:t xml:space="preserve">Increased recreational space, including access to </w:t>
            </w:r>
            <w:r>
              <w:rPr>
                <w:rFonts w:cs="Arial"/>
              </w:rPr>
              <w:t>formal sport provisions</w:t>
            </w:r>
            <w:r>
              <w:rPr>
                <w:rStyle w:val="CommentReference"/>
              </w:rPr>
              <w:t>,</w:t>
            </w:r>
            <w:r w:rsidRPr="008564A5">
              <w:rPr>
                <w:rFonts w:cs="Arial" w:hint="eastAsia"/>
              </w:rPr>
              <w:t xml:space="preserve"> can provide numerous health benefits for </w:t>
            </w:r>
            <w:r w:rsidRPr="00D868E2">
              <w:rPr>
                <w:rFonts w:cs="Arial" w:hint="eastAsia"/>
                <w:b/>
                <w:color w:val="2FB6BC" w:themeColor="accent1"/>
              </w:rPr>
              <w:t>younger people</w:t>
            </w:r>
            <w:r w:rsidR="00A650DA">
              <w:rPr>
                <w:rFonts w:cs="Arial"/>
                <w:color w:val="2FB6BC" w:themeColor="accent1"/>
              </w:rPr>
              <w:t xml:space="preserve">. </w:t>
            </w:r>
            <w:r w:rsidR="00A650DA" w:rsidRPr="005E032F">
              <w:rPr>
                <w:rFonts w:cs="Arial"/>
              </w:rPr>
              <w:t xml:space="preserve">Such benefits </w:t>
            </w:r>
            <w:r w:rsidR="00EA6709" w:rsidRPr="005E032F">
              <w:rPr>
                <w:rFonts w:cs="Arial"/>
              </w:rPr>
              <w:t xml:space="preserve">include </w:t>
            </w:r>
            <w:r w:rsidRPr="008564A5">
              <w:rPr>
                <w:rFonts w:cs="Arial" w:hint="eastAsia"/>
              </w:rPr>
              <w:t>reduced body fat and the promotion of healthy weight, enhanced bone and cardio-metabolic healt</w:t>
            </w:r>
            <w:r w:rsidRPr="008564A5">
              <w:rPr>
                <w:rFonts w:cs="Arial"/>
              </w:rPr>
              <w:t>h and enhanced psychological wellbeing.</w:t>
            </w:r>
            <w:r>
              <w:rPr>
                <w:rStyle w:val="FootnoteReference"/>
                <w:rFonts w:cs="Arial"/>
              </w:rPr>
              <w:footnoteReference w:id="43"/>
            </w:r>
            <w:r>
              <w:rPr>
                <w:rFonts w:cs="Arial"/>
              </w:rPr>
              <w:t xml:space="preserve"> The need for new gym facilities was also emphasised throughout the engagement process, where stakeholders additionally requested a swimming pool to be included as part of the planning proposals in Tangmere. </w:t>
            </w:r>
          </w:p>
          <w:p w14:paraId="643D5150" w14:textId="0B9B5737" w:rsidR="004E1B59" w:rsidRPr="00861042" w:rsidRDefault="00E00F91" w:rsidP="00B147AF">
            <w:r>
              <w:t xml:space="preserve">With regards to an active environment, physical activity is proven to be beneficial to the health of </w:t>
            </w:r>
            <w:r w:rsidRPr="005E032F">
              <w:rPr>
                <w:b/>
                <w:bCs/>
                <w:color w:val="2FB6BC" w:themeColor="accent1"/>
              </w:rPr>
              <w:t>older people</w:t>
            </w:r>
            <w:r>
              <w:t>. People over the age of 65 who spend an average of 10 hours or more a day sedentary have higher rates of falls, obesity, heart disease and premature death compared to the general population.</w:t>
            </w:r>
            <w:r>
              <w:rPr>
                <w:rStyle w:val="FootnoteReference"/>
              </w:rPr>
              <w:footnoteReference w:id="44"/>
            </w:r>
            <w:r>
              <w:t xml:space="preserve"> Similarly, older people who are physically active have lower rates of all-cause mortality, type 2 diabetes, high blood pressure and stroke.</w:t>
            </w:r>
            <w:r>
              <w:rPr>
                <w:rStyle w:val="FootnoteReference"/>
              </w:rPr>
              <w:footnoteReference w:id="45"/>
            </w:r>
            <w:r>
              <w:t xml:space="preserve">  Evidence also suggests that the health of older people increases where there is more space </w:t>
            </w:r>
            <w:r>
              <w:lastRenderedPageBreak/>
              <w:t>for walking close to home, such as green spaces.</w:t>
            </w:r>
            <w:r>
              <w:rPr>
                <w:rStyle w:val="FootnoteReference"/>
              </w:rPr>
              <w:footnoteReference w:id="46"/>
            </w:r>
            <w:r>
              <w:t xml:space="preserve"> </w:t>
            </w:r>
          </w:p>
          <w:p w14:paraId="099B463E" w14:textId="218BBF42" w:rsidR="0048575D" w:rsidRDefault="004E1B59" w:rsidP="0048575D">
            <w:pPr>
              <w:rPr>
                <w:rFonts w:cs="Arial"/>
              </w:rPr>
            </w:pPr>
            <w:r>
              <w:rPr>
                <w:rFonts w:cs="Arial"/>
              </w:rPr>
              <w:t>E</w:t>
            </w:r>
            <w:r w:rsidR="0048575D" w:rsidRPr="00307E19">
              <w:rPr>
                <w:rFonts w:cs="Arial"/>
              </w:rPr>
              <w:t xml:space="preserve">vidence shows that individuals from </w:t>
            </w:r>
            <w:r w:rsidR="0048575D" w:rsidRPr="00131FBA">
              <w:rPr>
                <w:rFonts w:cs="Arial"/>
                <w:b/>
                <w:color w:val="2FB6BC" w:themeColor="accent1"/>
              </w:rPr>
              <w:t>BAME</w:t>
            </w:r>
            <w:r w:rsidR="0048575D" w:rsidRPr="00307E19">
              <w:rPr>
                <w:rFonts w:cs="Arial"/>
              </w:rPr>
              <w:t xml:space="preserve"> backgrounds are twice as likely as White British people to use parks and green spaces to meet and socialise with friends and participate in sporting activity</w:t>
            </w:r>
            <w:r w:rsidR="0048575D">
              <w:rPr>
                <w:rFonts w:cs="Arial"/>
              </w:rPr>
              <w:t>.</w:t>
            </w:r>
            <w:r w:rsidR="0048575D">
              <w:rPr>
                <w:rStyle w:val="FootnoteReference"/>
                <w:rFonts w:cs="Arial"/>
              </w:rPr>
              <w:footnoteReference w:id="47"/>
            </w:r>
            <w:r w:rsidR="0048575D" w:rsidRPr="00307E19">
              <w:rPr>
                <w:rFonts w:cs="Arial"/>
              </w:rPr>
              <w:t xml:space="preserve"> </w:t>
            </w:r>
          </w:p>
          <w:p w14:paraId="6B9567BE" w14:textId="77777777" w:rsidR="0048575D" w:rsidRDefault="0048575D" w:rsidP="0048575D">
            <w:pPr>
              <w:rPr>
                <w:rFonts w:cs="Arial"/>
              </w:rPr>
            </w:pPr>
            <w:r w:rsidRPr="00C60461">
              <w:rPr>
                <w:rFonts w:cs="Arial"/>
              </w:rPr>
              <w:t xml:space="preserve">Research by Public Health England suggests that </w:t>
            </w:r>
            <w:r w:rsidRPr="008D00ED">
              <w:rPr>
                <w:rFonts w:cs="Arial"/>
                <w:b/>
                <w:bCs/>
                <w:color w:val="2FB6BC" w:themeColor="accent1"/>
              </w:rPr>
              <w:t>disabled</w:t>
            </w:r>
            <w:r w:rsidRPr="008D00ED">
              <w:rPr>
                <w:rFonts w:cs="Arial"/>
                <w:color w:val="2FB6BC" w:themeColor="accent1"/>
              </w:rPr>
              <w:t xml:space="preserve"> </w:t>
            </w:r>
            <w:r w:rsidRPr="005E032F">
              <w:rPr>
                <w:rFonts w:cs="Arial"/>
                <w:b/>
                <w:bCs/>
                <w:color w:val="2FB6BC" w:themeColor="accent1"/>
              </w:rPr>
              <w:t>people</w:t>
            </w:r>
            <w:r w:rsidRPr="005E032F">
              <w:rPr>
                <w:rFonts w:cs="Arial"/>
                <w:color w:val="2FB6BC" w:themeColor="accent1"/>
              </w:rPr>
              <w:t xml:space="preserve"> </w:t>
            </w:r>
            <w:r w:rsidRPr="00C60461">
              <w:rPr>
                <w:rFonts w:cs="Arial"/>
              </w:rPr>
              <w:t>are half as likely as non-disabled people to be physically active. For example, only one in four people with learning difficulties take part in physical activity each month compared to over half of those without a disability.</w:t>
            </w:r>
            <w:r>
              <w:rPr>
                <w:rStyle w:val="FootnoteReference"/>
                <w:rFonts w:cs="Arial"/>
              </w:rPr>
              <w:footnoteReference w:id="48"/>
            </w:r>
          </w:p>
          <w:p w14:paraId="2474B6D7" w14:textId="01F283B0" w:rsidR="0048575D" w:rsidRDefault="0048575D" w:rsidP="0048575D">
            <w:pPr>
              <w:rPr>
                <w:rFonts w:cs="Arial"/>
              </w:rPr>
            </w:pPr>
            <w:r w:rsidRPr="00735AD5">
              <w:rPr>
                <w:rFonts w:cs="Arial"/>
              </w:rPr>
              <w:t xml:space="preserve">The above groups are therefore likely to benefit from </w:t>
            </w:r>
            <w:r>
              <w:rPr>
                <w:rFonts w:cs="Arial"/>
              </w:rPr>
              <w:t xml:space="preserve">the </w:t>
            </w:r>
            <w:r w:rsidRPr="00735AD5">
              <w:rPr>
                <w:rFonts w:cs="Arial"/>
              </w:rPr>
              <w:t xml:space="preserve">1.9ha </w:t>
            </w:r>
            <w:r>
              <w:rPr>
                <w:rFonts w:cs="Arial"/>
              </w:rPr>
              <w:t xml:space="preserve">of </w:t>
            </w:r>
            <w:r w:rsidRPr="00735AD5">
              <w:rPr>
                <w:rFonts w:cs="Arial"/>
              </w:rPr>
              <w:t>formal sports provision (sport pitches, sports pavilion, children’s play area)</w:t>
            </w:r>
            <w:r>
              <w:rPr>
                <w:rFonts w:cs="Arial"/>
              </w:rPr>
              <w:t>.</w:t>
            </w:r>
          </w:p>
        </w:tc>
      </w:tr>
      <w:tr w:rsidR="0048575D" w:rsidRPr="00E3373B" w14:paraId="13C9D4B8" w14:textId="77777777" w:rsidTr="00793D24">
        <w:tc>
          <w:tcPr>
            <w:tcW w:w="0" w:type="auto"/>
            <w:shd w:val="clear" w:color="auto" w:fill="auto"/>
          </w:tcPr>
          <w:p w14:paraId="2CB11612" w14:textId="1FE83582" w:rsidR="0048575D" w:rsidRDefault="0048575D" w:rsidP="0048575D">
            <w:pPr>
              <w:rPr>
                <w:rFonts w:cs="Arial"/>
              </w:rPr>
            </w:pPr>
            <w:r>
              <w:rPr>
                <w:rFonts w:cs="Arial"/>
              </w:rPr>
              <w:lastRenderedPageBreak/>
              <w:t>Creation of a network of pedestrian and cycle links</w:t>
            </w:r>
          </w:p>
        </w:tc>
        <w:tc>
          <w:tcPr>
            <w:tcW w:w="0" w:type="auto"/>
            <w:shd w:val="clear" w:color="auto" w:fill="auto"/>
          </w:tcPr>
          <w:p w14:paraId="2095A9A6" w14:textId="77777777" w:rsidR="0048575D" w:rsidRDefault="0048575D" w:rsidP="0048575D">
            <w:pPr>
              <w:pStyle w:val="ListParagraph"/>
              <w:numPr>
                <w:ilvl w:val="0"/>
                <w:numId w:val="34"/>
              </w:numPr>
              <w:rPr>
                <w:rFonts w:cs="Arial"/>
              </w:rPr>
            </w:pPr>
            <w:r>
              <w:rPr>
                <w:rFonts w:cs="Arial"/>
              </w:rPr>
              <w:t>Children</w:t>
            </w:r>
          </w:p>
          <w:p w14:paraId="4A64F01C" w14:textId="77777777" w:rsidR="0048575D" w:rsidRDefault="0048575D" w:rsidP="0048575D">
            <w:pPr>
              <w:pStyle w:val="ListParagraph"/>
              <w:numPr>
                <w:ilvl w:val="0"/>
                <w:numId w:val="33"/>
              </w:numPr>
              <w:spacing w:before="0" w:after="0" w:line="240" w:lineRule="auto"/>
              <w:rPr>
                <w:rFonts w:cs="Arial"/>
              </w:rPr>
            </w:pPr>
            <w:r>
              <w:rPr>
                <w:rFonts w:cs="Arial"/>
              </w:rPr>
              <w:t>Younger people</w:t>
            </w:r>
          </w:p>
          <w:p w14:paraId="254471A7" w14:textId="77777777" w:rsidR="0048575D" w:rsidRDefault="0048575D" w:rsidP="0048575D">
            <w:pPr>
              <w:pStyle w:val="ListParagraph"/>
              <w:numPr>
                <w:ilvl w:val="0"/>
                <w:numId w:val="33"/>
              </w:numPr>
              <w:spacing w:before="0" w:after="0" w:line="240" w:lineRule="auto"/>
              <w:rPr>
                <w:rFonts w:cs="Arial"/>
              </w:rPr>
            </w:pPr>
            <w:r>
              <w:rPr>
                <w:rFonts w:cs="Arial"/>
              </w:rPr>
              <w:t>Working age people</w:t>
            </w:r>
          </w:p>
          <w:p w14:paraId="18A1E9B7" w14:textId="4045F40A" w:rsidR="0048575D" w:rsidRDefault="0048575D" w:rsidP="0048575D">
            <w:pPr>
              <w:pStyle w:val="ListParagraph"/>
              <w:numPr>
                <w:ilvl w:val="0"/>
                <w:numId w:val="33"/>
              </w:numPr>
              <w:spacing w:before="0" w:after="0" w:line="240" w:lineRule="auto"/>
              <w:rPr>
                <w:rFonts w:cs="Arial"/>
              </w:rPr>
            </w:pPr>
            <w:r>
              <w:rPr>
                <w:rFonts w:cs="Arial"/>
              </w:rPr>
              <w:t>Disabled people</w:t>
            </w:r>
          </w:p>
          <w:p w14:paraId="20A881B0" w14:textId="277D4969" w:rsidR="0048575D" w:rsidRDefault="0048575D" w:rsidP="0048575D">
            <w:pPr>
              <w:pStyle w:val="ListParagraph"/>
              <w:numPr>
                <w:ilvl w:val="0"/>
                <w:numId w:val="33"/>
              </w:numPr>
              <w:spacing w:before="0" w:after="0" w:line="240" w:lineRule="auto"/>
              <w:rPr>
                <w:rFonts w:cs="Arial"/>
              </w:rPr>
            </w:pPr>
            <w:r>
              <w:rPr>
                <w:rFonts w:cs="Arial"/>
              </w:rPr>
              <w:t>BAME groups</w:t>
            </w:r>
          </w:p>
        </w:tc>
        <w:tc>
          <w:tcPr>
            <w:tcW w:w="0" w:type="auto"/>
            <w:shd w:val="clear" w:color="auto" w:fill="auto"/>
          </w:tcPr>
          <w:p w14:paraId="1EB3BF47" w14:textId="77777777" w:rsidR="0048575D" w:rsidRDefault="0048575D" w:rsidP="0048575D">
            <w:pPr>
              <w:rPr>
                <w:rFonts w:cs="Arial"/>
              </w:rPr>
            </w:pPr>
            <w:r w:rsidRPr="008A16DC">
              <w:rPr>
                <w:rFonts w:cs="Arial"/>
                <w:b/>
                <w:color w:val="2FB6BC" w:themeColor="accent1"/>
              </w:rPr>
              <w:t xml:space="preserve">Children </w:t>
            </w:r>
            <w:r w:rsidRPr="00FB45CE">
              <w:rPr>
                <w:rFonts w:cs="Arial"/>
              </w:rPr>
              <w:t>who cannot move about safely and independently on foot and bicycle often become more dependent on their parents for mobility needs, and less physically active themselves. This, in turn, reduces opportunities for children to develop certain cognitive, motor and physical skills – as well as contributing towards childhood obesity risks.</w:t>
            </w:r>
            <w:r>
              <w:rPr>
                <w:rStyle w:val="FootnoteReference"/>
                <w:rFonts w:cs="Arial"/>
              </w:rPr>
              <w:footnoteReference w:id="49"/>
            </w:r>
          </w:p>
          <w:p w14:paraId="50EFF01E" w14:textId="3F39660A" w:rsidR="0048575D" w:rsidRPr="007D0E9D" w:rsidRDefault="0048575D" w:rsidP="0048575D">
            <w:pPr>
              <w:rPr>
                <w:rFonts w:cs="Arial"/>
              </w:rPr>
            </w:pPr>
            <w:r w:rsidRPr="00DB255D">
              <w:rPr>
                <w:rFonts w:cs="Arial"/>
              </w:rPr>
              <w:t>Currently</w:t>
            </w:r>
            <w:r>
              <w:rPr>
                <w:rFonts w:cs="Arial"/>
              </w:rPr>
              <w:t>,</w:t>
            </w:r>
            <w:r w:rsidRPr="00DB255D">
              <w:rPr>
                <w:rFonts w:cs="Arial"/>
              </w:rPr>
              <w:t xml:space="preserve"> 41% trips made to school </w:t>
            </w:r>
            <w:r w:rsidR="003C1DB6">
              <w:rPr>
                <w:rFonts w:cs="Arial"/>
              </w:rPr>
              <w:t xml:space="preserve">by </w:t>
            </w:r>
            <w:r w:rsidRPr="00DB255D">
              <w:rPr>
                <w:rFonts w:cs="Arial"/>
              </w:rPr>
              <w:t xml:space="preserve">children between the ages of </w:t>
            </w:r>
            <w:r>
              <w:rPr>
                <w:rFonts w:cs="Arial"/>
              </w:rPr>
              <w:t>five</w:t>
            </w:r>
            <w:r w:rsidRPr="00DB255D">
              <w:rPr>
                <w:rFonts w:cs="Arial"/>
              </w:rPr>
              <w:t xml:space="preserve"> and</w:t>
            </w:r>
            <w:r>
              <w:rPr>
                <w:rFonts w:cs="Arial"/>
              </w:rPr>
              <w:t xml:space="preserve"> ten </w:t>
            </w:r>
            <w:r w:rsidRPr="00DB255D">
              <w:rPr>
                <w:rFonts w:cs="Arial"/>
              </w:rPr>
              <w:t>are made by car. If walking, cycling and scooting to school was promoted, this would have a</w:t>
            </w:r>
            <w:r>
              <w:rPr>
                <w:rFonts w:cs="Arial"/>
              </w:rPr>
              <w:t xml:space="preserve">n </w:t>
            </w:r>
            <w:r w:rsidRPr="00DB255D">
              <w:rPr>
                <w:rFonts w:cs="Arial"/>
              </w:rPr>
              <w:t>impact on air pollution, especially around school gates when currently parents are dropping off / picking up children</w:t>
            </w:r>
            <w:r>
              <w:rPr>
                <w:rFonts w:cs="Arial"/>
              </w:rPr>
              <w:t>.</w:t>
            </w:r>
            <w:r>
              <w:rPr>
                <w:rStyle w:val="FootnoteReference"/>
                <w:rFonts w:cs="Arial"/>
              </w:rPr>
              <w:footnoteReference w:id="50"/>
            </w:r>
          </w:p>
          <w:p w14:paraId="5CB6F6DE" w14:textId="7EED0DDC" w:rsidR="0048575D" w:rsidRPr="002446D7" w:rsidRDefault="0048575D" w:rsidP="0048575D">
            <w:pPr>
              <w:rPr>
                <w:rFonts w:cs="Arial"/>
              </w:rPr>
            </w:pPr>
            <w:r w:rsidRPr="002156DA">
              <w:rPr>
                <w:rFonts w:cs="Arial"/>
              </w:rPr>
              <w:t xml:space="preserve">Promotion of active travel over private car use would have a large impact on </w:t>
            </w:r>
            <w:r w:rsidRPr="00EB00CB">
              <w:rPr>
                <w:rFonts w:cs="Arial"/>
                <w:b/>
                <w:color w:val="2FB6BC" w:themeColor="accent1"/>
              </w:rPr>
              <w:t>younger people</w:t>
            </w:r>
            <w:r w:rsidRPr="00EB00CB">
              <w:rPr>
                <w:rFonts w:cs="Arial"/>
                <w:color w:val="2FB6BC" w:themeColor="accent1"/>
              </w:rPr>
              <w:t xml:space="preserve"> </w:t>
            </w:r>
            <w:r>
              <w:rPr>
                <w:rFonts w:cs="Arial"/>
              </w:rPr>
              <w:t xml:space="preserve">and </w:t>
            </w:r>
            <w:r w:rsidRPr="00EB00CB">
              <w:rPr>
                <w:rFonts w:cs="Arial"/>
                <w:b/>
                <w:color w:val="2FB6BC" w:themeColor="accent1"/>
              </w:rPr>
              <w:t>working age people</w:t>
            </w:r>
            <w:r w:rsidRPr="00EB00CB">
              <w:rPr>
                <w:rFonts w:cs="Arial"/>
                <w:color w:val="2FB6BC" w:themeColor="accent1"/>
              </w:rPr>
              <w:t xml:space="preserve"> </w:t>
            </w:r>
            <w:r w:rsidRPr="002156DA">
              <w:rPr>
                <w:rFonts w:cs="Arial"/>
              </w:rPr>
              <w:t>due to the likelihood of the modal switch, especially on a commute to work.</w:t>
            </w:r>
            <w:r>
              <w:t xml:space="preserve"> </w:t>
            </w:r>
            <w:r w:rsidRPr="0060085D">
              <w:rPr>
                <w:rFonts w:cs="Arial"/>
              </w:rPr>
              <w:t>A study examining individual, employment and psychosocial factors influencing walking to work found walkers were younger (</w:t>
            </w:r>
            <w:r>
              <w:rPr>
                <w:rFonts w:cs="Arial"/>
              </w:rPr>
              <w:t>and generally under</w:t>
            </w:r>
            <w:r w:rsidRPr="0060085D">
              <w:rPr>
                <w:rFonts w:cs="Arial"/>
              </w:rPr>
              <w:t> 30), did not have a car or free car parking at work, were more confident about including walking in their commute, and had support from colleagues</w:t>
            </w:r>
            <w:r>
              <w:rPr>
                <w:rFonts w:cs="Arial"/>
              </w:rPr>
              <w:t>.</w:t>
            </w:r>
            <w:r>
              <w:rPr>
                <w:rStyle w:val="FootnoteReference"/>
                <w:rFonts w:cs="Arial"/>
              </w:rPr>
              <w:footnoteReference w:id="51"/>
            </w:r>
            <w:r>
              <w:rPr>
                <w:rFonts w:cs="Arial"/>
              </w:rPr>
              <w:t xml:space="preserve"> Also, </w:t>
            </w:r>
            <w:r>
              <w:t>a</w:t>
            </w:r>
            <w:r w:rsidRPr="009A54B4">
              <w:rPr>
                <w:rFonts w:cs="Arial"/>
              </w:rPr>
              <w:t>dults who commute to work by active and public modes of transport have been shown to have significantly lower body mass index (BMI) and percentage body fat than their counterparts using private cars.</w:t>
            </w:r>
            <w:r>
              <w:rPr>
                <w:rStyle w:val="FootnoteReference"/>
                <w:rFonts w:cs="Arial"/>
              </w:rPr>
              <w:footnoteReference w:id="52"/>
            </w:r>
          </w:p>
          <w:p w14:paraId="49C10367" w14:textId="319506E1" w:rsidR="0048575D" w:rsidRDefault="0048575D" w:rsidP="0048575D">
            <w:pPr>
              <w:rPr>
                <w:rFonts w:cs="Arial"/>
              </w:rPr>
            </w:pPr>
            <w:r>
              <w:rPr>
                <w:rFonts w:cs="Arial"/>
              </w:rPr>
              <w:t>C</w:t>
            </w:r>
            <w:r w:rsidRPr="00B844D6">
              <w:rPr>
                <w:rFonts w:cs="Arial"/>
              </w:rPr>
              <w:t xml:space="preserve">ycling infrastructure often does not cater for </w:t>
            </w:r>
            <w:r>
              <w:rPr>
                <w:rFonts w:cs="Arial"/>
              </w:rPr>
              <w:t xml:space="preserve">the needs of </w:t>
            </w:r>
            <w:r w:rsidRPr="00431D5C">
              <w:rPr>
                <w:rFonts w:cs="Arial"/>
                <w:b/>
                <w:bCs/>
                <w:color w:val="2FB6BC" w:themeColor="accent1"/>
              </w:rPr>
              <w:t>disable</w:t>
            </w:r>
            <w:r>
              <w:rPr>
                <w:rFonts w:cs="Arial"/>
                <w:b/>
                <w:bCs/>
                <w:color w:val="2FB6BC" w:themeColor="accent1"/>
              </w:rPr>
              <w:t xml:space="preserve">d people. </w:t>
            </w:r>
            <w:r>
              <w:rPr>
                <w:rFonts w:cs="Arial"/>
              </w:rPr>
              <w:t>This is largely due to cycling infrastructure not be</w:t>
            </w:r>
            <w:r w:rsidR="003C1DB6">
              <w:rPr>
                <w:rFonts w:cs="Arial"/>
              </w:rPr>
              <w:t>ing</w:t>
            </w:r>
            <w:r>
              <w:rPr>
                <w:rFonts w:cs="Arial"/>
              </w:rPr>
              <w:t xml:space="preserve"> inclusive or adopted to specific needs. It is therefore important that </w:t>
            </w:r>
            <w:r>
              <w:rPr>
                <w:rFonts w:cs="Arial"/>
              </w:rPr>
              <w:lastRenderedPageBreak/>
              <w:t>the needs of disabled cyclists are considered in infrastructure design.</w:t>
            </w:r>
            <w:r>
              <w:rPr>
                <w:rStyle w:val="FootnoteReference"/>
                <w:rFonts w:cs="Arial"/>
              </w:rPr>
              <w:footnoteReference w:id="53"/>
            </w:r>
            <w:r w:rsidRPr="00B844D6">
              <w:rPr>
                <w:rFonts w:cs="Arial"/>
              </w:rPr>
              <w:t xml:space="preserve"> </w:t>
            </w:r>
            <w:r w:rsidRPr="00211387">
              <w:rPr>
                <w:rFonts w:cs="Arial"/>
              </w:rPr>
              <w:t>Regular physical activity can</w:t>
            </w:r>
            <w:r>
              <w:rPr>
                <w:rFonts w:cs="Arial"/>
              </w:rPr>
              <w:t xml:space="preserve"> also</w:t>
            </w:r>
            <w:r w:rsidRPr="00211387">
              <w:rPr>
                <w:rFonts w:cs="Arial"/>
              </w:rPr>
              <w:t xml:space="preserve"> improve mental health among</w:t>
            </w:r>
            <w:r>
              <w:rPr>
                <w:rFonts w:cs="Arial"/>
              </w:rPr>
              <w:t>st those</w:t>
            </w:r>
            <w:r w:rsidRPr="00211387">
              <w:rPr>
                <w:rFonts w:cs="Arial"/>
              </w:rPr>
              <w:t xml:space="preserve"> with serious mental illness.</w:t>
            </w:r>
            <w:r>
              <w:rPr>
                <w:rStyle w:val="FootnoteReference"/>
                <w:rFonts w:cs="Arial"/>
              </w:rPr>
              <w:footnoteReference w:id="54"/>
            </w:r>
          </w:p>
          <w:p w14:paraId="5EB2027B" w14:textId="131546F1" w:rsidR="0048575D" w:rsidRDefault="0048575D" w:rsidP="0048575D">
            <w:pPr>
              <w:rPr>
                <w:rFonts w:cs="Arial"/>
              </w:rPr>
            </w:pPr>
            <w:r w:rsidRPr="00D46EEF">
              <w:rPr>
                <w:rFonts w:cs="Arial"/>
              </w:rPr>
              <w:t xml:space="preserve">According to a 2011 research report published by TfL, </w:t>
            </w:r>
            <w:r w:rsidRPr="001175E5">
              <w:rPr>
                <w:rFonts w:cs="Arial"/>
                <w:b/>
                <w:color w:val="2FB6BC" w:themeColor="accent1"/>
              </w:rPr>
              <w:t xml:space="preserve">BAME </w:t>
            </w:r>
            <w:r w:rsidRPr="00D46EEF">
              <w:rPr>
                <w:rFonts w:cs="Arial"/>
              </w:rPr>
              <w:t>groups are curre</w:t>
            </w:r>
            <w:r>
              <w:rPr>
                <w:rFonts w:cs="Arial"/>
              </w:rPr>
              <w:t>n</w:t>
            </w:r>
            <w:r w:rsidRPr="00D46EEF">
              <w:rPr>
                <w:rFonts w:cs="Arial"/>
              </w:rPr>
              <w:t>tly under-represented in cycling.</w:t>
            </w:r>
            <w:r>
              <w:rPr>
                <w:rStyle w:val="FootnoteReference"/>
                <w:rFonts w:cs="Arial"/>
              </w:rPr>
              <w:footnoteReference w:id="55"/>
            </w:r>
            <w:r>
              <w:rPr>
                <w:rFonts w:cs="Arial"/>
              </w:rPr>
              <w:t xml:space="preserve"> It is therefore important that this group are considered in the promotion of active travel.</w:t>
            </w:r>
          </w:p>
          <w:p w14:paraId="7B840BE9" w14:textId="7FC71F56" w:rsidR="0048575D" w:rsidRDefault="0048575D" w:rsidP="0048575D">
            <w:pPr>
              <w:rPr>
                <w:rFonts w:cs="Arial"/>
              </w:rPr>
            </w:pPr>
            <w:r w:rsidRPr="001175E5">
              <w:rPr>
                <w:rFonts w:cs="Arial"/>
              </w:rPr>
              <w:t>The above groups are therefore likely to benefit from</w:t>
            </w:r>
            <w:r>
              <w:rPr>
                <w:rFonts w:cs="Arial"/>
              </w:rPr>
              <w:t xml:space="preserve"> </w:t>
            </w:r>
            <w:r w:rsidRPr="001175E5">
              <w:rPr>
                <w:rFonts w:cs="Arial"/>
              </w:rPr>
              <w:t>a network of pedestrian and cycle links</w:t>
            </w:r>
            <w:r>
              <w:rPr>
                <w:rFonts w:cs="Arial"/>
              </w:rPr>
              <w:t>.</w:t>
            </w:r>
          </w:p>
        </w:tc>
      </w:tr>
      <w:tr w:rsidR="0048575D" w:rsidRPr="00E3373B" w14:paraId="1BD8D5F0" w14:textId="77777777" w:rsidTr="00793D2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538F9B03" w14:textId="72B7FF90" w:rsidR="0048575D" w:rsidRDefault="0048575D" w:rsidP="0048575D">
            <w:pPr>
              <w:rPr>
                <w:rFonts w:cs="Arial"/>
              </w:rPr>
            </w:pPr>
            <w:r>
              <w:rPr>
                <w:rFonts w:cs="Arial"/>
              </w:rPr>
              <w:lastRenderedPageBreak/>
              <w:t>Delivery of a</w:t>
            </w:r>
            <w:r>
              <w:t xml:space="preserve"> ‘Village Main Street’ with units for retail and business use</w:t>
            </w:r>
          </w:p>
        </w:tc>
        <w:tc>
          <w:tcPr>
            <w:tcW w:w="0" w:type="auto"/>
            <w:shd w:val="clear" w:color="auto" w:fill="auto"/>
          </w:tcPr>
          <w:p w14:paraId="5FEB2456" w14:textId="77777777" w:rsidR="0048575D" w:rsidRDefault="0048575D" w:rsidP="0048575D">
            <w:pPr>
              <w:pStyle w:val="ListParagraph"/>
              <w:numPr>
                <w:ilvl w:val="0"/>
                <w:numId w:val="34"/>
              </w:numPr>
              <w:rPr>
                <w:rFonts w:cs="Arial"/>
              </w:rPr>
            </w:pPr>
            <w:r>
              <w:rPr>
                <w:rFonts w:cs="Arial"/>
              </w:rPr>
              <w:t>Young people</w:t>
            </w:r>
          </w:p>
          <w:p w14:paraId="473AA8D1" w14:textId="391ADF0D" w:rsidR="0048575D" w:rsidRDefault="0048575D" w:rsidP="0048575D">
            <w:pPr>
              <w:pStyle w:val="ListParagraph"/>
              <w:numPr>
                <w:ilvl w:val="0"/>
                <w:numId w:val="33"/>
              </w:numPr>
              <w:spacing w:before="0" w:after="0" w:line="240" w:lineRule="auto"/>
              <w:rPr>
                <w:rFonts w:cs="Arial"/>
              </w:rPr>
            </w:pPr>
            <w:r>
              <w:rPr>
                <w:rFonts w:cs="Arial"/>
              </w:rPr>
              <w:t>BAME groups</w:t>
            </w:r>
          </w:p>
        </w:tc>
        <w:tc>
          <w:tcPr>
            <w:tcW w:w="0" w:type="auto"/>
            <w:shd w:val="clear" w:color="auto" w:fill="auto"/>
          </w:tcPr>
          <w:p w14:paraId="4B5341E5" w14:textId="744E0545" w:rsidR="0048575D" w:rsidRDefault="0048575D" w:rsidP="0048575D">
            <w:pPr>
              <w:rPr>
                <w:rFonts w:cs="Arial"/>
              </w:rPr>
            </w:pPr>
            <w:r w:rsidRPr="005A7664">
              <w:rPr>
                <w:rFonts w:cs="Arial"/>
              </w:rPr>
              <w:t>Research shows that youth unemployment has consistently been an issue in the UK for around a decade. The unemployment rate for</w:t>
            </w:r>
            <w:r>
              <w:rPr>
                <w:rFonts w:cs="Arial"/>
              </w:rPr>
              <w:t xml:space="preserve"> </w:t>
            </w:r>
            <w:r w:rsidRPr="00A32A94">
              <w:rPr>
                <w:rFonts w:cs="Arial"/>
                <w:b/>
                <w:bCs/>
                <w:color w:val="2FB6BC" w:themeColor="accent1"/>
              </w:rPr>
              <w:t>young people</w:t>
            </w:r>
            <w:r w:rsidRPr="00A32A94">
              <w:rPr>
                <w:rFonts w:cs="Arial"/>
                <w:color w:val="2FB6BC" w:themeColor="accent1"/>
              </w:rPr>
              <w:t xml:space="preserve"> </w:t>
            </w:r>
            <w:r>
              <w:rPr>
                <w:rFonts w:cs="Arial"/>
              </w:rPr>
              <w:t>aged</w:t>
            </w:r>
            <w:r w:rsidRPr="005A7664">
              <w:rPr>
                <w:rFonts w:cs="Arial"/>
              </w:rPr>
              <w:t xml:space="preserve"> </w:t>
            </w:r>
            <w:r w:rsidRPr="00A32A94">
              <w:rPr>
                <w:rFonts w:cs="Arial"/>
              </w:rPr>
              <w:t xml:space="preserve">16-24 </w:t>
            </w:r>
            <w:r w:rsidRPr="005A7664">
              <w:rPr>
                <w:rFonts w:cs="Arial"/>
              </w:rPr>
              <w:t>is proportionally higher when compared to other age groups.</w:t>
            </w:r>
            <w:r>
              <w:rPr>
                <w:rStyle w:val="FootnoteReference"/>
                <w:rFonts w:cs="Arial"/>
              </w:rPr>
              <w:footnoteReference w:id="56"/>
            </w:r>
            <w:r w:rsidRPr="005A7664">
              <w:rPr>
                <w:rFonts w:cs="Arial"/>
              </w:rPr>
              <w:t xml:space="preserve"> </w:t>
            </w:r>
          </w:p>
          <w:p w14:paraId="3CC63EA8" w14:textId="43B41AE1" w:rsidR="0048575D" w:rsidRDefault="0048575D" w:rsidP="0048575D">
            <w:pPr>
              <w:rPr>
                <w:rFonts w:cs="Arial"/>
              </w:rPr>
            </w:pPr>
            <w:r w:rsidRPr="00263103">
              <w:rPr>
                <w:rFonts w:cs="Arial"/>
              </w:rPr>
              <w:t xml:space="preserve">Research has found that </w:t>
            </w:r>
            <w:r>
              <w:rPr>
                <w:rFonts w:cs="Arial"/>
                <w:b/>
                <w:color w:val="2FB6BC" w:themeColor="accent1"/>
              </w:rPr>
              <w:t xml:space="preserve">BAME </w:t>
            </w:r>
            <w:r w:rsidRPr="00C768F5">
              <w:rPr>
                <w:rFonts w:cs="Arial"/>
                <w:bCs/>
              </w:rPr>
              <w:t>groups</w:t>
            </w:r>
            <w:r w:rsidRPr="00C768F5">
              <w:rPr>
                <w:rFonts w:cs="Arial"/>
              </w:rPr>
              <w:t xml:space="preserve"> </w:t>
            </w:r>
            <w:r w:rsidRPr="00263103">
              <w:rPr>
                <w:rFonts w:cs="Arial"/>
              </w:rPr>
              <w:t>are at a disadvantage compared to the White British population, with such inequalities persisting over time. Unemployment rates are particularly high among the African, White Gypsy/Irish Traveller, Pakistani and Bangladeshi ethnic groups.</w:t>
            </w:r>
            <w:r>
              <w:rPr>
                <w:rStyle w:val="FootnoteReference"/>
                <w:rFonts w:cs="Arial"/>
              </w:rPr>
              <w:footnoteReference w:id="57"/>
            </w:r>
          </w:p>
          <w:p w14:paraId="306B34E4" w14:textId="687CBF04" w:rsidR="0048575D" w:rsidRDefault="0048575D" w:rsidP="0048575D">
            <w:pPr>
              <w:rPr>
                <w:rFonts w:cs="Arial"/>
              </w:rPr>
            </w:pPr>
            <w:r w:rsidRPr="005A7664">
              <w:rPr>
                <w:rFonts w:cs="Arial"/>
              </w:rPr>
              <w:t>An increase in employment opportunities</w:t>
            </w:r>
            <w:r>
              <w:rPr>
                <w:rFonts w:cs="Arial"/>
              </w:rPr>
              <w:t xml:space="preserve"> as a result of new business and retail units</w:t>
            </w:r>
            <w:r w:rsidR="00E04F8D">
              <w:rPr>
                <w:rFonts w:cs="Arial"/>
              </w:rPr>
              <w:t xml:space="preserve"> located</w:t>
            </w:r>
            <w:r w:rsidRPr="005A7664">
              <w:rPr>
                <w:rFonts w:cs="Arial"/>
              </w:rPr>
              <w:t xml:space="preserve"> </w:t>
            </w:r>
            <w:r w:rsidR="00E04F8D">
              <w:rPr>
                <w:rFonts w:cs="Arial"/>
              </w:rPr>
              <w:t xml:space="preserve">on the TSDL </w:t>
            </w:r>
            <w:r w:rsidRPr="005A7664">
              <w:rPr>
                <w:rFonts w:cs="Arial"/>
              </w:rPr>
              <w:t xml:space="preserve">is therefore likely to positively impact </w:t>
            </w:r>
            <w:r>
              <w:rPr>
                <w:rFonts w:cs="Arial"/>
                <w:bCs/>
              </w:rPr>
              <w:t xml:space="preserve">younger people and BAME groups. </w:t>
            </w:r>
          </w:p>
        </w:tc>
      </w:tr>
      <w:tr w:rsidR="0048575D" w:rsidRPr="00E3373B" w14:paraId="2766F9AC" w14:textId="77777777" w:rsidTr="00793D24">
        <w:tc>
          <w:tcPr>
            <w:tcW w:w="0" w:type="auto"/>
            <w:shd w:val="clear" w:color="auto" w:fill="auto"/>
          </w:tcPr>
          <w:p w14:paraId="4AA42D25" w14:textId="30878EC3" w:rsidR="0048575D" w:rsidRDefault="0048575D" w:rsidP="0048575D">
            <w:pPr>
              <w:rPr>
                <w:rFonts w:cs="Arial"/>
              </w:rPr>
            </w:pPr>
            <w:r>
              <w:rPr>
                <w:rFonts w:cs="Arial"/>
              </w:rPr>
              <w:t xml:space="preserve">Delivery of a new community centre </w:t>
            </w:r>
          </w:p>
        </w:tc>
        <w:tc>
          <w:tcPr>
            <w:tcW w:w="0" w:type="auto"/>
            <w:shd w:val="clear" w:color="auto" w:fill="auto"/>
          </w:tcPr>
          <w:p w14:paraId="39141E12" w14:textId="77777777" w:rsidR="0048575D" w:rsidRDefault="0048575D" w:rsidP="0048575D">
            <w:pPr>
              <w:pStyle w:val="ListParagraph"/>
              <w:numPr>
                <w:ilvl w:val="0"/>
                <w:numId w:val="34"/>
              </w:numPr>
              <w:rPr>
                <w:rFonts w:cs="Arial"/>
              </w:rPr>
            </w:pPr>
            <w:r>
              <w:rPr>
                <w:rFonts w:cs="Arial"/>
              </w:rPr>
              <w:t>Older people</w:t>
            </w:r>
          </w:p>
          <w:p w14:paraId="1764BB5C" w14:textId="0B625F4B" w:rsidR="0048575D" w:rsidRDefault="0048575D" w:rsidP="0048575D">
            <w:pPr>
              <w:pStyle w:val="ListParagraph"/>
              <w:numPr>
                <w:ilvl w:val="0"/>
                <w:numId w:val="34"/>
              </w:numPr>
              <w:rPr>
                <w:rFonts w:cs="Arial"/>
              </w:rPr>
            </w:pPr>
            <w:r>
              <w:rPr>
                <w:rFonts w:cs="Arial"/>
              </w:rPr>
              <w:t>Disabled people</w:t>
            </w:r>
          </w:p>
        </w:tc>
        <w:tc>
          <w:tcPr>
            <w:tcW w:w="0" w:type="auto"/>
            <w:shd w:val="clear" w:color="auto" w:fill="auto"/>
          </w:tcPr>
          <w:p w14:paraId="4A1324AA" w14:textId="4EB6CCB9" w:rsidR="0048575D" w:rsidRDefault="0048575D" w:rsidP="0048575D">
            <w:pPr>
              <w:rPr>
                <w:rFonts w:cs="Arial"/>
              </w:rPr>
            </w:pPr>
            <w:r w:rsidRPr="00913670">
              <w:rPr>
                <w:rFonts w:cs="Arial"/>
              </w:rPr>
              <w:t xml:space="preserve">A community centre </w:t>
            </w:r>
            <w:r>
              <w:rPr>
                <w:rFonts w:cs="Arial"/>
              </w:rPr>
              <w:t>provides</w:t>
            </w:r>
            <w:r w:rsidRPr="00913670">
              <w:rPr>
                <w:rFonts w:cs="Arial"/>
              </w:rPr>
              <w:t xml:space="preserve"> a public location in which members of a specific community can come together as a group to enjoy group activities, social support</w:t>
            </w:r>
            <w:r>
              <w:rPr>
                <w:rFonts w:cs="Arial"/>
              </w:rPr>
              <w:t xml:space="preserve"> and</w:t>
            </w:r>
            <w:r w:rsidRPr="00913670">
              <w:rPr>
                <w:rFonts w:cs="Arial"/>
              </w:rPr>
              <w:t xml:space="preserve"> public information</w:t>
            </w:r>
            <w:r>
              <w:rPr>
                <w:rFonts w:cs="Arial"/>
              </w:rPr>
              <w:t xml:space="preserve"> that can change in response to local community needs</w:t>
            </w:r>
            <w:r w:rsidRPr="00913670">
              <w:rPr>
                <w:rFonts w:cs="Arial"/>
              </w:rPr>
              <w:t>.</w:t>
            </w:r>
            <w:r>
              <w:rPr>
                <w:rStyle w:val="FootnoteReference"/>
                <w:rFonts w:cs="Arial"/>
              </w:rPr>
              <w:footnoteReference w:id="58"/>
            </w:r>
            <w:r>
              <w:rPr>
                <w:rFonts w:cs="Arial"/>
              </w:rPr>
              <w:t xml:space="preserve"> Community centres are likely to benefit groups that are more likely to experience loneliness, by providing a means for social interaction and engagement. </w:t>
            </w:r>
          </w:p>
          <w:p w14:paraId="603EC264" w14:textId="0F23882E" w:rsidR="0048575D" w:rsidRDefault="0048575D" w:rsidP="0048575D">
            <w:r>
              <w:t xml:space="preserve">According to Age UK, there are currently 1.4m lonely </w:t>
            </w:r>
            <w:r w:rsidRPr="00CD26BF">
              <w:rPr>
                <w:b/>
                <w:bCs/>
                <w:color w:val="2FB6BC" w:themeColor="accent1"/>
              </w:rPr>
              <w:t>older people</w:t>
            </w:r>
            <w:r w:rsidRPr="00CD26BF">
              <w:rPr>
                <w:color w:val="2FB6BC" w:themeColor="accent1"/>
              </w:rPr>
              <w:t xml:space="preserve"> </w:t>
            </w:r>
            <w:r>
              <w:t xml:space="preserve">living in England. </w:t>
            </w:r>
            <w:r w:rsidRPr="00E9027E">
              <w:t>Loneliness occurs when people’s ability to have meaningful conversations and interactions is inhibited</w:t>
            </w:r>
            <w:r>
              <w:t>. Community participation and involvement is one way of supporting those experiencing loneliness.</w:t>
            </w:r>
            <w:r>
              <w:rPr>
                <w:rStyle w:val="FootnoteReference"/>
              </w:rPr>
              <w:footnoteReference w:id="59"/>
            </w:r>
            <w:r>
              <w:t xml:space="preserve"> </w:t>
            </w:r>
          </w:p>
          <w:p w14:paraId="01F2B3E6" w14:textId="77777777" w:rsidR="0048575D" w:rsidRDefault="0048575D" w:rsidP="0048575D">
            <w:r>
              <w:t xml:space="preserve">A 2017 survey conducted by disability charity Scope found that 67% of </w:t>
            </w:r>
            <w:r w:rsidRPr="00CD26BF">
              <w:rPr>
                <w:b/>
                <w:bCs/>
                <w:color w:val="2FB6BC" w:themeColor="accent1"/>
              </w:rPr>
              <w:t>disabled people</w:t>
            </w:r>
            <w:r w:rsidRPr="00CD26BF">
              <w:rPr>
                <w:color w:val="2FB6BC" w:themeColor="accent1"/>
              </w:rPr>
              <w:t xml:space="preserve"> </w:t>
            </w:r>
            <w:r>
              <w:t>felt lonely in the past year, and on a typical day one in eight disabled people had less than half an hour’s interaction with someone else.</w:t>
            </w:r>
            <w:r>
              <w:rPr>
                <w:rStyle w:val="FootnoteReference"/>
              </w:rPr>
              <w:footnoteReference w:id="60"/>
            </w:r>
            <w:r>
              <w:t xml:space="preserve"> Further research shows that those with physical and mental health conditions can be more likely to be isolated because of their condition, which can ultimately increase feelings of loneliness amongst this group.</w:t>
            </w:r>
            <w:r>
              <w:rPr>
                <w:rStyle w:val="FootnoteReference"/>
              </w:rPr>
              <w:footnoteReference w:id="61"/>
            </w:r>
          </w:p>
          <w:p w14:paraId="7FE25BFC" w14:textId="29EFBC7F" w:rsidR="00337CE2" w:rsidRDefault="00337CE2" w:rsidP="0048575D">
            <w:r>
              <w:rPr>
                <w:rFonts w:cs="Arial"/>
              </w:rPr>
              <w:t xml:space="preserve">The importance of community activities was also identified as part of </w:t>
            </w:r>
            <w:r>
              <w:rPr>
                <w:rFonts w:cs="Arial"/>
              </w:rPr>
              <w:lastRenderedPageBreak/>
              <w:t>the stakeholder engagement process, where stakeholders put an emphasis on increased retail activity, facilities and new village centre.</w:t>
            </w:r>
          </w:p>
          <w:p w14:paraId="0E7486E0" w14:textId="6215546C" w:rsidR="00585DB9" w:rsidRDefault="00585DB9" w:rsidP="0048575D">
            <w:pPr>
              <w:rPr>
                <w:rFonts w:cs="Arial"/>
              </w:rPr>
            </w:pPr>
            <w:r>
              <w:t xml:space="preserve">The creation of a new community centre may therefore benefit the </w:t>
            </w:r>
            <w:r w:rsidR="006B3927">
              <w:t xml:space="preserve">above groups by providing a local space for social interaction and engagement. </w:t>
            </w:r>
          </w:p>
        </w:tc>
      </w:tr>
    </w:tbl>
    <w:p w14:paraId="5D8561DE" w14:textId="1E7C4B75" w:rsidR="007B20BD" w:rsidRDefault="0089473C" w:rsidP="0089473C">
      <w:pPr>
        <w:pStyle w:val="Heading1"/>
      </w:pPr>
      <w:bookmarkStart w:id="37" w:name="_Toc30673012"/>
      <w:bookmarkStart w:id="38" w:name="_Toc30767478"/>
      <w:bookmarkStart w:id="39" w:name="_Toc30769491"/>
      <w:bookmarkStart w:id="40" w:name="_Toc30673016"/>
      <w:bookmarkStart w:id="41" w:name="_Toc30767482"/>
      <w:bookmarkStart w:id="42" w:name="_Toc30769495"/>
      <w:bookmarkStart w:id="43" w:name="_Toc30673017"/>
      <w:bookmarkStart w:id="44" w:name="_Toc30767483"/>
      <w:bookmarkStart w:id="45" w:name="_Toc30769496"/>
      <w:bookmarkStart w:id="46" w:name="_Toc30673018"/>
      <w:bookmarkStart w:id="47" w:name="_Toc30767484"/>
      <w:bookmarkStart w:id="48" w:name="_Toc30769497"/>
      <w:bookmarkStart w:id="49" w:name="_Toc30673019"/>
      <w:bookmarkStart w:id="50" w:name="_Toc30767485"/>
      <w:bookmarkStart w:id="51" w:name="_Toc30769498"/>
      <w:bookmarkStart w:id="52" w:name="_Toc30673020"/>
      <w:bookmarkStart w:id="53" w:name="_Toc30767486"/>
      <w:bookmarkStart w:id="54" w:name="_Toc30769499"/>
      <w:bookmarkStart w:id="55" w:name="_Toc31809578"/>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lastRenderedPageBreak/>
        <w:t xml:space="preserve">Conclusions </w:t>
      </w:r>
      <w:r w:rsidR="008755B9">
        <w:t>and action plan</w:t>
      </w:r>
      <w:bookmarkEnd w:id="55"/>
    </w:p>
    <w:p w14:paraId="2AE37C13" w14:textId="7843CA34" w:rsidR="00A4175D" w:rsidRDefault="00FB659D" w:rsidP="0060697B">
      <w:pPr>
        <w:pStyle w:val="Heading2"/>
      </w:pPr>
      <w:r>
        <w:t>Conclusion</w:t>
      </w:r>
    </w:p>
    <w:p w14:paraId="39925109" w14:textId="14B6C032" w:rsidR="008F54C1" w:rsidRPr="00896C7F" w:rsidRDefault="00906CDB" w:rsidP="00896C7F">
      <w:r>
        <w:t xml:space="preserve">The </w:t>
      </w:r>
      <w:proofErr w:type="spellStart"/>
      <w:r>
        <w:t>EqIA</w:t>
      </w:r>
      <w:proofErr w:type="spellEnd"/>
      <w:r>
        <w:t xml:space="preserve"> </w:t>
      </w:r>
      <w:r w:rsidR="00896C7F">
        <w:t xml:space="preserve">has identified a number of risks, opportunities and potential impacts that could arise for </w:t>
      </w:r>
      <w:r w:rsidR="004A6A30">
        <w:t>those with protected characteristics</w:t>
      </w:r>
      <w:r w:rsidR="00896C7F">
        <w:t xml:space="preserve">, as a result of the </w:t>
      </w:r>
      <w:r w:rsidR="00836262">
        <w:t>CPO and</w:t>
      </w:r>
      <w:r w:rsidR="00896C7F">
        <w:t xml:space="preserve"> the </w:t>
      </w:r>
      <w:r w:rsidR="00836262">
        <w:t>TSDL</w:t>
      </w:r>
      <w:r w:rsidR="004A6A30">
        <w:t xml:space="preserve">. </w:t>
      </w:r>
      <w:r w:rsidR="00836262">
        <w:t>The table below summari</w:t>
      </w:r>
      <w:r w:rsidR="008F0A0B">
        <w:t>ses the potential impacts on the different groups of the residents and the proposed mitigation</w:t>
      </w:r>
      <w:r w:rsidR="004A6A30">
        <w:t xml:space="preserve"> </w:t>
      </w:r>
      <w:r w:rsidR="006B3D8D">
        <w:t xml:space="preserve">and enhancement measures. </w:t>
      </w:r>
      <w:r w:rsidR="00A960D2">
        <w:t>Further r</w:t>
      </w:r>
      <w:r w:rsidR="008F0A0B">
        <w:t>ecommendations</w:t>
      </w:r>
      <w:r w:rsidR="006B3D8D">
        <w:t xml:space="preserve"> have also been provided where appropriate</w:t>
      </w:r>
      <w:r w:rsidR="008F0A0B">
        <w:t xml:space="preserve">. </w:t>
      </w:r>
    </w:p>
    <w:p w14:paraId="1399CA2B" w14:textId="09B290A0" w:rsidR="00097906" w:rsidRDefault="00CF6464" w:rsidP="00097906">
      <w:pPr>
        <w:pStyle w:val="Caption"/>
      </w:pPr>
      <w:bookmarkStart w:id="56" w:name="_Toc31809591"/>
      <w:r>
        <w:t>Table</w:t>
      </w:r>
      <w:r w:rsidR="00097906" w:rsidRPr="009C1C7C">
        <w:t xml:space="preserve"> </w:t>
      </w:r>
      <w:r w:rsidR="00097906">
        <w:rPr>
          <w:noProof/>
        </w:rPr>
        <w:fldChar w:fldCharType="begin"/>
      </w:r>
      <w:r w:rsidR="00097906">
        <w:rPr>
          <w:noProof/>
        </w:rPr>
        <w:instrText xml:space="preserve"> STYLEREF 1 \s </w:instrText>
      </w:r>
      <w:r w:rsidR="00097906">
        <w:rPr>
          <w:noProof/>
        </w:rPr>
        <w:fldChar w:fldCharType="separate"/>
      </w:r>
      <w:r>
        <w:rPr>
          <w:noProof/>
        </w:rPr>
        <w:t>5</w:t>
      </w:r>
      <w:r w:rsidR="00097906">
        <w:rPr>
          <w:noProof/>
        </w:rPr>
        <w:fldChar w:fldCharType="end"/>
      </w:r>
      <w:r w:rsidR="00097906">
        <w:t>.</w:t>
      </w:r>
      <w:r w:rsidR="00097906">
        <w:rPr>
          <w:noProof/>
        </w:rPr>
        <w:fldChar w:fldCharType="begin"/>
      </w:r>
      <w:r w:rsidR="00097906">
        <w:rPr>
          <w:noProof/>
        </w:rPr>
        <w:instrText xml:space="preserve"> SEQ Table \* ARABIC \s 1 </w:instrText>
      </w:r>
      <w:r w:rsidR="00097906">
        <w:rPr>
          <w:noProof/>
        </w:rPr>
        <w:fldChar w:fldCharType="separate"/>
      </w:r>
      <w:r>
        <w:rPr>
          <w:noProof/>
        </w:rPr>
        <w:t>1</w:t>
      </w:r>
      <w:r w:rsidR="00097906">
        <w:rPr>
          <w:noProof/>
        </w:rPr>
        <w:fldChar w:fldCharType="end"/>
      </w:r>
      <w:r w:rsidR="00097906" w:rsidRPr="009C1C7C">
        <w:t>:</w:t>
      </w:r>
      <w:r w:rsidR="00097906">
        <w:t xml:space="preserve"> </w:t>
      </w:r>
      <w:r w:rsidR="000F40A7" w:rsidRPr="000F40A7">
        <w:t>Summary of potential impacts, mitigations and recommendations</w:t>
      </w:r>
      <w:bookmarkEnd w:id="56"/>
    </w:p>
    <w:tbl>
      <w:tblPr>
        <w:tblStyle w:val="MMTable"/>
        <w:tblW w:w="0" w:type="auto"/>
        <w:tblLook w:val="04A0" w:firstRow="1" w:lastRow="0" w:firstColumn="1" w:lastColumn="0" w:noHBand="0" w:noVBand="1"/>
      </w:tblPr>
      <w:tblGrid>
        <w:gridCol w:w="1437"/>
        <w:gridCol w:w="1428"/>
        <w:gridCol w:w="2201"/>
        <w:gridCol w:w="3655"/>
      </w:tblGrid>
      <w:tr w:rsidR="00B11593" w:rsidRPr="00E3373B" w14:paraId="292F3002" w14:textId="77777777" w:rsidTr="008A19C4">
        <w:trPr>
          <w:cnfStyle w:val="100000000000" w:firstRow="1" w:lastRow="0" w:firstColumn="0" w:lastColumn="0" w:oddVBand="0" w:evenVBand="0" w:oddHBand="0" w:evenHBand="0" w:firstRowFirstColumn="0" w:firstRowLastColumn="0" w:lastRowFirstColumn="0" w:lastRowLastColumn="0"/>
        </w:trPr>
        <w:tc>
          <w:tcPr>
            <w:tcW w:w="0" w:type="auto"/>
            <w:shd w:val="clear" w:color="auto" w:fill="DDDDDC" w:themeFill="text2" w:themeFillTint="33"/>
          </w:tcPr>
          <w:p w14:paraId="41703272" w14:textId="77777777" w:rsidR="000F40A7" w:rsidRPr="008532CB" w:rsidRDefault="000F40A7" w:rsidP="008A19C4">
            <w:pPr>
              <w:rPr>
                <w:rFonts w:cs="Arial"/>
                <w:b/>
                <w:color w:val="2FB6BC" w:themeColor="accent1"/>
              </w:rPr>
            </w:pPr>
            <w:r w:rsidRPr="008532CB">
              <w:rPr>
                <w:rFonts w:cs="Arial"/>
                <w:b/>
                <w:color w:val="2FB6BC" w:themeColor="accent1"/>
              </w:rPr>
              <w:t>Potential impact</w:t>
            </w:r>
          </w:p>
        </w:tc>
        <w:tc>
          <w:tcPr>
            <w:tcW w:w="0" w:type="auto"/>
            <w:shd w:val="clear" w:color="auto" w:fill="DDDDDC" w:themeFill="text2" w:themeFillTint="33"/>
          </w:tcPr>
          <w:p w14:paraId="084C0CBE" w14:textId="77777777" w:rsidR="000F40A7" w:rsidRPr="008532CB" w:rsidRDefault="000F40A7" w:rsidP="008A19C4">
            <w:pPr>
              <w:rPr>
                <w:rFonts w:cs="Arial"/>
                <w:b/>
                <w:color w:val="2FB6BC" w:themeColor="accent1"/>
              </w:rPr>
            </w:pPr>
            <w:r w:rsidRPr="008532CB">
              <w:rPr>
                <w:rFonts w:cs="Arial"/>
                <w:b/>
                <w:color w:val="2FB6BC" w:themeColor="accent1"/>
              </w:rPr>
              <w:t>Protected characteristic groups affected</w:t>
            </w:r>
          </w:p>
        </w:tc>
        <w:tc>
          <w:tcPr>
            <w:tcW w:w="0" w:type="auto"/>
            <w:shd w:val="clear" w:color="auto" w:fill="DDDDDC" w:themeFill="text2" w:themeFillTint="33"/>
          </w:tcPr>
          <w:p w14:paraId="689199E1" w14:textId="77777777" w:rsidR="000F40A7" w:rsidRPr="008532CB" w:rsidRDefault="000F40A7" w:rsidP="008A19C4">
            <w:pPr>
              <w:rPr>
                <w:rFonts w:cs="Arial"/>
                <w:b/>
                <w:color w:val="2FB6BC" w:themeColor="accent1"/>
              </w:rPr>
            </w:pPr>
            <w:r w:rsidRPr="008532CB">
              <w:rPr>
                <w:rFonts w:cs="Arial"/>
                <w:b/>
                <w:color w:val="2FB6BC" w:themeColor="accent1"/>
              </w:rPr>
              <w:t>Mitigation / enhancement measures in place</w:t>
            </w:r>
          </w:p>
        </w:tc>
        <w:tc>
          <w:tcPr>
            <w:tcW w:w="0" w:type="auto"/>
            <w:shd w:val="clear" w:color="auto" w:fill="DDDDDC" w:themeFill="text2" w:themeFillTint="33"/>
          </w:tcPr>
          <w:p w14:paraId="34C94A2B" w14:textId="77777777" w:rsidR="000F40A7" w:rsidRPr="008532CB" w:rsidRDefault="000F40A7" w:rsidP="008A19C4">
            <w:pPr>
              <w:rPr>
                <w:rFonts w:cs="Arial"/>
                <w:b/>
                <w:color w:val="2FB6BC" w:themeColor="accent1"/>
              </w:rPr>
            </w:pPr>
            <w:r w:rsidRPr="008532CB">
              <w:rPr>
                <w:rFonts w:cs="Arial"/>
                <w:b/>
                <w:color w:val="2FB6BC" w:themeColor="accent1"/>
              </w:rPr>
              <w:t xml:space="preserve">Recommendations </w:t>
            </w:r>
          </w:p>
        </w:tc>
      </w:tr>
      <w:tr w:rsidR="00FB6881" w:rsidRPr="00E3373B" w14:paraId="0570BDE5" w14:textId="77777777" w:rsidTr="008A19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FF" w:themeFill="background1"/>
          </w:tcPr>
          <w:p w14:paraId="12519525" w14:textId="77777777" w:rsidR="000F40A7" w:rsidRPr="00E3373B" w:rsidRDefault="000F40A7" w:rsidP="008A19C4">
            <w:pPr>
              <w:rPr>
                <w:rFonts w:cs="Arial"/>
              </w:rPr>
            </w:pPr>
            <w:r w:rsidRPr="00E3373B">
              <w:rPr>
                <w:rFonts w:cs="Arial"/>
              </w:rPr>
              <w:t>Loss of agricultural land currently used for business purposes</w:t>
            </w:r>
          </w:p>
        </w:tc>
        <w:tc>
          <w:tcPr>
            <w:tcW w:w="0" w:type="auto"/>
            <w:shd w:val="clear" w:color="auto" w:fill="FFFFFF" w:themeFill="background1"/>
          </w:tcPr>
          <w:p w14:paraId="5ED36CCE" w14:textId="77777777" w:rsidR="000F40A7" w:rsidRPr="00E3373B" w:rsidRDefault="000F40A7" w:rsidP="006B3D8D">
            <w:pPr>
              <w:pStyle w:val="ListParagraph"/>
              <w:numPr>
                <w:ilvl w:val="0"/>
                <w:numId w:val="34"/>
              </w:numPr>
              <w:rPr>
                <w:rFonts w:cs="Arial"/>
              </w:rPr>
            </w:pPr>
            <w:r w:rsidRPr="00E3373B">
              <w:rPr>
                <w:rFonts w:cs="Arial"/>
              </w:rPr>
              <w:t>Older people</w:t>
            </w:r>
          </w:p>
          <w:p w14:paraId="7001F5CC" w14:textId="36521B22" w:rsidR="000F40A7" w:rsidRPr="00E3373B" w:rsidRDefault="000F40A7" w:rsidP="00A33190">
            <w:pPr>
              <w:pStyle w:val="ListParagraph"/>
              <w:spacing w:before="0" w:after="0" w:line="240" w:lineRule="auto"/>
              <w:ind w:left="360"/>
              <w:rPr>
                <w:rFonts w:cs="Arial"/>
              </w:rPr>
            </w:pPr>
          </w:p>
        </w:tc>
        <w:tc>
          <w:tcPr>
            <w:tcW w:w="0" w:type="auto"/>
            <w:shd w:val="clear" w:color="auto" w:fill="FFFFFF" w:themeFill="background1"/>
          </w:tcPr>
          <w:p w14:paraId="29F35B53" w14:textId="41F80472" w:rsidR="00B21E09" w:rsidRDefault="000F40A7" w:rsidP="008A19C4">
            <w:pPr>
              <w:rPr>
                <w:rFonts w:cs="Arial"/>
              </w:rPr>
            </w:pPr>
            <w:r w:rsidRPr="00E3373B">
              <w:rPr>
                <w:rFonts w:cs="Arial"/>
              </w:rPr>
              <w:t xml:space="preserve">Financial compensation for </w:t>
            </w:r>
            <w:r w:rsidR="007611CD" w:rsidRPr="00E3373B">
              <w:rPr>
                <w:rFonts w:cs="Arial"/>
              </w:rPr>
              <w:t>landowners</w:t>
            </w:r>
            <w:r w:rsidR="00B21E09">
              <w:rPr>
                <w:rFonts w:cs="Arial"/>
              </w:rPr>
              <w:t xml:space="preserve"> via private treaty negotiations</w:t>
            </w:r>
          </w:p>
          <w:p w14:paraId="163F8095" w14:textId="7C9DCA3D" w:rsidR="000F40A7" w:rsidRPr="00E3373B" w:rsidRDefault="003A4347" w:rsidP="008A19C4">
            <w:pPr>
              <w:rPr>
                <w:rFonts w:cs="Arial"/>
              </w:rPr>
            </w:pPr>
            <w:r>
              <w:rPr>
                <w:rFonts w:cs="Arial"/>
              </w:rPr>
              <w:t xml:space="preserve">Ongoing </w:t>
            </w:r>
            <w:r w:rsidR="00B21E09">
              <w:rPr>
                <w:rFonts w:cs="Arial"/>
              </w:rPr>
              <w:t>engagement and meetings with landowners throughout the development and planning process</w:t>
            </w:r>
            <w:r w:rsidR="00BD1D03">
              <w:rPr>
                <w:rFonts w:cs="Arial"/>
              </w:rPr>
              <w:t xml:space="preserve"> </w:t>
            </w:r>
          </w:p>
        </w:tc>
        <w:tc>
          <w:tcPr>
            <w:tcW w:w="0" w:type="auto"/>
            <w:shd w:val="clear" w:color="auto" w:fill="FFFFFF" w:themeFill="background1"/>
          </w:tcPr>
          <w:p w14:paraId="7C48F1A0" w14:textId="4C646E63" w:rsidR="000F40A7" w:rsidRDefault="000F40A7" w:rsidP="008A19C4">
            <w:pPr>
              <w:rPr>
                <w:rFonts w:cs="Arial"/>
              </w:rPr>
            </w:pPr>
            <w:r w:rsidRPr="00E3373B">
              <w:rPr>
                <w:rFonts w:cs="Arial"/>
              </w:rPr>
              <w:t>Produce a user-friendly guide to compensation for landowners that states their rights, how much compensation they are entitled to and steps that they have to take throughout the CPO process</w:t>
            </w:r>
            <w:r>
              <w:rPr>
                <w:rFonts w:cs="Arial"/>
              </w:rPr>
              <w:t>.</w:t>
            </w:r>
          </w:p>
          <w:p w14:paraId="1D349625" w14:textId="46A5AC6C" w:rsidR="006A1EE2" w:rsidRPr="00E3373B" w:rsidRDefault="00450ACE" w:rsidP="008A19C4">
            <w:pPr>
              <w:rPr>
                <w:rFonts w:cs="Arial"/>
              </w:rPr>
            </w:pPr>
            <w:r>
              <w:rPr>
                <w:rFonts w:cs="Arial"/>
              </w:rPr>
              <w:t>Ha</w:t>
            </w:r>
            <w:r w:rsidR="00A100AF">
              <w:rPr>
                <w:rFonts w:cs="Arial"/>
              </w:rPr>
              <w:t>ve regular conversations with the lando</w:t>
            </w:r>
            <w:r w:rsidR="007F6429">
              <w:rPr>
                <w:rFonts w:cs="Arial"/>
              </w:rPr>
              <w:t>w</w:t>
            </w:r>
            <w:r w:rsidR="00A100AF">
              <w:rPr>
                <w:rFonts w:cs="Arial"/>
              </w:rPr>
              <w:t>ners</w:t>
            </w:r>
            <w:r w:rsidR="00355DE2">
              <w:rPr>
                <w:rFonts w:cs="Arial"/>
              </w:rPr>
              <w:t xml:space="preserve"> in order </w:t>
            </w:r>
            <w:r w:rsidR="0005680E">
              <w:rPr>
                <w:rFonts w:cs="Arial"/>
              </w:rPr>
              <w:t xml:space="preserve">to share timescales and </w:t>
            </w:r>
            <w:r w:rsidR="00FA26D8">
              <w:rPr>
                <w:rFonts w:cs="Arial"/>
              </w:rPr>
              <w:t>detail</w:t>
            </w:r>
            <w:r w:rsidR="00382217">
              <w:rPr>
                <w:rFonts w:cs="Arial"/>
              </w:rPr>
              <w:t xml:space="preserve">s of the </w:t>
            </w:r>
            <w:r w:rsidR="001A6DA1">
              <w:rPr>
                <w:rFonts w:cs="Arial"/>
              </w:rPr>
              <w:t>re</w:t>
            </w:r>
            <w:r w:rsidR="00382217">
              <w:rPr>
                <w:rFonts w:cs="Arial"/>
              </w:rPr>
              <w:t>development</w:t>
            </w:r>
            <w:r w:rsidR="00547716">
              <w:rPr>
                <w:rFonts w:cs="Arial"/>
              </w:rPr>
              <w:t xml:space="preserve">, </w:t>
            </w:r>
            <w:r w:rsidR="00312BA4">
              <w:rPr>
                <w:rFonts w:cs="Arial"/>
              </w:rPr>
              <w:t>considering</w:t>
            </w:r>
            <w:r w:rsidR="00107249">
              <w:rPr>
                <w:rFonts w:cs="Arial"/>
              </w:rPr>
              <w:t xml:space="preserve"> their feedback </w:t>
            </w:r>
            <w:r w:rsidR="00AF658C">
              <w:rPr>
                <w:rFonts w:cs="Arial"/>
              </w:rPr>
              <w:t>and</w:t>
            </w:r>
            <w:r w:rsidR="001F01F9">
              <w:rPr>
                <w:rFonts w:cs="Arial"/>
              </w:rPr>
              <w:t xml:space="preserve"> concerns</w:t>
            </w:r>
            <w:r w:rsidR="0036314F">
              <w:rPr>
                <w:rFonts w:cs="Arial"/>
              </w:rPr>
              <w:t xml:space="preserve"> </w:t>
            </w:r>
            <w:r w:rsidR="00AF658C">
              <w:rPr>
                <w:rFonts w:cs="Arial"/>
              </w:rPr>
              <w:t xml:space="preserve">they may have around </w:t>
            </w:r>
            <w:r w:rsidR="00C70051">
              <w:rPr>
                <w:rFonts w:cs="Arial"/>
              </w:rPr>
              <w:t>loss of income or employment opportunities.</w:t>
            </w:r>
          </w:p>
        </w:tc>
      </w:tr>
      <w:tr w:rsidR="00FB6881" w:rsidRPr="00E3373B" w14:paraId="70852A66" w14:textId="77777777" w:rsidTr="008A19C4">
        <w:tc>
          <w:tcPr>
            <w:tcW w:w="0" w:type="auto"/>
            <w:shd w:val="clear" w:color="auto" w:fill="FFFFFF" w:themeFill="background1"/>
          </w:tcPr>
          <w:p w14:paraId="5131B35C" w14:textId="6F3D2C06" w:rsidR="000F40A7" w:rsidRPr="00E3373B" w:rsidRDefault="00A33190" w:rsidP="008A19C4">
            <w:pPr>
              <w:rPr>
                <w:rFonts w:cs="Arial"/>
              </w:rPr>
            </w:pPr>
            <w:r>
              <w:rPr>
                <w:rFonts w:cs="Arial"/>
              </w:rPr>
              <w:t xml:space="preserve">Impact of </w:t>
            </w:r>
            <w:r w:rsidR="00D03A8C">
              <w:rPr>
                <w:rFonts w:cs="Arial"/>
              </w:rPr>
              <w:t xml:space="preserve">increased </w:t>
            </w:r>
            <w:r>
              <w:rPr>
                <w:rFonts w:cs="Arial"/>
              </w:rPr>
              <w:t xml:space="preserve">noise </w:t>
            </w:r>
            <w:r w:rsidR="00FB6881">
              <w:rPr>
                <w:rFonts w:cs="Arial"/>
              </w:rPr>
              <w:t xml:space="preserve">exposure </w:t>
            </w:r>
            <w:r w:rsidDel="00FB6881">
              <w:rPr>
                <w:rFonts w:cs="Arial"/>
              </w:rPr>
              <w:t>and</w:t>
            </w:r>
            <w:r>
              <w:rPr>
                <w:rFonts w:cs="Arial"/>
              </w:rPr>
              <w:t xml:space="preserve"> </w:t>
            </w:r>
            <w:r w:rsidR="00FB6881">
              <w:rPr>
                <w:rFonts w:cs="Arial"/>
              </w:rPr>
              <w:t xml:space="preserve">reduced </w:t>
            </w:r>
            <w:r>
              <w:rPr>
                <w:rFonts w:cs="Arial"/>
              </w:rPr>
              <w:t xml:space="preserve">air </w:t>
            </w:r>
            <w:r w:rsidR="00FB6881">
              <w:rPr>
                <w:rFonts w:cs="Arial"/>
              </w:rPr>
              <w:t>quality</w:t>
            </w:r>
          </w:p>
        </w:tc>
        <w:tc>
          <w:tcPr>
            <w:tcW w:w="0" w:type="auto"/>
            <w:shd w:val="clear" w:color="auto" w:fill="FFFFFF" w:themeFill="background1"/>
          </w:tcPr>
          <w:p w14:paraId="7ABAC0F6" w14:textId="77777777" w:rsidR="000F40A7" w:rsidRPr="00E56127" w:rsidRDefault="000F40A7" w:rsidP="006B3D8D">
            <w:pPr>
              <w:pStyle w:val="ListParagraph"/>
              <w:numPr>
                <w:ilvl w:val="0"/>
                <w:numId w:val="34"/>
              </w:numPr>
              <w:rPr>
                <w:rFonts w:cs="Arial"/>
              </w:rPr>
            </w:pPr>
            <w:r w:rsidRPr="00E56127">
              <w:rPr>
                <w:rFonts w:cs="Arial"/>
              </w:rPr>
              <w:t>Children</w:t>
            </w:r>
          </w:p>
          <w:p w14:paraId="698996D3" w14:textId="77777777" w:rsidR="000F40A7" w:rsidRPr="00E56127" w:rsidRDefault="000F40A7" w:rsidP="008A19C4">
            <w:pPr>
              <w:pStyle w:val="ListParagraph"/>
              <w:numPr>
                <w:ilvl w:val="0"/>
                <w:numId w:val="36"/>
              </w:numPr>
              <w:spacing w:before="0" w:after="0" w:line="240" w:lineRule="auto"/>
              <w:rPr>
                <w:rFonts w:cs="Arial"/>
              </w:rPr>
            </w:pPr>
            <w:r w:rsidRPr="00E56127">
              <w:rPr>
                <w:rFonts w:cs="Arial"/>
              </w:rPr>
              <w:t>Older people</w:t>
            </w:r>
          </w:p>
          <w:p w14:paraId="5E6C076C" w14:textId="77777777" w:rsidR="000F40A7" w:rsidRPr="00E56127" w:rsidRDefault="000F40A7" w:rsidP="008A19C4">
            <w:pPr>
              <w:pStyle w:val="ListParagraph"/>
              <w:numPr>
                <w:ilvl w:val="0"/>
                <w:numId w:val="36"/>
              </w:numPr>
              <w:spacing w:before="0" w:after="0" w:line="240" w:lineRule="auto"/>
              <w:rPr>
                <w:rFonts w:cs="Arial"/>
              </w:rPr>
            </w:pPr>
            <w:r w:rsidRPr="00E56127">
              <w:rPr>
                <w:rFonts w:cs="Arial"/>
              </w:rPr>
              <w:t>Pregnant women</w:t>
            </w:r>
          </w:p>
          <w:p w14:paraId="7165B437" w14:textId="77777777" w:rsidR="000F40A7" w:rsidRPr="00E3373B" w:rsidRDefault="000F40A7" w:rsidP="008A19C4">
            <w:pPr>
              <w:pStyle w:val="ListParagraph"/>
              <w:numPr>
                <w:ilvl w:val="0"/>
                <w:numId w:val="36"/>
              </w:numPr>
              <w:spacing w:before="0" w:after="0" w:line="240" w:lineRule="auto"/>
              <w:rPr>
                <w:rFonts w:cs="Arial"/>
              </w:rPr>
            </w:pPr>
            <w:r w:rsidRPr="00E56127">
              <w:rPr>
                <w:rFonts w:cs="Arial"/>
              </w:rPr>
              <w:t>Disabled peopl</w:t>
            </w:r>
            <w:r>
              <w:rPr>
                <w:rFonts w:cs="Arial"/>
              </w:rPr>
              <w:t>e</w:t>
            </w:r>
          </w:p>
        </w:tc>
        <w:tc>
          <w:tcPr>
            <w:tcW w:w="0" w:type="auto"/>
            <w:shd w:val="clear" w:color="auto" w:fill="FFFFFF" w:themeFill="background1"/>
          </w:tcPr>
          <w:p w14:paraId="65BF9717" w14:textId="69CCAFB3" w:rsidR="000F40A7" w:rsidRPr="00E3373B" w:rsidRDefault="000F40A7" w:rsidP="008A19C4">
            <w:pPr>
              <w:rPr>
                <w:rFonts w:cs="Arial"/>
              </w:rPr>
            </w:pPr>
            <w:r>
              <w:rPr>
                <w:rFonts w:cs="Arial"/>
              </w:rPr>
              <w:t>C</w:t>
            </w:r>
            <w:r w:rsidRPr="008F1E23">
              <w:rPr>
                <w:rFonts w:cs="Arial"/>
              </w:rPr>
              <w:t xml:space="preserve">onsiderate design of the </w:t>
            </w:r>
            <w:r w:rsidR="00A642B3">
              <w:rPr>
                <w:rFonts w:cs="Arial"/>
              </w:rPr>
              <w:t>site</w:t>
            </w:r>
            <w:r w:rsidRPr="008F1E23">
              <w:rPr>
                <w:rFonts w:cs="Arial"/>
              </w:rPr>
              <w:t xml:space="preserve"> layout with sufficient landscape buffers in order to reduce exposure of future occupants and users of the </w:t>
            </w:r>
            <w:r w:rsidR="00E23185">
              <w:rPr>
                <w:rFonts w:cs="Arial"/>
              </w:rPr>
              <w:t>s</w:t>
            </w:r>
            <w:r w:rsidRPr="008F1E23">
              <w:rPr>
                <w:rFonts w:cs="Arial"/>
              </w:rPr>
              <w:t>ite to poor air quality and noise.</w:t>
            </w:r>
            <w:r w:rsidR="00D0165F">
              <w:rPr>
                <w:rStyle w:val="FootnoteReference"/>
                <w:rFonts w:cs="Arial"/>
              </w:rPr>
              <w:footnoteReference w:id="62"/>
            </w:r>
          </w:p>
        </w:tc>
        <w:tc>
          <w:tcPr>
            <w:tcW w:w="0" w:type="auto"/>
            <w:shd w:val="clear" w:color="auto" w:fill="FFFFFF" w:themeFill="background1"/>
          </w:tcPr>
          <w:p w14:paraId="021449F7" w14:textId="5CD485BF" w:rsidR="000F40A7" w:rsidRDefault="000F40A7" w:rsidP="008A19C4">
            <w:pPr>
              <w:rPr>
                <w:rFonts w:cs="Arial"/>
              </w:rPr>
            </w:pPr>
            <w:r w:rsidRPr="00DA560F">
              <w:rPr>
                <w:rFonts w:cs="Arial"/>
              </w:rPr>
              <w:t xml:space="preserve">Effective management of noise impacts can be achieved through </w:t>
            </w:r>
            <w:r w:rsidR="006100B9">
              <w:rPr>
                <w:rFonts w:cs="Arial"/>
              </w:rPr>
              <w:t xml:space="preserve">a range of measures including </w:t>
            </w:r>
            <w:r w:rsidRPr="00DA560F">
              <w:rPr>
                <w:rFonts w:cs="Arial"/>
              </w:rPr>
              <w:t>restriction</w:t>
            </w:r>
            <w:r w:rsidR="006100B9">
              <w:rPr>
                <w:rFonts w:cs="Arial"/>
              </w:rPr>
              <w:t>s</w:t>
            </w:r>
            <w:r w:rsidRPr="00DA560F">
              <w:rPr>
                <w:rFonts w:cs="Arial"/>
              </w:rPr>
              <w:t xml:space="preserve"> on appropriate working hours</w:t>
            </w:r>
            <w:r>
              <w:rPr>
                <w:rFonts w:cs="Arial"/>
              </w:rPr>
              <w:t>.</w:t>
            </w:r>
          </w:p>
          <w:p w14:paraId="7433FD59" w14:textId="5EA27ECB" w:rsidR="000F40A7" w:rsidRDefault="000F40A7" w:rsidP="00BE7C94">
            <w:pPr>
              <w:rPr>
                <w:rFonts w:cs="Arial"/>
              </w:rPr>
            </w:pPr>
            <w:r w:rsidRPr="00EA31CE">
              <w:rPr>
                <w:rFonts w:cs="Arial"/>
              </w:rPr>
              <w:t>Reduced noise pollution can also be achieved through careful handling of materials; utilisation of low impact technologies; and effective use of sound shields</w:t>
            </w:r>
            <w:r>
              <w:rPr>
                <w:rFonts w:cs="Arial"/>
              </w:rPr>
              <w:t>.</w:t>
            </w:r>
          </w:p>
          <w:p w14:paraId="5F663ED4" w14:textId="7228568B" w:rsidR="000F40A7" w:rsidRPr="00E3373B" w:rsidRDefault="00A33C5F" w:rsidP="008A19C4">
            <w:pPr>
              <w:rPr>
                <w:rFonts w:cs="Arial"/>
              </w:rPr>
            </w:pPr>
            <w:r w:rsidRPr="00A33C5F">
              <w:rPr>
                <w:rFonts w:cs="Arial"/>
              </w:rPr>
              <w:t>During the construction period, measures should be implemented to limit the negative impacts of reduced air quality. This could include the development and adoption of a Construction Environmental Management Plan (CEMP), incorporating provisions to screen sites to stop dust spreading and limiting the number of vehicles needed on site at any one time</w:t>
            </w:r>
            <w:r w:rsidR="00E01521">
              <w:rPr>
                <w:rFonts w:cs="Arial"/>
              </w:rPr>
              <w:t>.</w:t>
            </w:r>
          </w:p>
        </w:tc>
      </w:tr>
      <w:tr w:rsidR="00FB6881" w:rsidRPr="00E3373B" w14:paraId="1E9AF3A6" w14:textId="77777777" w:rsidTr="008A19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FF" w:themeFill="background1"/>
          </w:tcPr>
          <w:p w14:paraId="3FB884AA" w14:textId="77777777" w:rsidR="000F40A7" w:rsidRPr="00E3373B" w:rsidRDefault="000F40A7" w:rsidP="008A19C4">
            <w:pPr>
              <w:rPr>
                <w:rFonts w:cs="Arial"/>
              </w:rPr>
            </w:pPr>
            <w:r w:rsidRPr="0043353E">
              <w:rPr>
                <w:rFonts w:cs="Arial"/>
              </w:rPr>
              <w:t>Improved housing provision</w:t>
            </w:r>
          </w:p>
        </w:tc>
        <w:tc>
          <w:tcPr>
            <w:tcW w:w="0" w:type="auto"/>
            <w:shd w:val="clear" w:color="auto" w:fill="FFFFFF" w:themeFill="background1"/>
          </w:tcPr>
          <w:p w14:paraId="24C6401B" w14:textId="77777777" w:rsidR="000F40A7" w:rsidRPr="00AD48C7" w:rsidRDefault="000F40A7" w:rsidP="006B3D8D">
            <w:pPr>
              <w:pStyle w:val="ListParagraph"/>
              <w:numPr>
                <w:ilvl w:val="0"/>
                <w:numId w:val="34"/>
              </w:numPr>
              <w:rPr>
                <w:rFonts w:cs="Arial"/>
              </w:rPr>
            </w:pPr>
            <w:r w:rsidRPr="00AD48C7">
              <w:rPr>
                <w:rFonts w:cs="Arial"/>
              </w:rPr>
              <w:t>Children</w:t>
            </w:r>
          </w:p>
          <w:p w14:paraId="6496172F" w14:textId="77777777" w:rsidR="000F40A7" w:rsidRPr="00AD48C7" w:rsidRDefault="000F40A7" w:rsidP="006B3D8D">
            <w:pPr>
              <w:pStyle w:val="ListParagraph"/>
              <w:numPr>
                <w:ilvl w:val="0"/>
                <w:numId w:val="34"/>
              </w:numPr>
              <w:rPr>
                <w:rFonts w:cs="Arial"/>
              </w:rPr>
            </w:pPr>
            <w:r w:rsidRPr="00AD48C7">
              <w:rPr>
                <w:rFonts w:cs="Arial"/>
              </w:rPr>
              <w:t>Older people</w:t>
            </w:r>
          </w:p>
          <w:p w14:paraId="6D045BEF" w14:textId="77777777" w:rsidR="000F40A7" w:rsidRPr="00AD48C7" w:rsidRDefault="000F40A7" w:rsidP="008A19C4">
            <w:pPr>
              <w:pStyle w:val="ListParagraph"/>
              <w:numPr>
                <w:ilvl w:val="0"/>
                <w:numId w:val="36"/>
              </w:numPr>
              <w:spacing w:before="0" w:after="0" w:line="240" w:lineRule="auto"/>
              <w:rPr>
                <w:rFonts w:cs="Arial"/>
              </w:rPr>
            </w:pPr>
            <w:r w:rsidRPr="00AD48C7">
              <w:rPr>
                <w:rFonts w:cs="Arial"/>
              </w:rPr>
              <w:t>Disabled people</w:t>
            </w:r>
          </w:p>
          <w:p w14:paraId="5B47D54F" w14:textId="77777777" w:rsidR="000F40A7" w:rsidRPr="00E3373B" w:rsidRDefault="000F40A7" w:rsidP="008A19C4">
            <w:pPr>
              <w:pStyle w:val="ListParagraph"/>
              <w:numPr>
                <w:ilvl w:val="0"/>
                <w:numId w:val="36"/>
              </w:numPr>
              <w:spacing w:before="0" w:after="0" w:line="240" w:lineRule="auto"/>
              <w:rPr>
                <w:rFonts w:cs="Arial"/>
              </w:rPr>
            </w:pPr>
            <w:r w:rsidRPr="00AD48C7">
              <w:rPr>
                <w:rFonts w:cs="Arial"/>
              </w:rPr>
              <w:t>People from BAME backgrounds</w:t>
            </w:r>
          </w:p>
        </w:tc>
        <w:tc>
          <w:tcPr>
            <w:tcW w:w="0" w:type="auto"/>
            <w:shd w:val="clear" w:color="auto" w:fill="FFFFFF" w:themeFill="background1"/>
          </w:tcPr>
          <w:p w14:paraId="6DCF30B5" w14:textId="7D2D861B" w:rsidR="000F40A7" w:rsidRDefault="000F40A7" w:rsidP="008A19C4">
            <w:pPr>
              <w:rPr>
                <w:rFonts w:cs="Arial"/>
              </w:rPr>
            </w:pPr>
            <w:r w:rsidRPr="00CF149E">
              <w:rPr>
                <w:rFonts w:cs="Arial"/>
              </w:rPr>
              <w:t xml:space="preserve">The </w:t>
            </w:r>
            <w:r>
              <w:rPr>
                <w:rFonts w:cs="Arial"/>
              </w:rPr>
              <w:t xml:space="preserve">TSDL </w:t>
            </w:r>
            <w:r w:rsidRPr="00CF149E">
              <w:rPr>
                <w:rFonts w:cs="Arial"/>
              </w:rPr>
              <w:t xml:space="preserve">will provide </w:t>
            </w:r>
            <w:r w:rsidR="008F6AA7">
              <w:rPr>
                <w:rFonts w:cs="Arial"/>
              </w:rPr>
              <w:t xml:space="preserve">1,300 </w:t>
            </w:r>
            <w:r w:rsidRPr="00CF149E">
              <w:rPr>
                <w:rFonts w:cs="Arial"/>
              </w:rPr>
              <w:t>new homes, 3</w:t>
            </w:r>
            <w:r>
              <w:rPr>
                <w:rFonts w:cs="Arial"/>
              </w:rPr>
              <w:t>0</w:t>
            </w:r>
            <w:r w:rsidRPr="00CF149E">
              <w:rPr>
                <w:rFonts w:cs="Arial"/>
              </w:rPr>
              <w:t>% of which are to be affordable housing</w:t>
            </w:r>
            <w:r>
              <w:rPr>
                <w:rFonts w:cs="Arial"/>
              </w:rPr>
              <w:t>.</w:t>
            </w:r>
          </w:p>
          <w:p w14:paraId="567EBA62" w14:textId="3FA85CBC" w:rsidR="00C041C8" w:rsidRDefault="00C041C8" w:rsidP="008A19C4">
            <w:pPr>
              <w:rPr>
                <w:rFonts w:cs="Arial"/>
              </w:rPr>
            </w:pPr>
            <w:r>
              <w:rPr>
                <w:rFonts w:cs="Arial"/>
              </w:rPr>
              <w:t>Sustainable design and construction techniques will be used to ensure homes are energy efficient.</w:t>
            </w:r>
          </w:p>
          <w:p w14:paraId="408C7701" w14:textId="77777777" w:rsidR="000F40A7" w:rsidRPr="00E3373B" w:rsidRDefault="000F40A7" w:rsidP="008A19C4">
            <w:pPr>
              <w:rPr>
                <w:rFonts w:cs="Arial"/>
              </w:rPr>
            </w:pPr>
            <w:r w:rsidRPr="00CF149E">
              <w:rPr>
                <w:rFonts w:cs="Arial"/>
              </w:rPr>
              <w:lastRenderedPageBreak/>
              <w:t xml:space="preserve"> </w:t>
            </w:r>
          </w:p>
        </w:tc>
        <w:tc>
          <w:tcPr>
            <w:tcW w:w="0" w:type="auto"/>
            <w:shd w:val="clear" w:color="auto" w:fill="FFFFFF" w:themeFill="background1"/>
          </w:tcPr>
          <w:p w14:paraId="67BE46E4" w14:textId="381968DE" w:rsidR="000F40A7" w:rsidRDefault="000F40A7" w:rsidP="008A19C4">
            <w:pPr>
              <w:rPr>
                <w:rFonts w:cs="Arial"/>
              </w:rPr>
            </w:pPr>
            <w:r w:rsidRPr="006521DC">
              <w:rPr>
                <w:rFonts w:cs="Arial"/>
              </w:rPr>
              <w:lastRenderedPageBreak/>
              <w:t>Ensure the provision of appropriate proportion of accessible homes to benefit those with a mobility impairment or who use a wheelchair.</w:t>
            </w:r>
            <w:r w:rsidR="000B1D1D">
              <w:rPr>
                <w:rFonts w:cs="Arial"/>
              </w:rPr>
              <w:t xml:space="preserve"> </w:t>
            </w:r>
            <w:r w:rsidR="00FF1822">
              <w:rPr>
                <w:rFonts w:cs="Arial"/>
              </w:rPr>
              <w:t xml:space="preserve">Consider </w:t>
            </w:r>
            <w:r w:rsidR="00A373B8">
              <w:rPr>
                <w:rFonts w:cs="Arial"/>
              </w:rPr>
              <w:t>implementing a target of 10% accessible homes</w:t>
            </w:r>
            <w:r w:rsidR="00576916">
              <w:rPr>
                <w:rStyle w:val="FootnoteReference"/>
                <w:rFonts w:cs="Arial"/>
              </w:rPr>
              <w:footnoteReference w:id="63"/>
            </w:r>
            <w:r w:rsidR="00A373B8">
              <w:rPr>
                <w:rFonts w:cs="Arial"/>
              </w:rPr>
              <w:t xml:space="preserve"> as part of the TSDL.</w:t>
            </w:r>
          </w:p>
          <w:p w14:paraId="7B31E21E" w14:textId="74A7A553" w:rsidR="00A3117D" w:rsidRDefault="00A3117D" w:rsidP="008A19C4">
            <w:pPr>
              <w:rPr>
                <w:rFonts w:cs="Arial"/>
              </w:rPr>
            </w:pPr>
            <w:r>
              <w:rPr>
                <w:rFonts w:cs="Arial"/>
              </w:rPr>
              <w:t xml:space="preserve">Ensure the provision of </w:t>
            </w:r>
            <w:r w:rsidR="00CF06AF">
              <w:rPr>
                <w:rFonts w:cs="Arial"/>
              </w:rPr>
              <w:t xml:space="preserve">an </w:t>
            </w:r>
            <w:r>
              <w:rPr>
                <w:rFonts w:cs="Arial"/>
              </w:rPr>
              <w:t>ap</w:t>
            </w:r>
            <w:r w:rsidR="00B64F27">
              <w:rPr>
                <w:rFonts w:cs="Arial"/>
              </w:rPr>
              <w:t xml:space="preserve">propriate </w:t>
            </w:r>
            <w:r w:rsidR="00F864B0">
              <w:rPr>
                <w:rFonts w:cs="Arial"/>
              </w:rPr>
              <w:t xml:space="preserve">mix of </w:t>
            </w:r>
            <w:r w:rsidR="00D8617D">
              <w:rPr>
                <w:rFonts w:cs="Arial"/>
              </w:rPr>
              <w:t xml:space="preserve">housing </w:t>
            </w:r>
            <w:r w:rsidR="008F51AD">
              <w:rPr>
                <w:rFonts w:cs="Arial"/>
              </w:rPr>
              <w:t xml:space="preserve">(property size, number of bedrooms, housing tenure) </w:t>
            </w:r>
            <w:r w:rsidR="00D8617D">
              <w:rPr>
                <w:rFonts w:cs="Arial"/>
              </w:rPr>
              <w:t xml:space="preserve">that </w:t>
            </w:r>
            <w:r w:rsidR="001D0953">
              <w:rPr>
                <w:rFonts w:cs="Arial"/>
              </w:rPr>
              <w:t>addresse</w:t>
            </w:r>
            <w:r w:rsidR="00EA44AF">
              <w:rPr>
                <w:rFonts w:cs="Arial"/>
              </w:rPr>
              <w:t xml:space="preserve">s the range of </w:t>
            </w:r>
            <w:r w:rsidR="006B78A3">
              <w:rPr>
                <w:rFonts w:cs="Arial"/>
              </w:rPr>
              <w:lastRenderedPageBreak/>
              <w:t xml:space="preserve">local housing </w:t>
            </w:r>
            <w:r w:rsidR="00B24732">
              <w:rPr>
                <w:rFonts w:cs="Arial"/>
              </w:rPr>
              <w:t>needs.</w:t>
            </w:r>
          </w:p>
          <w:p w14:paraId="09B27764" w14:textId="1AE72A88" w:rsidR="000F40A7" w:rsidRPr="000002EC" w:rsidRDefault="00C13BF9" w:rsidP="008A19C4">
            <w:pPr>
              <w:rPr>
                <w:rFonts w:cs="Arial"/>
              </w:rPr>
            </w:pPr>
            <w:r>
              <w:rPr>
                <w:rFonts w:cs="Arial"/>
              </w:rPr>
              <w:t>Keep local residents informed of new housing provision, should they wish to relocate once the TSDL is complete.</w:t>
            </w:r>
            <w:r w:rsidR="00BD1D03">
              <w:rPr>
                <w:rFonts w:cs="Arial"/>
              </w:rPr>
              <w:t xml:space="preserve"> </w:t>
            </w:r>
          </w:p>
        </w:tc>
      </w:tr>
      <w:tr w:rsidR="00FB6881" w:rsidRPr="00E3373B" w14:paraId="6851E896" w14:textId="77777777" w:rsidTr="008A19C4">
        <w:tc>
          <w:tcPr>
            <w:tcW w:w="0" w:type="auto"/>
            <w:shd w:val="clear" w:color="auto" w:fill="FFFFFF" w:themeFill="background1"/>
          </w:tcPr>
          <w:p w14:paraId="3981E33F" w14:textId="77777777" w:rsidR="000F40A7" w:rsidRPr="0043353E" w:rsidRDefault="000F40A7" w:rsidP="008A19C4">
            <w:pPr>
              <w:rPr>
                <w:rFonts w:cs="Arial"/>
              </w:rPr>
            </w:pPr>
            <w:r w:rsidRPr="00301EBE">
              <w:rPr>
                <w:rFonts w:cs="Arial"/>
              </w:rPr>
              <w:lastRenderedPageBreak/>
              <w:t>Employment opportunities</w:t>
            </w:r>
          </w:p>
        </w:tc>
        <w:tc>
          <w:tcPr>
            <w:tcW w:w="0" w:type="auto"/>
            <w:shd w:val="clear" w:color="auto" w:fill="FFFFFF" w:themeFill="background1"/>
          </w:tcPr>
          <w:p w14:paraId="46F7CDB7" w14:textId="77777777" w:rsidR="000F40A7" w:rsidRPr="00344808" w:rsidRDefault="000F40A7" w:rsidP="006B3D8D">
            <w:pPr>
              <w:pStyle w:val="ListParagraph"/>
              <w:numPr>
                <w:ilvl w:val="0"/>
                <w:numId w:val="34"/>
              </w:numPr>
              <w:rPr>
                <w:rFonts w:cs="Arial"/>
              </w:rPr>
            </w:pPr>
            <w:r w:rsidRPr="00344808">
              <w:rPr>
                <w:rFonts w:cs="Arial"/>
              </w:rPr>
              <w:t>Young people</w:t>
            </w:r>
          </w:p>
          <w:p w14:paraId="2B9BB98D" w14:textId="77777777" w:rsidR="000F40A7" w:rsidRPr="00AD48C7" w:rsidRDefault="000F40A7" w:rsidP="008A19C4">
            <w:pPr>
              <w:pStyle w:val="ListParagraph"/>
              <w:numPr>
                <w:ilvl w:val="0"/>
                <w:numId w:val="36"/>
              </w:numPr>
              <w:spacing w:before="0" w:after="0" w:line="240" w:lineRule="auto"/>
              <w:rPr>
                <w:rFonts w:cs="Arial"/>
              </w:rPr>
            </w:pPr>
            <w:r w:rsidRPr="00344808">
              <w:rPr>
                <w:rFonts w:cs="Arial"/>
              </w:rPr>
              <w:t>People from BAME backgrounds</w:t>
            </w:r>
          </w:p>
        </w:tc>
        <w:tc>
          <w:tcPr>
            <w:tcW w:w="0" w:type="auto"/>
            <w:shd w:val="clear" w:color="auto" w:fill="FFFFFF" w:themeFill="background1"/>
          </w:tcPr>
          <w:p w14:paraId="102A286C" w14:textId="034D387F" w:rsidR="000F40A7" w:rsidRPr="00A27B7B" w:rsidRDefault="000F40A7" w:rsidP="008A19C4">
            <w:pPr>
              <w:rPr>
                <w:rFonts w:cs="Arial"/>
                <w:highlight w:val="yellow"/>
              </w:rPr>
            </w:pPr>
            <w:r w:rsidRPr="00E768AA">
              <w:rPr>
                <w:rFonts w:cs="Arial" w:hint="eastAsia"/>
              </w:rPr>
              <w:t xml:space="preserve">As a direct and indirect result of the development, </w:t>
            </w:r>
            <w:r w:rsidRPr="00E768AA">
              <w:rPr>
                <w:rFonts w:cs="Arial"/>
              </w:rPr>
              <w:t>new</w:t>
            </w:r>
            <w:r w:rsidRPr="00E768AA">
              <w:rPr>
                <w:rFonts w:cs="Arial" w:hint="eastAsia"/>
              </w:rPr>
              <w:t xml:space="preserve"> jobs will be created for those living in </w:t>
            </w:r>
            <w:r w:rsidRPr="00E768AA">
              <w:rPr>
                <w:rFonts w:cs="Arial"/>
              </w:rPr>
              <w:t>Tangmere and neighbourhood</w:t>
            </w:r>
            <w:r>
              <w:rPr>
                <w:rFonts w:cs="Arial"/>
              </w:rPr>
              <w:t xml:space="preserve"> areas</w:t>
            </w:r>
            <w:r w:rsidRPr="00E768AA">
              <w:rPr>
                <w:rFonts w:cs="Arial" w:hint="eastAsia"/>
              </w:rPr>
              <w:t>.</w:t>
            </w:r>
            <w:r w:rsidR="00BD1D03">
              <w:rPr>
                <w:rFonts w:cs="Arial" w:hint="eastAsia"/>
              </w:rPr>
              <w:t xml:space="preserve">  </w:t>
            </w:r>
          </w:p>
        </w:tc>
        <w:tc>
          <w:tcPr>
            <w:tcW w:w="0" w:type="auto"/>
            <w:shd w:val="clear" w:color="auto" w:fill="FFFFFF" w:themeFill="background1"/>
          </w:tcPr>
          <w:p w14:paraId="15EFC84E" w14:textId="01CC1369" w:rsidR="000F40A7" w:rsidRDefault="000F40A7" w:rsidP="008A19C4">
            <w:pPr>
              <w:rPr>
                <w:rFonts w:cs="Arial"/>
              </w:rPr>
            </w:pPr>
            <w:r w:rsidRPr="0021676F">
              <w:rPr>
                <w:rFonts w:cs="Arial"/>
              </w:rPr>
              <w:t>D</w:t>
            </w:r>
            <w:r w:rsidRPr="0021676F">
              <w:rPr>
                <w:rFonts w:cs="Arial" w:hint="eastAsia"/>
              </w:rPr>
              <w:t>evelop a range of suitable proposals that maximise the employment, apprenticeship and training opportunities created by the development, for local resident</w:t>
            </w:r>
            <w:r w:rsidR="00501AA8">
              <w:rPr>
                <w:rFonts w:cs="Arial"/>
              </w:rPr>
              <w:t>s</w:t>
            </w:r>
            <w:r w:rsidR="00576381">
              <w:rPr>
                <w:rFonts w:cs="Arial"/>
              </w:rPr>
              <w:t>, both at the construction stage</w:t>
            </w:r>
            <w:r w:rsidR="004E0972">
              <w:rPr>
                <w:rFonts w:cs="Arial"/>
              </w:rPr>
              <w:t xml:space="preserve"> and after the development is finished</w:t>
            </w:r>
            <w:r w:rsidR="00501AA8" w:rsidDel="00576381">
              <w:rPr>
                <w:rFonts w:cs="Arial"/>
              </w:rPr>
              <w:t>.</w:t>
            </w:r>
          </w:p>
          <w:p w14:paraId="08A4DF2A" w14:textId="77777777" w:rsidR="003D0CAD" w:rsidRDefault="004B5F76" w:rsidP="008A19C4">
            <w:pPr>
              <w:rPr>
                <w:rFonts w:cs="Arial"/>
              </w:rPr>
            </w:pPr>
            <w:r>
              <w:rPr>
                <w:rFonts w:cs="Arial"/>
              </w:rPr>
              <w:t>Add c</w:t>
            </w:r>
            <w:r w:rsidR="006A6604" w:rsidRPr="006A6604">
              <w:rPr>
                <w:rFonts w:cs="Arial"/>
              </w:rPr>
              <w:t xml:space="preserve">ontract clauses that specify a certain proportion of the construction workforce </w:t>
            </w:r>
            <w:r w:rsidR="000A0312">
              <w:rPr>
                <w:rFonts w:cs="Arial"/>
              </w:rPr>
              <w:t>is</w:t>
            </w:r>
            <w:r w:rsidR="006A6604" w:rsidRPr="006A6604">
              <w:rPr>
                <w:rFonts w:cs="Arial"/>
              </w:rPr>
              <w:t xml:space="preserve"> drawn from the local area and offer opportunities for work-based training, such as apprenticeships.</w:t>
            </w:r>
          </w:p>
          <w:p w14:paraId="3C5D74AD" w14:textId="1D55E051" w:rsidR="00AB6BE8" w:rsidRPr="008A13B8" w:rsidRDefault="00AB6BE8" w:rsidP="008A19C4">
            <w:r>
              <w:t>Consider adding small workshop spaces alongside retail units, in order to provide a variety of employment opportunities for new and existing residents.</w:t>
            </w:r>
          </w:p>
        </w:tc>
      </w:tr>
      <w:tr w:rsidR="00FB6881" w:rsidRPr="00E3373B" w14:paraId="649ABAC5" w14:textId="77777777" w:rsidTr="008A19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FF" w:themeFill="background1"/>
          </w:tcPr>
          <w:p w14:paraId="2954B73B" w14:textId="77777777" w:rsidR="000F40A7" w:rsidRPr="0043353E" w:rsidRDefault="000F40A7" w:rsidP="008A19C4">
            <w:pPr>
              <w:rPr>
                <w:rFonts w:cs="Arial"/>
              </w:rPr>
            </w:pPr>
            <w:r>
              <w:rPr>
                <w:rFonts w:cs="Arial"/>
              </w:rPr>
              <w:t>Access to open public space and green space</w:t>
            </w:r>
          </w:p>
        </w:tc>
        <w:tc>
          <w:tcPr>
            <w:tcW w:w="0" w:type="auto"/>
            <w:shd w:val="clear" w:color="auto" w:fill="FFFFFF" w:themeFill="background1"/>
          </w:tcPr>
          <w:p w14:paraId="31D78B5D" w14:textId="77777777" w:rsidR="000F40A7" w:rsidRPr="00512D43" w:rsidRDefault="000F40A7" w:rsidP="005E032F">
            <w:pPr>
              <w:pStyle w:val="ListParagraph"/>
              <w:numPr>
                <w:ilvl w:val="0"/>
                <w:numId w:val="34"/>
              </w:numPr>
              <w:rPr>
                <w:rFonts w:cs="Arial"/>
              </w:rPr>
            </w:pPr>
            <w:r w:rsidRPr="00512D43">
              <w:rPr>
                <w:rFonts w:cs="Arial"/>
              </w:rPr>
              <w:t>Older people</w:t>
            </w:r>
          </w:p>
          <w:p w14:paraId="350A2A0E" w14:textId="77777777" w:rsidR="000F40A7" w:rsidRPr="00512D43" w:rsidRDefault="000F40A7" w:rsidP="008A19C4">
            <w:pPr>
              <w:pStyle w:val="ListParagraph"/>
              <w:numPr>
                <w:ilvl w:val="0"/>
                <w:numId w:val="36"/>
              </w:numPr>
              <w:spacing w:before="0" w:after="0" w:line="240" w:lineRule="auto"/>
              <w:rPr>
                <w:rFonts w:cs="Arial"/>
              </w:rPr>
            </w:pPr>
            <w:r w:rsidRPr="00512D43">
              <w:rPr>
                <w:rFonts w:cs="Arial"/>
              </w:rPr>
              <w:t>Disabled people</w:t>
            </w:r>
          </w:p>
          <w:p w14:paraId="61FC288F" w14:textId="5AA8337C" w:rsidR="000F40A7" w:rsidRPr="00AD48C7" w:rsidRDefault="000F40A7" w:rsidP="002D5B8E">
            <w:pPr>
              <w:pStyle w:val="ListParagraph"/>
              <w:spacing w:before="0" w:after="0" w:line="240" w:lineRule="auto"/>
              <w:ind w:left="360"/>
              <w:rPr>
                <w:rFonts w:cs="Arial"/>
              </w:rPr>
            </w:pPr>
          </w:p>
        </w:tc>
        <w:tc>
          <w:tcPr>
            <w:tcW w:w="0" w:type="auto"/>
            <w:shd w:val="clear" w:color="auto" w:fill="FFFFFF" w:themeFill="background1"/>
          </w:tcPr>
          <w:p w14:paraId="21ACEF1C" w14:textId="6738586E" w:rsidR="000F40A7" w:rsidRPr="00CF149E" w:rsidRDefault="000F40A7" w:rsidP="008A19C4">
            <w:pPr>
              <w:rPr>
                <w:rFonts w:cs="Arial"/>
              </w:rPr>
            </w:pPr>
            <w:r w:rsidRPr="000B272A">
              <w:rPr>
                <w:rFonts w:cs="Arial"/>
              </w:rPr>
              <w:t>An increase in the quantity of green</w:t>
            </w:r>
            <w:r w:rsidR="00501AA8">
              <w:rPr>
                <w:rFonts w:cs="Arial"/>
              </w:rPr>
              <w:t xml:space="preserve"> </w:t>
            </w:r>
            <w:r w:rsidRPr="000B272A">
              <w:rPr>
                <w:rFonts w:cs="Arial"/>
              </w:rPr>
              <w:t>space including</w:t>
            </w:r>
            <w:r w:rsidR="00501AA8">
              <w:rPr>
                <w:rFonts w:cs="Arial"/>
              </w:rPr>
              <w:t xml:space="preserve"> 2.1ha allotments, 0.8ha for a community orchard and formal sports provision. </w:t>
            </w:r>
          </w:p>
        </w:tc>
        <w:tc>
          <w:tcPr>
            <w:tcW w:w="0" w:type="auto"/>
            <w:shd w:val="clear" w:color="auto" w:fill="FFFFFF" w:themeFill="background1"/>
          </w:tcPr>
          <w:p w14:paraId="16B8E7E2" w14:textId="447D0946" w:rsidR="009C6988" w:rsidRPr="0062464A" w:rsidRDefault="002A774C" w:rsidP="002A774C">
            <w:pPr>
              <w:rPr>
                <w:rFonts w:cs="Arial"/>
              </w:rPr>
            </w:pPr>
            <w:r w:rsidRPr="00CA67B6">
              <w:rPr>
                <w:rFonts w:cs="Arial"/>
              </w:rPr>
              <w:t>E</w:t>
            </w:r>
            <w:r w:rsidRPr="0062464A">
              <w:rPr>
                <w:rFonts w:cs="Arial"/>
              </w:rPr>
              <w:t xml:space="preserve">nsure that improvements to public space and green space appropriately consider best practice in accessible design, that would benefit </w:t>
            </w:r>
            <w:r w:rsidR="00273795" w:rsidRPr="0062464A">
              <w:rPr>
                <w:rFonts w:cs="Arial"/>
              </w:rPr>
              <w:t xml:space="preserve">older and </w:t>
            </w:r>
            <w:r w:rsidRPr="0062464A">
              <w:rPr>
                <w:rFonts w:cs="Arial"/>
              </w:rPr>
              <w:t>disabled people</w:t>
            </w:r>
            <w:r w:rsidRPr="00CA67B6">
              <w:rPr>
                <w:rFonts w:cs="Arial"/>
              </w:rPr>
              <w:t>, including th</w:t>
            </w:r>
            <w:r w:rsidRPr="0062464A">
              <w:rPr>
                <w:rFonts w:cs="Arial"/>
              </w:rPr>
              <w:t>ose with mobility and sensory impairments.</w:t>
            </w:r>
          </w:p>
          <w:p w14:paraId="025DD400" w14:textId="06DC781E" w:rsidR="000F40A7" w:rsidRPr="00CA67B6" w:rsidRDefault="009C6988" w:rsidP="008A19C4">
            <w:pPr>
              <w:rPr>
                <w:rFonts w:cs="Arial"/>
                <w:highlight w:val="yellow"/>
              </w:rPr>
            </w:pPr>
            <w:r w:rsidRPr="005E032F">
              <w:rPr>
                <w:rFonts w:cs="Arial"/>
              </w:rPr>
              <w:t xml:space="preserve">Consider involving local </w:t>
            </w:r>
            <w:r w:rsidR="003C0AC7">
              <w:rPr>
                <w:rFonts w:cs="Arial"/>
              </w:rPr>
              <w:t xml:space="preserve">schools in </w:t>
            </w:r>
            <w:r w:rsidR="003F1D54">
              <w:rPr>
                <w:rFonts w:cs="Arial"/>
              </w:rPr>
              <w:t xml:space="preserve">the running of allotments to encourage outdoor learning. </w:t>
            </w:r>
          </w:p>
        </w:tc>
      </w:tr>
      <w:tr w:rsidR="00FB6881" w:rsidRPr="00E3373B" w14:paraId="3A944123" w14:textId="77777777" w:rsidTr="008A19C4">
        <w:tc>
          <w:tcPr>
            <w:tcW w:w="0" w:type="auto"/>
            <w:shd w:val="clear" w:color="auto" w:fill="FFFFFF" w:themeFill="background1"/>
          </w:tcPr>
          <w:p w14:paraId="1EFC0F4E" w14:textId="77777777" w:rsidR="000F40A7" w:rsidRPr="0043353E" w:rsidRDefault="000F40A7" w:rsidP="008A19C4">
            <w:pPr>
              <w:rPr>
                <w:rFonts w:cs="Arial"/>
              </w:rPr>
            </w:pPr>
            <w:r>
              <w:rPr>
                <w:rFonts w:cs="Arial"/>
              </w:rPr>
              <w:t>Access to a better active travel network</w:t>
            </w:r>
          </w:p>
        </w:tc>
        <w:tc>
          <w:tcPr>
            <w:tcW w:w="0" w:type="auto"/>
            <w:shd w:val="clear" w:color="auto" w:fill="FFFFFF" w:themeFill="background1"/>
          </w:tcPr>
          <w:p w14:paraId="46E3F7DB" w14:textId="77777777" w:rsidR="000F40A7" w:rsidRPr="00894EAD" w:rsidRDefault="000F40A7" w:rsidP="006B3D8D">
            <w:pPr>
              <w:pStyle w:val="ListParagraph"/>
              <w:numPr>
                <w:ilvl w:val="0"/>
                <w:numId w:val="34"/>
              </w:numPr>
              <w:rPr>
                <w:rFonts w:cs="Arial"/>
              </w:rPr>
            </w:pPr>
            <w:r w:rsidRPr="00894EAD">
              <w:rPr>
                <w:rFonts w:cs="Arial"/>
              </w:rPr>
              <w:t>Children</w:t>
            </w:r>
          </w:p>
          <w:p w14:paraId="32A86234" w14:textId="77777777" w:rsidR="000F40A7" w:rsidRPr="00894EAD" w:rsidRDefault="000F40A7" w:rsidP="006B3D8D">
            <w:pPr>
              <w:pStyle w:val="ListParagraph"/>
              <w:numPr>
                <w:ilvl w:val="0"/>
                <w:numId w:val="34"/>
              </w:numPr>
              <w:rPr>
                <w:rFonts w:cs="Arial"/>
              </w:rPr>
            </w:pPr>
            <w:r w:rsidRPr="00894EAD">
              <w:rPr>
                <w:rFonts w:cs="Arial"/>
              </w:rPr>
              <w:t>Younger people</w:t>
            </w:r>
          </w:p>
          <w:p w14:paraId="00CC2FF9" w14:textId="77777777" w:rsidR="000F40A7" w:rsidRPr="00894EAD" w:rsidRDefault="000F40A7" w:rsidP="008A19C4">
            <w:pPr>
              <w:pStyle w:val="ListParagraph"/>
              <w:numPr>
                <w:ilvl w:val="0"/>
                <w:numId w:val="36"/>
              </w:numPr>
              <w:spacing w:before="0" w:after="0" w:line="240" w:lineRule="auto"/>
              <w:rPr>
                <w:rFonts w:cs="Arial"/>
              </w:rPr>
            </w:pPr>
            <w:r w:rsidRPr="00894EAD">
              <w:rPr>
                <w:rFonts w:cs="Arial"/>
              </w:rPr>
              <w:t>Working age people</w:t>
            </w:r>
          </w:p>
          <w:p w14:paraId="34591715" w14:textId="77777777" w:rsidR="000F40A7" w:rsidRPr="00894EAD" w:rsidRDefault="000F40A7" w:rsidP="008A19C4">
            <w:pPr>
              <w:pStyle w:val="ListParagraph"/>
              <w:numPr>
                <w:ilvl w:val="0"/>
                <w:numId w:val="36"/>
              </w:numPr>
              <w:spacing w:before="0" w:after="0" w:line="240" w:lineRule="auto"/>
              <w:rPr>
                <w:rFonts w:cs="Arial"/>
              </w:rPr>
            </w:pPr>
            <w:r w:rsidRPr="00894EAD">
              <w:rPr>
                <w:rFonts w:cs="Arial"/>
              </w:rPr>
              <w:t>Disabled people</w:t>
            </w:r>
          </w:p>
          <w:p w14:paraId="58D7603D" w14:textId="77777777" w:rsidR="000F40A7" w:rsidRPr="00894EAD" w:rsidRDefault="000F40A7" w:rsidP="008A19C4">
            <w:pPr>
              <w:pStyle w:val="ListParagraph"/>
              <w:numPr>
                <w:ilvl w:val="0"/>
                <w:numId w:val="36"/>
              </w:numPr>
              <w:spacing w:before="0" w:after="0" w:line="240" w:lineRule="auto"/>
              <w:rPr>
                <w:rFonts w:cs="Arial"/>
              </w:rPr>
            </w:pPr>
            <w:r w:rsidRPr="00894EAD">
              <w:rPr>
                <w:rFonts w:cs="Arial"/>
              </w:rPr>
              <w:t>People who are deprived</w:t>
            </w:r>
          </w:p>
          <w:p w14:paraId="5993E0CF" w14:textId="77777777" w:rsidR="000F40A7" w:rsidRPr="00AD48C7" w:rsidRDefault="000F40A7" w:rsidP="008A19C4">
            <w:pPr>
              <w:pStyle w:val="ListParagraph"/>
              <w:numPr>
                <w:ilvl w:val="0"/>
                <w:numId w:val="36"/>
              </w:numPr>
              <w:spacing w:before="0" w:after="0" w:line="240" w:lineRule="auto"/>
              <w:rPr>
                <w:rFonts w:cs="Arial"/>
              </w:rPr>
            </w:pPr>
            <w:r w:rsidRPr="00894EAD">
              <w:rPr>
                <w:rFonts w:cs="Arial"/>
              </w:rPr>
              <w:t>BAME groups</w:t>
            </w:r>
          </w:p>
        </w:tc>
        <w:tc>
          <w:tcPr>
            <w:tcW w:w="0" w:type="auto"/>
            <w:shd w:val="clear" w:color="auto" w:fill="FFFFFF" w:themeFill="background1"/>
          </w:tcPr>
          <w:p w14:paraId="4EB6193F" w14:textId="33E95C1F" w:rsidR="00B75D53" w:rsidRDefault="00B75D53" w:rsidP="00B75D53">
            <w:pPr>
              <w:pStyle w:val="Bullet1"/>
              <w:numPr>
                <w:ilvl w:val="0"/>
                <w:numId w:val="0"/>
              </w:numPr>
            </w:pPr>
            <w:r>
              <w:t>A network of pedestrian and cycle links, including off-site cycleway improvements, will be developed as part of the TSDL.</w:t>
            </w:r>
          </w:p>
          <w:p w14:paraId="1F25CDB6" w14:textId="77777777" w:rsidR="000F40A7" w:rsidRPr="00CF149E" w:rsidRDefault="000F40A7" w:rsidP="008A19C4">
            <w:pPr>
              <w:rPr>
                <w:rFonts w:cs="Arial"/>
              </w:rPr>
            </w:pPr>
          </w:p>
        </w:tc>
        <w:tc>
          <w:tcPr>
            <w:tcW w:w="0" w:type="auto"/>
            <w:shd w:val="clear" w:color="auto" w:fill="FFFFFF" w:themeFill="background1"/>
          </w:tcPr>
          <w:p w14:paraId="3A0408F7" w14:textId="388A5DB6" w:rsidR="00892138" w:rsidRDefault="00892138" w:rsidP="00892138">
            <w:pPr>
              <w:rPr>
                <w:rFonts w:cs="Arial"/>
              </w:rPr>
            </w:pPr>
            <w:r>
              <w:rPr>
                <w:rFonts w:cs="Arial"/>
              </w:rPr>
              <w:t>E</w:t>
            </w:r>
            <w:r w:rsidRPr="00203BCA">
              <w:rPr>
                <w:rFonts w:cs="Arial"/>
              </w:rPr>
              <w:t xml:space="preserve">nsure that improvements to </w:t>
            </w:r>
            <w:r>
              <w:rPr>
                <w:rFonts w:cs="Arial"/>
              </w:rPr>
              <w:t xml:space="preserve">active travel infrastructure </w:t>
            </w:r>
            <w:r w:rsidRPr="00203BCA">
              <w:rPr>
                <w:rFonts w:cs="Arial"/>
              </w:rPr>
              <w:t>appropriately consider best practice in accessible design, th</w:t>
            </w:r>
            <w:r>
              <w:rPr>
                <w:rFonts w:cs="Arial"/>
              </w:rPr>
              <w:t>at</w:t>
            </w:r>
            <w:r w:rsidRPr="00203BCA">
              <w:rPr>
                <w:rFonts w:cs="Arial"/>
              </w:rPr>
              <w:t xml:space="preserve"> would benefit disabled people, including those with mobility and sensory impairments.</w:t>
            </w:r>
          </w:p>
          <w:p w14:paraId="773D4544" w14:textId="6F8D2EC1" w:rsidR="000109B7" w:rsidRDefault="00D00988" w:rsidP="00892138">
            <w:pPr>
              <w:rPr>
                <w:rFonts w:cs="Arial"/>
              </w:rPr>
            </w:pPr>
            <w:r w:rsidRPr="00D00988">
              <w:rPr>
                <w:rFonts w:cs="Arial"/>
              </w:rPr>
              <w:t>Traffic-free and segregated cycle paths and footpaths would make journeys much safer for those on foot or bike by separating them from traffic entirely.</w:t>
            </w:r>
          </w:p>
          <w:p w14:paraId="4DC2AC61" w14:textId="0BD9918F" w:rsidR="00BC5505" w:rsidRDefault="00050B1B" w:rsidP="00892138">
            <w:pPr>
              <w:rPr>
                <w:rFonts w:cs="Arial"/>
              </w:rPr>
            </w:pPr>
            <w:r w:rsidRPr="00050B1B">
              <w:rPr>
                <w:rFonts w:cs="Arial"/>
              </w:rPr>
              <w:t>Where cyclists and pedestrians have to share the road with traffic, it is essential that traffic is slowed down.</w:t>
            </w:r>
          </w:p>
          <w:p w14:paraId="7C10732C" w14:textId="77777777" w:rsidR="000F40A7" w:rsidRDefault="00FB149F" w:rsidP="008A19C4">
            <w:pPr>
              <w:rPr>
                <w:rFonts w:cs="Arial"/>
              </w:rPr>
            </w:pPr>
            <w:r w:rsidRPr="005E032F">
              <w:rPr>
                <w:rFonts w:cs="Arial"/>
              </w:rPr>
              <w:t>Make cycling more economically accessible</w:t>
            </w:r>
            <w:r w:rsidR="0070106D" w:rsidRPr="005E032F">
              <w:rPr>
                <w:rFonts w:cs="Arial"/>
              </w:rPr>
              <w:t xml:space="preserve"> through initiatives such as recycled/pool bikes</w:t>
            </w:r>
            <w:r w:rsidR="001E6743" w:rsidRPr="005E032F">
              <w:rPr>
                <w:rFonts w:cs="Arial"/>
              </w:rPr>
              <w:t xml:space="preserve">, empowering </w:t>
            </w:r>
            <w:r w:rsidR="00C53C0D" w:rsidRPr="005E032F">
              <w:rPr>
                <w:rFonts w:cs="Arial"/>
              </w:rPr>
              <w:t>members of the local community to help</w:t>
            </w:r>
            <w:r w:rsidR="00A82D21" w:rsidRPr="005E032F">
              <w:rPr>
                <w:rFonts w:cs="Arial"/>
              </w:rPr>
              <w:t xml:space="preserve"> plan and deliver </w:t>
            </w:r>
            <w:r w:rsidR="00B41D0D" w:rsidRPr="005E032F">
              <w:rPr>
                <w:rFonts w:cs="Arial"/>
              </w:rPr>
              <w:t>such initiatives</w:t>
            </w:r>
            <w:r w:rsidR="00B41D0D">
              <w:rPr>
                <w:rFonts w:cs="Arial"/>
              </w:rPr>
              <w:t>.</w:t>
            </w:r>
          </w:p>
          <w:p w14:paraId="5073945A" w14:textId="77777777" w:rsidR="00DE02B8" w:rsidRDefault="00DE02B8" w:rsidP="008A19C4">
            <w:pPr>
              <w:rPr>
                <w:rFonts w:cs="Arial"/>
              </w:rPr>
            </w:pPr>
            <w:r w:rsidRPr="005E032F">
              <w:rPr>
                <w:rFonts w:cs="Arial"/>
              </w:rPr>
              <w:t>Con</w:t>
            </w:r>
            <w:r>
              <w:rPr>
                <w:rFonts w:cs="Arial"/>
              </w:rPr>
              <w:t xml:space="preserve">sider </w:t>
            </w:r>
            <w:r w:rsidR="00172BA0">
              <w:rPr>
                <w:rFonts w:cs="Arial"/>
              </w:rPr>
              <w:t>including plans for TSDL to be better integrated with the local public transport network</w:t>
            </w:r>
            <w:r w:rsidR="00033EEE">
              <w:rPr>
                <w:rFonts w:cs="Arial"/>
              </w:rPr>
              <w:t xml:space="preserve">, encouraging sustainable transport use. </w:t>
            </w:r>
          </w:p>
          <w:p w14:paraId="08518627" w14:textId="1A9478CD" w:rsidR="008A13B8" w:rsidRPr="000002EC" w:rsidRDefault="008A13B8" w:rsidP="008A19C4">
            <w:pPr>
              <w:rPr>
                <w:rFonts w:cs="Arial"/>
                <w:highlight w:val="yellow"/>
              </w:rPr>
            </w:pPr>
            <w:r w:rsidRPr="005E032F">
              <w:rPr>
                <w:rFonts w:cs="Arial"/>
              </w:rPr>
              <w:t>Consider introducing a new 20mph speed limit both in the existing village and the new TSDL.</w:t>
            </w:r>
          </w:p>
        </w:tc>
      </w:tr>
      <w:tr w:rsidR="00FB6881" w:rsidRPr="00E3373B" w14:paraId="55F6C8CE" w14:textId="77777777" w:rsidTr="008A19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FFFFFF" w:themeFill="background1"/>
          </w:tcPr>
          <w:p w14:paraId="6493B3AE" w14:textId="77777777" w:rsidR="000F40A7" w:rsidRDefault="000F40A7" w:rsidP="008A19C4">
            <w:pPr>
              <w:rPr>
                <w:rFonts w:cs="Arial"/>
              </w:rPr>
            </w:pPr>
            <w:r>
              <w:rPr>
                <w:rFonts w:cs="Arial"/>
              </w:rPr>
              <w:t xml:space="preserve">Access to </w:t>
            </w:r>
            <w:r w:rsidRPr="007F097E">
              <w:rPr>
                <w:rFonts w:cs="Arial"/>
              </w:rPr>
              <w:t>social infrastructure and community resources</w:t>
            </w:r>
          </w:p>
        </w:tc>
        <w:tc>
          <w:tcPr>
            <w:tcW w:w="0" w:type="auto"/>
            <w:shd w:val="clear" w:color="auto" w:fill="FFFFFF" w:themeFill="background1"/>
          </w:tcPr>
          <w:p w14:paraId="4EE1C211" w14:textId="77777777" w:rsidR="000F40A7" w:rsidRDefault="004A28DE" w:rsidP="006B3D8D">
            <w:pPr>
              <w:pStyle w:val="ListParagraph"/>
              <w:numPr>
                <w:ilvl w:val="0"/>
                <w:numId w:val="34"/>
              </w:numPr>
              <w:rPr>
                <w:rFonts w:cs="Arial"/>
              </w:rPr>
            </w:pPr>
            <w:r>
              <w:rPr>
                <w:rFonts w:cs="Arial"/>
              </w:rPr>
              <w:t>Older people</w:t>
            </w:r>
          </w:p>
          <w:p w14:paraId="1160FD7E" w14:textId="243198F0" w:rsidR="004A28DE" w:rsidRPr="00894EAD" w:rsidRDefault="004A28DE" w:rsidP="006B3D8D">
            <w:pPr>
              <w:pStyle w:val="ListParagraph"/>
              <w:numPr>
                <w:ilvl w:val="0"/>
                <w:numId w:val="34"/>
              </w:numPr>
              <w:rPr>
                <w:rFonts w:cs="Arial"/>
              </w:rPr>
            </w:pPr>
            <w:r>
              <w:rPr>
                <w:rFonts w:cs="Arial"/>
              </w:rPr>
              <w:t>Disabled people</w:t>
            </w:r>
          </w:p>
        </w:tc>
        <w:tc>
          <w:tcPr>
            <w:tcW w:w="0" w:type="auto"/>
            <w:shd w:val="clear" w:color="auto" w:fill="FFFFFF" w:themeFill="background1"/>
          </w:tcPr>
          <w:p w14:paraId="50E99819" w14:textId="77777777" w:rsidR="000F40A7" w:rsidRPr="00942FA1" w:rsidRDefault="000F40A7" w:rsidP="008A19C4">
            <w:pPr>
              <w:rPr>
                <w:rFonts w:cs="Arial"/>
              </w:rPr>
            </w:pPr>
            <w:r>
              <w:rPr>
                <w:rFonts w:cs="Arial"/>
              </w:rPr>
              <w:t xml:space="preserve">The TSDL will provide a </w:t>
            </w:r>
            <w:r w:rsidRPr="00A95B32">
              <w:rPr>
                <w:rFonts w:cs="Arial"/>
              </w:rPr>
              <w:t>new community centre</w:t>
            </w:r>
            <w:r>
              <w:rPr>
                <w:rFonts w:cs="Arial"/>
              </w:rPr>
              <w:t>.</w:t>
            </w:r>
          </w:p>
        </w:tc>
        <w:tc>
          <w:tcPr>
            <w:tcW w:w="0" w:type="auto"/>
            <w:shd w:val="clear" w:color="auto" w:fill="FFFFFF" w:themeFill="background1"/>
          </w:tcPr>
          <w:p w14:paraId="4E02A167" w14:textId="3EA88683" w:rsidR="000F40A7" w:rsidRPr="00C619AA" w:rsidRDefault="001F1D8A" w:rsidP="008A19C4">
            <w:pPr>
              <w:rPr>
                <w:rFonts w:cs="Arial"/>
              </w:rPr>
            </w:pPr>
            <w:r>
              <w:rPr>
                <w:rFonts w:cs="Arial"/>
              </w:rPr>
              <w:t>Ensure that the</w:t>
            </w:r>
            <w:r w:rsidR="002F31A0" w:rsidRPr="00913670">
              <w:rPr>
                <w:rFonts w:cs="Arial"/>
              </w:rPr>
              <w:t xml:space="preserve"> community</w:t>
            </w:r>
            <w:r w:rsidR="00027597">
              <w:rPr>
                <w:rFonts w:cs="Arial"/>
              </w:rPr>
              <w:t xml:space="preserve"> centre provides adequate space for</w:t>
            </w:r>
            <w:r w:rsidR="001D45D7">
              <w:rPr>
                <w:rFonts w:cs="Arial"/>
              </w:rPr>
              <w:t xml:space="preserve"> community</w:t>
            </w:r>
            <w:r w:rsidR="009A7A4C">
              <w:rPr>
                <w:rFonts w:cs="Arial"/>
              </w:rPr>
              <w:t xml:space="preserve">-based </w:t>
            </w:r>
            <w:r w:rsidR="001D45D7">
              <w:rPr>
                <w:rFonts w:cs="Arial"/>
              </w:rPr>
              <w:t>activities</w:t>
            </w:r>
            <w:r w:rsidR="004B5D53">
              <w:rPr>
                <w:rFonts w:cs="Arial"/>
              </w:rPr>
              <w:t xml:space="preserve">, with </w:t>
            </w:r>
            <w:r w:rsidR="008E047D">
              <w:rPr>
                <w:rFonts w:cs="Arial"/>
              </w:rPr>
              <w:t>consideration given to provision of events for older and disabled people.</w:t>
            </w:r>
            <w:r w:rsidR="0031720F">
              <w:rPr>
                <w:rFonts w:cs="Arial"/>
              </w:rPr>
              <w:t xml:space="preserve"> </w:t>
            </w:r>
          </w:p>
        </w:tc>
      </w:tr>
    </w:tbl>
    <w:p w14:paraId="5D4D5B88" w14:textId="77777777" w:rsidR="00E90C1D" w:rsidRPr="00E90C1D" w:rsidRDefault="00E90C1D" w:rsidP="00E90C1D">
      <w:pPr>
        <w:rPr>
          <w:sz w:val="16"/>
          <w:szCs w:val="16"/>
        </w:rPr>
      </w:pPr>
      <w:r w:rsidRPr="00A94309">
        <w:rPr>
          <w:sz w:val="16"/>
          <w:szCs w:val="16"/>
        </w:rPr>
        <w:lastRenderedPageBreak/>
        <w:t>Source: Mott MacDonald, 2020</w:t>
      </w:r>
    </w:p>
    <w:p w14:paraId="62AE8787" w14:textId="0BAC6127" w:rsidR="00A4175D" w:rsidRDefault="00990CD3" w:rsidP="00990CD3">
      <w:pPr>
        <w:pStyle w:val="Heading2"/>
      </w:pPr>
      <w:r>
        <w:t>Action Plan</w:t>
      </w:r>
    </w:p>
    <w:p w14:paraId="3B7CE30E" w14:textId="73C5E241" w:rsidR="00A4175D" w:rsidRDefault="005442EC" w:rsidP="00A4175D">
      <w:r w:rsidRPr="005442EC">
        <w:t>The following action plan seeks to establish activities and responsibilities to continue to identify and address equality issues where they arise.</w:t>
      </w:r>
    </w:p>
    <w:p w14:paraId="6A32DD2B" w14:textId="623D338B" w:rsidR="00A4175D" w:rsidRDefault="00CF6464" w:rsidP="00546CDA">
      <w:pPr>
        <w:pStyle w:val="Caption"/>
      </w:pPr>
      <w:bookmarkStart w:id="57" w:name="_Toc31809592"/>
      <w:r>
        <w:t>Table</w:t>
      </w:r>
      <w:r w:rsidR="00546CDA" w:rsidRPr="009C1C7C">
        <w:t xml:space="preserve"> </w:t>
      </w:r>
      <w:r w:rsidR="00546CDA">
        <w:rPr>
          <w:noProof/>
        </w:rPr>
        <w:fldChar w:fldCharType="begin"/>
      </w:r>
      <w:r w:rsidR="00546CDA">
        <w:rPr>
          <w:noProof/>
        </w:rPr>
        <w:instrText xml:space="preserve"> STYLEREF 1 \s </w:instrText>
      </w:r>
      <w:r w:rsidR="00546CDA">
        <w:rPr>
          <w:noProof/>
        </w:rPr>
        <w:fldChar w:fldCharType="separate"/>
      </w:r>
      <w:r>
        <w:rPr>
          <w:noProof/>
        </w:rPr>
        <w:t>5</w:t>
      </w:r>
      <w:r w:rsidR="00546CDA">
        <w:rPr>
          <w:noProof/>
        </w:rPr>
        <w:fldChar w:fldCharType="end"/>
      </w:r>
      <w:r w:rsidR="00546CDA">
        <w:t>.</w:t>
      </w:r>
      <w:r w:rsidR="00546CDA">
        <w:rPr>
          <w:noProof/>
        </w:rPr>
        <w:fldChar w:fldCharType="begin"/>
      </w:r>
      <w:r w:rsidR="00546CDA">
        <w:rPr>
          <w:noProof/>
        </w:rPr>
        <w:instrText xml:space="preserve"> SEQ Table \* ARABIC \s 1 </w:instrText>
      </w:r>
      <w:r w:rsidR="00546CDA">
        <w:rPr>
          <w:noProof/>
        </w:rPr>
        <w:fldChar w:fldCharType="separate"/>
      </w:r>
      <w:r>
        <w:rPr>
          <w:noProof/>
        </w:rPr>
        <w:t>2</w:t>
      </w:r>
      <w:r w:rsidR="00546CDA">
        <w:rPr>
          <w:noProof/>
        </w:rPr>
        <w:fldChar w:fldCharType="end"/>
      </w:r>
      <w:r w:rsidR="00546CDA" w:rsidRPr="009C1C7C">
        <w:t>:</w:t>
      </w:r>
      <w:r w:rsidR="00546CDA">
        <w:t xml:space="preserve"> </w:t>
      </w:r>
      <w:r w:rsidR="006471CB">
        <w:t>Action Plan</w:t>
      </w:r>
      <w:bookmarkEnd w:id="57"/>
    </w:p>
    <w:tbl>
      <w:tblPr>
        <w:tblW w:w="0" w:type="auto"/>
        <w:tblBorders>
          <w:top w:val="single" w:sz="4" w:space="0" w:color="2FB6BC" w:themeColor="accent1"/>
          <w:bottom w:val="single" w:sz="4" w:space="0" w:color="2FB6BC" w:themeColor="accent1"/>
          <w:insideH w:val="single" w:sz="4" w:space="0" w:color="2FB6BC" w:themeColor="accent1"/>
        </w:tblBorders>
        <w:tblLayout w:type="fixed"/>
        <w:tblCellMar>
          <w:left w:w="0" w:type="dxa"/>
          <w:right w:w="0" w:type="dxa"/>
        </w:tblCellMar>
        <w:tblLook w:val="04E0" w:firstRow="1" w:lastRow="1" w:firstColumn="1" w:lastColumn="0" w:noHBand="0" w:noVBand="1"/>
        <w:tblDescription w:val="{&quot;Ott&quot;:{&quot;FirstRow&quot;:{&quot;Font&quot;:{&quot;Size&quot;:9.0,&quot;SizeOverridePp&quot;:16.0,&quot;Bold&quot;:true,&quot;Color&quot;:{&quot;Key&quot;:&quot;HeaderText&quot;}},&quot;LineSpacing&quot;:{},&quot;Margin&quot;:{},&quot;Borders&quot;:{&quot;Vertical&quot;:{},&quot;Horizontal&quot;:{&quot;BorderWeightOverridePp&quot;:&quot;Pt0_5&quot;},&quot;Left&quot;:{},&quot;Top&quot;:{&quot;Visible&quot;:false},&quot;Right&quot;:{},&quot;Bottom&quot;:{&quot;Color&quot;:{&quot;Key&quot;:&quot;TopLine&quot;},&quot;BorderWeight&quot;:&quot;Pt0_5&quot;,&quot;Type&quot;:&quot;Solid&quot;,&quot;Visible&quot;:true}}},&quot;LastRow&quot;:{&quot;Font&quot;:{},&quot;LineSpacing&quot;:{},&quot;Margin&quot;:{},&quot;Borders&quot;:{&quot;Vertical&quot;:{},&quot;Horizontal&quot;:{&quot;BorderWeightOverridePp&quot;:&quot;Pt1&quot;},&quot;Left&quot;:{},&quot;Top&quot;:{},&quot;Right&quot;:{},&quot;Bottom&quot;:{&quot;Color&quot;:{&quot;Key&quot;:&quot;ButtomLine&quot;},&quot;BorderWeight&quot;:&quot;Pt1&quot;,&quot;Type&quot;:&quot;Solid&quot;,&quot;Visible&quot;:true}}},&quot;FirstColumn&quot;:{&quot;Font&quot;:{},&quot;LineSpacing&quot;:{},&quot;Alignment&quot;:{&quot;Horizontal&quot;:&quot;Lef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BackgroundColor&quot;:{&quot;Key&quot;:&quot;Banded&quot;},&quot;Font&quot;:{},&quot;LineSpacing&quot;:{},&quot;Margin&quot;:{},&quot;Borders&quot;:{&quot;Vertical&quot;:{},&quot;Horizontal&quot;:{},&quot;Left&quot;:{},&quot;Top&quot;:{},&quot;Right&quot;:{},&quot;Bottom&quot;:{}}},&quot;Type&quot;:&quot;BandFirst&quot;,&quot;EndType&quot;:&quot;EndAfter&quot;},&quot;BandedColumn&quot;:{&quot;Item&quot;:{&quot;Font&quot;:{},&quot;LineSpacing&quot;:{},&quot;Alignment&quot;:{},&quot;Margin&quot;:{},&quot;Borders&quot;:{&quot;Vertical&quot;:{},&quot;Horizontal&quot;:{},&quot;Left&quot;:{},&quot;Top&quot;:{},&quot;Right&quot;:{},&quot;Bottom&quot;:{}}}},&quot;FitRowHeightPp&quot;:true,&quot;ZeroMarginsWord&quot;:true,&quot;BackgroundColor&quot;:{&quot;Key&quot;:&quot;NoFill&quot;},&quot;Font&quot;:{&quot;Name&quot;:&quot;Arial&quot;,&quot;Size&quot;:8.0,&quot;SizeOverridePp&quot;:14.0,&quot;Color&quot;:{&quot;Key&quot;:&quot;FontText&quot;}},&quot;LineSpacing&quot;:{},&quot;Alignment&quot;:{&quot;Horizontal&quot;:&quot;Left&quot;},&quot;Margin&quot;:{&quot;Left&quot;:5.4,&quot;Top&quot;:2.0,&quot;Right&quot;:5.4,&quot;Bottom&quot;:2.0},&quot;Borders&quot;:{&quot;Vertical&quot;:{&quot;Visible&quot;:false},&quot;Horizontal&quot;:{&quot;Color&quot;:{&quot;Key&quot;:&quot;MiddleLines&quot;},&quot;BorderWeight&quot;:&quot;Pt0_5&quot;,&quot;BorderWeightOverridePp&quot;:&quot;Pt0_5&quot;,&quot;Type&quot;:&quot;Solid&quot;,&quot;Visible&quot;:true},&quot;Left&quot;:{},&quot;Top&quot;:{},&quot;Right&quot;:{},&quot;Bottom&quot;:{}}},&quot;Ccs&quot;:{&quot;HeaderText&quot;:&quot;1, 1, 1, 1&quot;,&quot;FontText&quot;:&quot;Black&quot;,&quot;NoFill&quot;:&quot;Transparent&quot;,&quot;MiddleLines&quot;:&quot;1, 1, 1, 1&quot;,&quot;TopLine&quot;:&quot;Black&quot;,&quot;Banded&quot;:&quot;221, 220, 220&quot;,&quot;ButtomLine&quot;:&quot;Black&quot;},&quot;Cop&quot;:{&quot;FirstRow&quot;:true,&quot;LastRow&quot;:true,&quot;FirstColumn&quot;:true,&quot;BandedRows&quot;:true}}"/>
      </w:tblPr>
      <w:tblGrid>
        <w:gridCol w:w="2835"/>
        <w:gridCol w:w="2835"/>
        <w:gridCol w:w="2835"/>
      </w:tblGrid>
      <w:tr w:rsidR="000372CD" w:rsidRPr="000372CD" w14:paraId="606DCF42" w14:textId="77777777" w:rsidTr="005E032F">
        <w:trPr>
          <w:tblHeader/>
        </w:trPr>
        <w:tc>
          <w:tcPr>
            <w:tcW w:w="2835" w:type="dxa"/>
            <w:tcBorders>
              <w:top w:val="nil"/>
              <w:bottom w:val="single" w:sz="4" w:space="0" w:color="000000"/>
            </w:tcBorders>
            <w:shd w:val="clear" w:color="auto" w:fill="DDDDDC" w:themeFill="text2" w:themeFillTint="33"/>
          </w:tcPr>
          <w:p w14:paraId="2E920649" w14:textId="62314D19" w:rsidR="000372CD" w:rsidRPr="000372CD" w:rsidRDefault="008E7C56" w:rsidP="000372CD">
            <w:pPr>
              <w:spacing w:before="40" w:after="40"/>
              <w:ind w:left="108" w:right="108"/>
              <w:rPr>
                <w:rFonts w:ascii="Arial" w:hAnsi="Arial" w:cs="Arial"/>
                <w:b/>
                <w:color w:val="2FB6BC" w:themeColor="accent1"/>
                <w:sz w:val="18"/>
              </w:rPr>
            </w:pPr>
            <w:r>
              <w:rPr>
                <w:rFonts w:ascii="Arial" w:hAnsi="Arial" w:cs="Arial"/>
                <w:b/>
                <w:color w:val="2FB6BC" w:themeColor="accent1"/>
                <w:sz w:val="18"/>
              </w:rPr>
              <w:t>Acti</w:t>
            </w:r>
            <w:r w:rsidR="0034181B">
              <w:rPr>
                <w:rFonts w:ascii="Arial" w:hAnsi="Arial" w:cs="Arial"/>
                <w:b/>
                <w:color w:val="2FB6BC" w:themeColor="accent1"/>
                <w:sz w:val="18"/>
              </w:rPr>
              <w:t>on</w:t>
            </w:r>
          </w:p>
        </w:tc>
        <w:tc>
          <w:tcPr>
            <w:tcW w:w="2835" w:type="dxa"/>
            <w:tcBorders>
              <w:top w:val="nil"/>
              <w:bottom w:val="single" w:sz="4" w:space="0" w:color="000000"/>
            </w:tcBorders>
            <w:shd w:val="clear" w:color="auto" w:fill="DDDDDC" w:themeFill="text2" w:themeFillTint="33"/>
          </w:tcPr>
          <w:p w14:paraId="3307EBEC" w14:textId="3BDF0AFE" w:rsidR="000372CD" w:rsidRPr="000372CD" w:rsidRDefault="00380777" w:rsidP="000372CD">
            <w:pPr>
              <w:spacing w:before="40" w:after="40"/>
              <w:ind w:left="108" w:right="108"/>
              <w:rPr>
                <w:rFonts w:ascii="Arial" w:hAnsi="Arial" w:cs="Arial"/>
                <w:b/>
                <w:color w:val="2FB6BC" w:themeColor="accent1"/>
                <w:sz w:val="18"/>
              </w:rPr>
            </w:pPr>
            <w:r>
              <w:rPr>
                <w:rFonts w:ascii="Arial" w:hAnsi="Arial" w:cs="Arial"/>
                <w:b/>
                <w:color w:val="2FB6BC" w:themeColor="accent1"/>
                <w:sz w:val="18"/>
              </w:rPr>
              <w:t>Responsibility</w:t>
            </w:r>
          </w:p>
        </w:tc>
        <w:tc>
          <w:tcPr>
            <w:tcW w:w="2835" w:type="dxa"/>
            <w:tcBorders>
              <w:top w:val="nil"/>
              <w:bottom w:val="single" w:sz="4" w:space="0" w:color="000000"/>
            </w:tcBorders>
            <w:shd w:val="clear" w:color="auto" w:fill="DDDDDC" w:themeFill="text2" w:themeFillTint="33"/>
          </w:tcPr>
          <w:p w14:paraId="51F28890" w14:textId="5B1A0020" w:rsidR="000372CD" w:rsidRPr="000372CD" w:rsidRDefault="006F024C" w:rsidP="000372CD">
            <w:pPr>
              <w:spacing w:before="40" w:after="40"/>
              <w:ind w:left="108" w:right="108"/>
              <w:rPr>
                <w:rFonts w:ascii="Arial" w:hAnsi="Arial" w:cs="Arial"/>
                <w:b/>
                <w:color w:val="2FB6BC" w:themeColor="accent1"/>
                <w:sz w:val="18"/>
              </w:rPr>
            </w:pPr>
            <w:r>
              <w:rPr>
                <w:rFonts w:ascii="Arial" w:hAnsi="Arial" w:cs="Arial"/>
                <w:b/>
                <w:color w:val="2FB6BC" w:themeColor="accent1"/>
                <w:sz w:val="18"/>
              </w:rPr>
              <w:t xml:space="preserve">Implementation and </w:t>
            </w:r>
            <w:r w:rsidR="00331D2C">
              <w:rPr>
                <w:rFonts w:ascii="Arial" w:hAnsi="Arial" w:cs="Arial"/>
                <w:b/>
                <w:color w:val="2FB6BC" w:themeColor="accent1"/>
                <w:sz w:val="18"/>
              </w:rPr>
              <w:t>timing</w:t>
            </w:r>
          </w:p>
        </w:tc>
      </w:tr>
      <w:tr w:rsidR="00704C60" w:rsidRPr="000372CD" w14:paraId="29BF4F76" w14:textId="77777777" w:rsidTr="00E14F50">
        <w:trPr>
          <w:trHeight w:val="3091"/>
        </w:trPr>
        <w:tc>
          <w:tcPr>
            <w:tcW w:w="2835" w:type="dxa"/>
            <w:tcBorders>
              <w:top w:val="single" w:sz="4" w:space="0" w:color="000000"/>
            </w:tcBorders>
            <w:shd w:val="clear" w:color="auto" w:fill="FFFFFF" w:themeFill="background1"/>
          </w:tcPr>
          <w:p w14:paraId="5D0D38A1" w14:textId="1BCDA05D" w:rsidR="00704C60" w:rsidRDefault="00704C60" w:rsidP="00704C60">
            <w:pPr>
              <w:spacing w:before="40" w:after="40"/>
              <w:ind w:left="108" w:right="108"/>
              <w:rPr>
                <w:rFonts w:ascii="Arial" w:hAnsi="Arial" w:cs="Arial"/>
                <w:color w:val="000000"/>
                <w:sz w:val="16"/>
              </w:rPr>
            </w:pPr>
            <w:r>
              <w:rPr>
                <w:rFonts w:ascii="Arial" w:hAnsi="Arial" w:cs="Arial"/>
                <w:color w:val="000000"/>
                <w:sz w:val="16"/>
              </w:rPr>
              <w:t>Ensure continued engagement with landowners</w:t>
            </w:r>
            <w:r w:rsidR="00051EFC">
              <w:rPr>
                <w:rFonts w:ascii="Arial" w:hAnsi="Arial" w:cs="Arial"/>
                <w:color w:val="000000"/>
                <w:sz w:val="16"/>
              </w:rPr>
              <w:t xml:space="preserve"> and all those who have a land interest in the TSDL</w:t>
            </w:r>
            <w:r>
              <w:rPr>
                <w:rFonts w:ascii="Arial" w:hAnsi="Arial" w:cs="Arial"/>
                <w:color w:val="000000"/>
                <w:sz w:val="16"/>
              </w:rPr>
              <w:t xml:space="preserve"> about the CPO Process and planning permission, including;</w:t>
            </w:r>
          </w:p>
          <w:p w14:paraId="0DE7577E" w14:textId="383FE852" w:rsidR="00704C60" w:rsidRDefault="00704C60" w:rsidP="00704C60">
            <w:pPr>
              <w:pStyle w:val="Bullet1"/>
              <w:rPr>
                <w:sz w:val="16"/>
                <w:szCs w:val="16"/>
              </w:rPr>
            </w:pPr>
            <w:r w:rsidRPr="00175540">
              <w:rPr>
                <w:rFonts w:hint="eastAsia"/>
                <w:sz w:val="16"/>
                <w:szCs w:val="16"/>
              </w:rPr>
              <w:t>A review and update of information available on the dedicated website</w:t>
            </w:r>
          </w:p>
          <w:p w14:paraId="7F143F4E" w14:textId="77777777" w:rsidR="00704C60" w:rsidRDefault="00704C60" w:rsidP="00704C60">
            <w:pPr>
              <w:pStyle w:val="Bullet1"/>
              <w:rPr>
                <w:sz w:val="16"/>
                <w:szCs w:val="16"/>
              </w:rPr>
            </w:pPr>
            <w:r>
              <w:rPr>
                <w:sz w:val="16"/>
                <w:szCs w:val="16"/>
              </w:rPr>
              <w:t xml:space="preserve">Additional development update and engagement meetings. </w:t>
            </w:r>
          </w:p>
          <w:p w14:paraId="6FB4F3BC" w14:textId="7F3B359A" w:rsidR="00704C60" w:rsidRPr="000372CD" w:rsidRDefault="00704C60" w:rsidP="00704C60">
            <w:pPr>
              <w:spacing w:before="40" w:after="40"/>
              <w:ind w:left="108" w:right="108"/>
              <w:rPr>
                <w:rFonts w:ascii="Arial" w:hAnsi="Arial" w:cs="Arial"/>
                <w:color w:val="000000"/>
                <w:sz w:val="16"/>
              </w:rPr>
            </w:pPr>
            <w:r>
              <w:rPr>
                <w:sz w:val="16"/>
                <w:szCs w:val="16"/>
              </w:rPr>
              <w:t>Consideration should be given to          ensuring all information is provided in appropriate formats and languages to suit different needs</w:t>
            </w:r>
            <w:r w:rsidR="00051EFC">
              <w:rPr>
                <w:sz w:val="16"/>
                <w:szCs w:val="16"/>
              </w:rPr>
              <w:t xml:space="preserve"> where required</w:t>
            </w:r>
            <w:r>
              <w:rPr>
                <w:sz w:val="16"/>
                <w:szCs w:val="16"/>
              </w:rPr>
              <w:t xml:space="preserve">. </w:t>
            </w:r>
          </w:p>
        </w:tc>
        <w:tc>
          <w:tcPr>
            <w:tcW w:w="2835" w:type="dxa"/>
            <w:tcBorders>
              <w:top w:val="single" w:sz="4" w:space="0" w:color="000000"/>
            </w:tcBorders>
            <w:shd w:val="clear" w:color="auto" w:fill="FFFFFF" w:themeFill="background1"/>
          </w:tcPr>
          <w:p w14:paraId="0BF76E8F" w14:textId="0C534FC5" w:rsidR="00704C60" w:rsidRPr="000372CD" w:rsidRDefault="00704C60" w:rsidP="00704C60">
            <w:pPr>
              <w:spacing w:before="40" w:after="40"/>
              <w:ind w:left="108" w:right="108"/>
              <w:rPr>
                <w:rFonts w:ascii="Arial" w:hAnsi="Arial" w:cs="Arial"/>
                <w:color w:val="000000"/>
                <w:sz w:val="16"/>
              </w:rPr>
            </w:pPr>
            <w:r>
              <w:rPr>
                <w:rFonts w:ascii="Arial" w:hAnsi="Arial" w:cs="Arial"/>
                <w:color w:val="000000"/>
                <w:sz w:val="16"/>
              </w:rPr>
              <w:t>Chichester District Council Countryside Properties</w:t>
            </w:r>
          </w:p>
        </w:tc>
        <w:tc>
          <w:tcPr>
            <w:tcW w:w="2835" w:type="dxa"/>
            <w:tcBorders>
              <w:top w:val="single" w:sz="4" w:space="0" w:color="000000"/>
            </w:tcBorders>
            <w:shd w:val="clear" w:color="auto" w:fill="FFFFFF" w:themeFill="background1"/>
          </w:tcPr>
          <w:p w14:paraId="7D62B599" w14:textId="02C86F82" w:rsidR="00704C60" w:rsidRDefault="00704C60" w:rsidP="00704C60">
            <w:pPr>
              <w:spacing w:before="40" w:after="40"/>
              <w:ind w:left="108" w:right="108"/>
              <w:rPr>
                <w:rFonts w:ascii="Arial" w:hAnsi="Arial" w:cs="Arial"/>
                <w:color w:val="000000"/>
                <w:sz w:val="16"/>
              </w:rPr>
            </w:pPr>
            <w:r>
              <w:rPr>
                <w:rFonts w:ascii="Arial" w:hAnsi="Arial" w:cs="Arial"/>
                <w:color w:val="000000"/>
                <w:sz w:val="16"/>
              </w:rPr>
              <w:t xml:space="preserve">Information sessions and meetings to be </w:t>
            </w:r>
            <w:r w:rsidR="00051EFC">
              <w:rPr>
                <w:rFonts w:ascii="Arial" w:hAnsi="Arial" w:cs="Arial"/>
                <w:color w:val="000000"/>
                <w:sz w:val="16"/>
              </w:rPr>
              <w:t xml:space="preserve">continued to be </w:t>
            </w:r>
            <w:r>
              <w:rPr>
                <w:rFonts w:ascii="Arial" w:hAnsi="Arial" w:cs="Arial"/>
                <w:color w:val="000000"/>
                <w:sz w:val="16"/>
              </w:rPr>
              <w:t>scheduled with landowners</w:t>
            </w:r>
            <w:r w:rsidR="00051EFC">
              <w:rPr>
                <w:rFonts w:ascii="Arial" w:hAnsi="Arial" w:cs="Arial"/>
                <w:color w:val="000000"/>
                <w:sz w:val="16"/>
              </w:rPr>
              <w:t xml:space="preserve"> and/or their appointed representatives</w:t>
            </w:r>
            <w:r>
              <w:rPr>
                <w:rFonts w:ascii="Arial" w:hAnsi="Arial" w:cs="Arial"/>
                <w:color w:val="000000"/>
                <w:sz w:val="16"/>
              </w:rPr>
              <w:t xml:space="preserve">. </w:t>
            </w:r>
          </w:p>
          <w:p w14:paraId="4EDD9E4D" w14:textId="77777777" w:rsidR="00704C60" w:rsidRDefault="00704C60" w:rsidP="00704C60">
            <w:pPr>
              <w:spacing w:before="40" w:after="40"/>
              <w:ind w:left="108" w:right="108"/>
              <w:rPr>
                <w:rFonts w:ascii="Arial" w:hAnsi="Arial" w:cs="Arial"/>
                <w:color w:val="000000"/>
                <w:sz w:val="16"/>
              </w:rPr>
            </w:pPr>
            <w:r>
              <w:rPr>
                <w:rFonts w:ascii="Arial" w:hAnsi="Arial" w:cs="Arial"/>
                <w:color w:val="000000"/>
                <w:sz w:val="16"/>
              </w:rPr>
              <w:t xml:space="preserve">All information should be shared in a transparent manner. </w:t>
            </w:r>
          </w:p>
          <w:p w14:paraId="06F7C28D" w14:textId="5F51DFC0" w:rsidR="00710A98" w:rsidRDefault="00710A98" w:rsidP="00710A98">
            <w:pPr>
              <w:spacing w:before="40" w:after="40"/>
              <w:ind w:left="108" w:right="108"/>
              <w:rPr>
                <w:rFonts w:ascii="Arial" w:hAnsi="Arial" w:cs="Arial"/>
                <w:color w:val="000000"/>
                <w:sz w:val="16"/>
              </w:rPr>
            </w:pPr>
            <w:r>
              <w:rPr>
                <w:rFonts w:ascii="Arial" w:hAnsi="Arial" w:cs="Arial"/>
                <w:color w:val="000000"/>
                <w:sz w:val="16"/>
              </w:rPr>
              <w:t xml:space="preserve">Any new equality issues that arise as a result of the engagement that are not identified in this document </w:t>
            </w:r>
            <w:r w:rsidR="00D23AD2">
              <w:rPr>
                <w:rFonts w:ascii="Arial" w:hAnsi="Arial" w:cs="Arial"/>
                <w:color w:val="000000"/>
                <w:sz w:val="16"/>
              </w:rPr>
              <w:t>should be</w:t>
            </w:r>
            <w:r>
              <w:rPr>
                <w:rFonts w:ascii="Arial" w:hAnsi="Arial" w:cs="Arial"/>
                <w:color w:val="000000"/>
                <w:sz w:val="16"/>
              </w:rPr>
              <w:t xml:space="preserve"> flagged. </w:t>
            </w:r>
          </w:p>
          <w:p w14:paraId="2E590FC9" w14:textId="1E623E58" w:rsidR="00704C60" w:rsidRPr="000372CD" w:rsidRDefault="00D23AD2">
            <w:pPr>
              <w:spacing w:before="40" w:after="40"/>
              <w:ind w:left="108" w:right="108"/>
              <w:rPr>
                <w:rFonts w:ascii="Arial" w:hAnsi="Arial" w:cs="Arial"/>
                <w:color w:val="000000"/>
                <w:sz w:val="16"/>
              </w:rPr>
            </w:pPr>
            <w:r>
              <w:rPr>
                <w:rFonts w:ascii="Arial" w:hAnsi="Arial" w:cs="Arial"/>
                <w:color w:val="000000"/>
                <w:sz w:val="16"/>
              </w:rPr>
              <w:t>E</w:t>
            </w:r>
            <w:r w:rsidR="00704C60">
              <w:rPr>
                <w:rFonts w:ascii="Arial" w:hAnsi="Arial" w:cs="Arial"/>
                <w:color w:val="000000"/>
                <w:sz w:val="16"/>
              </w:rPr>
              <w:t>ach task</w:t>
            </w:r>
            <w:r>
              <w:rPr>
                <w:rFonts w:ascii="Arial" w:hAnsi="Arial" w:cs="Arial"/>
                <w:color w:val="000000"/>
                <w:sz w:val="16"/>
              </w:rPr>
              <w:t xml:space="preserve"> should be assigned to a responsible party</w:t>
            </w:r>
            <w:r w:rsidR="00704C60">
              <w:rPr>
                <w:rFonts w:ascii="Arial" w:hAnsi="Arial" w:cs="Arial"/>
                <w:color w:val="000000"/>
                <w:sz w:val="16"/>
              </w:rPr>
              <w:t xml:space="preserve">. </w:t>
            </w:r>
          </w:p>
        </w:tc>
      </w:tr>
      <w:tr w:rsidR="00463A62" w:rsidRPr="000372CD" w14:paraId="40EC699E" w14:textId="77777777" w:rsidTr="000372CD">
        <w:tc>
          <w:tcPr>
            <w:tcW w:w="2835" w:type="dxa"/>
            <w:tcBorders>
              <w:bottom w:val="single" w:sz="4" w:space="0" w:color="2FB6BC" w:themeColor="accent1"/>
            </w:tcBorders>
            <w:shd w:val="clear" w:color="auto" w:fill="auto"/>
          </w:tcPr>
          <w:p w14:paraId="04A4B06A" w14:textId="71547B3A" w:rsidR="00463A62" w:rsidRDefault="00051EFC" w:rsidP="000372CD">
            <w:pPr>
              <w:spacing w:before="40" w:after="40"/>
              <w:ind w:left="108" w:right="108"/>
              <w:rPr>
                <w:rFonts w:ascii="Arial" w:hAnsi="Arial" w:cs="Arial"/>
                <w:color w:val="000000"/>
                <w:sz w:val="16"/>
              </w:rPr>
            </w:pPr>
            <w:r>
              <w:rPr>
                <w:rFonts w:ascii="Arial" w:hAnsi="Arial" w:cs="Arial"/>
                <w:color w:val="000000"/>
                <w:sz w:val="16"/>
              </w:rPr>
              <w:t xml:space="preserve">Ensure continued engagement </w:t>
            </w:r>
            <w:r w:rsidR="00312F99">
              <w:rPr>
                <w:rFonts w:ascii="Arial" w:hAnsi="Arial" w:cs="Arial"/>
                <w:color w:val="000000"/>
                <w:sz w:val="16"/>
              </w:rPr>
              <w:t xml:space="preserve"> with </w:t>
            </w:r>
            <w:r w:rsidR="00855870">
              <w:rPr>
                <w:rFonts w:ascii="Arial" w:hAnsi="Arial" w:cs="Arial"/>
                <w:color w:val="000000"/>
                <w:sz w:val="16"/>
              </w:rPr>
              <w:t xml:space="preserve">the local community and residents </w:t>
            </w:r>
            <w:r w:rsidR="00AE2F2D">
              <w:rPr>
                <w:rFonts w:ascii="Arial" w:hAnsi="Arial" w:cs="Arial"/>
                <w:color w:val="000000"/>
                <w:sz w:val="16"/>
              </w:rPr>
              <w:t xml:space="preserve">including; </w:t>
            </w:r>
          </w:p>
          <w:p w14:paraId="3FF92ED0" w14:textId="51085F73" w:rsidR="00AE2F2D" w:rsidRDefault="00AE2F2D" w:rsidP="00AE2F2D">
            <w:pPr>
              <w:pStyle w:val="Bullet1"/>
              <w:rPr>
                <w:sz w:val="16"/>
                <w:szCs w:val="16"/>
              </w:rPr>
            </w:pPr>
            <w:r>
              <w:rPr>
                <w:sz w:val="16"/>
                <w:szCs w:val="16"/>
              </w:rPr>
              <w:t>Additional development update and engagement meetings</w:t>
            </w:r>
          </w:p>
          <w:p w14:paraId="03D56E3A" w14:textId="4B67617D" w:rsidR="00AE2F2D" w:rsidRDefault="00AE2F2D" w:rsidP="00AE2F2D">
            <w:pPr>
              <w:pStyle w:val="Bullet1"/>
              <w:rPr>
                <w:sz w:val="16"/>
                <w:szCs w:val="16"/>
              </w:rPr>
            </w:pPr>
            <w:r>
              <w:rPr>
                <w:sz w:val="16"/>
                <w:szCs w:val="16"/>
              </w:rPr>
              <w:t>Development update and consultation events</w:t>
            </w:r>
          </w:p>
          <w:p w14:paraId="6B57048C" w14:textId="039EC657" w:rsidR="004C0568" w:rsidRPr="004C0568" w:rsidRDefault="006B7344" w:rsidP="004C0568">
            <w:pPr>
              <w:pStyle w:val="Bullet1"/>
              <w:rPr>
                <w:sz w:val="16"/>
                <w:szCs w:val="16"/>
              </w:rPr>
            </w:pPr>
            <w:r>
              <w:rPr>
                <w:sz w:val="16"/>
                <w:szCs w:val="16"/>
              </w:rPr>
              <w:t xml:space="preserve">Information sessions </w:t>
            </w:r>
            <w:r w:rsidR="00045637">
              <w:rPr>
                <w:sz w:val="16"/>
                <w:szCs w:val="16"/>
              </w:rPr>
              <w:t>on specific topics affecting local commun</w:t>
            </w:r>
            <w:r w:rsidR="004C0568">
              <w:rPr>
                <w:sz w:val="16"/>
                <w:szCs w:val="16"/>
              </w:rPr>
              <w:t xml:space="preserve">ity stakeholders </w:t>
            </w:r>
          </w:p>
          <w:p w14:paraId="7EB99AFA" w14:textId="11F95CA5" w:rsidR="004C0568" w:rsidRDefault="004C0568" w:rsidP="004C0568">
            <w:pPr>
              <w:pStyle w:val="Bullet1"/>
              <w:numPr>
                <w:ilvl w:val="0"/>
                <w:numId w:val="0"/>
              </w:numPr>
              <w:rPr>
                <w:sz w:val="16"/>
                <w:szCs w:val="16"/>
              </w:rPr>
            </w:pPr>
            <w:r>
              <w:rPr>
                <w:sz w:val="16"/>
                <w:szCs w:val="16"/>
              </w:rPr>
              <w:t xml:space="preserve">Consideration should be given to ensuring all information is provided in appropriate formats and languages to suit different needs. </w:t>
            </w:r>
          </w:p>
          <w:p w14:paraId="5E8D7374" w14:textId="64615271" w:rsidR="00AE2F2D" w:rsidRPr="004D0321" w:rsidRDefault="00AE2F2D" w:rsidP="000372CD">
            <w:pPr>
              <w:spacing w:before="40" w:after="40"/>
              <w:ind w:left="108" w:right="108"/>
              <w:rPr>
                <w:rFonts w:ascii="Arial" w:hAnsi="Arial" w:cs="Arial"/>
                <w:color w:val="000000"/>
                <w:sz w:val="16"/>
              </w:rPr>
            </w:pPr>
          </w:p>
        </w:tc>
        <w:tc>
          <w:tcPr>
            <w:tcW w:w="2835" w:type="dxa"/>
            <w:tcBorders>
              <w:bottom w:val="single" w:sz="4" w:space="0" w:color="2FB6BC" w:themeColor="accent1"/>
            </w:tcBorders>
            <w:shd w:val="clear" w:color="auto" w:fill="auto"/>
          </w:tcPr>
          <w:p w14:paraId="739320B9" w14:textId="73F85ABC" w:rsidR="00B20D80" w:rsidRPr="004440FB" w:rsidRDefault="00B970CC" w:rsidP="00D74488">
            <w:pPr>
              <w:spacing w:before="40" w:after="40"/>
              <w:ind w:left="108" w:right="108"/>
              <w:rPr>
                <w:rFonts w:ascii="Arial" w:hAnsi="Arial" w:cs="Arial"/>
                <w:color w:val="000000"/>
                <w:sz w:val="16"/>
              </w:rPr>
            </w:pPr>
            <w:r>
              <w:rPr>
                <w:rFonts w:ascii="Arial" w:hAnsi="Arial" w:cs="Arial"/>
                <w:color w:val="000000"/>
                <w:sz w:val="16"/>
              </w:rPr>
              <w:t xml:space="preserve">Countryside Properties </w:t>
            </w:r>
            <w:r w:rsidR="002F354A">
              <w:rPr>
                <w:rFonts w:ascii="Arial" w:hAnsi="Arial" w:cs="Arial"/>
                <w:color w:val="000000"/>
                <w:sz w:val="16"/>
              </w:rPr>
              <w:t xml:space="preserve">to coordinate </w:t>
            </w:r>
            <w:r w:rsidR="0098352D">
              <w:rPr>
                <w:rFonts w:ascii="Arial" w:hAnsi="Arial" w:cs="Arial"/>
                <w:color w:val="000000"/>
                <w:sz w:val="16"/>
              </w:rPr>
              <w:t>in consultation</w:t>
            </w:r>
            <w:r>
              <w:rPr>
                <w:rFonts w:ascii="Arial" w:hAnsi="Arial" w:cs="Arial"/>
                <w:color w:val="000000"/>
                <w:sz w:val="16"/>
              </w:rPr>
              <w:t xml:space="preserve"> with Chichester District Council</w:t>
            </w:r>
          </w:p>
        </w:tc>
        <w:tc>
          <w:tcPr>
            <w:tcW w:w="2835" w:type="dxa"/>
            <w:tcBorders>
              <w:bottom w:val="single" w:sz="4" w:space="0" w:color="2FB6BC" w:themeColor="accent1"/>
            </w:tcBorders>
            <w:shd w:val="clear" w:color="auto" w:fill="auto"/>
          </w:tcPr>
          <w:p w14:paraId="327C81DB" w14:textId="4B531FFB" w:rsidR="006F7881" w:rsidRDefault="00051EFC" w:rsidP="006F7881">
            <w:pPr>
              <w:spacing w:before="40" w:after="40"/>
              <w:ind w:left="108" w:right="108"/>
              <w:rPr>
                <w:rFonts w:ascii="Arial" w:hAnsi="Arial" w:cs="Arial"/>
                <w:color w:val="000000"/>
                <w:sz w:val="16"/>
              </w:rPr>
            </w:pPr>
            <w:r>
              <w:rPr>
                <w:rFonts w:ascii="Arial" w:hAnsi="Arial" w:cs="Arial"/>
                <w:color w:val="000000"/>
                <w:sz w:val="16"/>
              </w:rPr>
              <w:t>Programme of future engagement events to be kept under review by Countryside in consultation with Chichester District Council, and the consultation website to be kept updated accordingly as the CPO, planning and development process progresses.</w:t>
            </w:r>
          </w:p>
          <w:p w14:paraId="585D3A86" w14:textId="77777777" w:rsidR="00B07F7E" w:rsidRDefault="00647E36" w:rsidP="00B07F7E">
            <w:pPr>
              <w:spacing w:before="40" w:after="40"/>
              <w:ind w:left="108" w:right="108"/>
              <w:rPr>
                <w:rFonts w:ascii="Arial" w:hAnsi="Arial" w:cs="Arial"/>
                <w:color w:val="000000"/>
                <w:sz w:val="16"/>
              </w:rPr>
            </w:pPr>
            <w:r>
              <w:rPr>
                <w:rFonts w:ascii="Arial" w:hAnsi="Arial" w:cs="Arial"/>
                <w:color w:val="000000"/>
                <w:sz w:val="16"/>
              </w:rPr>
              <w:t>All information should be</w:t>
            </w:r>
            <w:r w:rsidR="00B07F7E">
              <w:rPr>
                <w:rFonts w:ascii="Arial" w:hAnsi="Arial" w:cs="Arial"/>
                <w:color w:val="000000"/>
                <w:sz w:val="16"/>
              </w:rPr>
              <w:t xml:space="preserve"> shared in a transparent manner. </w:t>
            </w:r>
          </w:p>
          <w:p w14:paraId="227BDAB9" w14:textId="5A8F85F8" w:rsidR="00812A70" w:rsidRDefault="00812A70" w:rsidP="00812A70">
            <w:pPr>
              <w:spacing w:before="40" w:after="40"/>
              <w:ind w:left="108" w:right="108"/>
              <w:rPr>
                <w:rFonts w:ascii="Arial" w:hAnsi="Arial" w:cs="Arial"/>
                <w:color w:val="000000"/>
                <w:sz w:val="16"/>
              </w:rPr>
            </w:pPr>
            <w:r>
              <w:rPr>
                <w:rFonts w:ascii="Arial" w:hAnsi="Arial" w:cs="Arial"/>
                <w:color w:val="000000"/>
                <w:sz w:val="16"/>
              </w:rPr>
              <w:t xml:space="preserve">Any new equality issues that arise </w:t>
            </w:r>
            <w:r w:rsidR="00710A98">
              <w:rPr>
                <w:rFonts w:ascii="Arial" w:hAnsi="Arial" w:cs="Arial"/>
                <w:color w:val="000000"/>
                <w:sz w:val="16"/>
              </w:rPr>
              <w:t xml:space="preserve">as a result of the engagement </w:t>
            </w:r>
            <w:r>
              <w:rPr>
                <w:rFonts w:ascii="Arial" w:hAnsi="Arial" w:cs="Arial"/>
                <w:color w:val="000000"/>
                <w:sz w:val="16"/>
              </w:rPr>
              <w:t xml:space="preserve">that are not identified in this document are flagged. </w:t>
            </w:r>
          </w:p>
          <w:p w14:paraId="6E5B5583" w14:textId="07244730" w:rsidR="00F4631D" w:rsidRPr="00FF1710" w:rsidRDefault="00647E36" w:rsidP="00D74488">
            <w:pPr>
              <w:spacing w:before="40" w:after="40"/>
              <w:ind w:left="108" w:right="108"/>
              <w:rPr>
                <w:rFonts w:ascii="Arial" w:hAnsi="Arial" w:cs="Arial"/>
                <w:color w:val="000000"/>
                <w:sz w:val="16"/>
              </w:rPr>
            </w:pPr>
            <w:r>
              <w:rPr>
                <w:rFonts w:ascii="Arial" w:hAnsi="Arial" w:cs="Arial"/>
                <w:color w:val="000000"/>
                <w:sz w:val="16"/>
              </w:rPr>
              <w:t xml:space="preserve">. </w:t>
            </w:r>
          </w:p>
        </w:tc>
      </w:tr>
      <w:tr w:rsidR="000372CD" w:rsidRPr="000372CD" w14:paraId="73620888" w14:textId="77777777" w:rsidTr="000372CD">
        <w:tc>
          <w:tcPr>
            <w:tcW w:w="2835" w:type="dxa"/>
            <w:tcBorders>
              <w:bottom w:val="single" w:sz="4" w:space="0" w:color="2FB6BC" w:themeColor="accent1"/>
            </w:tcBorders>
            <w:shd w:val="clear" w:color="auto" w:fill="auto"/>
          </w:tcPr>
          <w:p w14:paraId="2B58399C" w14:textId="22A7DD0D" w:rsidR="000372CD" w:rsidRPr="000372CD" w:rsidRDefault="000931F1" w:rsidP="000372CD">
            <w:pPr>
              <w:spacing w:before="40" w:after="40"/>
              <w:ind w:left="108" w:right="108"/>
              <w:rPr>
                <w:rFonts w:ascii="Arial" w:hAnsi="Arial" w:cs="Arial"/>
                <w:color w:val="000000"/>
                <w:sz w:val="16"/>
              </w:rPr>
            </w:pPr>
            <w:r w:rsidRPr="004D0321">
              <w:rPr>
                <w:rFonts w:ascii="Arial" w:hAnsi="Arial" w:cs="Arial"/>
                <w:color w:val="000000"/>
                <w:sz w:val="16"/>
              </w:rPr>
              <w:t xml:space="preserve">Create a strategy that highlights the </w:t>
            </w:r>
            <w:r>
              <w:rPr>
                <w:rFonts w:ascii="Arial" w:hAnsi="Arial" w:cs="Arial"/>
                <w:color w:val="000000"/>
                <w:sz w:val="16"/>
              </w:rPr>
              <w:t>responsible parties’</w:t>
            </w:r>
            <w:r w:rsidRPr="004D0321">
              <w:rPr>
                <w:rFonts w:ascii="Arial" w:hAnsi="Arial" w:cs="Arial"/>
                <w:color w:val="000000"/>
                <w:sz w:val="16"/>
              </w:rPr>
              <w:t xml:space="preserve"> commitment to supporting employment in the local area as a result of the redevelopment.</w:t>
            </w:r>
          </w:p>
        </w:tc>
        <w:tc>
          <w:tcPr>
            <w:tcW w:w="2835" w:type="dxa"/>
            <w:tcBorders>
              <w:bottom w:val="single" w:sz="4" w:space="0" w:color="2FB6BC" w:themeColor="accent1"/>
            </w:tcBorders>
            <w:shd w:val="clear" w:color="auto" w:fill="auto"/>
          </w:tcPr>
          <w:p w14:paraId="54698E45" w14:textId="77777777" w:rsidR="004440FB" w:rsidRPr="004440FB" w:rsidRDefault="004440FB" w:rsidP="004440FB">
            <w:pPr>
              <w:spacing w:before="40" w:after="40"/>
              <w:ind w:left="108" w:right="108"/>
              <w:rPr>
                <w:rFonts w:ascii="Arial" w:hAnsi="Arial" w:cs="Arial"/>
                <w:color w:val="000000"/>
                <w:sz w:val="16"/>
              </w:rPr>
            </w:pPr>
            <w:r w:rsidRPr="004440FB">
              <w:rPr>
                <w:rFonts w:ascii="Arial" w:hAnsi="Arial" w:cs="Arial"/>
                <w:color w:val="000000"/>
                <w:sz w:val="16"/>
              </w:rPr>
              <w:t>Countryside Properties</w:t>
            </w:r>
          </w:p>
          <w:p w14:paraId="72A6E40B" w14:textId="7083DDD5" w:rsidR="000372CD" w:rsidRPr="000372CD" w:rsidRDefault="004440FB" w:rsidP="000372CD">
            <w:pPr>
              <w:spacing w:before="40" w:after="40"/>
              <w:ind w:left="108" w:right="108"/>
              <w:rPr>
                <w:rFonts w:ascii="Arial" w:hAnsi="Arial" w:cs="Arial"/>
                <w:color w:val="000000"/>
                <w:sz w:val="16"/>
              </w:rPr>
            </w:pPr>
            <w:r w:rsidRPr="004440FB">
              <w:rPr>
                <w:rFonts w:ascii="Arial" w:hAnsi="Arial" w:cs="Arial"/>
                <w:color w:val="000000"/>
                <w:sz w:val="16"/>
              </w:rPr>
              <w:t>Chichester District Council</w:t>
            </w:r>
          </w:p>
        </w:tc>
        <w:tc>
          <w:tcPr>
            <w:tcW w:w="2835" w:type="dxa"/>
            <w:tcBorders>
              <w:bottom w:val="single" w:sz="4" w:space="0" w:color="2FB6BC" w:themeColor="accent1"/>
            </w:tcBorders>
            <w:shd w:val="clear" w:color="auto" w:fill="auto"/>
          </w:tcPr>
          <w:p w14:paraId="07877A0D" w14:textId="60AAE0F1" w:rsidR="000372CD" w:rsidRPr="000372CD" w:rsidRDefault="000931F1" w:rsidP="000372CD">
            <w:pPr>
              <w:spacing w:before="40" w:after="40"/>
              <w:ind w:left="108" w:right="108"/>
              <w:rPr>
                <w:rFonts w:ascii="Arial" w:hAnsi="Arial" w:cs="Arial"/>
                <w:color w:val="000000"/>
                <w:sz w:val="16"/>
              </w:rPr>
            </w:pPr>
            <w:r w:rsidRPr="00FF1710">
              <w:rPr>
                <w:rFonts w:ascii="Arial" w:hAnsi="Arial" w:cs="Arial"/>
                <w:color w:val="000000"/>
                <w:sz w:val="16"/>
              </w:rPr>
              <w:t xml:space="preserve">Following the submission of the planning application for the </w:t>
            </w:r>
            <w:r>
              <w:rPr>
                <w:rFonts w:ascii="Arial" w:hAnsi="Arial" w:cs="Arial"/>
                <w:color w:val="000000"/>
                <w:sz w:val="16"/>
              </w:rPr>
              <w:t>TSDL</w:t>
            </w:r>
            <w:r w:rsidRPr="00FF1710">
              <w:rPr>
                <w:rFonts w:ascii="Arial" w:hAnsi="Arial" w:cs="Arial"/>
                <w:color w:val="000000"/>
                <w:sz w:val="16"/>
              </w:rPr>
              <w:t xml:space="preserve">, the </w:t>
            </w:r>
            <w:r>
              <w:rPr>
                <w:rFonts w:ascii="Arial" w:hAnsi="Arial" w:cs="Arial"/>
                <w:color w:val="000000"/>
                <w:sz w:val="16"/>
              </w:rPr>
              <w:t>responsible parties</w:t>
            </w:r>
            <w:r w:rsidRPr="00FF1710">
              <w:rPr>
                <w:rFonts w:ascii="Arial" w:hAnsi="Arial" w:cs="Arial"/>
                <w:color w:val="000000"/>
                <w:sz w:val="16"/>
              </w:rPr>
              <w:t xml:space="preserve"> should develop a range of suitable proposals that maximise the employment, apprenticeship and training opportunities created by the development, for local residents </w:t>
            </w:r>
            <w:r>
              <w:rPr>
                <w:rFonts w:ascii="Arial" w:hAnsi="Arial" w:cs="Arial"/>
                <w:color w:val="000000"/>
                <w:sz w:val="16"/>
              </w:rPr>
              <w:t>and from neighbourhood area</w:t>
            </w:r>
            <w:r w:rsidRPr="00FF1710">
              <w:rPr>
                <w:rFonts w:ascii="Arial" w:hAnsi="Arial" w:cs="Arial"/>
                <w:color w:val="000000"/>
                <w:sz w:val="16"/>
              </w:rPr>
              <w:t>.</w:t>
            </w:r>
          </w:p>
        </w:tc>
      </w:tr>
      <w:tr w:rsidR="000372CD" w:rsidRPr="000372CD" w14:paraId="5DEC745F" w14:textId="77777777" w:rsidTr="005E032F">
        <w:tc>
          <w:tcPr>
            <w:tcW w:w="2835" w:type="dxa"/>
            <w:shd w:val="clear" w:color="auto" w:fill="auto"/>
          </w:tcPr>
          <w:p w14:paraId="7491085D" w14:textId="44C36BA1" w:rsidR="002B55AB" w:rsidRPr="002B55AB" w:rsidRDefault="002B1248" w:rsidP="002B55AB">
            <w:pPr>
              <w:spacing w:before="40" w:after="40"/>
              <w:ind w:left="108" w:right="108"/>
              <w:rPr>
                <w:rFonts w:ascii="Arial" w:hAnsi="Arial" w:cs="Arial"/>
                <w:color w:val="000000"/>
                <w:sz w:val="16"/>
              </w:rPr>
            </w:pPr>
            <w:r>
              <w:rPr>
                <w:rFonts w:ascii="Arial" w:hAnsi="Arial" w:cs="Arial"/>
                <w:color w:val="000000"/>
                <w:sz w:val="16"/>
              </w:rPr>
              <w:t>Create a strategy</w:t>
            </w:r>
            <w:r w:rsidR="004C5216">
              <w:rPr>
                <w:rFonts w:ascii="Arial" w:hAnsi="Arial" w:cs="Arial"/>
                <w:color w:val="000000"/>
                <w:sz w:val="16"/>
              </w:rPr>
              <w:t xml:space="preserve"> to </w:t>
            </w:r>
            <w:r w:rsidR="002B55AB" w:rsidRPr="002B55AB">
              <w:rPr>
                <w:rFonts w:ascii="Arial" w:hAnsi="Arial" w:cs="Arial"/>
                <w:color w:val="000000"/>
                <w:sz w:val="16"/>
              </w:rPr>
              <w:t>manage</w:t>
            </w:r>
            <w:r w:rsidR="004C5216">
              <w:rPr>
                <w:rFonts w:ascii="Arial" w:hAnsi="Arial" w:cs="Arial"/>
                <w:color w:val="000000"/>
                <w:sz w:val="16"/>
              </w:rPr>
              <w:t xml:space="preserve"> effectively </w:t>
            </w:r>
            <w:r w:rsidR="0097459B">
              <w:rPr>
                <w:rFonts w:ascii="Arial" w:hAnsi="Arial" w:cs="Arial"/>
                <w:color w:val="000000"/>
                <w:sz w:val="16"/>
              </w:rPr>
              <w:t>the</w:t>
            </w:r>
            <w:r w:rsidR="002B55AB" w:rsidRPr="002B55AB">
              <w:rPr>
                <w:rFonts w:ascii="Arial" w:hAnsi="Arial" w:cs="Arial"/>
                <w:color w:val="000000"/>
                <w:sz w:val="16"/>
              </w:rPr>
              <w:t xml:space="preserve"> noise</w:t>
            </w:r>
            <w:r w:rsidR="0097459B">
              <w:rPr>
                <w:rFonts w:ascii="Arial" w:hAnsi="Arial" w:cs="Arial"/>
                <w:color w:val="000000"/>
                <w:sz w:val="16"/>
              </w:rPr>
              <w:t xml:space="preserve"> and air pollution</w:t>
            </w:r>
            <w:r w:rsidR="002B55AB" w:rsidRPr="002B55AB">
              <w:rPr>
                <w:rFonts w:ascii="Arial" w:hAnsi="Arial" w:cs="Arial"/>
                <w:color w:val="000000"/>
                <w:sz w:val="16"/>
              </w:rPr>
              <w:t xml:space="preserve"> impacts </w:t>
            </w:r>
            <w:r w:rsidR="00486C3C">
              <w:rPr>
                <w:rFonts w:ascii="Arial" w:hAnsi="Arial" w:cs="Arial"/>
                <w:color w:val="000000"/>
                <w:sz w:val="16"/>
              </w:rPr>
              <w:t xml:space="preserve">during the construction </w:t>
            </w:r>
            <w:r w:rsidR="009A5B2B">
              <w:rPr>
                <w:rFonts w:ascii="Arial" w:hAnsi="Arial" w:cs="Arial"/>
                <w:color w:val="000000"/>
                <w:sz w:val="16"/>
              </w:rPr>
              <w:t>works</w:t>
            </w:r>
            <w:r w:rsidR="00A10F77">
              <w:rPr>
                <w:rFonts w:ascii="Arial" w:hAnsi="Arial" w:cs="Arial"/>
                <w:color w:val="000000"/>
                <w:sz w:val="16"/>
              </w:rPr>
              <w:t xml:space="preserve">. </w:t>
            </w:r>
          </w:p>
          <w:p w14:paraId="6E1329D2" w14:textId="77777777" w:rsidR="000372CD" w:rsidRPr="000372CD" w:rsidRDefault="000372CD" w:rsidP="000372CD">
            <w:pPr>
              <w:spacing w:before="40" w:after="40"/>
              <w:ind w:left="108" w:right="108"/>
              <w:rPr>
                <w:rFonts w:ascii="Arial" w:hAnsi="Arial" w:cs="Arial"/>
                <w:color w:val="000000"/>
                <w:sz w:val="16"/>
              </w:rPr>
            </w:pPr>
          </w:p>
        </w:tc>
        <w:tc>
          <w:tcPr>
            <w:tcW w:w="2835" w:type="dxa"/>
            <w:shd w:val="clear" w:color="auto" w:fill="auto"/>
          </w:tcPr>
          <w:p w14:paraId="3CE0912D" w14:textId="77777777" w:rsidR="00A10F77" w:rsidRPr="00A10F77" w:rsidRDefault="00A10F77" w:rsidP="00A10F77">
            <w:pPr>
              <w:spacing w:before="40" w:after="40"/>
              <w:ind w:left="108" w:right="108"/>
              <w:rPr>
                <w:rFonts w:ascii="Arial" w:hAnsi="Arial" w:cs="Arial"/>
                <w:color w:val="000000"/>
                <w:sz w:val="16"/>
              </w:rPr>
            </w:pPr>
            <w:r w:rsidRPr="00A10F77">
              <w:rPr>
                <w:rFonts w:ascii="Arial" w:hAnsi="Arial" w:cs="Arial"/>
                <w:color w:val="000000"/>
                <w:sz w:val="16"/>
              </w:rPr>
              <w:t>Countryside Properties</w:t>
            </w:r>
          </w:p>
          <w:p w14:paraId="703856E5" w14:textId="0E2E445E" w:rsidR="000372CD" w:rsidRPr="000372CD" w:rsidRDefault="00A10F77" w:rsidP="000372CD">
            <w:pPr>
              <w:spacing w:before="40" w:after="40"/>
              <w:ind w:left="108" w:right="108"/>
              <w:rPr>
                <w:rFonts w:ascii="Arial" w:hAnsi="Arial" w:cs="Arial"/>
                <w:color w:val="000000"/>
                <w:sz w:val="16"/>
              </w:rPr>
            </w:pPr>
            <w:r w:rsidRPr="00A10F77">
              <w:rPr>
                <w:rFonts w:ascii="Arial" w:hAnsi="Arial" w:cs="Arial"/>
                <w:color w:val="000000"/>
                <w:sz w:val="16"/>
              </w:rPr>
              <w:t>Chichester District Council</w:t>
            </w:r>
          </w:p>
        </w:tc>
        <w:tc>
          <w:tcPr>
            <w:tcW w:w="2835" w:type="dxa"/>
            <w:shd w:val="clear" w:color="auto" w:fill="auto"/>
          </w:tcPr>
          <w:p w14:paraId="221B8791" w14:textId="77777777" w:rsidR="006A465A" w:rsidRDefault="004462A8" w:rsidP="000372CD">
            <w:pPr>
              <w:spacing w:before="40" w:after="40"/>
              <w:ind w:left="108" w:right="108"/>
              <w:rPr>
                <w:rFonts w:ascii="Arial" w:hAnsi="Arial" w:cs="Arial"/>
                <w:color w:val="000000"/>
                <w:sz w:val="16"/>
              </w:rPr>
            </w:pPr>
            <w:r>
              <w:rPr>
                <w:rFonts w:ascii="Arial" w:hAnsi="Arial" w:cs="Arial"/>
                <w:color w:val="000000"/>
                <w:sz w:val="16"/>
              </w:rPr>
              <w:t>Before and d</w:t>
            </w:r>
            <w:r w:rsidRPr="002B55AB">
              <w:rPr>
                <w:rFonts w:ascii="Arial" w:hAnsi="Arial" w:cs="Arial"/>
                <w:color w:val="000000"/>
                <w:sz w:val="16"/>
              </w:rPr>
              <w:t xml:space="preserve">uring the construction period, measures should be implemented to limit the negative impacts of </w:t>
            </w:r>
            <w:r>
              <w:rPr>
                <w:rFonts w:ascii="Arial" w:hAnsi="Arial" w:cs="Arial"/>
                <w:color w:val="000000"/>
                <w:sz w:val="16"/>
              </w:rPr>
              <w:t xml:space="preserve">noise and </w:t>
            </w:r>
            <w:r w:rsidRPr="002B55AB">
              <w:rPr>
                <w:rFonts w:ascii="Arial" w:hAnsi="Arial" w:cs="Arial"/>
                <w:color w:val="000000"/>
                <w:sz w:val="16"/>
              </w:rPr>
              <w:t xml:space="preserve">reduced air quality. </w:t>
            </w:r>
          </w:p>
          <w:p w14:paraId="6261F7D9" w14:textId="77777777" w:rsidR="000372CD" w:rsidRDefault="004462A8" w:rsidP="000372CD">
            <w:pPr>
              <w:spacing w:before="40" w:after="40"/>
              <w:ind w:left="108" w:right="108"/>
              <w:rPr>
                <w:rFonts w:ascii="Arial" w:hAnsi="Arial" w:cs="Arial"/>
                <w:color w:val="000000"/>
                <w:sz w:val="16"/>
              </w:rPr>
            </w:pPr>
            <w:r w:rsidRPr="002B55AB">
              <w:rPr>
                <w:rFonts w:ascii="Arial" w:hAnsi="Arial" w:cs="Arial"/>
                <w:color w:val="000000"/>
                <w:sz w:val="16"/>
              </w:rPr>
              <w:t xml:space="preserve">This could include the development and adoption of a </w:t>
            </w:r>
            <w:r w:rsidR="00266F0F">
              <w:rPr>
                <w:rFonts w:ascii="Arial" w:hAnsi="Arial" w:cs="Arial"/>
                <w:color w:val="000000"/>
                <w:sz w:val="16"/>
              </w:rPr>
              <w:t>CEMP, which should be made publicly available and accessible to all.</w:t>
            </w:r>
          </w:p>
          <w:p w14:paraId="3C6A87E7" w14:textId="2FA2B826" w:rsidR="00D214F1" w:rsidRPr="000372CD" w:rsidRDefault="00D214F1" w:rsidP="000372CD">
            <w:pPr>
              <w:spacing w:before="40" w:after="40"/>
              <w:ind w:left="108" w:right="108"/>
              <w:rPr>
                <w:rFonts w:ascii="Arial" w:hAnsi="Arial" w:cs="Arial"/>
                <w:color w:val="000000"/>
                <w:sz w:val="16"/>
              </w:rPr>
            </w:pPr>
            <w:r w:rsidRPr="00D214F1">
              <w:rPr>
                <w:rFonts w:ascii="Arial" w:hAnsi="Arial" w:cs="Arial"/>
                <w:color w:val="000000"/>
                <w:sz w:val="16"/>
              </w:rPr>
              <w:t xml:space="preserve">A responsible party is to be </w:t>
            </w:r>
            <w:r w:rsidRPr="00D214F1">
              <w:rPr>
                <w:rFonts w:ascii="Arial" w:hAnsi="Arial" w:cs="Arial"/>
                <w:color w:val="000000"/>
                <w:sz w:val="16"/>
              </w:rPr>
              <w:lastRenderedPageBreak/>
              <w:t>assigned</w:t>
            </w:r>
            <w:r w:rsidR="00877064">
              <w:rPr>
                <w:rFonts w:ascii="Arial" w:hAnsi="Arial" w:cs="Arial"/>
                <w:color w:val="000000"/>
                <w:sz w:val="16"/>
              </w:rPr>
              <w:t>.</w:t>
            </w:r>
            <w:r w:rsidRPr="00D214F1">
              <w:rPr>
                <w:rFonts w:ascii="Arial" w:hAnsi="Arial" w:cs="Arial"/>
                <w:color w:val="000000"/>
                <w:sz w:val="16"/>
              </w:rPr>
              <w:t xml:space="preserve"> </w:t>
            </w:r>
          </w:p>
        </w:tc>
      </w:tr>
      <w:tr w:rsidR="00EE0BBB" w:rsidRPr="000372CD" w14:paraId="2FC84915" w14:textId="77777777" w:rsidTr="005E032F">
        <w:tc>
          <w:tcPr>
            <w:tcW w:w="2835" w:type="dxa"/>
            <w:shd w:val="clear" w:color="auto" w:fill="auto"/>
          </w:tcPr>
          <w:p w14:paraId="53BD3DD9" w14:textId="5F7E6165" w:rsidR="00EE0BBB" w:rsidRDefault="0080675C" w:rsidP="002B55AB">
            <w:pPr>
              <w:spacing w:before="40" w:after="40"/>
              <w:ind w:left="108" w:right="108"/>
              <w:rPr>
                <w:rFonts w:ascii="Arial" w:hAnsi="Arial" w:cs="Arial"/>
                <w:color w:val="000000"/>
                <w:sz w:val="16"/>
              </w:rPr>
            </w:pPr>
            <w:r>
              <w:rPr>
                <w:rFonts w:ascii="Arial" w:hAnsi="Arial" w:cs="Arial"/>
                <w:color w:val="000000"/>
                <w:sz w:val="16"/>
              </w:rPr>
              <w:lastRenderedPageBreak/>
              <w:t xml:space="preserve">Engage with </w:t>
            </w:r>
            <w:r w:rsidRPr="0080675C">
              <w:rPr>
                <w:rFonts w:ascii="Arial" w:hAnsi="Arial" w:cs="Arial"/>
                <w:color w:val="000000"/>
                <w:sz w:val="16"/>
              </w:rPr>
              <w:t xml:space="preserve">local residents </w:t>
            </w:r>
            <w:r>
              <w:rPr>
                <w:rFonts w:ascii="Arial" w:hAnsi="Arial" w:cs="Arial"/>
                <w:color w:val="000000"/>
                <w:sz w:val="16"/>
              </w:rPr>
              <w:t xml:space="preserve">and keep them </w:t>
            </w:r>
            <w:r w:rsidRPr="0080675C">
              <w:rPr>
                <w:rFonts w:ascii="Arial" w:hAnsi="Arial" w:cs="Arial"/>
                <w:color w:val="000000"/>
                <w:sz w:val="16"/>
              </w:rPr>
              <w:t>informed of new housing provision, should they wish to relocate once the TSDL is complete.</w:t>
            </w:r>
          </w:p>
        </w:tc>
        <w:tc>
          <w:tcPr>
            <w:tcW w:w="2835" w:type="dxa"/>
            <w:shd w:val="clear" w:color="auto" w:fill="auto"/>
          </w:tcPr>
          <w:p w14:paraId="4791F47E" w14:textId="77777777" w:rsidR="0080675C" w:rsidRPr="0080675C" w:rsidRDefault="0080675C" w:rsidP="0080675C">
            <w:pPr>
              <w:spacing w:before="40" w:after="40"/>
              <w:ind w:left="108" w:right="108"/>
              <w:rPr>
                <w:rFonts w:ascii="Arial" w:hAnsi="Arial" w:cs="Arial"/>
                <w:color w:val="000000"/>
                <w:sz w:val="16"/>
              </w:rPr>
            </w:pPr>
            <w:r w:rsidRPr="0080675C">
              <w:rPr>
                <w:rFonts w:ascii="Arial" w:hAnsi="Arial" w:cs="Arial"/>
                <w:color w:val="000000"/>
                <w:sz w:val="16"/>
              </w:rPr>
              <w:t>Countryside Properties</w:t>
            </w:r>
          </w:p>
          <w:p w14:paraId="1DFA8E6B" w14:textId="455D68E7" w:rsidR="00EE0BBB" w:rsidRPr="00A10F77" w:rsidRDefault="0080675C" w:rsidP="0080675C">
            <w:pPr>
              <w:spacing w:before="40" w:after="40"/>
              <w:ind w:left="108" w:right="108"/>
              <w:rPr>
                <w:rFonts w:ascii="Arial" w:hAnsi="Arial" w:cs="Arial"/>
                <w:color w:val="000000"/>
                <w:sz w:val="16"/>
              </w:rPr>
            </w:pPr>
            <w:r w:rsidRPr="0080675C">
              <w:rPr>
                <w:rFonts w:ascii="Arial" w:hAnsi="Arial" w:cs="Arial"/>
                <w:color w:val="000000"/>
                <w:sz w:val="16"/>
              </w:rPr>
              <w:t>Chichester District Council</w:t>
            </w:r>
          </w:p>
        </w:tc>
        <w:tc>
          <w:tcPr>
            <w:tcW w:w="2835" w:type="dxa"/>
            <w:shd w:val="clear" w:color="auto" w:fill="auto"/>
          </w:tcPr>
          <w:p w14:paraId="39A10F0E" w14:textId="77777777" w:rsidR="00EE0BBB" w:rsidRDefault="003254A6" w:rsidP="000372CD">
            <w:pPr>
              <w:spacing w:before="40" w:after="40"/>
              <w:ind w:left="108" w:right="108"/>
              <w:rPr>
                <w:rFonts w:ascii="Arial" w:hAnsi="Arial" w:cs="Arial"/>
                <w:color w:val="000000"/>
                <w:sz w:val="16"/>
              </w:rPr>
            </w:pPr>
            <w:r>
              <w:rPr>
                <w:rFonts w:ascii="Arial" w:hAnsi="Arial" w:cs="Arial"/>
                <w:color w:val="000000"/>
                <w:sz w:val="16"/>
              </w:rPr>
              <w:t>Regular session</w:t>
            </w:r>
            <w:r w:rsidR="0062781B">
              <w:rPr>
                <w:rFonts w:ascii="Arial" w:hAnsi="Arial" w:cs="Arial"/>
                <w:color w:val="000000"/>
                <w:sz w:val="16"/>
              </w:rPr>
              <w:t>s of engagement with local residents</w:t>
            </w:r>
            <w:r w:rsidR="00041C60">
              <w:rPr>
                <w:rFonts w:ascii="Arial" w:hAnsi="Arial" w:cs="Arial"/>
                <w:color w:val="000000"/>
                <w:sz w:val="16"/>
              </w:rPr>
              <w:t xml:space="preserve"> s</w:t>
            </w:r>
            <w:r w:rsidR="006A4078">
              <w:rPr>
                <w:rFonts w:ascii="Arial" w:hAnsi="Arial" w:cs="Arial"/>
                <w:color w:val="000000"/>
                <w:sz w:val="16"/>
              </w:rPr>
              <w:t>h</w:t>
            </w:r>
            <w:r w:rsidR="00041C60">
              <w:rPr>
                <w:rFonts w:ascii="Arial" w:hAnsi="Arial" w:cs="Arial"/>
                <w:color w:val="000000"/>
                <w:sz w:val="16"/>
              </w:rPr>
              <w:t>ould take place at different stages</w:t>
            </w:r>
            <w:r w:rsidR="006A4078">
              <w:rPr>
                <w:rFonts w:ascii="Arial" w:hAnsi="Arial" w:cs="Arial"/>
                <w:color w:val="000000"/>
                <w:sz w:val="16"/>
              </w:rPr>
              <w:t xml:space="preserve"> </w:t>
            </w:r>
            <w:r w:rsidR="00034B4E">
              <w:rPr>
                <w:rFonts w:ascii="Arial" w:hAnsi="Arial" w:cs="Arial"/>
                <w:color w:val="000000"/>
                <w:sz w:val="16"/>
              </w:rPr>
              <w:t>of the development</w:t>
            </w:r>
            <w:r w:rsidR="003E2B2E">
              <w:rPr>
                <w:rFonts w:ascii="Arial" w:hAnsi="Arial" w:cs="Arial"/>
                <w:color w:val="000000"/>
                <w:sz w:val="16"/>
              </w:rPr>
              <w:t>.</w:t>
            </w:r>
          </w:p>
          <w:p w14:paraId="30365785" w14:textId="72C37D8C" w:rsidR="00D0369F" w:rsidRDefault="00D0369F" w:rsidP="000372CD">
            <w:pPr>
              <w:spacing w:before="40" w:after="40"/>
              <w:ind w:left="108" w:right="108"/>
              <w:rPr>
                <w:rFonts w:ascii="Arial" w:hAnsi="Arial" w:cs="Arial"/>
                <w:color w:val="000000"/>
                <w:sz w:val="16"/>
              </w:rPr>
            </w:pPr>
            <w:r w:rsidRPr="00D0369F">
              <w:rPr>
                <w:rFonts w:ascii="Arial" w:hAnsi="Arial" w:cs="Arial"/>
                <w:color w:val="000000"/>
                <w:sz w:val="16"/>
              </w:rPr>
              <w:t xml:space="preserve">A responsible party </w:t>
            </w:r>
            <w:r w:rsidR="005546DB">
              <w:rPr>
                <w:rFonts w:ascii="Arial" w:hAnsi="Arial" w:cs="Arial"/>
                <w:color w:val="000000"/>
                <w:sz w:val="16"/>
              </w:rPr>
              <w:t>should</w:t>
            </w:r>
            <w:r w:rsidRPr="00D0369F">
              <w:rPr>
                <w:rFonts w:ascii="Arial" w:hAnsi="Arial" w:cs="Arial"/>
                <w:color w:val="000000"/>
                <w:sz w:val="16"/>
              </w:rPr>
              <w:t xml:space="preserve"> be assigned.</w:t>
            </w:r>
          </w:p>
        </w:tc>
      </w:tr>
      <w:tr w:rsidR="008648CE" w:rsidRPr="000372CD" w14:paraId="43B2D126" w14:textId="77777777" w:rsidTr="005E032F">
        <w:tc>
          <w:tcPr>
            <w:tcW w:w="2835" w:type="dxa"/>
            <w:shd w:val="clear" w:color="auto" w:fill="auto"/>
          </w:tcPr>
          <w:p w14:paraId="3EF9DAFB" w14:textId="647EF931" w:rsidR="008648CE" w:rsidRDefault="008648CE" w:rsidP="002B55AB">
            <w:pPr>
              <w:spacing w:before="40" w:after="40"/>
              <w:ind w:left="108" w:right="108"/>
              <w:rPr>
                <w:rFonts w:ascii="Arial" w:hAnsi="Arial" w:cs="Arial"/>
                <w:color w:val="000000"/>
                <w:sz w:val="16"/>
              </w:rPr>
            </w:pPr>
            <w:r w:rsidRPr="008648CE">
              <w:rPr>
                <w:rFonts w:ascii="Arial" w:hAnsi="Arial" w:cs="Arial"/>
                <w:color w:val="000000"/>
                <w:sz w:val="16"/>
              </w:rPr>
              <w:t>Produce a strategy to make active travel a priority and promote it as a positive option, creating a safe and accessible to all network.</w:t>
            </w:r>
          </w:p>
        </w:tc>
        <w:tc>
          <w:tcPr>
            <w:tcW w:w="2835" w:type="dxa"/>
            <w:shd w:val="clear" w:color="auto" w:fill="auto"/>
          </w:tcPr>
          <w:p w14:paraId="1252AE1F" w14:textId="52688206" w:rsidR="008648CE" w:rsidRPr="0080675C" w:rsidRDefault="00DC4081" w:rsidP="0080675C">
            <w:pPr>
              <w:spacing w:before="40" w:after="40"/>
              <w:ind w:left="108" w:right="108"/>
              <w:rPr>
                <w:rFonts w:ascii="Arial" w:hAnsi="Arial" w:cs="Arial"/>
                <w:color w:val="000000"/>
                <w:sz w:val="16"/>
              </w:rPr>
            </w:pPr>
            <w:r w:rsidRPr="00DC4081">
              <w:rPr>
                <w:rFonts w:ascii="Arial" w:hAnsi="Arial" w:cs="Arial"/>
                <w:color w:val="000000"/>
                <w:sz w:val="16"/>
              </w:rPr>
              <w:t>Chichester District Council</w:t>
            </w:r>
          </w:p>
        </w:tc>
        <w:tc>
          <w:tcPr>
            <w:tcW w:w="2835" w:type="dxa"/>
            <w:shd w:val="clear" w:color="auto" w:fill="auto"/>
          </w:tcPr>
          <w:p w14:paraId="38193B3D" w14:textId="56D152AB" w:rsidR="008648CE" w:rsidRDefault="007A0F75" w:rsidP="000372CD">
            <w:pPr>
              <w:spacing w:before="40" w:after="40"/>
              <w:ind w:left="108" w:right="108"/>
              <w:rPr>
                <w:rFonts w:ascii="Arial" w:hAnsi="Arial" w:cs="Arial"/>
                <w:color w:val="000000"/>
                <w:sz w:val="16"/>
              </w:rPr>
            </w:pPr>
            <w:r>
              <w:rPr>
                <w:rFonts w:ascii="Arial" w:hAnsi="Arial" w:cs="Arial"/>
                <w:color w:val="000000"/>
                <w:sz w:val="16"/>
              </w:rPr>
              <w:t xml:space="preserve">The </w:t>
            </w:r>
            <w:r w:rsidR="00C65839">
              <w:rPr>
                <w:rFonts w:ascii="Arial" w:hAnsi="Arial" w:cs="Arial"/>
                <w:color w:val="000000"/>
                <w:sz w:val="16"/>
              </w:rPr>
              <w:t>L</w:t>
            </w:r>
            <w:r w:rsidR="0056220C" w:rsidRPr="0056220C">
              <w:rPr>
                <w:rFonts w:ascii="Arial" w:hAnsi="Arial" w:cs="Arial"/>
                <w:color w:val="000000"/>
                <w:sz w:val="16"/>
              </w:rPr>
              <w:t xml:space="preserve">ocal </w:t>
            </w:r>
            <w:r>
              <w:rPr>
                <w:rFonts w:ascii="Arial" w:hAnsi="Arial" w:cs="Arial"/>
                <w:color w:val="000000"/>
                <w:sz w:val="16"/>
              </w:rPr>
              <w:t>P</w:t>
            </w:r>
            <w:r w:rsidR="0056220C" w:rsidRPr="0056220C">
              <w:rPr>
                <w:rFonts w:ascii="Arial" w:hAnsi="Arial" w:cs="Arial"/>
                <w:color w:val="000000"/>
                <w:sz w:val="16"/>
              </w:rPr>
              <w:t>lanning authorit</w:t>
            </w:r>
            <w:r>
              <w:rPr>
                <w:rFonts w:ascii="Arial" w:hAnsi="Arial" w:cs="Arial"/>
                <w:color w:val="000000"/>
                <w:sz w:val="16"/>
              </w:rPr>
              <w:t>y should devise and implement</w:t>
            </w:r>
            <w:r w:rsidR="0056220C" w:rsidRPr="0056220C">
              <w:rPr>
                <w:rFonts w:ascii="Arial" w:hAnsi="Arial" w:cs="Arial"/>
                <w:color w:val="000000"/>
                <w:sz w:val="16"/>
              </w:rPr>
              <w:t xml:space="preserve"> </w:t>
            </w:r>
            <w:r w:rsidR="00E664BC">
              <w:rPr>
                <w:rFonts w:ascii="Arial" w:hAnsi="Arial" w:cs="Arial"/>
                <w:color w:val="000000"/>
                <w:sz w:val="16"/>
              </w:rPr>
              <w:t xml:space="preserve">such </w:t>
            </w:r>
            <w:r w:rsidR="0056220C" w:rsidRPr="0056220C">
              <w:rPr>
                <w:rFonts w:ascii="Arial" w:hAnsi="Arial" w:cs="Arial"/>
                <w:color w:val="000000"/>
                <w:sz w:val="16"/>
              </w:rPr>
              <w:t xml:space="preserve">policies that maximise the potential of active </w:t>
            </w:r>
            <w:r w:rsidR="007345A2">
              <w:rPr>
                <w:rFonts w:ascii="Arial" w:hAnsi="Arial" w:cs="Arial"/>
                <w:color w:val="000000"/>
                <w:sz w:val="16"/>
              </w:rPr>
              <w:t xml:space="preserve">and sustainable </w:t>
            </w:r>
            <w:r w:rsidR="0056220C" w:rsidRPr="0056220C">
              <w:rPr>
                <w:rFonts w:ascii="Arial" w:hAnsi="Arial" w:cs="Arial"/>
                <w:color w:val="000000"/>
                <w:sz w:val="16"/>
              </w:rPr>
              <w:t>travel</w:t>
            </w:r>
            <w:r w:rsidR="007345A2">
              <w:rPr>
                <w:rFonts w:ascii="Arial" w:hAnsi="Arial" w:cs="Arial"/>
                <w:color w:val="000000"/>
                <w:sz w:val="16"/>
              </w:rPr>
              <w:t xml:space="preserve">, with consideration given to public transport </w:t>
            </w:r>
            <w:r w:rsidR="00F807C1">
              <w:rPr>
                <w:rFonts w:ascii="Arial" w:hAnsi="Arial" w:cs="Arial"/>
                <w:color w:val="000000"/>
                <w:sz w:val="16"/>
              </w:rPr>
              <w:t>incorporated in the scheme.</w:t>
            </w:r>
          </w:p>
          <w:p w14:paraId="08EE9410" w14:textId="50B46137" w:rsidR="00570089" w:rsidRDefault="005546DB" w:rsidP="000372CD">
            <w:pPr>
              <w:spacing w:before="40" w:after="40"/>
              <w:ind w:left="108" w:right="108"/>
              <w:rPr>
                <w:rFonts w:ascii="Arial" w:hAnsi="Arial" w:cs="Arial"/>
                <w:color w:val="000000"/>
                <w:sz w:val="16"/>
              </w:rPr>
            </w:pPr>
            <w:r w:rsidRPr="00D0369F">
              <w:rPr>
                <w:rFonts w:ascii="Arial" w:hAnsi="Arial" w:cs="Arial"/>
                <w:color w:val="000000"/>
                <w:sz w:val="16"/>
              </w:rPr>
              <w:t xml:space="preserve">A responsible party </w:t>
            </w:r>
            <w:r>
              <w:rPr>
                <w:rFonts w:ascii="Arial" w:hAnsi="Arial" w:cs="Arial"/>
                <w:color w:val="000000"/>
                <w:sz w:val="16"/>
              </w:rPr>
              <w:t>should</w:t>
            </w:r>
            <w:r w:rsidRPr="00D0369F">
              <w:rPr>
                <w:rFonts w:ascii="Arial" w:hAnsi="Arial" w:cs="Arial"/>
                <w:color w:val="000000"/>
                <w:sz w:val="16"/>
              </w:rPr>
              <w:t xml:space="preserve"> be assigned</w:t>
            </w:r>
            <w:r w:rsidR="00570089" w:rsidRPr="00570089">
              <w:rPr>
                <w:rFonts w:ascii="Arial" w:hAnsi="Arial" w:cs="Arial"/>
                <w:color w:val="000000"/>
                <w:sz w:val="16"/>
              </w:rPr>
              <w:t>.</w:t>
            </w:r>
          </w:p>
        </w:tc>
      </w:tr>
      <w:tr w:rsidR="00C023EF" w:rsidRPr="000372CD" w14:paraId="004BAE35" w14:textId="77777777" w:rsidTr="000372CD">
        <w:tc>
          <w:tcPr>
            <w:tcW w:w="2835" w:type="dxa"/>
            <w:tcBorders>
              <w:bottom w:val="single" w:sz="8" w:space="0" w:color="000000"/>
            </w:tcBorders>
            <w:shd w:val="clear" w:color="auto" w:fill="auto"/>
          </w:tcPr>
          <w:p w14:paraId="270503EB" w14:textId="007177E0" w:rsidR="00C023EF" w:rsidRPr="008648CE" w:rsidRDefault="004C524F" w:rsidP="002B55AB">
            <w:pPr>
              <w:spacing w:before="40" w:after="40"/>
              <w:ind w:left="108" w:right="108"/>
              <w:rPr>
                <w:rFonts w:ascii="Arial" w:hAnsi="Arial" w:cs="Arial"/>
                <w:color w:val="000000"/>
                <w:sz w:val="16"/>
              </w:rPr>
            </w:pPr>
            <w:r w:rsidRPr="004C524F">
              <w:rPr>
                <w:rFonts w:ascii="Arial" w:hAnsi="Arial" w:cs="Arial"/>
                <w:color w:val="000000"/>
                <w:sz w:val="16"/>
              </w:rPr>
              <w:t>Ensure that the community centre provides adequate space for community-based activities, with consideration given to provision of events for older and disabled people.</w:t>
            </w:r>
          </w:p>
        </w:tc>
        <w:tc>
          <w:tcPr>
            <w:tcW w:w="2835" w:type="dxa"/>
            <w:tcBorders>
              <w:bottom w:val="single" w:sz="8" w:space="0" w:color="000000"/>
            </w:tcBorders>
            <w:shd w:val="clear" w:color="auto" w:fill="auto"/>
          </w:tcPr>
          <w:p w14:paraId="47077289" w14:textId="77777777" w:rsidR="001D1E3E" w:rsidRPr="001D1E3E" w:rsidRDefault="001D1E3E" w:rsidP="001D1E3E">
            <w:pPr>
              <w:spacing w:before="40" w:after="40"/>
              <w:ind w:left="108" w:right="108"/>
              <w:rPr>
                <w:rFonts w:ascii="Arial" w:hAnsi="Arial" w:cs="Arial"/>
                <w:color w:val="000000"/>
                <w:sz w:val="16"/>
              </w:rPr>
            </w:pPr>
            <w:r w:rsidRPr="001D1E3E">
              <w:rPr>
                <w:rFonts w:ascii="Arial" w:hAnsi="Arial" w:cs="Arial"/>
                <w:color w:val="000000"/>
                <w:sz w:val="16"/>
              </w:rPr>
              <w:t>Countryside Properties</w:t>
            </w:r>
          </w:p>
          <w:p w14:paraId="06741721" w14:textId="03C1D966" w:rsidR="00C023EF" w:rsidRPr="00DC4081" w:rsidRDefault="001D1E3E" w:rsidP="001D1E3E">
            <w:pPr>
              <w:spacing w:before="40" w:after="40"/>
              <w:ind w:left="108" w:right="108"/>
              <w:rPr>
                <w:rFonts w:ascii="Arial" w:hAnsi="Arial" w:cs="Arial"/>
                <w:color w:val="000000"/>
                <w:sz w:val="16"/>
              </w:rPr>
            </w:pPr>
            <w:r w:rsidRPr="001D1E3E">
              <w:rPr>
                <w:rFonts w:ascii="Arial" w:hAnsi="Arial" w:cs="Arial"/>
                <w:color w:val="000000"/>
                <w:sz w:val="16"/>
              </w:rPr>
              <w:t>Chichester District Council</w:t>
            </w:r>
          </w:p>
        </w:tc>
        <w:tc>
          <w:tcPr>
            <w:tcW w:w="2835" w:type="dxa"/>
            <w:tcBorders>
              <w:bottom w:val="single" w:sz="8" w:space="0" w:color="000000"/>
            </w:tcBorders>
            <w:shd w:val="clear" w:color="auto" w:fill="auto"/>
          </w:tcPr>
          <w:p w14:paraId="2EA80EC7" w14:textId="7374090F" w:rsidR="00C023EF" w:rsidRDefault="00066946" w:rsidP="000372CD">
            <w:pPr>
              <w:spacing w:before="40" w:after="40"/>
              <w:ind w:left="108" w:right="108"/>
              <w:rPr>
                <w:rFonts w:ascii="Arial" w:hAnsi="Arial" w:cs="Arial"/>
                <w:color w:val="000000"/>
                <w:sz w:val="16"/>
              </w:rPr>
            </w:pPr>
            <w:r>
              <w:rPr>
                <w:rFonts w:ascii="Arial" w:hAnsi="Arial" w:cs="Arial"/>
                <w:color w:val="000000"/>
                <w:sz w:val="16"/>
              </w:rPr>
              <w:t xml:space="preserve">The </w:t>
            </w:r>
            <w:r w:rsidR="00D077D2">
              <w:rPr>
                <w:rFonts w:ascii="Arial" w:hAnsi="Arial" w:cs="Arial"/>
                <w:color w:val="000000"/>
                <w:sz w:val="16"/>
              </w:rPr>
              <w:t>respo</w:t>
            </w:r>
            <w:r w:rsidR="001F1C4B">
              <w:rPr>
                <w:rFonts w:ascii="Arial" w:hAnsi="Arial" w:cs="Arial"/>
                <w:color w:val="000000"/>
                <w:sz w:val="16"/>
              </w:rPr>
              <w:t xml:space="preserve">nsible parties should decide as soon as possible the </w:t>
            </w:r>
            <w:r w:rsidR="00FE2F43">
              <w:rPr>
                <w:rFonts w:ascii="Arial" w:hAnsi="Arial" w:cs="Arial"/>
                <w:color w:val="000000"/>
                <w:sz w:val="16"/>
              </w:rPr>
              <w:t xml:space="preserve">provision of </w:t>
            </w:r>
            <w:r w:rsidR="00461049">
              <w:rPr>
                <w:rFonts w:ascii="Arial" w:hAnsi="Arial" w:cs="Arial"/>
                <w:color w:val="000000"/>
                <w:sz w:val="16"/>
              </w:rPr>
              <w:t>a</w:t>
            </w:r>
            <w:r w:rsidR="00CA3AEF">
              <w:rPr>
                <w:rFonts w:ascii="Arial" w:hAnsi="Arial" w:cs="Arial"/>
                <w:color w:val="000000"/>
                <w:sz w:val="16"/>
              </w:rPr>
              <w:t xml:space="preserve"> new or </w:t>
            </w:r>
            <w:r w:rsidR="00461049">
              <w:rPr>
                <w:rFonts w:ascii="Arial" w:hAnsi="Arial" w:cs="Arial"/>
                <w:color w:val="000000"/>
                <w:sz w:val="16"/>
              </w:rPr>
              <w:t xml:space="preserve">an </w:t>
            </w:r>
            <w:r w:rsidR="00CA3AEF">
              <w:rPr>
                <w:rFonts w:ascii="Arial" w:hAnsi="Arial" w:cs="Arial"/>
                <w:color w:val="000000"/>
                <w:sz w:val="16"/>
              </w:rPr>
              <w:t>enhanced community centre</w:t>
            </w:r>
            <w:r w:rsidR="00EB5064">
              <w:rPr>
                <w:rFonts w:ascii="Arial" w:hAnsi="Arial" w:cs="Arial"/>
                <w:color w:val="000000"/>
                <w:sz w:val="16"/>
              </w:rPr>
              <w:t xml:space="preserve">, its design and </w:t>
            </w:r>
            <w:r w:rsidR="00216D26">
              <w:rPr>
                <w:rFonts w:ascii="Arial" w:hAnsi="Arial" w:cs="Arial"/>
                <w:color w:val="000000"/>
                <w:sz w:val="16"/>
              </w:rPr>
              <w:t xml:space="preserve">the </w:t>
            </w:r>
            <w:r w:rsidR="009A71C0">
              <w:rPr>
                <w:rFonts w:ascii="Arial" w:hAnsi="Arial" w:cs="Arial"/>
                <w:color w:val="000000"/>
                <w:sz w:val="16"/>
              </w:rPr>
              <w:t>timescale</w:t>
            </w:r>
            <w:r w:rsidR="00C249B6">
              <w:rPr>
                <w:rFonts w:ascii="Arial" w:hAnsi="Arial" w:cs="Arial"/>
                <w:color w:val="000000"/>
                <w:sz w:val="16"/>
              </w:rPr>
              <w:t xml:space="preserve"> of its delivery</w:t>
            </w:r>
            <w:r w:rsidR="00EF527F">
              <w:rPr>
                <w:rFonts w:ascii="Arial" w:hAnsi="Arial" w:cs="Arial"/>
                <w:color w:val="000000"/>
                <w:sz w:val="16"/>
              </w:rPr>
              <w:t>, in consultation with Tangmere Parish Council</w:t>
            </w:r>
            <w:r w:rsidR="00C249B6">
              <w:rPr>
                <w:rFonts w:ascii="Arial" w:hAnsi="Arial" w:cs="Arial"/>
                <w:color w:val="000000"/>
                <w:sz w:val="16"/>
              </w:rPr>
              <w:t>.</w:t>
            </w:r>
          </w:p>
        </w:tc>
      </w:tr>
    </w:tbl>
    <w:p w14:paraId="27AD842A" w14:textId="77777777" w:rsidR="000A198B" w:rsidRDefault="000A198B" w:rsidP="000A198B"/>
    <w:p w14:paraId="04CF35CB" w14:textId="77777777" w:rsidR="000A198B" w:rsidRDefault="000A198B" w:rsidP="000A198B"/>
    <w:p w14:paraId="2DF167F2" w14:textId="77777777" w:rsidR="000A198B" w:rsidRDefault="000A198B" w:rsidP="000A198B"/>
    <w:p w14:paraId="6AFB24C0" w14:textId="77777777" w:rsidR="000A198B" w:rsidRDefault="000A198B" w:rsidP="000A198B"/>
    <w:p w14:paraId="1611BD58" w14:textId="66791D0E" w:rsidR="002F5DF4" w:rsidRDefault="00CF6464" w:rsidP="003E381D">
      <w:pPr>
        <w:pStyle w:val="AppendixDivider"/>
      </w:pPr>
      <w:bookmarkStart w:id="58" w:name="_Toc31809579"/>
      <w:r>
        <w:lastRenderedPageBreak/>
        <w:t>Appendices</w:t>
      </w:r>
      <w:bookmarkEnd w:id="58"/>
    </w:p>
    <w:tbl>
      <w:tblPr>
        <w:tblW w:w="9639" w:type="dxa"/>
        <w:tblLayout w:type="fixed"/>
        <w:tblCellMar>
          <w:left w:w="0" w:type="dxa"/>
          <w:right w:w="0" w:type="dxa"/>
        </w:tblCellMar>
        <w:tblLook w:val="04A0" w:firstRow="1" w:lastRow="0" w:firstColumn="1" w:lastColumn="0" w:noHBand="0" w:noVBand="1"/>
      </w:tblPr>
      <w:tblGrid>
        <w:gridCol w:w="9639"/>
      </w:tblGrid>
      <w:tr w:rsidR="002F5DF4" w14:paraId="546407FB" w14:textId="77777777" w:rsidTr="00F30253">
        <w:tc>
          <w:tcPr>
            <w:tcW w:w="9639" w:type="dxa"/>
          </w:tcPr>
          <w:p w14:paraId="1DFF48D5" w14:textId="2EF46498" w:rsidR="00CF6464" w:rsidRDefault="002F5DF4">
            <w:pPr>
              <w:pStyle w:val="TOC9"/>
              <w:rPr>
                <w:rFonts w:asciiTheme="minorHAnsi" w:hAnsiTheme="minorHAnsi"/>
                <w:noProof/>
                <w:sz w:val="22"/>
                <w:szCs w:val="22"/>
                <w:lang w:eastAsia="en-GB"/>
              </w:rPr>
            </w:pPr>
            <w:r w:rsidRPr="00824783">
              <w:fldChar w:fldCharType="begin"/>
            </w:r>
            <w:r w:rsidRPr="00824783">
              <w:instrText xml:space="preserve"> TOC \h \t "~AppHead,9"  </w:instrText>
            </w:r>
            <w:r w:rsidRPr="00824783">
              <w:fldChar w:fldCharType="separate"/>
            </w:r>
            <w:hyperlink w:anchor="_Toc30767491" w:history="1">
              <w:r w:rsidR="00CF6464" w:rsidRPr="00B105F4">
                <w:rPr>
                  <w:rStyle w:val="Hyperlink"/>
                  <w:bCs/>
                  <w:noProof/>
                </w:rPr>
                <w:t>A.</w:t>
              </w:r>
              <w:r w:rsidR="00CF6464">
                <w:rPr>
                  <w:rFonts w:asciiTheme="minorHAnsi" w:hAnsiTheme="minorHAnsi"/>
                  <w:noProof/>
                  <w:sz w:val="22"/>
                  <w:szCs w:val="22"/>
                  <w:lang w:eastAsia="en-GB"/>
                </w:rPr>
                <w:tab/>
              </w:r>
              <w:r w:rsidR="00CF6464" w:rsidRPr="00B105F4">
                <w:rPr>
                  <w:rStyle w:val="Hyperlink"/>
                  <w:noProof/>
                </w:rPr>
                <w:t xml:space="preserve">Bibliography </w:t>
              </w:r>
              <w:r w:rsidR="00CF6464">
                <w:rPr>
                  <w:noProof/>
                </w:rPr>
                <w:tab/>
              </w:r>
              <w:r w:rsidR="00CF6464">
                <w:rPr>
                  <w:noProof/>
                </w:rPr>
                <w:fldChar w:fldCharType="begin"/>
              </w:r>
              <w:r w:rsidR="00CF6464">
                <w:rPr>
                  <w:noProof/>
                </w:rPr>
                <w:instrText xml:space="preserve"> PAGEREF _Toc30767491 \h </w:instrText>
              </w:r>
              <w:r w:rsidR="00CF6464">
                <w:rPr>
                  <w:noProof/>
                </w:rPr>
              </w:r>
              <w:r w:rsidR="00CF6464">
                <w:rPr>
                  <w:noProof/>
                </w:rPr>
                <w:fldChar w:fldCharType="separate"/>
              </w:r>
              <w:r w:rsidR="00CF6464">
                <w:rPr>
                  <w:noProof/>
                </w:rPr>
                <w:t>35</w:t>
              </w:r>
              <w:r w:rsidR="00CF6464">
                <w:rPr>
                  <w:noProof/>
                </w:rPr>
                <w:fldChar w:fldCharType="end"/>
              </w:r>
            </w:hyperlink>
          </w:p>
          <w:p w14:paraId="6599C3EE" w14:textId="25BD333B" w:rsidR="00CF6464" w:rsidRDefault="00685427">
            <w:pPr>
              <w:pStyle w:val="TOC9"/>
              <w:rPr>
                <w:rFonts w:asciiTheme="minorHAnsi" w:hAnsiTheme="minorHAnsi"/>
                <w:noProof/>
                <w:sz w:val="22"/>
                <w:szCs w:val="22"/>
                <w:lang w:eastAsia="en-GB"/>
              </w:rPr>
            </w:pPr>
            <w:hyperlink w:anchor="_Toc30767492" w:history="1">
              <w:r w:rsidR="00CF6464" w:rsidRPr="00B105F4">
                <w:rPr>
                  <w:rStyle w:val="Hyperlink"/>
                  <w:bCs/>
                  <w:noProof/>
                </w:rPr>
                <w:t>B.</w:t>
              </w:r>
              <w:r w:rsidR="00CF6464">
                <w:rPr>
                  <w:rFonts w:asciiTheme="minorHAnsi" w:hAnsiTheme="minorHAnsi"/>
                  <w:noProof/>
                  <w:sz w:val="22"/>
                  <w:szCs w:val="22"/>
                  <w:lang w:eastAsia="en-GB"/>
                </w:rPr>
                <w:tab/>
              </w:r>
              <w:r w:rsidR="00CF6464" w:rsidRPr="00B105F4">
                <w:rPr>
                  <w:rStyle w:val="Hyperlink"/>
                  <w:noProof/>
                </w:rPr>
                <w:t>Demographic mapping</w:t>
              </w:r>
              <w:r w:rsidR="00CF6464">
                <w:rPr>
                  <w:noProof/>
                </w:rPr>
                <w:tab/>
              </w:r>
              <w:r w:rsidR="00CF6464">
                <w:rPr>
                  <w:noProof/>
                </w:rPr>
                <w:fldChar w:fldCharType="begin"/>
              </w:r>
              <w:r w:rsidR="00CF6464">
                <w:rPr>
                  <w:noProof/>
                </w:rPr>
                <w:instrText xml:space="preserve"> PAGEREF _Toc30767492 \h </w:instrText>
              </w:r>
              <w:r w:rsidR="00CF6464">
                <w:rPr>
                  <w:noProof/>
                </w:rPr>
              </w:r>
              <w:r w:rsidR="00CF6464">
                <w:rPr>
                  <w:noProof/>
                </w:rPr>
                <w:fldChar w:fldCharType="separate"/>
              </w:r>
              <w:r w:rsidR="00CF6464">
                <w:rPr>
                  <w:noProof/>
                </w:rPr>
                <w:t>37</w:t>
              </w:r>
              <w:r w:rsidR="00CF6464">
                <w:rPr>
                  <w:noProof/>
                </w:rPr>
                <w:fldChar w:fldCharType="end"/>
              </w:r>
            </w:hyperlink>
          </w:p>
          <w:p w14:paraId="3C5CEFB0" w14:textId="4CA98279" w:rsidR="002F5DF4" w:rsidRPr="00824783" w:rsidRDefault="002F5DF4" w:rsidP="003E381D">
            <w:pPr>
              <w:pStyle w:val="TOC9"/>
            </w:pPr>
            <w:r w:rsidRPr="00824783">
              <w:fldChar w:fldCharType="end"/>
            </w:r>
          </w:p>
        </w:tc>
      </w:tr>
    </w:tbl>
    <w:p w14:paraId="546A4CA8" w14:textId="77777777" w:rsidR="00F30253" w:rsidRDefault="00F30253" w:rsidP="00F30253">
      <w:pPr>
        <w:pStyle w:val="AppHead"/>
        <w:numPr>
          <w:ilvl w:val="0"/>
          <w:numId w:val="20"/>
        </w:numPr>
        <w:tabs>
          <w:tab w:val="clear" w:pos="567"/>
        </w:tabs>
        <w:ind w:left="567" w:hanging="567"/>
      </w:pPr>
      <w:bookmarkStart w:id="59" w:name="_Toc31809580"/>
      <w:bookmarkStart w:id="60" w:name="_Toc30767491"/>
      <w:r>
        <w:lastRenderedPageBreak/>
        <w:t>Bibliography</w:t>
      </w:r>
      <w:bookmarkEnd w:id="59"/>
      <w:r>
        <w:t xml:space="preserve"> </w:t>
      </w:r>
      <w:bookmarkEnd w:id="60"/>
    </w:p>
    <w:p w14:paraId="1F268852" w14:textId="20431BC0" w:rsidR="000F71AF" w:rsidRDefault="00D8799A" w:rsidP="005E032F">
      <w:pPr>
        <w:pStyle w:val="ListParagraph"/>
        <w:numPr>
          <w:ilvl w:val="0"/>
          <w:numId w:val="45"/>
        </w:numPr>
        <w:ind w:left="360"/>
      </w:pPr>
      <w:r>
        <w:t>Age UK (2018): ‘All the Lonely People’</w:t>
      </w:r>
    </w:p>
    <w:p w14:paraId="1BB595DE" w14:textId="0A1644A5" w:rsidR="003C0AC7" w:rsidRPr="003C0AC7" w:rsidRDefault="00CA67B6" w:rsidP="005E032F">
      <w:pPr>
        <w:pStyle w:val="ListParagraph"/>
        <w:numPr>
          <w:ilvl w:val="0"/>
          <w:numId w:val="45"/>
        </w:numPr>
        <w:ind w:left="360"/>
      </w:pPr>
      <w:r>
        <w:t xml:space="preserve">Asthma UK </w:t>
      </w:r>
      <w:r w:rsidR="0062464A">
        <w:t xml:space="preserve">(2019) Pollution </w:t>
      </w:r>
    </w:p>
    <w:p w14:paraId="4BB1B419" w14:textId="4808F601" w:rsidR="00235DE9" w:rsidRDefault="008925E3" w:rsidP="005E032F">
      <w:pPr>
        <w:pStyle w:val="ListParagraph"/>
        <w:numPr>
          <w:ilvl w:val="0"/>
          <w:numId w:val="45"/>
        </w:numPr>
        <w:ind w:left="360"/>
      </w:pPr>
      <w:r>
        <w:t>British Heart Foundation (no date): ‘Air pollution and cardiovascular disease’</w:t>
      </w:r>
    </w:p>
    <w:p w14:paraId="45A5CD0B" w14:textId="491DEFF1" w:rsidR="00147639" w:rsidRPr="00147639" w:rsidRDefault="00B431B4" w:rsidP="005E032F">
      <w:pPr>
        <w:pStyle w:val="ListParagraph"/>
        <w:numPr>
          <w:ilvl w:val="0"/>
          <w:numId w:val="45"/>
        </w:numPr>
        <w:ind w:left="360"/>
      </w:pPr>
      <w:r>
        <w:t xml:space="preserve">Chichester </w:t>
      </w:r>
      <w:r w:rsidR="000D40C7">
        <w:t>District Council (2015) ‘Chichester Local Plan: Key Policies 2014-2029’</w:t>
      </w:r>
    </w:p>
    <w:p w14:paraId="33CFEE54" w14:textId="5E729E6C" w:rsidR="000D40C7" w:rsidRDefault="000D40C7" w:rsidP="005E032F">
      <w:pPr>
        <w:pStyle w:val="ListParagraph"/>
        <w:numPr>
          <w:ilvl w:val="0"/>
          <w:numId w:val="45"/>
        </w:numPr>
        <w:ind w:left="360"/>
      </w:pPr>
      <w:r>
        <w:t>Chichester District Council (2015) ‘Chichester Local Plan: Key Policies 2014-2029 (page 40, 49, 60 and 114 for each policy)</w:t>
      </w:r>
    </w:p>
    <w:p w14:paraId="096FD119" w14:textId="1B44547A" w:rsidR="000D40C7" w:rsidRDefault="000D40C7" w:rsidP="005E032F">
      <w:pPr>
        <w:pStyle w:val="ListParagraph"/>
        <w:numPr>
          <w:ilvl w:val="0"/>
          <w:numId w:val="45"/>
        </w:numPr>
        <w:ind w:left="360"/>
      </w:pPr>
      <w:r>
        <w:t xml:space="preserve">Chichester </w:t>
      </w:r>
      <w:r w:rsidR="00C4596D">
        <w:t xml:space="preserve">District </w:t>
      </w:r>
      <w:proofErr w:type="spellStart"/>
      <w:r w:rsidR="00C4596D">
        <w:t>Concil</w:t>
      </w:r>
      <w:proofErr w:type="spellEnd"/>
      <w:r w:rsidR="00C4596D">
        <w:t xml:space="preserve"> (2019): ‘Tangmere Strategic Development Location Draft </w:t>
      </w:r>
      <w:proofErr w:type="spellStart"/>
      <w:r w:rsidR="00C4596D">
        <w:t>EqIA</w:t>
      </w:r>
      <w:proofErr w:type="spellEnd"/>
      <w:r w:rsidR="00C4596D">
        <w:t xml:space="preserve">’ </w:t>
      </w:r>
    </w:p>
    <w:p w14:paraId="7DE9B8D7" w14:textId="1E780FE2" w:rsidR="00044DC0" w:rsidRPr="00C236A9" w:rsidRDefault="00044DC0" w:rsidP="005E032F">
      <w:pPr>
        <w:pStyle w:val="ListParagraph"/>
        <w:numPr>
          <w:ilvl w:val="0"/>
          <w:numId w:val="45"/>
        </w:numPr>
        <w:ind w:left="360"/>
        <w:rPr>
          <w:rFonts w:ascii="Arial" w:hAnsi="Arial" w:cs="Arial"/>
        </w:rPr>
      </w:pPr>
      <w:r w:rsidRPr="00C236A9">
        <w:rPr>
          <w:rFonts w:ascii="Arial" w:hAnsi="Arial" w:cs="Arial"/>
        </w:rPr>
        <w:t>Countryside</w:t>
      </w:r>
      <w:r>
        <w:rPr>
          <w:rFonts w:ascii="Arial" w:hAnsi="Arial" w:cs="Arial"/>
        </w:rPr>
        <w:t xml:space="preserve"> (2019)</w:t>
      </w:r>
      <w:r w:rsidRPr="00C236A9">
        <w:rPr>
          <w:rFonts w:ascii="Arial" w:hAnsi="Arial" w:cs="Arial"/>
        </w:rPr>
        <w:t xml:space="preserve"> ‘Tangmere Strategic Development Location – Masterplan Document’</w:t>
      </w:r>
    </w:p>
    <w:p w14:paraId="0A650AFE" w14:textId="77777777" w:rsidR="00044DC0" w:rsidRPr="00C236A9" w:rsidRDefault="00044DC0" w:rsidP="005E032F">
      <w:pPr>
        <w:pStyle w:val="ListParagraph"/>
        <w:numPr>
          <w:ilvl w:val="0"/>
          <w:numId w:val="45"/>
        </w:numPr>
        <w:ind w:left="360"/>
        <w:rPr>
          <w:rFonts w:ascii="Arial" w:hAnsi="Arial" w:cs="Arial"/>
        </w:rPr>
      </w:pPr>
      <w:proofErr w:type="spellStart"/>
      <w:r w:rsidRPr="00C236A9">
        <w:rPr>
          <w:rFonts w:ascii="Arial" w:hAnsi="Arial" w:cs="Arial"/>
        </w:rPr>
        <w:t>Dadvand</w:t>
      </w:r>
      <w:proofErr w:type="spellEnd"/>
      <w:r w:rsidRPr="00C236A9">
        <w:rPr>
          <w:rFonts w:ascii="Arial" w:hAnsi="Arial" w:cs="Arial"/>
        </w:rPr>
        <w:t xml:space="preserve">, P. Wright, J. Martinez, D. </w:t>
      </w:r>
      <w:proofErr w:type="spellStart"/>
      <w:r w:rsidRPr="00C236A9">
        <w:rPr>
          <w:rFonts w:ascii="Arial" w:hAnsi="Arial" w:cs="Arial"/>
        </w:rPr>
        <w:t>Basagana</w:t>
      </w:r>
      <w:proofErr w:type="spellEnd"/>
      <w:r w:rsidRPr="00C236A9">
        <w:rPr>
          <w:rFonts w:ascii="Arial" w:hAnsi="Arial" w:cs="Arial"/>
        </w:rPr>
        <w:t xml:space="preserve">, X. </w:t>
      </w:r>
      <w:proofErr w:type="spellStart"/>
      <w:r w:rsidRPr="00C236A9">
        <w:rPr>
          <w:rFonts w:ascii="Arial" w:hAnsi="Arial" w:cs="Arial"/>
        </w:rPr>
        <w:t>McEachan</w:t>
      </w:r>
      <w:proofErr w:type="spellEnd"/>
      <w:r w:rsidRPr="00C236A9">
        <w:rPr>
          <w:rFonts w:ascii="Arial" w:hAnsi="Arial" w:cs="Arial"/>
        </w:rPr>
        <w:t xml:space="preserve">, R.R.C. </w:t>
      </w:r>
      <w:proofErr w:type="spellStart"/>
      <w:r w:rsidRPr="00C236A9">
        <w:rPr>
          <w:rFonts w:ascii="Arial" w:hAnsi="Arial" w:cs="Arial"/>
        </w:rPr>
        <w:t>Cirach</w:t>
      </w:r>
      <w:proofErr w:type="spellEnd"/>
      <w:r w:rsidRPr="00C236A9">
        <w:rPr>
          <w:rFonts w:ascii="Arial" w:hAnsi="Arial" w:cs="Arial"/>
        </w:rPr>
        <w:t xml:space="preserve">, M. </w:t>
      </w:r>
      <w:proofErr w:type="spellStart"/>
      <w:r w:rsidRPr="00C236A9">
        <w:rPr>
          <w:rFonts w:ascii="Arial" w:hAnsi="Arial" w:cs="Arial"/>
        </w:rPr>
        <w:t>Gidlow</w:t>
      </w:r>
      <w:proofErr w:type="spellEnd"/>
      <w:r w:rsidRPr="00C236A9">
        <w:rPr>
          <w:rFonts w:ascii="Arial" w:hAnsi="Arial" w:cs="Arial"/>
        </w:rPr>
        <w:t xml:space="preserve">, C.J. De </w:t>
      </w:r>
      <w:proofErr w:type="spellStart"/>
      <w:r w:rsidRPr="00C236A9">
        <w:rPr>
          <w:rFonts w:ascii="Arial" w:hAnsi="Arial" w:cs="Arial"/>
        </w:rPr>
        <w:t>Hoogh</w:t>
      </w:r>
      <w:proofErr w:type="spellEnd"/>
      <w:r w:rsidRPr="00C236A9">
        <w:rPr>
          <w:rFonts w:ascii="Arial" w:hAnsi="Arial" w:cs="Arial"/>
        </w:rPr>
        <w:t xml:space="preserve">, K. </w:t>
      </w:r>
      <w:proofErr w:type="spellStart"/>
      <w:r w:rsidRPr="00C236A9">
        <w:rPr>
          <w:rFonts w:ascii="Arial" w:hAnsi="Arial" w:cs="Arial"/>
        </w:rPr>
        <w:t>Grazuleviciene</w:t>
      </w:r>
      <w:proofErr w:type="spellEnd"/>
      <w:r w:rsidRPr="00C236A9">
        <w:rPr>
          <w:rFonts w:ascii="Arial" w:hAnsi="Arial" w:cs="Arial"/>
        </w:rPr>
        <w:t xml:space="preserve">, R. and </w:t>
      </w:r>
      <w:proofErr w:type="spellStart"/>
      <w:r w:rsidRPr="00C236A9">
        <w:rPr>
          <w:rFonts w:ascii="Arial" w:hAnsi="Arial" w:cs="Arial"/>
        </w:rPr>
        <w:t>Nieuwenhuijsen</w:t>
      </w:r>
      <w:proofErr w:type="spellEnd"/>
      <w:r w:rsidRPr="00C236A9">
        <w:rPr>
          <w:rFonts w:ascii="Arial" w:hAnsi="Arial" w:cs="Arial"/>
        </w:rPr>
        <w:t xml:space="preserve">, M.J. (2014) Inequality, green spaces, and pregnant women: roles of ethnicity and individual and neighbourhood socioeconomic status. </w:t>
      </w:r>
    </w:p>
    <w:p w14:paraId="23BE4B4B" w14:textId="10E06EE7" w:rsidR="00044DC0" w:rsidRPr="00060877" w:rsidRDefault="00044DC0" w:rsidP="005E032F">
      <w:pPr>
        <w:pStyle w:val="ListParagraph"/>
        <w:numPr>
          <w:ilvl w:val="0"/>
          <w:numId w:val="45"/>
        </w:numPr>
        <w:ind w:left="360"/>
        <w:rPr>
          <w:rFonts w:ascii="Arial" w:hAnsi="Arial" w:cs="Arial"/>
          <w:i/>
          <w:iCs/>
        </w:rPr>
      </w:pPr>
      <w:r w:rsidRPr="00044DC0">
        <w:rPr>
          <w:rFonts w:ascii="Arial" w:hAnsi="Arial" w:cs="Arial"/>
        </w:rPr>
        <w:t>Department for Business, Energy and Industrial Strategy (2018): ‘Fuel Poverty’</w:t>
      </w:r>
      <w:r w:rsidRPr="00044DC0">
        <w:rPr>
          <w:rFonts w:ascii="Arial" w:hAnsi="Arial" w:cs="Arial"/>
          <w:i/>
          <w:iCs/>
        </w:rPr>
        <w:t>.</w:t>
      </w:r>
    </w:p>
    <w:p w14:paraId="77FD9FC7" w14:textId="567D4559" w:rsidR="00DF1629" w:rsidRPr="00044DC0" w:rsidRDefault="00044DC0" w:rsidP="005E032F">
      <w:pPr>
        <w:pStyle w:val="ListParagraph"/>
        <w:numPr>
          <w:ilvl w:val="0"/>
          <w:numId w:val="45"/>
        </w:numPr>
        <w:ind w:left="360"/>
        <w:rPr>
          <w:rFonts w:ascii="Arial" w:hAnsi="Arial" w:cs="Arial"/>
        </w:rPr>
      </w:pPr>
      <w:r w:rsidRPr="00044DC0">
        <w:rPr>
          <w:rFonts w:ascii="Arial" w:hAnsi="Arial" w:cs="Arial"/>
        </w:rPr>
        <w:t>Department for Environmental Food and Rural Affairs (2013): ‘Guide to UK Air Pollution Information Resources’.</w:t>
      </w:r>
    </w:p>
    <w:p w14:paraId="58A4912F" w14:textId="1EDA43CC" w:rsidR="00DF1629" w:rsidRPr="005E032F" w:rsidRDefault="00044DC0" w:rsidP="005E032F">
      <w:pPr>
        <w:pStyle w:val="ListParagraph"/>
        <w:numPr>
          <w:ilvl w:val="0"/>
          <w:numId w:val="45"/>
        </w:numPr>
        <w:ind w:left="360"/>
        <w:rPr>
          <w:rFonts w:ascii="Arial" w:hAnsi="Arial" w:cs="Arial"/>
        </w:rPr>
      </w:pPr>
      <w:r w:rsidRPr="005E032F">
        <w:rPr>
          <w:rFonts w:ascii="Arial" w:hAnsi="Arial" w:cs="Arial"/>
        </w:rPr>
        <w:t xml:space="preserve">Edward C. </w:t>
      </w:r>
      <w:proofErr w:type="spellStart"/>
      <w:r w:rsidRPr="005E032F">
        <w:rPr>
          <w:rFonts w:ascii="Arial" w:hAnsi="Arial" w:cs="Arial"/>
        </w:rPr>
        <w:t>Melhuish</w:t>
      </w:r>
      <w:proofErr w:type="spellEnd"/>
      <w:r w:rsidRPr="005E032F">
        <w:rPr>
          <w:rFonts w:ascii="Arial" w:hAnsi="Arial" w:cs="Arial"/>
        </w:rPr>
        <w:t>, Institute for the Study of Children, Families &amp; Social Issues, Birkbeck, University of London, ‘A literature review of the impact of early years provision on young children, with emphasis given to children from disadvantaged backgrounds’</w:t>
      </w:r>
    </w:p>
    <w:p w14:paraId="19E9733E" w14:textId="3667A221" w:rsidR="00DF1629" w:rsidRPr="005E032F" w:rsidRDefault="00044DC0" w:rsidP="005E032F">
      <w:pPr>
        <w:pStyle w:val="ListParagraph"/>
        <w:numPr>
          <w:ilvl w:val="0"/>
          <w:numId w:val="45"/>
        </w:numPr>
        <w:ind w:left="360"/>
        <w:rPr>
          <w:rFonts w:ascii="Arial" w:hAnsi="Arial" w:cs="Arial"/>
        </w:rPr>
      </w:pPr>
      <w:r w:rsidRPr="005E032F">
        <w:rPr>
          <w:rFonts w:ascii="Arial" w:hAnsi="Arial" w:cs="Arial"/>
        </w:rPr>
        <w:t xml:space="preserve">EY Foundation (2016): ‘The employment landscape for young people in the UK’. </w:t>
      </w:r>
    </w:p>
    <w:p w14:paraId="6D48BC49" w14:textId="40C3AE98" w:rsidR="00DF1629" w:rsidRPr="005E032F" w:rsidRDefault="00044DC0" w:rsidP="005E032F">
      <w:pPr>
        <w:pStyle w:val="ListParagraph"/>
        <w:numPr>
          <w:ilvl w:val="0"/>
          <w:numId w:val="45"/>
        </w:numPr>
        <w:ind w:left="360"/>
        <w:rPr>
          <w:rFonts w:ascii="Arial" w:hAnsi="Arial" w:cs="Arial"/>
        </w:rPr>
      </w:pPr>
      <w:r w:rsidRPr="005E032F">
        <w:rPr>
          <w:rFonts w:ascii="Arial" w:hAnsi="Arial" w:cs="Arial"/>
        </w:rPr>
        <w:t>Fields in Trust. (2018); Revaluing Parks and Green Spaces: ‘Measuring their economic and wellbeing value to individuals’</w:t>
      </w:r>
    </w:p>
    <w:p w14:paraId="409F8632" w14:textId="2E0DD88F" w:rsidR="00DF1629" w:rsidRPr="005E032F" w:rsidRDefault="00044DC0" w:rsidP="005E032F">
      <w:pPr>
        <w:pStyle w:val="ListParagraph"/>
        <w:numPr>
          <w:ilvl w:val="0"/>
          <w:numId w:val="45"/>
        </w:numPr>
        <w:ind w:left="360"/>
        <w:rPr>
          <w:rFonts w:ascii="Arial" w:hAnsi="Arial" w:cs="Arial"/>
        </w:rPr>
      </w:pPr>
      <w:r w:rsidRPr="005E032F">
        <w:rPr>
          <w:rFonts w:ascii="Arial" w:hAnsi="Arial" w:cs="Arial"/>
        </w:rPr>
        <w:t xml:space="preserve">Flint E, Cummins S, Sacker A. ‘Associations between active commuting, body fat, and body mass index: population based, cross sectional study in the United Kingdom.’ </w:t>
      </w:r>
    </w:p>
    <w:p w14:paraId="6169EF58" w14:textId="77777777" w:rsidR="00044DC0" w:rsidRPr="005E032F" w:rsidRDefault="00044DC0" w:rsidP="005E032F">
      <w:pPr>
        <w:pStyle w:val="ListParagraph"/>
        <w:numPr>
          <w:ilvl w:val="0"/>
          <w:numId w:val="45"/>
        </w:numPr>
        <w:ind w:left="360"/>
        <w:rPr>
          <w:rFonts w:ascii="Arial" w:hAnsi="Arial" w:cs="Arial"/>
        </w:rPr>
      </w:pPr>
      <w:r w:rsidRPr="005E032F">
        <w:rPr>
          <w:rFonts w:ascii="Arial" w:hAnsi="Arial" w:cs="Arial"/>
          <w:color w:val="222222"/>
        </w:rPr>
        <w:t xml:space="preserve">Gallo, W. T., Bradley, E. H., </w:t>
      </w:r>
      <w:proofErr w:type="spellStart"/>
      <w:r w:rsidRPr="005E032F">
        <w:rPr>
          <w:rFonts w:ascii="Arial" w:hAnsi="Arial" w:cs="Arial"/>
          <w:color w:val="222222"/>
        </w:rPr>
        <w:t>Falba</w:t>
      </w:r>
      <w:proofErr w:type="spellEnd"/>
      <w:r w:rsidRPr="005E032F">
        <w:rPr>
          <w:rFonts w:ascii="Arial" w:hAnsi="Arial" w:cs="Arial"/>
          <w:color w:val="222222"/>
        </w:rPr>
        <w:t xml:space="preserve">, T. A., </w:t>
      </w:r>
      <w:proofErr w:type="spellStart"/>
      <w:r w:rsidRPr="005E032F">
        <w:rPr>
          <w:rFonts w:ascii="Arial" w:hAnsi="Arial" w:cs="Arial"/>
          <w:color w:val="222222"/>
        </w:rPr>
        <w:t>Dubin</w:t>
      </w:r>
      <w:proofErr w:type="spellEnd"/>
      <w:r w:rsidRPr="005E032F">
        <w:rPr>
          <w:rFonts w:ascii="Arial" w:hAnsi="Arial" w:cs="Arial"/>
          <w:color w:val="222222"/>
        </w:rPr>
        <w:t xml:space="preserve">, J. A., Cramer, L. D., Bogardus Jr, S. T., &amp; </w:t>
      </w:r>
      <w:proofErr w:type="spellStart"/>
      <w:r w:rsidRPr="005E032F">
        <w:rPr>
          <w:rFonts w:ascii="Arial" w:hAnsi="Arial" w:cs="Arial"/>
          <w:color w:val="222222"/>
        </w:rPr>
        <w:t>Kasl</w:t>
      </w:r>
      <w:proofErr w:type="spellEnd"/>
      <w:r w:rsidRPr="005E032F">
        <w:rPr>
          <w:rFonts w:ascii="Arial" w:hAnsi="Arial" w:cs="Arial"/>
          <w:color w:val="222222"/>
        </w:rPr>
        <w:t xml:space="preserve">, S. V. (2004).’ Involuntary job loss as a risk factor for subsequent myocardial infarction and stroke: findings from the Health and Retirement Survey’. </w:t>
      </w:r>
      <w:r w:rsidRPr="005E032F">
        <w:rPr>
          <w:rFonts w:ascii="Arial" w:hAnsi="Arial" w:cs="Arial"/>
          <w:iCs/>
          <w:color w:val="222222"/>
        </w:rPr>
        <w:t>American journal of industrial medicine</w:t>
      </w:r>
      <w:r w:rsidRPr="005E032F">
        <w:rPr>
          <w:rFonts w:ascii="Arial" w:hAnsi="Arial" w:cs="Arial"/>
          <w:color w:val="222222"/>
        </w:rPr>
        <w:t xml:space="preserve">, </w:t>
      </w:r>
      <w:r w:rsidRPr="005E032F">
        <w:rPr>
          <w:rFonts w:ascii="Arial" w:hAnsi="Arial" w:cs="Arial"/>
          <w:iCs/>
          <w:color w:val="222222"/>
        </w:rPr>
        <w:t>45</w:t>
      </w:r>
      <w:r w:rsidRPr="005E032F">
        <w:rPr>
          <w:rFonts w:ascii="Arial" w:hAnsi="Arial" w:cs="Arial"/>
          <w:color w:val="222222"/>
        </w:rPr>
        <w:t>(5), 408-416</w:t>
      </w:r>
    </w:p>
    <w:p w14:paraId="380FF276" w14:textId="0AC4FF0E" w:rsidR="00044DC0" w:rsidRPr="00044DC0" w:rsidRDefault="00044DC0" w:rsidP="005E032F">
      <w:pPr>
        <w:pStyle w:val="ListParagraph"/>
        <w:numPr>
          <w:ilvl w:val="0"/>
          <w:numId w:val="45"/>
        </w:numPr>
        <w:ind w:left="360"/>
        <w:rPr>
          <w:rStyle w:val="Hyperlink"/>
          <w:rFonts w:ascii="Arial" w:hAnsi="Arial" w:cs="Arial"/>
        </w:rPr>
      </w:pPr>
      <w:r w:rsidRPr="00044DC0">
        <w:rPr>
          <w:rFonts w:ascii="Arial" w:hAnsi="Arial" w:cs="Arial"/>
        </w:rPr>
        <w:t xml:space="preserve">Global Partnership for Education (no date): ‘Benefits of Education’. </w:t>
      </w:r>
    </w:p>
    <w:p w14:paraId="5CC39AB6" w14:textId="6439A988" w:rsidR="00DF1629" w:rsidRPr="00044DC0" w:rsidRDefault="00044DC0" w:rsidP="005E032F">
      <w:pPr>
        <w:pStyle w:val="ListParagraph"/>
        <w:numPr>
          <w:ilvl w:val="0"/>
          <w:numId w:val="45"/>
        </w:numPr>
        <w:ind w:left="360"/>
        <w:rPr>
          <w:rStyle w:val="Hyperlink"/>
          <w:rFonts w:ascii="Arial" w:hAnsi="Arial" w:cs="Arial"/>
        </w:rPr>
      </w:pPr>
      <w:r w:rsidRPr="00044DC0">
        <w:rPr>
          <w:rFonts w:ascii="Arial" w:hAnsi="Arial" w:cs="Arial"/>
        </w:rPr>
        <w:t xml:space="preserve">Government Equalities Office (2018): ‘Trans People in the UK’. </w:t>
      </w:r>
    </w:p>
    <w:p w14:paraId="22C14AA1" w14:textId="43C96AF3" w:rsidR="00DF1629" w:rsidRPr="005E032F" w:rsidRDefault="00044DC0" w:rsidP="00DF1629">
      <w:pPr>
        <w:pStyle w:val="ListParagraph"/>
        <w:numPr>
          <w:ilvl w:val="0"/>
          <w:numId w:val="45"/>
        </w:numPr>
        <w:ind w:left="360"/>
      </w:pPr>
      <w:r w:rsidRPr="005E032F">
        <w:rPr>
          <w:rFonts w:ascii="Arial" w:hAnsi="Arial" w:cs="Arial"/>
        </w:rPr>
        <w:t xml:space="preserve">Graham, H et al (2018): ‘The experiences of everyday travel for older people in rural areas: A systematic review of UK qualitative studies’. </w:t>
      </w:r>
    </w:p>
    <w:p w14:paraId="4A974FF0" w14:textId="2118BE53" w:rsidR="00DF1629" w:rsidRPr="00861042" w:rsidRDefault="00044DC0" w:rsidP="005E032F">
      <w:pPr>
        <w:pStyle w:val="ListParagraph"/>
        <w:numPr>
          <w:ilvl w:val="0"/>
          <w:numId w:val="45"/>
        </w:numPr>
        <w:ind w:left="360"/>
      </w:pPr>
      <w:proofErr w:type="spellStart"/>
      <w:r w:rsidRPr="005E032F">
        <w:rPr>
          <w:rFonts w:ascii="Arial" w:hAnsi="Arial" w:cs="Arial"/>
        </w:rPr>
        <w:t>McEachan</w:t>
      </w:r>
      <w:proofErr w:type="spellEnd"/>
      <w:r w:rsidRPr="005E032F">
        <w:rPr>
          <w:rFonts w:ascii="Arial" w:hAnsi="Arial" w:cs="Arial"/>
        </w:rPr>
        <w:t xml:space="preserve">, R.R. </w:t>
      </w:r>
      <w:proofErr w:type="spellStart"/>
      <w:r w:rsidRPr="005E032F">
        <w:rPr>
          <w:rFonts w:ascii="Arial" w:hAnsi="Arial" w:cs="Arial"/>
        </w:rPr>
        <w:t>Prady</w:t>
      </w:r>
      <w:proofErr w:type="spellEnd"/>
      <w:r w:rsidRPr="005E032F">
        <w:rPr>
          <w:rFonts w:ascii="Arial" w:hAnsi="Arial" w:cs="Arial"/>
        </w:rPr>
        <w:t xml:space="preserve">, S.L. Smith, G. Fairley, L. </w:t>
      </w:r>
      <w:proofErr w:type="spellStart"/>
      <w:r w:rsidRPr="005E032F">
        <w:rPr>
          <w:rFonts w:ascii="Arial" w:hAnsi="Arial" w:cs="Arial"/>
        </w:rPr>
        <w:t>Cabieses</w:t>
      </w:r>
      <w:proofErr w:type="spellEnd"/>
      <w:r w:rsidRPr="005E032F">
        <w:rPr>
          <w:rFonts w:ascii="Arial" w:hAnsi="Arial" w:cs="Arial"/>
        </w:rPr>
        <w:t xml:space="preserve">, B. </w:t>
      </w:r>
      <w:proofErr w:type="spellStart"/>
      <w:r w:rsidRPr="005E032F">
        <w:rPr>
          <w:rFonts w:ascii="Arial" w:hAnsi="Arial" w:cs="Arial"/>
        </w:rPr>
        <w:t>Gidlow</w:t>
      </w:r>
      <w:proofErr w:type="spellEnd"/>
      <w:r w:rsidRPr="005E032F">
        <w:rPr>
          <w:rFonts w:ascii="Arial" w:hAnsi="Arial" w:cs="Arial"/>
        </w:rPr>
        <w:t xml:space="preserve">, C. Wright, J </w:t>
      </w:r>
      <w:proofErr w:type="spellStart"/>
      <w:r w:rsidRPr="005E032F">
        <w:rPr>
          <w:rFonts w:ascii="Arial" w:hAnsi="Arial" w:cs="Arial"/>
        </w:rPr>
        <w:t>Dadvand</w:t>
      </w:r>
      <w:proofErr w:type="spellEnd"/>
      <w:r w:rsidRPr="005E032F">
        <w:rPr>
          <w:rFonts w:ascii="Arial" w:hAnsi="Arial" w:cs="Arial"/>
        </w:rPr>
        <w:t xml:space="preserve">, P. Van Gent, D and </w:t>
      </w:r>
      <w:proofErr w:type="spellStart"/>
      <w:r w:rsidRPr="005E032F">
        <w:rPr>
          <w:rFonts w:ascii="Arial" w:hAnsi="Arial" w:cs="Arial"/>
        </w:rPr>
        <w:t>Nieuwenhuijsen</w:t>
      </w:r>
      <w:proofErr w:type="spellEnd"/>
      <w:r w:rsidRPr="005E032F">
        <w:rPr>
          <w:rFonts w:ascii="Arial" w:hAnsi="Arial" w:cs="Arial"/>
        </w:rPr>
        <w:t>, M.J. (2016) The association between green space and depressive symptoms in pregnant women: moderating roles of socioeconomic status and physical activity.</w:t>
      </w:r>
    </w:p>
    <w:p w14:paraId="2DCDD783" w14:textId="4D4A4C05" w:rsidR="00DF1629" w:rsidRPr="005E032F" w:rsidRDefault="00044DC0" w:rsidP="005E032F">
      <w:pPr>
        <w:pStyle w:val="ListParagraph"/>
        <w:numPr>
          <w:ilvl w:val="0"/>
          <w:numId w:val="45"/>
        </w:numPr>
        <w:ind w:left="360"/>
        <w:rPr>
          <w:rFonts w:ascii="Arial" w:hAnsi="Arial" w:cs="Arial"/>
        </w:rPr>
      </w:pPr>
      <w:proofErr w:type="spellStart"/>
      <w:r w:rsidRPr="005E032F">
        <w:rPr>
          <w:rFonts w:ascii="Arial" w:hAnsi="Arial" w:cs="Arial"/>
        </w:rPr>
        <w:t>Hartig</w:t>
      </w:r>
      <w:proofErr w:type="spellEnd"/>
      <w:r w:rsidRPr="005E032F">
        <w:rPr>
          <w:rFonts w:ascii="Arial" w:hAnsi="Arial" w:cs="Arial"/>
        </w:rPr>
        <w:t xml:space="preserve">, T. Mang, M. Evans, G.W (1991) </w:t>
      </w:r>
      <w:r w:rsidR="00060877" w:rsidRPr="005E032F">
        <w:rPr>
          <w:rFonts w:ascii="Arial" w:hAnsi="Arial" w:cs="Arial"/>
        </w:rPr>
        <w:t>‘</w:t>
      </w:r>
      <w:r w:rsidRPr="005E032F">
        <w:rPr>
          <w:rFonts w:ascii="Arial" w:hAnsi="Arial" w:cs="Arial"/>
        </w:rPr>
        <w:t>Restorative effects of natural environment experiences</w:t>
      </w:r>
      <w:r w:rsidR="00060877" w:rsidRPr="005E032F">
        <w:rPr>
          <w:rFonts w:ascii="Arial" w:hAnsi="Arial" w:cs="Arial"/>
        </w:rPr>
        <w:t>’</w:t>
      </w:r>
    </w:p>
    <w:p w14:paraId="26BFB51A" w14:textId="77777777" w:rsidR="00044DC0" w:rsidRPr="005E032F" w:rsidRDefault="00044DC0" w:rsidP="005E032F">
      <w:pPr>
        <w:pStyle w:val="ListParagraph"/>
        <w:numPr>
          <w:ilvl w:val="0"/>
          <w:numId w:val="45"/>
        </w:numPr>
        <w:ind w:left="360"/>
        <w:rPr>
          <w:rFonts w:ascii="Arial" w:hAnsi="Arial" w:cs="Arial"/>
        </w:rPr>
      </w:pPr>
      <w:r w:rsidRPr="005E032F">
        <w:rPr>
          <w:rFonts w:ascii="Arial" w:hAnsi="Arial" w:cs="Arial"/>
        </w:rPr>
        <w:t>House of Commons Women and Equalities Committee (2017): ‘Building for Equality: Disability and the Built Environment’. Available at: https://publications.parliament.uk/pa/cm201617/cmselect/cmwomeq/631/631.pdf</w:t>
      </w:r>
    </w:p>
    <w:p w14:paraId="5F752560" w14:textId="36533BCD" w:rsidR="00DF1629" w:rsidRPr="00044DC0" w:rsidRDefault="00044DC0" w:rsidP="005E032F">
      <w:pPr>
        <w:pStyle w:val="ListParagraph"/>
        <w:numPr>
          <w:ilvl w:val="0"/>
          <w:numId w:val="45"/>
        </w:numPr>
        <w:ind w:left="360"/>
        <w:rPr>
          <w:rFonts w:ascii="Arial" w:hAnsi="Arial" w:cs="Arial"/>
        </w:rPr>
      </w:pPr>
      <w:r w:rsidRPr="00044DC0">
        <w:rPr>
          <w:rFonts w:ascii="Arial" w:hAnsi="Arial" w:cs="Arial"/>
        </w:rPr>
        <w:t>Joseph Rowntree Foundation (2015): ‘Ethnic Minority Disadvantage in The Labour Market’.</w:t>
      </w:r>
    </w:p>
    <w:p w14:paraId="727E636D" w14:textId="0EACA0D1" w:rsidR="00DF1629" w:rsidRPr="005E032F" w:rsidRDefault="00044DC0" w:rsidP="005E032F">
      <w:pPr>
        <w:pStyle w:val="ListParagraph"/>
        <w:numPr>
          <w:ilvl w:val="0"/>
          <w:numId w:val="45"/>
        </w:numPr>
        <w:ind w:left="360"/>
        <w:rPr>
          <w:rFonts w:ascii="Arial" w:hAnsi="Arial" w:cs="Arial"/>
        </w:rPr>
      </w:pPr>
      <w:r w:rsidRPr="005E032F">
        <w:rPr>
          <w:rFonts w:ascii="Arial" w:hAnsi="Arial" w:cs="Arial"/>
        </w:rPr>
        <w:t xml:space="preserve">Joseph Rowntree Foundation, ‘Housing options and solutions for young people in 2020” (2012) </w:t>
      </w:r>
    </w:p>
    <w:p w14:paraId="48D29FAB" w14:textId="0FA23883" w:rsidR="00DF1629" w:rsidRPr="005E032F" w:rsidRDefault="00044DC0" w:rsidP="005E032F">
      <w:pPr>
        <w:pStyle w:val="ListParagraph"/>
        <w:numPr>
          <w:ilvl w:val="0"/>
          <w:numId w:val="45"/>
        </w:numPr>
        <w:ind w:left="360"/>
        <w:rPr>
          <w:rFonts w:ascii="Arial" w:hAnsi="Arial" w:cs="Arial"/>
        </w:rPr>
      </w:pPr>
      <w:r w:rsidRPr="005E032F">
        <w:rPr>
          <w:rFonts w:ascii="Arial" w:hAnsi="Arial" w:cs="Arial"/>
        </w:rPr>
        <w:t xml:space="preserve">Leeds University Business School (2004): ‘The Economic and Social Impact of Redundancies from Corus and Allied Steel and Wire in Wales’ </w:t>
      </w:r>
    </w:p>
    <w:p w14:paraId="216B36F6" w14:textId="77777777" w:rsidR="00044DC0" w:rsidRPr="005E032F" w:rsidRDefault="00044DC0" w:rsidP="005E032F">
      <w:pPr>
        <w:pStyle w:val="ListParagraph"/>
        <w:numPr>
          <w:ilvl w:val="0"/>
          <w:numId w:val="45"/>
        </w:numPr>
        <w:ind w:left="360"/>
        <w:rPr>
          <w:rFonts w:ascii="Arial" w:hAnsi="Arial" w:cs="Arial"/>
        </w:rPr>
      </w:pPr>
      <w:r w:rsidRPr="005E032F">
        <w:rPr>
          <w:rFonts w:ascii="Arial" w:hAnsi="Arial" w:cs="Arial"/>
        </w:rPr>
        <w:t xml:space="preserve">Legislation UK (1990) Town and Country Planning Act 1990 </w:t>
      </w:r>
    </w:p>
    <w:p w14:paraId="29284433" w14:textId="77777777"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lastRenderedPageBreak/>
        <w:t xml:space="preserve">Marmot Review Team (2011) 'The Health Impacts of Cold Homes and Fuel Poverty'. London: Department of Epidemiology and Public Health, University College London. </w:t>
      </w:r>
    </w:p>
    <w:p w14:paraId="43B23F82" w14:textId="5D5EB11C" w:rsidR="00DF1629"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Matt Barnes, Carl Cullinane, Sara Scott and Hannah Silvester, People living in bad housing – numbers and health impacts (2013) </w:t>
      </w:r>
    </w:p>
    <w:p w14:paraId="27662C13" w14:textId="14BD6FDE" w:rsidR="00DF1629" w:rsidRPr="00B147AF" w:rsidRDefault="00044DC0" w:rsidP="005E032F">
      <w:pPr>
        <w:pStyle w:val="FootnoteText"/>
        <w:numPr>
          <w:ilvl w:val="0"/>
          <w:numId w:val="45"/>
        </w:numPr>
        <w:ind w:left="360"/>
        <w:rPr>
          <w:rStyle w:val="Hyperlink"/>
          <w:rFonts w:ascii="Arial" w:hAnsi="Arial" w:cs="Arial"/>
          <w:szCs w:val="28"/>
        </w:rPr>
      </w:pPr>
      <w:r w:rsidRPr="005E032F">
        <w:rPr>
          <w:rFonts w:ascii="Arial" w:hAnsi="Arial" w:cs="Arial"/>
          <w:sz w:val="20"/>
          <w:szCs w:val="20"/>
        </w:rPr>
        <w:t xml:space="preserve">Merton Council (2018): ‘The Merton Story – health and wellbeing in Merton in 2018’. </w:t>
      </w:r>
    </w:p>
    <w:p w14:paraId="708C2F9B" w14:textId="77777777" w:rsidR="00044DC0" w:rsidRPr="005E032F" w:rsidRDefault="00044DC0" w:rsidP="005E032F">
      <w:pPr>
        <w:pStyle w:val="FootnoteText"/>
        <w:numPr>
          <w:ilvl w:val="0"/>
          <w:numId w:val="45"/>
        </w:numPr>
        <w:ind w:left="360"/>
        <w:rPr>
          <w:rFonts w:ascii="Arial" w:hAnsi="Arial" w:cs="Arial"/>
        </w:rPr>
      </w:pPr>
      <w:r w:rsidRPr="005E032F">
        <w:rPr>
          <w:rFonts w:ascii="Arial" w:hAnsi="Arial" w:cs="Arial"/>
          <w:sz w:val="20"/>
          <w:szCs w:val="20"/>
        </w:rPr>
        <w:t xml:space="preserve">Ministry of Housing, Communities &amp; Local Government (2019) Guidance on Compulsory purchase process and The </w:t>
      </w:r>
      <w:proofErr w:type="spellStart"/>
      <w:r w:rsidRPr="005E032F">
        <w:rPr>
          <w:rFonts w:ascii="Arial" w:hAnsi="Arial" w:cs="Arial"/>
          <w:sz w:val="20"/>
          <w:szCs w:val="20"/>
        </w:rPr>
        <w:t>Crichel</w:t>
      </w:r>
      <w:proofErr w:type="spellEnd"/>
      <w:r w:rsidRPr="005E032F">
        <w:rPr>
          <w:rFonts w:ascii="Arial" w:hAnsi="Arial" w:cs="Arial"/>
          <w:sz w:val="20"/>
          <w:szCs w:val="20"/>
        </w:rPr>
        <w:t xml:space="preserve"> Down Rules</w:t>
      </w:r>
    </w:p>
    <w:p w14:paraId="4D0B3934" w14:textId="1FFE5BBB" w:rsidR="00044DC0" w:rsidRPr="00C236A9" w:rsidRDefault="00044DC0" w:rsidP="005E032F">
      <w:pPr>
        <w:pStyle w:val="FootnoteText"/>
        <w:numPr>
          <w:ilvl w:val="0"/>
          <w:numId w:val="45"/>
        </w:numPr>
        <w:ind w:left="360"/>
        <w:rPr>
          <w:rFonts w:ascii="Arial" w:hAnsi="Arial" w:cs="Arial"/>
          <w:sz w:val="20"/>
          <w:szCs w:val="20"/>
        </w:rPr>
      </w:pPr>
      <w:r w:rsidRPr="00C236A9">
        <w:rPr>
          <w:rStyle w:val="Hyperlink"/>
          <w:rFonts w:ascii="Arial" w:hAnsi="Arial" w:cs="Arial"/>
          <w:color w:val="auto"/>
          <w:sz w:val="20"/>
          <w:u w:val="none"/>
        </w:rPr>
        <w:t xml:space="preserve">My Community (2017): ‘Community hubs for local services’. </w:t>
      </w:r>
    </w:p>
    <w:p w14:paraId="429E6F4F" w14:textId="77777777"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Nation Children’s Bureau (2007): ‘Free Play in Early Childhood’</w:t>
      </w:r>
    </w:p>
    <w:p w14:paraId="5321075C" w14:textId="1D4F6A0D"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National Children's Bureau (2016): 'Housing and the health of young children: Policy and evidence briefing for the VCSE sector'. </w:t>
      </w:r>
    </w:p>
    <w:p w14:paraId="485A4EA6" w14:textId="77777777"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Public Health England (2016) Health matters: getting every adult active every day.</w:t>
      </w:r>
    </w:p>
    <w:p w14:paraId="4B8817A3" w14:textId="77777777"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Richardson, C., Faulkner, G., McDevitt, J., </w:t>
      </w:r>
      <w:proofErr w:type="spellStart"/>
      <w:r w:rsidRPr="00C236A9">
        <w:rPr>
          <w:rFonts w:ascii="Arial" w:hAnsi="Arial" w:cs="Arial"/>
          <w:sz w:val="20"/>
          <w:szCs w:val="20"/>
        </w:rPr>
        <w:t>Skrinar</w:t>
      </w:r>
      <w:proofErr w:type="spellEnd"/>
      <w:r w:rsidRPr="00C236A9">
        <w:rPr>
          <w:rFonts w:ascii="Arial" w:hAnsi="Arial" w:cs="Arial"/>
          <w:sz w:val="20"/>
          <w:szCs w:val="20"/>
        </w:rPr>
        <w:t xml:space="preserve">, G., Hutchinson, D., </w:t>
      </w:r>
      <w:proofErr w:type="spellStart"/>
      <w:r w:rsidRPr="00C236A9">
        <w:rPr>
          <w:rFonts w:ascii="Arial" w:hAnsi="Arial" w:cs="Arial"/>
          <w:sz w:val="20"/>
          <w:szCs w:val="20"/>
        </w:rPr>
        <w:t>Piette</w:t>
      </w:r>
      <w:proofErr w:type="spellEnd"/>
      <w:r w:rsidRPr="00C236A9">
        <w:rPr>
          <w:rFonts w:ascii="Arial" w:hAnsi="Arial" w:cs="Arial"/>
          <w:sz w:val="20"/>
          <w:szCs w:val="20"/>
        </w:rPr>
        <w:t>, J. (2005) Integrating physical activity into mental health services for persons with serious mental illness.</w:t>
      </w:r>
    </w:p>
    <w:p w14:paraId="3EFFA02E" w14:textId="3B53906A"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Royal College of </w:t>
      </w:r>
      <w:proofErr w:type="spellStart"/>
      <w:r w:rsidRPr="00C236A9">
        <w:rPr>
          <w:rFonts w:ascii="Arial" w:hAnsi="Arial" w:cs="Arial"/>
          <w:sz w:val="20"/>
          <w:szCs w:val="20"/>
        </w:rPr>
        <w:t>Physicans</w:t>
      </w:r>
      <w:proofErr w:type="spellEnd"/>
      <w:r w:rsidRPr="00C236A9">
        <w:rPr>
          <w:rFonts w:ascii="Arial" w:hAnsi="Arial" w:cs="Arial"/>
          <w:sz w:val="20"/>
          <w:szCs w:val="20"/>
        </w:rPr>
        <w:t xml:space="preserve"> (2016): ‘Every breath we take: the lifelong impact of air pollution’</w:t>
      </w:r>
    </w:p>
    <w:p w14:paraId="6FB0E7FD" w14:textId="01938BB8"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Runnymede Trust (2016) 'Ethnic Inequalities in London: Capital </w:t>
      </w:r>
      <w:proofErr w:type="gramStart"/>
      <w:r w:rsidRPr="00C236A9">
        <w:rPr>
          <w:rFonts w:ascii="Arial" w:hAnsi="Arial" w:cs="Arial"/>
          <w:sz w:val="20"/>
          <w:szCs w:val="20"/>
        </w:rPr>
        <w:t>For</w:t>
      </w:r>
      <w:proofErr w:type="gramEnd"/>
      <w:r w:rsidRPr="00C236A9">
        <w:rPr>
          <w:rFonts w:ascii="Arial" w:hAnsi="Arial" w:cs="Arial"/>
          <w:sz w:val="20"/>
          <w:szCs w:val="20"/>
        </w:rPr>
        <w:t xml:space="preserve"> All'. </w:t>
      </w:r>
    </w:p>
    <w:p w14:paraId="70C0C899" w14:textId="494EA8B4"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Scope (2017): ‘Nearly half of disabled people chronically lonely’. </w:t>
      </w:r>
    </w:p>
    <w:p w14:paraId="2EDC80CE" w14:textId="0B75DB7F"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Scope (2018): ‘Out in the cold’. </w:t>
      </w:r>
    </w:p>
    <w:p w14:paraId="354F9815" w14:textId="42795251" w:rsidR="00DF1629"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Scope (undated) ‘Challenging behaviour’</w:t>
      </w:r>
    </w:p>
    <w:p w14:paraId="0C919B2E" w14:textId="16A7F681" w:rsidR="00044DC0" w:rsidRPr="005E032F" w:rsidRDefault="00044DC0" w:rsidP="005E032F">
      <w:pPr>
        <w:pStyle w:val="FootnoteText"/>
        <w:numPr>
          <w:ilvl w:val="0"/>
          <w:numId w:val="45"/>
        </w:numPr>
        <w:ind w:left="360"/>
        <w:rPr>
          <w:rStyle w:val="Hyperlink"/>
          <w:rFonts w:ascii="Arial" w:hAnsi="Arial" w:cs="Arial"/>
          <w:sz w:val="20"/>
          <w:szCs w:val="28"/>
        </w:rPr>
      </w:pPr>
      <w:r w:rsidRPr="005E032F">
        <w:rPr>
          <w:rFonts w:ascii="Arial" w:hAnsi="Arial" w:cs="Arial"/>
          <w:sz w:val="20"/>
          <w:szCs w:val="20"/>
        </w:rPr>
        <w:t>Source: Office for National Statistics (2017)</w:t>
      </w:r>
      <w:r w:rsidR="00CD47F7" w:rsidRPr="005E032F">
        <w:rPr>
          <w:rStyle w:val="Hyperlink"/>
          <w:rFonts w:ascii="Arial" w:hAnsi="Arial" w:cs="Arial"/>
          <w:sz w:val="20"/>
          <w:szCs w:val="28"/>
        </w:rPr>
        <w:t xml:space="preserve"> </w:t>
      </w:r>
    </w:p>
    <w:p w14:paraId="48FAE1A4" w14:textId="49E4044E"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Tangmere Parish Council (2016) ‘Tangmere Neighbourhood Plan 2014-2029’. </w:t>
      </w:r>
    </w:p>
    <w:p w14:paraId="6BF7E5A6" w14:textId="77777777"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The Housing and Ageing Alliance. (2013). ‘Policy Paper: Health, Housing and Ageing’</w:t>
      </w:r>
    </w:p>
    <w:p w14:paraId="20321089" w14:textId="22C0E702"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The Poverty Site (2017). </w:t>
      </w:r>
    </w:p>
    <w:p w14:paraId="1A9A1690" w14:textId="4357CFE2" w:rsidR="00DF1629"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 xml:space="preserve">Transport for London (2011): 'What are the barriers to cycling amongst ethnic minority groups and people from deprived backgrounds?'. </w:t>
      </w:r>
    </w:p>
    <w:p w14:paraId="1481A51C" w14:textId="6A6F39D4" w:rsidR="00044DC0" w:rsidRPr="005E032F" w:rsidRDefault="00044DC0" w:rsidP="005E032F">
      <w:pPr>
        <w:pStyle w:val="FootnoteText"/>
        <w:numPr>
          <w:ilvl w:val="0"/>
          <w:numId w:val="45"/>
        </w:numPr>
        <w:ind w:left="360"/>
        <w:rPr>
          <w:rFonts w:ascii="Arial" w:hAnsi="Arial" w:cs="Arial"/>
        </w:rPr>
      </w:pPr>
      <w:proofErr w:type="spellStart"/>
      <w:r w:rsidRPr="005E032F">
        <w:rPr>
          <w:rFonts w:ascii="Arial" w:hAnsi="Arial" w:cs="Arial"/>
          <w:sz w:val="20"/>
          <w:szCs w:val="20"/>
        </w:rPr>
        <w:t>Verplanken</w:t>
      </w:r>
      <w:proofErr w:type="spellEnd"/>
      <w:r w:rsidRPr="005E032F">
        <w:rPr>
          <w:rFonts w:ascii="Arial" w:hAnsi="Arial" w:cs="Arial"/>
          <w:sz w:val="20"/>
          <w:szCs w:val="20"/>
        </w:rPr>
        <w:t xml:space="preserve"> B, Walker I, Davis A, </w:t>
      </w:r>
      <w:proofErr w:type="spellStart"/>
      <w:r w:rsidRPr="005E032F">
        <w:rPr>
          <w:rFonts w:ascii="Arial" w:hAnsi="Arial" w:cs="Arial"/>
          <w:sz w:val="20"/>
          <w:szCs w:val="20"/>
        </w:rPr>
        <w:t>Jurasek</w:t>
      </w:r>
      <w:proofErr w:type="spellEnd"/>
      <w:r w:rsidRPr="005E032F">
        <w:rPr>
          <w:rFonts w:ascii="Arial" w:hAnsi="Arial" w:cs="Arial"/>
          <w:sz w:val="20"/>
          <w:szCs w:val="20"/>
        </w:rPr>
        <w:t xml:space="preserve"> M.</w:t>
      </w:r>
      <w:r w:rsidR="00060877" w:rsidRPr="005E032F">
        <w:rPr>
          <w:rFonts w:ascii="Arial" w:hAnsi="Arial" w:cs="Arial"/>
          <w:sz w:val="20"/>
          <w:szCs w:val="20"/>
        </w:rPr>
        <w:t xml:space="preserve"> (2008)</w:t>
      </w:r>
      <w:r w:rsidRPr="005E032F">
        <w:rPr>
          <w:rFonts w:ascii="Arial" w:hAnsi="Arial" w:cs="Arial"/>
          <w:sz w:val="20"/>
          <w:szCs w:val="20"/>
        </w:rPr>
        <w:t xml:space="preserve"> ‘Context change and travel mode choice: combining the habit discontinuity and self-activation hypotheses.’ </w:t>
      </w:r>
    </w:p>
    <w:p w14:paraId="4CA7E449" w14:textId="1C447E36" w:rsidR="00044DC0"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We are Cycling UK (2017): ‘What is inclusive cycling?’</w:t>
      </w:r>
    </w:p>
    <w:p w14:paraId="1E5C9302" w14:textId="1ACEDE81" w:rsidR="00DF1629" w:rsidRPr="00C236A9" w:rsidRDefault="00044DC0" w:rsidP="005E032F">
      <w:pPr>
        <w:pStyle w:val="FootnoteText"/>
        <w:numPr>
          <w:ilvl w:val="0"/>
          <w:numId w:val="45"/>
        </w:numPr>
        <w:ind w:left="360"/>
        <w:rPr>
          <w:rFonts w:ascii="Arial" w:hAnsi="Arial" w:cs="Arial"/>
          <w:sz w:val="20"/>
          <w:szCs w:val="20"/>
        </w:rPr>
      </w:pPr>
      <w:r w:rsidRPr="00C236A9">
        <w:rPr>
          <w:rFonts w:ascii="Arial" w:hAnsi="Arial" w:cs="Arial"/>
          <w:sz w:val="20"/>
          <w:szCs w:val="20"/>
        </w:rPr>
        <w:t>WHO</w:t>
      </w:r>
      <w:r w:rsidR="00060877">
        <w:rPr>
          <w:rFonts w:ascii="Arial" w:hAnsi="Arial" w:cs="Arial"/>
          <w:sz w:val="20"/>
          <w:szCs w:val="20"/>
        </w:rPr>
        <w:t xml:space="preserve"> (2017) </w:t>
      </w:r>
      <w:r w:rsidRPr="00C236A9">
        <w:rPr>
          <w:rFonts w:ascii="Arial" w:hAnsi="Arial" w:cs="Arial"/>
          <w:sz w:val="20"/>
          <w:szCs w:val="20"/>
        </w:rPr>
        <w:t>Health co-benefits of climate change mitigation -Transport sector</w:t>
      </w:r>
    </w:p>
    <w:p w14:paraId="38FDEB50" w14:textId="737E6C43" w:rsidR="00044DC0" w:rsidRPr="005E032F" w:rsidRDefault="00044DC0" w:rsidP="005E032F">
      <w:pPr>
        <w:pStyle w:val="FootnoteText"/>
        <w:numPr>
          <w:ilvl w:val="0"/>
          <w:numId w:val="45"/>
        </w:numPr>
        <w:ind w:left="360"/>
        <w:rPr>
          <w:rFonts w:ascii="Arial" w:hAnsi="Arial" w:cs="Arial"/>
        </w:rPr>
      </w:pPr>
      <w:r w:rsidRPr="005E032F">
        <w:rPr>
          <w:rFonts w:ascii="Arial" w:hAnsi="Arial" w:cs="Arial"/>
          <w:sz w:val="20"/>
          <w:szCs w:val="20"/>
        </w:rPr>
        <w:t xml:space="preserve">World Health Organisation (2011): ‘Burden of disease from environmental noise Quantification of healthy life years lost in Europe’. </w:t>
      </w:r>
    </w:p>
    <w:p w14:paraId="51D8F0E5" w14:textId="77777777" w:rsidR="00C4596D" w:rsidRDefault="00C4596D" w:rsidP="00861042"/>
    <w:p w14:paraId="0910915A" w14:textId="77777777" w:rsidR="00E30C45" w:rsidRDefault="00E30C45" w:rsidP="00CC3613">
      <w:pPr>
        <w:rPr>
          <w:rStyle w:val="Hyperlink"/>
          <w:szCs w:val="14"/>
        </w:rPr>
      </w:pPr>
    </w:p>
    <w:p w14:paraId="0D0BBE5F" w14:textId="0FCF8A94" w:rsidR="00F30253" w:rsidRDefault="00F30253" w:rsidP="00F30253"/>
    <w:p w14:paraId="16930739" w14:textId="77777777" w:rsidR="00F30253" w:rsidRDefault="00F30253" w:rsidP="00F30253"/>
    <w:p w14:paraId="1C93083F" w14:textId="0EE278A0" w:rsidR="002F5DF4" w:rsidRDefault="002F5DF4" w:rsidP="002F5DF4">
      <w:pPr>
        <w:pStyle w:val="AppHead"/>
        <w:numPr>
          <w:ilvl w:val="0"/>
          <w:numId w:val="20"/>
        </w:numPr>
        <w:tabs>
          <w:tab w:val="clear" w:pos="567"/>
        </w:tabs>
        <w:ind w:left="567" w:hanging="567"/>
      </w:pPr>
      <w:bookmarkStart w:id="61" w:name="_Toc30767492"/>
      <w:bookmarkStart w:id="62" w:name="_Toc31809581"/>
      <w:r>
        <w:lastRenderedPageBreak/>
        <w:t>Demographic mapping</w:t>
      </w:r>
      <w:bookmarkEnd w:id="61"/>
      <w:bookmarkEnd w:id="62"/>
    </w:p>
    <w:p w14:paraId="1FE531D9" w14:textId="77777777" w:rsidR="002F5DF4" w:rsidRDefault="002F5DF4" w:rsidP="00E552FA">
      <w:pPr>
        <w:pStyle w:val="AppSubHead"/>
        <w:numPr>
          <w:ilvl w:val="1"/>
          <w:numId w:val="20"/>
        </w:numPr>
      </w:pPr>
      <w:r>
        <w:t>Tangmere Strategic Development Location demographic mapping</w:t>
      </w:r>
    </w:p>
    <w:p w14:paraId="36B607B5" w14:textId="77777777" w:rsidR="002F5DF4" w:rsidRPr="00C11699" w:rsidRDefault="002F5DF4" w:rsidP="002F5DF4">
      <w:pPr>
        <w:pStyle w:val="AppSubHead"/>
        <w:tabs>
          <w:tab w:val="clear" w:pos="652"/>
        </w:tabs>
        <w:rPr>
          <w:b w:val="0"/>
          <w:color w:val="auto"/>
          <w:sz w:val="20"/>
        </w:rPr>
      </w:pPr>
      <w:r w:rsidRPr="00C11699">
        <w:rPr>
          <w:b w:val="0"/>
          <w:color w:val="auto"/>
          <w:sz w:val="20"/>
        </w:rPr>
        <w:t xml:space="preserve">The maps </w:t>
      </w:r>
      <w:r>
        <w:rPr>
          <w:b w:val="0"/>
          <w:color w:val="auto"/>
          <w:sz w:val="20"/>
        </w:rPr>
        <w:t xml:space="preserve">below provide a wider, contextual demographic profile of the Site and its surrounding area. </w:t>
      </w:r>
    </w:p>
    <w:p w14:paraId="0052753D" w14:textId="77777777" w:rsidR="002F5DF4" w:rsidRDefault="002F5DF4" w:rsidP="00E552FA">
      <w:pPr>
        <w:pStyle w:val="AppSubHead"/>
        <w:numPr>
          <w:ilvl w:val="1"/>
          <w:numId w:val="20"/>
        </w:numPr>
      </w:pPr>
      <w:r>
        <w:t>Age</w:t>
      </w:r>
    </w:p>
    <w:p w14:paraId="76684766" w14:textId="77777777" w:rsidR="002F5DF4" w:rsidRDefault="002F5DF4" w:rsidP="00E552FA">
      <w:pPr>
        <w:pStyle w:val="AppMinorSubHead"/>
        <w:numPr>
          <w:ilvl w:val="2"/>
          <w:numId w:val="20"/>
        </w:numPr>
      </w:pPr>
      <w:r>
        <w:t>Children aged 0-15</w:t>
      </w:r>
    </w:p>
    <w:p w14:paraId="198814A3" w14:textId="0D3AC6B2" w:rsidR="002F5DF4" w:rsidRDefault="00CF6464" w:rsidP="002F5DF4">
      <w:pPr>
        <w:pStyle w:val="Caption"/>
      </w:pPr>
      <w:bookmarkStart w:id="63" w:name="_Toc31809596"/>
      <w:r>
        <w:t>Figure</w:t>
      </w:r>
      <w:r w:rsidR="002F5DF4" w:rsidRPr="00702568">
        <w:t xml:space="preserve"> </w:t>
      </w:r>
      <w:r w:rsidR="002F5DF4">
        <w:rPr>
          <w:noProof/>
        </w:rPr>
        <w:fldChar w:fldCharType="begin"/>
      </w:r>
      <w:r w:rsidR="002F5DF4">
        <w:rPr>
          <w:noProof/>
        </w:rPr>
        <w:instrText xml:space="preserve"> STYLEREF 1 \s </w:instrText>
      </w:r>
      <w:r w:rsidR="002F5DF4">
        <w:rPr>
          <w:noProof/>
        </w:rPr>
        <w:fldChar w:fldCharType="separate"/>
      </w:r>
      <w:r>
        <w:rPr>
          <w:noProof/>
        </w:rPr>
        <w:t>5</w:t>
      </w:r>
      <w:r w:rsidR="002F5DF4">
        <w:rPr>
          <w:noProof/>
        </w:rPr>
        <w:fldChar w:fldCharType="end"/>
      </w:r>
      <w:r w:rsidR="002F5DF4">
        <w:t>.</w:t>
      </w:r>
      <w:r w:rsidR="002F5DF4">
        <w:rPr>
          <w:noProof/>
        </w:rPr>
        <w:fldChar w:fldCharType="begin"/>
      </w:r>
      <w:r w:rsidR="002F5DF4">
        <w:rPr>
          <w:noProof/>
        </w:rPr>
        <w:instrText xml:space="preserve"> SEQ Figure \* ARABIC \s 1 </w:instrText>
      </w:r>
      <w:r w:rsidR="002F5DF4">
        <w:rPr>
          <w:noProof/>
        </w:rPr>
        <w:fldChar w:fldCharType="separate"/>
      </w:r>
      <w:r>
        <w:rPr>
          <w:noProof/>
        </w:rPr>
        <w:t>1</w:t>
      </w:r>
      <w:r w:rsidR="002F5DF4">
        <w:rPr>
          <w:noProof/>
        </w:rPr>
        <w:fldChar w:fldCharType="end"/>
      </w:r>
      <w:r w:rsidR="002F5DF4">
        <w:rPr>
          <w:noProof/>
        </w:rPr>
        <w:t>:</w:t>
      </w:r>
      <w:r w:rsidR="002F5DF4">
        <w:t xml:space="preserve"> </w:t>
      </w:r>
      <w:r w:rsidR="002F5DF4">
        <w:fldChar w:fldCharType="begin">
          <w:ffData>
            <w:name w:val=""/>
            <w:enabled/>
            <w:calcOnExit w:val="0"/>
            <w:textInput>
              <w:default w:val="Proportion of total population aged 0-15"/>
            </w:textInput>
          </w:ffData>
        </w:fldChar>
      </w:r>
      <w:r w:rsidR="002F5DF4">
        <w:instrText xml:space="preserve"> FORMTEXT </w:instrText>
      </w:r>
      <w:r w:rsidR="002F5DF4">
        <w:fldChar w:fldCharType="separate"/>
      </w:r>
      <w:r>
        <w:rPr>
          <w:noProof/>
        </w:rPr>
        <w:t>Proportion of total population aged 0-15</w:t>
      </w:r>
      <w:bookmarkEnd w:id="63"/>
      <w:r w:rsidR="002F5DF4">
        <w:fldChar w:fldCharType="end"/>
      </w:r>
    </w:p>
    <w:p w14:paraId="148C6764" w14:textId="77777777" w:rsidR="002F5DF4" w:rsidRPr="00D56852" w:rsidRDefault="002F5DF4" w:rsidP="002F5DF4">
      <w:r w:rsidRPr="007F0416">
        <w:rPr>
          <w:noProof/>
          <w:lang w:eastAsia="en-GB"/>
        </w:rPr>
        <w:drawing>
          <wp:inline distT="0" distB="0" distL="0" distR="0" wp14:anchorId="50A63187" wp14:editId="3C4027F7">
            <wp:extent cx="6393050" cy="4518660"/>
            <wp:effectExtent l="0" t="0" r="8255" b="0"/>
            <wp:docPr id="44" name="Picture 44" descr="SHowing proportion of residents aged under 16" title="Map of Tang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116" b="2158"/>
                    <a:stretch/>
                  </pic:blipFill>
                  <pic:spPr bwMode="auto">
                    <a:xfrm>
                      <a:off x="0" y="0"/>
                      <a:ext cx="6398779" cy="4522710"/>
                    </a:xfrm>
                    <a:prstGeom prst="rect">
                      <a:avLst/>
                    </a:prstGeom>
                    <a:ln>
                      <a:noFill/>
                    </a:ln>
                    <a:extLst>
                      <a:ext uri="{53640926-AAD7-44D8-BBD7-CCE9431645EC}">
                        <a14:shadowObscured xmlns:a14="http://schemas.microsoft.com/office/drawing/2010/main"/>
                      </a:ext>
                    </a:extLst>
                  </pic:spPr>
                </pic:pic>
              </a:graphicData>
            </a:graphic>
          </wp:inline>
        </w:drawing>
      </w:r>
    </w:p>
    <w:p w14:paraId="69672751" w14:textId="77777777" w:rsidR="002F5DF4" w:rsidRPr="00A94309" w:rsidRDefault="002F5DF4" w:rsidP="002F5DF4">
      <w:pPr>
        <w:rPr>
          <w:sz w:val="16"/>
          <w:szCs w:val="16"/>
        </w:rPr>
      </w:pPr>
      <w:r w:rsidRPr="00A94309">
        <w:rPr>
          <w:sz w:val="16"/>
          <w:szCs w:val="16"/>
        </w:rPr>
        <w:t>Source: Mott MacDonald, 2020</w:t>
      </w:r>
    </w:p>
    <w:p w14:paraId="355C2CE9" w14:textId="77777777" w:rsidR="002F5DF4" w:rsidRDefault="002F5DF4" w:rsidP="002F5DF4">
      <w:r>
        <w:t xml:space="preserve">Figure 5.1 shows that the proportion of children aged under 16 within the RLB is the same as Tangmere at 21% to 30% of the total population. Tangmere has a higher proportion of this age group when compared to the surrounding area. </w:t>
      </w:r>
    </w:p>
    <w:p w14:paraId="2C33C25C" w14:textId="77777777" w:rsidR="002F5DF4" w:rsidRDefault="002F5DF4" w:rsidP="00E552FA">
      <w:pPr>
        <w:pStyle w:val="AppMinorSubHead"/>
        <w:numPr>
          <w:ilvl w:val="2"/>
          <w:numId w:val="20"/>
        </w:numPr>
      </w:pPr>
      <w:r>
        <w:lastRenderedPageBreak/>
        <w:t>Young people aged 16-24</w:t>
      </w:r>
    </w:p>
    <w:p w14:paraId="58B4037C" w14:textId="22E54740" w:rsidR="002F5DF4" w:rsidRPr="00BA28E4" w:rsidRDefault="00CF6464" w:rsidP="002F5DF4">
      <w:pPr>
        <w:pStyle w:val="Caption"/>
      </w:pPr>
      <w:bookmarkStart w:id="64" w:name="_Toc31809597"/>
      <w:r>
        <w:t>Figure</w:t>
      </w:r>
      <w:r w:rsidR="002F5DF4" w:rsidRPr="00702568">
        <w:t xml:space="preserve"> </w:t>
      </w:r>
      <w:r w:rsidR="002F5DF4">
        <w:rPr>
          <w:noProof/>
        </w:rPr>
        <w:fldChar w:fldCharType="begin"/>
      </w:r>
      <w:r w:rsidR="002F5DF4">
        <w:rPr>
          <w:noProof/>
        </w:rPr>
        <w:instrText xml:space="preserve"> STYLEREF 1 \s </w:instrText>
      </w:r>
      <w:r w:rsidR="002F5DF4">
        <w:rPr>
          <w:noProof/>
        </w:rPr>
        <w:fldChar w:fldCharType="separate"/>
      </w:r>
      <w:r>
        <w:rPr>
          <w:noProof/>
        </w:rPr>
        <w:t>5</w:t>
      </w:r>
      <w:r w:rsidR="002F5DF4">
        <w:rPr>
          <w:noProof/>
        </w:rPr>
        <w:fldChar w:fldCharType="end"/>
      </w:r>
      <w:r w:rsidR="002F5DF4">
        <w:t>.</w:t>
      </w:r>
      <w:r w:rsidR="002F5DF4">
        <w:rPr>
          <w:noProof/>
        </w:rPr>
        <w:fldChar w:fldCharType="begin"/>
      </w:r>
      <w:r w:rsidR="002F5DF4">
        <w:rPr>
          <w:noProof/>
        </w:rPr>
        <w:instrText xml:space="preserve"> SEQ Figure \* ARABIC \s 1 </w:instrText>
      </w:r>
      <w:r w:rsidR="002F5DF4">
        <w:rPr>
          <w:noProof/>
        </w:rPr>
        <w:fldChar w:fldCharType="separate"/>
      </w:r>
      <w:r>
        <w:rPr>
          <w:noProof/>
        </w:rPr>
        <w:t>2</w:t>
      </w:r>
      <w:r w:rsidR="002F5DF4">
        <w:rPr>
          <w:noProof/>
        </w:rPr>
        <w:fldChar w:fldCharType="end"/>
      </w:r>
      <w:r w:rsidR="002F5DF4">
        <w:rPr>
          <w:noProof/>
        </w:rPr>
        <w:t>:</w:t>
      </w:r>
      <w:r w:rsidR="002F5DF4">
        <w:t xml:space="preserve"> </w:t>
      </w:r>
      <w:r w:rsidR="002F5DF4">
        <w:fldChar w:fldCharType="begin">
          <w:ffData>
            <w:name w:val=""/>
            <w:enabled/>
            <w:calcOnExit w:val="0"/>
            <w:textInput>
              <w:default w:val="Proportion of total population aged 16-24"/>
            </w:textInput>
          </w:ffData>
        </w:fldChar>
      </w:r>
      <w:r w:rsidR="002F5DF4">
        <w:instrText xml:space="preserve"> FORMTEXT </w:instrText>
      </w:r>
      <w:r w:rsidR="002F5DF4">
        <w:fldChar w:fldCharType="separate"/>
      </w:r>
      <w:r>
        <w:rPr>
          <w:noProof/>
        </w:rPr>
        <w:t>Proportion of total population aged 16-24</w:t>
      </w:r>
      <w:bookmarkEnd w:id="64"/>
      <w:r w:rsidR="002F5DF4">
        <w:fldChar w:fldCharType="end"/>
      </w:r>
    </w:p>
    <w:p w14:paraId="0CF69181" w14:textId="77777777" w:rsidR="002F5DF4" w:rsidRPr="00D56852" w:rsidRDefault="002F5DF4" w:rsidP="002F5DF4">
      <w:r w:rsidRPr="00BA28E4">
        <w:rPr>
          <w:noProof/>
          <w:lang w:eastAsia="en-GB"/>
        </w:rPr>
        <w:drawing>
          <wp:inline distT="0" distB="0" distL="0" distR="0" wp14:anchorId="720855F4" wp14:editId="434E6BC1">
            <wp:extent cx="6138165" cy="4305300"/>
            <wp:effectExtent l="0" t="0" r="0" b="0"/>
            <wp:docPr id="45" name="Picture 45" descr="Map showing proportion of residents aged 16-24" title="Map of Tang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47" b="2740"/>
                    <a:stretch/>
                  </pic:blipFill>
                  <pic:spPr bwMode="auto">
                    <a:xfrm>
                      <a:off x="0" y="0"/>
                      <a:ext cx="6147117" cy="4311579"/>
                    </a:xfrm>
                    <a:prstGeom prst="rect">
                      <a:avLst/>
                    </a:prstGeom>
                    <a:ln>
                      <a:noFill/>
                    </a:ln>
                    <a:extLst>
                      <a:ext uri="{53640926-AAD7-44D8-BBD7-CCE9431645EC}">
                        <a14:shadowObscured xmlns:a14="http://schemas.microsoft.com/office/drawing/2010/main"/>
                      </a:ext>
                    </a:extLst>
                  </pic:spPr>
                </pic:pic>
              </a:graphicData>
            </a:graphic>
          </wp:inline>
        </w:drawing>
      </w:r>
    </w:p>
    <w:p w14:paraId="6A38B317" w14:textId="77777777" w:rsidR="002F5DF4" w:rsidRPr="00A94309" w:rsidRDefault="002F5DF4" w:rsidP="002F5DF4">
      <w:pPr>
        <w:rPr>
          <w:sz w:val="16"/>
          <w:szCs w:val="16"/>
        </w:rPr>
      </w:pPr>
      <w:r w:rsidRPr="00A94309">
        <w:rPr>
          <w:sz w:val="16"/>
          <w:szCs w:val="16"/>
        </w:rPr>
        <w:t>Source: Mott MacDonald, 2020</w:t>
      </w:r>
    </w:p>
    <w:p w14:paraId="1C3B6029" w14:textId="77777777" w:rsidR="002F5DF4" w:rsidRDefault="002F5DF4" w:rsidP="002F5DF4">
      <w:r>
        <w:t xml:space="preserve">Figure 5.2 shows that the proportion of young people aged 16 to 24 within the RLB is over 8% of the total population. This is in line with the rest of west Tangmere, North Mundham and Barnham, but higher than east Tangmere, Boxgrove and Lavant. </w:t>
      </w:r>
    </w:p>
    <w:p w14:paraId="2CE4C077" w14:textId="77777777" w:rsidR="002F5DF4" w:rsidRDefault="002F5DF4" w:rsidP="002F5DF4">
      <w:pPr>
        <w:pStyle w:val="AppMinorSubHead"/>
      </w:pPr>
    </w:p>
    <w:p w14:paraId="5EB85837" w14:textId="77777777" w:rsidR="002F5DF4" w:rsidRDefault="002F5DF4" w:rsidP="002F5DF4">
      <w:pPr>
        <w:pStyle w:val="AppMinorSubHead"/>
      </w:pPr>
    </w:p>
    <w:p w14:paraId="611D1EA7" w14:textId="77777777" w:rsidR="002F5DF4" w:rsidRDefault="002F5DF4" w:rsidP="002F5DF4">
      <w:pPr>
        <w:pStyle w:val="AppMinorSubHead"/>
      </w:pPr>
    </w:p>
    <w:p w14:paraId="352DE35B" w14:textId="77777777" w:rsidR="002F5DF4" w:rsidRDefault="002F5DF4" w:rsidP="002F5DF4">
      <w:pPr>
        <w:pStyle w:val="AppMinorSubHead"/>
      </w:pPr>
    </w:p>
    <w:p w14:paraId="3C77E91C" w14:textId="77777777" w:rsidR="002F5DF4" w:rsidRDefault="002F5DF4" w:rsidP="002F5DF4"/>
    <w:p w14:paraId="5F36A2D9" w14:textId="77777777" w:rsidR="002F5DF4" w:rsidRPr="005E3770" w:rsidRDefault="002F5DF4" w:rsidP="002F5DF4"/>
    <w:p w14:paraId="4E124A34" w14:textId="77777777" w:rsidR="002F5DF4" w:rsidRDefault="002F5DF4" w:rsidP="002F5DF4">
      <w:pPr>
        <w:pStyle w:val="AppMinorSubHead"/>
      </w:pPr>
    </w:p>
    <w:p w14:paraId="2EB591E5" w14:textId="77777777" w:rsidR="002F5DF4" w:rsidRDefault="002F5DF4" w:rsidP="00E552FA">
      <w:pPr>
        <w:pStyle w:val="AppMinorSubHead"/>
        <w:numPr>
          <w:ilvl w:val="2"/>
          <w:numId w:val="20"/>
        </w:numPr>
      </w:pPr>
      <w:r>
        <w:t>Older people aged 65 and over</w:t>
      </w:r>
    </w:p>
    <w:p w14:paraId="06AAD257" w14:textId="50EB18A6" w:rsidR="002F5DF4" w:rsidRDefault="00CF6464" w:rsidP="002F5DF4">
      <w:pPr>
        <w:pStyle w:val="Caption"/>
      </w:pPr>
      <w:bookmarkStart w:id="65" w:name="_Toc31809598"/>
      <w:r>
        <w:t>Figure</w:t>
      </w:r>
      <w:r w:rsidR="002F5DF4" w:rsidRPr="00702568">
        <w:t xml:space="preserve"> </w:t>
      </w:r>
      <w:r w:rsidR="002F5DF4">
        <w:rPr>
          <w:noProof/>
        </w:rPr>
        <w:fldChar w:fldCharType="begin"/>
      </w:r>
      <w:r w:rsidR="002F5DF4">
        <w:rPr>
          <w:noProof/>
        </w:rPr>
        <w:instrText xml:space="preserve"> STYLEREF 1 \s </w:instrText>
      </w:r>
      <w:r w:rsidR="002F5DF4">
        <w:rPr>
          <w:noProof/>
        </w:rPr>
        <w:fldChar w:fldCharType="separate"/>
      </w:r>
      <w:r>
        <w:rPr>
          <w:noProof/>
        </w:rPr>
        <w:t>5</w:t>
      </w:r>
      <w:r w:rsidR="002F5DF4">
        <w:rPr>
          <w:noProof/>
        </w:rPr>
        <w:fldChar w:fldCharType="end"/>
      </w:r>
      <w:r w:rsidR="002F5DF4">
        <w:t>.</w:t>
      </w:r>
      <w:r w:rsidR="002F5DF4">
        <w:rPr>
          <w:noProof/>
        </w:rPr>
        <w:fldChar w:fldCharType="begin"/>
      </w:r>
      <w:r w:rsidR="002F5DF4">
        <w:rPr>
          <w:noProof/>
        </w:rPr>
        <w:instrText xml:space="preserve"> SEQ Figure \* ARABIC \s 1 </w:instrText>
      </w:r>
      <w:r w:rsidR="002F5DF4">
        <w:rPr>
          <w:noProof/>
        </w:rPr>
        <w:fldChar w:fldCharType="separate"/>
      </w:r>
      <w:r>
        <w:rPr>
          <w:noProof/>
        </w:rPr>
        <w:t>3</w:t>
      </w:r>
      <w:r w:rsidR="002F5DF4">
        <w:rPr>
          <w:noProof/>
        </w:rPr>
        <w:fldChar w:fldCharType="end"/>
      </w:r>
      <w:r w:rsidR="002F5DF4">
        <w:rPr>
          <w:noProof/>
        </w:rPr>
        <w:t>:</w:t>
      </w:r>
      <w:r w:rsidR="002F5DF4">
        <w:t xml:space="preserve"> </w:t>
      </w:r>
      <w:r w:rsidR="002F5DF4">
        <w:fldChar w:fldCharType="begin">
          <w:ffData>
            <w:name w:val=""/>
            <w:enabled/>
            <w:calcOnExit w:val="0"/>
            <w:textInput>
              <w:default w:val="Proportion of total population aged 65 and over"/>
            </w:textInput>
          </w:ffData>
        </w:fldChar>
      </w:r>
      <w:r w:rsidR="002F5DF4">
        <w:instrText xml:space="preserve"> FORMTEXT </w:instrText>
      </w:r>
      <w:r w:rsidR="002F5DF4">
        <w:fldChar w:fldCharType="separate"/>
      </w:r>
      <w:r>
        <w:rPr>
          <w:noProof/>
        </w:rPr>
        <w:t>Proportion of total population aged 65 and over</w:t>
      </w:r>
      <w:bookmarkEnd w:id="65"/>
      <w:r w:rsidR="002F5DF4">
        <w:fldChar w:fldCharType="end"/>
      </w:r>
    </w:p>
    <w:p w14:paraId="62540668" w14:textId="77777777" w:rsidR="002F5DF4" w:rsidRPr="00D56852" w:rsidRDefault="002F5DF4" w:rsidP="002F5DF4">
      <w:r w:rsidRPr="002418FB">
        <w:rPr>
          <w:noProof/>
          <w:lang w:eastAsia="en-GB"/>
        </w:rPr>
        <w:drawing>
          <wp:inline distT="0" distB="0" distL="0" distR="0" wp14:anchorId="6FA3F6C4" wp14:editId="5C01ACBF">
            <wp:extent cx="5989320" cy="4221480"/>
            <wp:effectExtent l="0" t="0" r="0" b="7620"/>
            <wp:docPr id="51" name="Picture 51" descr="Showing proportion of residents aged 65 over" title="Map of Tang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34" b="2118"/>
                    <a:stretch/>
                  </pic:blipFill>
                  <pic:spPr bwMode="auto">
                    <a:xfrm>
                      <a:off x="0" y="0"/>
                      <a:ext cx="5996793" cy="4226747"/>
                    </a:xfrm>
                    <a:prstGeom prst="rect">
                      <a:avLst/>
                    </a:prstGeom>
                    <a:ln>
                      <a:noFill/>
                    </a:ln>
                    <a:extLst>
                      <a:ext uri="{53640926-AAD7-44D8-BBD7-CCE9431645EC}">
                        <a14:shadowObscured xmlns:a14="http://schemas.microsoft.com/office/drawing/2010/main"/>
                      </a:ext>
                    </a:extLst>
                  </pic:spPr>
                </pic:pic>
              </a:graphicData>
            </a:graphic>
          </wp:inline>
        </w:drawing>
      </w:r>
    </w:p>
    <w:p w14:paraId="4C86A377" w14:textId="77777777" w:rsidR="002F5DF4" w:rsidRPr="00A94309" w:rsidRDefault="002F5DF4" w:rsidP="002F5DF4">
      <w:pPr>
        <w:rPr>
          <w:sz w:val="16"/>
          <w:szCs w:val="16"/>
        </w:rPr>
      </w:pPr>
      <w:r w:rsidRPr="00A94309">
        <w:rPr>
          <w:sz w:val="16"/>
          <w:szCs w:val="16"/>
        </w:rPr>
        <w:t>Source: Mott MacDonald, 2020</w:t>
      </w:r>
    </w:p>
    <w:p w14:paraId="6439E458" w14:textId="77777777" w:rsidR="002F5DF4" w:rsidRDefault="002F5DF4" w:rsidP="002F5DF4">
      <w:r>
        <w:t xml:space="preserve">Figure 5.3 shows that the proportion of older people aged 65 and over within the RLB is between 11% and 20% of the total population. This is in line with Tangmere, but lower than Lavant, North Mundham, Barham and Boxgrove. </w:t>
      </w:r>
    </w:p>
    <w:p w14:paraId="1BF9F530" w14:textId="77777777" w:rsidR="002F5DF4" w:rsidRDefault="002F5DF4" w:rsidP="002F5DF4">
      <w:pPr>
        <w:pStyle w:val="AppSubHead"/>
      </w:pPr>
    </w:p>
    <w:p w14:paraId="5F3FF785" w14:textId="77777777" w:rsidR="002F5DF4" w:rsidRDefault="002F5DF4" w:rsidP="002F5DF4">
      <w:pPr>
        <w:pStyle w:val="AppSubHead"/>
      </w:pPr>
    </w:p>
    <w:p w14:paraId="3407954A" w14:textId="77777777" w:rsidR="002F5DF4" w:rsidRDefault="002F5DF4" w:rsidP="002F5DF4">
      <w:pPr>
        <w:pStyle w:val="AppSubHead"/>
      </w:pPr>
    </w:p>
    <w:p w14:paraId="21F707E9" w14:textId="77777777" w:rsidR="002F5DF4" w:rsidRDefault="002F5DF4" w:rsidP="002F5DF4"/>
    <w:p w14:paraId="1CF728D3" w14:textId="77777777" w:rsidR="002F5DF4" w:rsidRDefault="002F5DF4" w:rsidP="00E552FA">
      <w:pPr>
        <w:pStyle w:val="AppSubHead"/>
        <w:numPr>
          <w:ilvl w:val="1"/>
          <w:numId w:val="20"/>
        </w:numPr>
      </w:pPr>
      <w:r>
        <w:lastRenderedPageBreak/>
        <w:t>Disability</w:t>
      </w:r>
    </w:p>
    <w:p w14:paraId="50E5DC73" w14:textId="661D6D32" w:rsidR="002F5DF4" w:rsidRPr="00B6624A" w:rsidRDefault="00CF6464" w:rsidP="002F5DF4">
      <w:pPr>
        <w:pStyle w:val="Caption"/>
      </w:pPr>
      <w:bookmarkStart w:id="66" w:name="_Toc31809599"/>
      <w:r>
        <w:t>Figure</w:t>
      </w:r>
      <w:r w:rsidR="002F5DF4" w:rsidRPr="00702568">
        <w:t xml:space="preserve"> </w:t>
      </w:r>
      <w:r w:rsidR="002F5DF4">
        <w:rPr>
          <w:noProof/>
        </w:rPr>
        <w:fldChar w:fldCharType="begin"/>
      </w:r>
      <w:r w:rsidR="002F5DF4">
        <w:rPr>
          <w:noProof/>
        </w:rPr>
        <w:instrText xml:space="preserve"> STYLEREF 1 \s </w:instrText>
      </w:r>
      <w:r w:rsidR="002F5DF4">
        <w:rPr>
          <w:noProof/>
        </w:rPr>
        <w:fldChar w:fldCharType="separate"/>
      </w:r>
      <w:r>
        <w:rPr>
          <w:noProof/>
        </w:rPr>
        <w:t>5</w:t>
      </w:r>
      <w:r w:rsidR="002F5DF4">
        <w:rPr>
          <w:noProof/>
        </w:rPr>
        <w:fldChar w:fldCharType="end"/>
      </w:r>
      <w:r w:rsidR="002F5DF4">
        <w:t>.</w:t>
      </w:r>
      <w:r w:rsidR="002F5DF4">
        <w:rPr>
          <w:noProof/>
        </w:rPr>
        <w:fldChar w:fldCharType="begin"/>
      </w:r>
      <w:r w:rsidR="002F5DF4">
        <w:rPr>
          <w:noProof/>
        </w:rPr>
        <w:instrText xml:space="preserve"> SEQ Figure \* ARABIC \s 1 </w:instrText>
      </w:r>
      <w:r w:rsidR="002F5DF4">
        <w:rPr>
          <w:noProof/>
        </w:rPr>
        <w:fldChar w:fldCharType="separate"/>
      </w:r>
      <w:r>
        <w:rPr>
          <w:noProof/>
        </w:rPr>
        <w:t>4</w:t>
      </w:r>
      <w:r w:rsidR="002F5DF4">
        <w:rPr>
          <w:noProof/>
        </w:rPr>
        <w:fldChar w:fldCharType="end"/>
      </w:r>
      <w:r w:rsidR="002F5DF4">
        <w:rPr>
          <w:noProof/>
        </w:rPr>
        <w:t>:</w:t>
      </w:r>
      <w:r w:rsidR="002F5DF4">
        <w:t xml:space="preserve"> </w:t>
      </w:r>
      <w:r w:rsidR="002F5DF4">
        <w:fldChar w:fldCharType="begin">
          <w:ffData>
            <w:name w:val=""/>
            <w:enabled/>
            <w:calcOnExit w:val="0"/>
            <w:textInput>
              <w:default w:val="Proportion of total residents with a long-term health problem or disability"/>
            </w:textInput>
          </w:ffData>
        </w:fldChar>
      </w:r>
      <w:r w:rsidR="002F5DF4">
        <w:instrText xml:space="preserve"> FORMTEXT </w:instrText>
      </w:r>
      <w:r w:rsidR="002F5DF4">
        <w:fldChar w:fldCharType="separate"/>
      </w:r>
      <w:r>
        <w:rPr>
          <w:noProof/>
        </w:rPr>
        <w:t>Proportion of total residents with a long-term health problem or disability</w:t>
      </w:r>
      <w:bookmarkEnd w:id="66"/>
      <w:r w:rsidR="002F5DF4">
        <w:fldChar w:fldCharType="end"/>
      </w:r>
    </w:p>
    <w:p w14:paraId="1D4711A7" w14:textId="77777777" w:rsidR="002F5DF4" w:rsidRPr="00D56852" w:rsidRDefault="002F5DF4" w:rsidP="002F5DF4">
      <w:pPr>
        <w:rPr>
          <w:highlight w:val="yellow"/>
        </w:rPr>
      </w:pPr>
      <w:r w:rsidRPr="002169DB">
        <w:rPr>
          <w:noProof/>
          <w:lang w:eastAsia="en-GB"/>
        </w:rPr>
        <w:drawing>
          <wp:inline distT="0" distB="0" distL="0" distR="0" wp14:anchorId="7F2950CD" wp14:editId="261B93A3">
            <wp:extent cx="5920142" cy="4145280"/>
            <wp:effectExtent l="0" t="0" r="4445" b="7620"/>
            <wp:docPr id="52" name="Picture 52" descr="Showing proportion of residents with long term health problems" title="Map of Tang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93" b="2654"/>
                    <a:stretch/>
                  </pic:blipFill>
                  <pic:spPr bwMode="auto">
                    <a:xfrm>
                      <a:off x="0" y="0"/>
                      <a:ext cx="5927346" cy="4150324"/>
                    </a:xfrm>
                    <a:prstGeom prst="rect">
                      <a:avLst/>
                    </a:prstGeom>
                    <a:ln>
                      <a:noFill/>
                    </a:ln>
                    <a:extLst>
                      <a:ext uri="{53640926-AAD7-44D8-BBD7-CCE9431645EC}">
                        <a14:shadowObscured xmlns:a14="http://schemas.microsoft.com/office/drawing/2010/main"/>
                      </a:ext>
                    </a:extLst>
                  </pic:spPr>
                </pic:pic>
              </a:graphicData>
            </a:graphic>
          </wp:inline>
        </w:drawing>
      </w:r>
    </w:p>
    <w:p w14:paraId="4A7D0065" w14:textId="77777777" w:rsidR="002F5DF4" w:rsidRPr="00A94309" w:rsidRDefault="002F5DF4" w:rsidP="002F5DF4">
      <w:pPr>
        <w:rPr>
          <w:sz w:val="16"/>
          <w:szCs w:val="16"/>
        </w:rPr>
      </w:pPr>
      <w:r w:rsidRPr="00A94309">
        <w:rPr>
          <w:sz w:val="16"/>
          <w:szCs w:val="16"/>
        </w:rPr>
        <w:t>Source: Mott MacDonald, 2020</w:t>
      </w:r>
    </w:p>
    <w:p w14:paraId="3884FC88" w14:textId="77777777" w:rsidR="002F5DF4" w:rsidRPr="0062752D" w:rsidRDefault="002F5DF4" w:rsidP="002F5DF4">
      <w:r w:rsidRPr="0062752D">
        <w:t xml:space="preserve">Figure 5.4 shows that the proportion of residents with a long-term health problem or disability is between 11% and 20% of the total population. This is in line with Tangmere and </w:t>
      </w:r>
      <w:r>
        <w:t>the wider surrounding area.</w:t>
      </w:r>
      <w:r w:rsidRPr="0062752D">
        <w:t xml:space="preserve"> </w:t>
      </w:r>
    </w:p>
    <w:p w14:paraId="60D8BF14" w14:textId="77777777" w:rsidR="002F5DF4" w:rsidRDefault="002F5DF4" w:rsidP="00E552FA">
      <w:pPr>
        <w:pStyle w:val="AppSubHead"/>
        <w:numPr>
          <w:ilvl w:val="1"/>
          <w:numId w:val="20"/>
        </w:numPr>
      </w:pPr>
      <w:r>
        <w:lastRenderedPageBreak/>
        <w:t>Race and ethnicity</w:t>
      </w:r>
    </w:p>
    <w:p w14:paraId="76273BA7" w14:textId="3302507A" w:rsidR="002F5DF4" w:rsidRDefault="00CF6464" w:rsidP="002F5DF4">
      <w:pPr>
        <w:pStyle w:val="Caption"/>
      </w:pPr>
      <w:bookmarkStart w:id="67" w:name="_Toc31809600"/>
      <w:r>
        <w:t>Figure</w:t>
      </w:r>
      <w:r w:rsidR="002F5DF4" w:rsidRPr="00702568">
        <w:t xml:space="preserve"> </w:t>
      </w:r>
      <w:r w:rsidR="002F5DF4">
        <w:rPr>
          <w:noProof/>
        </w:rPr>
        <w:fldChar w:fldCharType="begin"/>
      </w:r>
      <w:r w:rsidR="002F5DF4">
        <w:rPr>
          <w:noProof/>
        </w:rPr>
        <w:instrText xml:space="preserve"> STYLEREF 1 \s </w:instrText>
      </w:r>
      <w:r w:rsidR="002F5DF4">
        <w:rPr>
          <w:noProof/>
        </w:rPr>
        <w:fldChar w:fldCharType="separate"/>
      </w:r>
      <w:r>
        <w:rPr>
          <w:noProof/>
        </w:rPr>
        <w:t>5</w:t>
      </w:r>
      <w:r w:rsidR="002F5DF4">
        <w:rPr>
          <w:noProof/>
        </w:rPr>
        <w:fldChar w:fldCharType="end"/>
      </w:r>
      <w:r w:rsidR="002F5DF4">
        <w:t>.</w:t>
      </w:r>
      <w:r w:rsidR="002F5DF4">
        <w:rPr>
          <w:noProof/>
        </w:rPr>
        <w:fldChar w:fldCharType="begin"/>
      </w:r>
      <w:r w:rsidR="002F5DF4">
        <w:rPr>
          <w:noProof/>
        </w:rPr>
        <w:instrText xml:space="preserve"> SEQ Figure \* ARABIC \s 1 </w:instrText>
      </w:r>
      <w:r w:rsidR="002F5DF4">
        <w:rPr>
          <w:noProof/>
        </w:rPr>
        <w:fldChar w:fldCharType="separate"/>
      </w:r>
      <w:r>
        <w:rPr>
          <w:noProof/>
        </w:rPr>
        <w:t>5</w:t>
      </w:r>
      <w:r w:rsidR="002F5DF4">
        <w:rPr>
          <w:noProof/>
        </w:rPr>
        <w:fldChar w:fldCharType="end"/>
      </w:r>
      <w:r w:rsidR="002F5DF4">
        <w:rPr>
          <w:noProof/>
        </w:rPr>
        <w:t>:</w:t>
      </w:r>
      <w:r w:rsidR="002F5DF4">
        <w:t xml:space="preserve"> </w:t>
      </w:r>
      <w:r w:rsidR="00533C9C">
        <w:fldChar w:fldCharType="begin">
          <w:ffData>
            <w:name w:val=""/>
            <w:enabled/>
            <w:calcOnExit w:val="0"/>
            <w:textInput>
              <w:default w:val="Proportion of total residents who are from a Black, Asian or minority ethnic (BAME) background"/>
            </w:textInput>
          </w:ffData>
        </w:fldChar>
      </w:r>
      <w:r w:rsidR="00533C9C">
        <w:instrText xml:space="preserve"> FORMTEXT </w:instrText>
      </w:r>
      <w:r w:rsidR="00533C9C">
        <w:fldChar w:fldCharType="separate"/>
      </w:r>
      <w:r w:rsidR="00533C9C">
        <w:rPr>
          <w:noProof/>
        </w:rPr>
        <w:t>Proportion of total residents who are from a Black, Asian or minority ethnic (BAME) background</w:t>
      </w:r>
      <w:bookmarkEnd w:id="67"/>
      <w:r w:rsidR="00533C9C">
        <w:fldChar w:fldCharType="end"/>
      </w:r>
    </w:p>
    <w:p w14:paraId="5A286A41" w14:textId="77777777" w:rsidR="002F5DF4" w:rsidRPr="009B5D63" w:rsidRDefault="002F5DF4" w:rsidP="002F5DF4">
      <w:r w:rsidRPr="006E0FCF">
        <w:rPr>
          <w:noProof/>
          <w:lang w:eastAsia="en-GB"/>
        </w:rPr>
        <w:drawing>
          <wp:inline distT="0" distB="0" distL="0" distR="0" wp14:anchorId="7F6B0E4E" wp14:editId="4B3DD1D9">
            <wp:extent cx="5400675" cy="3787140"/>
            <wp:effectExtent l="0" t="0" r="9525" b="3810"/>
            <wp:docPr id="53" name="Picture 53" descr="Proportion of BAME residents" title="Map of Tangm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34" b="2612"/>
                    <a:stretch/>
                  </pic:blipFill>
                  <pic:spPr bwMode="auto">
                    <a:xfrm>
                      <a:off x="0" y="0"/>
                      <a:ext cx="5400675" cy="3787140"/>
                    </a:xfrm>
                    <a:prstGeom prst="rect">
                      <a:avLst/>
                    </a:prstGeom>
                    <a:ln>
                      <a:noFill/>
                    </a:ln>
                    <a:extLst>
                      <a:ext uri="{53640926-AAD7-44D8-BBD7-CCE9431645EC}">
                        <a14:shadowObscured xmlns:a14="http://schemas.microsoft.com/office/drawing/2010/main"/>
                      </a:ext>
                    </a:extLst>
                  </pic:spPr>
                </pic:pic>
              </a:graphicData>
            </a:graphic>
          </wp:inline>
        </w:drawing>
      </w:r>
    </w:p>
    <w:p w14:paraId="5B8131BA" w14:textId="77777777" w:rsidR="002F5DF4" w:rsidRPr="00A94309" w:rsidRDefault="002F5DF4" w:rsidP="002F5DF4">
      <w:pPr>
        <w:rPr>
          <w:sz w:val="16"/>
          <w:szCs w:val="16"/>
        </w:rPr>
      </w:pPr>
      <w:r w:rsidRPr="00A94309">
        <w:rPr>
          <w:sz w:val="16"/>
          <w:szCs w:val="16"/>
        </w:rPr>
        <w:t>Source: Mott MacDonald, 2020</w:t>
      </w:r>
    </w:p>
    <w:p w14:paraId="065D9EEA" w14:textId="7AD61575" w:rsidR="002F5DF4" w:rsidRDefault="002F5DF4" w:rsidP="002F5DF4">
      <w:r>
        <w:t xml:space="preserve">Figure 5.5 shows that the proportion of residents who are from a </w:t>
      </w:r>
      <w:r w:rsidR="00533C9C">
        <w:t xml:space="preserve">BAME </w:t>
      </w:r>
      <w:r>
        <w:t xml:space="preserve">background is 10% or less of the total population in the west of Tangmere. This is in line with surrounding areas. </w:t>
      </w:r>
    </w:p>
    <w:p w14:paraId="50CE1D7E" w14:textId="77777777" w:rsidR="000A198B" w:rsidRDefault="000A198B" w:rsidP="000A198B"/>
    <w:p w14:paraId="6E824BFC" w14:textId="77777777" w:rsidR="000A198B" w:rsidRDefault="000A198B" w:rsidP="000A198B"/>
    <w:p w14:paraId="6F217E1D" w14:textId="77777777" w:rsidR="000A198B" w:rsidRDefault="000A198B" w:rsidP="000A198B"/>
    <w:p w14:paraId="7F87B99C" w14:textId="77777777" w:rsidR="000A198B" w:rsidRDefault="000A198B" w:rsidP="000A198B"/>
    <w:p w14:paraId="3957894C" w14:textId="77777777" w:rsidR="000A198B" w:rsidRDefault="000A198B" w:rsidP="000A198B"/>
    <w:p w14:paraId="65C90AC1" w14:textId="77777777" w:rsidR="000A198B" w:rsidRDefault="000A198B" w:rsidP="000A198B"/>
    <w:p w14:paraId="7BA8785C" w14:textId="77777777" w:rsidR="000A198B" w:rsidRDefault="000A198B" w:rsidP="000A198B"/>
    <w:p w14:paraId="6B32A449" w14:textId="77777777" w:rsidR="000A198B" w:rsidRDefault="000A198B" w:rsidP="000A198B"/>
    <w:p w14:paraId="48E9CABA" w14:textId="77777777" w:rsidR="000A198B" w:rsidRDefault="000A198B" w:rsidP="000A198B"/>
    <w:p w14:paraId="3D133C0A" w14:textId="77777777" w:rsidR="0089473C" w:rsidRPr="0089473C" w:rsidRDefault="0089473C" w:rsidP="0089473C"/>
    <w:p w14:paraId="4A773404" w14:textId="77777777" w:rsidR="00091B57" w:rsidRPr="00091B57" w:rsidRDefault="00091B57" w:rsidP="00091B57"/>
    <w:tbl>
      <w:tblPr>
        <w:tblW w:w="0" w:type="auto"/>
        <w:tblLook w:val="04A0" w:firstRow="1" w:lastRow="0" w:firstColumn="1" w:lastColumn="0" w:noHBand="0" w:noVBand="1"/>
        <w:tblDescription w:val="{&quot;Ott&quot;:{&quot;FirstRow&quot;:{&quot;Font&quot;:{},&quot;LineSpacing&quot;:{},&quot;Margin&quot;:{},&quot;Borders&quot;:{&quot;Vertical&quot;:{},&quot;Horizontal&quot;:{},&quot;Left&quot;:{},&quot;Top&quot;:{},&quot;Right&quot;:{},&quot;Bottom&quot;:{}}},&quot;LastRow&quot;:{&quot;Font&quot;:{},&quot;LineSpacing&quot;:{},&quot;Margin&quot;:{},&quot;Borders&quot;:{&quot;Vertical&quot;:{},&quot;Horizontal&quot;:{},&quot;Left&quot;:{},&quot;Top&quot;:{},&quot;Right&quot;:{},&quot;Bottom&quot;:{}}},&quot;FirstColumn&quot;:{&quot;Font&quot;:{},&quot;LineSpacing&quot;:{},&quot;Alignment&quot;:{},&quot;Margin&quot;:{},&quot;Borders&quot;:{&quot;Vertical&quot;:{},&quot;Horizontal&quot;:{},&quot;Left&quot;:{},&quot;Top&quot;:{},&quot;Right&quot;:{},&quot;Bottom&quot;:{}}},&quot;LastColumn&quot;:{&quot;Font&quot;:{},&quot;LineSpacing&quot;:{},&quot;Alignment&quot;:{},&quot;Margin&quot;:{},&quot;Borders&quot;:{&quot;Vertical&quot;:{},&quot;Horizontal&quot;:{},&quot;Left&quot;:{},&quot;Top&quot;:{},&quot;Right&quot;:{},&quot;Bottom&quot;:{}}},&quot;BandedRow&quot;:{&quot;Item&quot;:{&quot;Font&quot;:{},&quot;LineSpacing&quot;:{},&quot;Margin&quot;:{},&quot;Borders&quot;:{&quot;Vertical&quot;:{},&quot;Horizontal&quot;:{},&quot;Left&quot;:{},&quot;Top&quot;:{},&quot;Right&quot;:{},&quot;Bottom&quot;:{}}}},&quot;BandedColumn&quot;:{&quot;Item&quot;:{&quot;Font&quot;:{},&quot;LineSpacing&quot;:{},&quot;Alignment&quot;:{},&quot;Margin&quot;:{},&quot;Borders&quot;:{&quot;Vertical&quot;:{},&quot;Horizontal&quot;:{},&quot;Left&quot;:{},&quot;Top&quot;:{},&quot;Right&quot;:{},&quot;Bottom&quot;:{}}}},&quot;FitRowHeightPp&quot;:true,&quot;ZeroMarginsWord&quot;:true,&quot;Font&quot;:{},&quot;LineSpacing&quot;:{},&quot;Alignment&quot;:{},&quot;Margin&quot;:{},&quot;Borders&quot;:{&quot;Vertical&quot;:{},&quot;Horizontal&quot;:{},&quot;Left&quot;:{},&quot;Top&quot;:{},&quot;Right&quot;:{},&quot;Bottom&quot;:{}}},&quot;Ccs&quot;:{&quot;HeaderText&quot;:&quot;1, 1, 1, 1&quot;,&quot;FontText&quot;:&quot;Black&quot;,&quot;NoFill&quot;:&quot;Transparent&quot;,&quot;MiddleLines&quot;:&quot;1, 1, 1, 1&quot;,&quot;TopLine&quot;:&quot;Black&quot;,&quot;ButtomLine&quot;:&quot;Black&quot;},&quot;Cop&quot;:{&quot;FirstRow&quot;:false},&quot;Tw&quot;:481.9}"/>
      </w:tblPr>
      <w:tblGrid>
        <w:gridCol w:w="7184"/>
      </w:tblGrid>
      <w:tr w:rsidR="00087A17" w:rsidRPr="00C94E0B" w14:paraId="01FAE8F6" w14:textId="77777777" w:rsidTr="00BF455A">
        <w:tc>
          <w:tcPr>
            <w:tcW w:w="7184" w:type="dxa"/>
          </w:tcPr>
          <w:p w14:paraId="53E7E2F6" w14:textId="70F3DB8C" w:rsidR="00087A17" w:rsidRPr="00C94E0B" w:rsidRDefault="00651147" w:rsidP="00BF455A">
            <w:pPr>
              <w:pStyle w:val="GraphicLeft"/>
              <w:keepNext/>
              <w:pageBreakBefore/>
            </w:pPr>
            <w:r>
              <w:lastRenderedPageBreak/>
              <w:br w:type="page"/>
            </w:r>
            <w:r w:rsidR="00BD1D03">
              <w:t xml:space="preserve">   </w:t>
            </w:r>
          </w:p>
        </w:tc>
      </w:tr>
    </w:tbl>
    <w:p w14:paraId="11C7E6EF" w14:textId="77777777" w:rsidR="00087A17" w:rsidRDefault="00087A17" w:rsidP="00087A17"/>
    <w:p w14:paraId="3CF30FD5" w14:textId="77777777" w:rsidR="00892DE7" w:rsidRDefault="00892DE7" w:rsidP="00087A17">
      <w:r w:rsidRPr="00FF2085">
        <w:rPr>
          <w:noProof/>
          <w:lang w:eastAsia="en-GB"/>
        </w:rPr>
        <mc:AlternateContent>
          <mc:Choice Requires="wps">
            <w:drawing>
              <wp:anchor distT="0" distB="0" distL="114300" distR="114300" simplePos="0" relativeHeight="251658241" behindDoc="1" locked="1" layoutInCell="1" allowOverlap="1" wp14:anchorId="69520A7C" wp14:editId="3D5C3C75">
                <wp:simplePos x="0" y="0"/>
                <wp:positionH relativeFrom="page">
                  <wp:posOffset>407670</wp:posOffset>
                </wp:positionH>
                <wp:positionV relativeFrom="margin">
                  <wp:align>center</wp:align>
                </wp:positionV>
                <wp:extent cx="6839585" cy="9968230"/>
                <wp:effectExtent l="0" t="0" r="0" b="0"/>
                <wp:wrapNone/>
                <wp:docPr id="10" name="Backpage_ShapeA" descr="shape" title="Mott MacDonald formatt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39585" cy="9968230"/>
                        </a:xfrm>
                        <a:custGeom>
                          <a:avLst/>
                          <a:gdLst>
                            <a:gd name="T0" fmla="*/ 5097 w 5097"/>
                            <a:gd name="T1" fmla="*/ 7428 h 7428"/>
                            <a:gd name="T2" fmla="*/ 5097 w 5097"/>
                            <a:gd name="T3" fmla="*/ 0 h 7428"/>
                            <a:gd name="T4" fmla="*/ 0 w 5097"/>
                            <a:gd name="T5" fmla="*/ 0 h 7428"/>
                            <a:gd name="T6" fmla="*/ 0 w 5097"/>
                            <a:gd name="T7" fmla="*/ 3386 h 7428"/>
                            <a:gd name="T8" fmla="*/ 1506 w 5097"/>
                            <a:gd name="T9" fmla="*/ 2091 h 7428"/>
                            <a:gd name="T10" fmla="*/ 3101 w 5097"/>
                            <a:gd name="T11" fmla="*/ 3386 h 7428"/>
                            <a:gd name="T12" fmla="*/ 0 w 5097"/>
                            <a:gd name="T13" fmla="*/ 3386 h 7428"/>
                            <a:gd name="T14" fmla="*/ 1395 w 5097"/>
                            <a:gd name="T15" fmla="*/ 4484 h 7428"/>
                            <a:gd name="T16" fmla="*/ 1395 w 5097"/>
                            <a:gd name="T17" fmla="*/ 7428 h 7428"/>
                            <a:gd name="T18" fmla="*/ 5097 w 5097"/>
                            <a:gd name="T19" fmla="*/ 7428 h 74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97" h="7428">
                              <a:moveTo>
                                <a:pt x="5097" y="7428"/>
                              </a:moveTo>
                              <a:lnTo>
                                <a:pt x="5097" y="0"/>
                              </a:lnTo>
                              <a:lnTo>
                                <a:pt x="0" y="0"/>
                              </a:lnTo>
                              <a:lnTo>
                                <a:pt x="0" y="3386"/>
                              </a:lnTo>
                              <a:lnTo>
                                <a:pt x="1506" y="2091"/>
                              </a:lnTo>
                              <a:lnTo>
                                <a:pt x="3101" y="3386"/>
                              </a:lnTo>
                              <a:lnTo>
                                <a:pt x="0" y="3386"/>
                              </a:lnTo>
                              <a:lnTo>
                                <a:pt x="1395" y="4484"/>
                              </a:lnTo>
                              <a:lnTo>
                                <a:pt x="1395" y="7428"/>
                              </a:lnTo>
                              <a:lnTo>
                                <a:pt x="5097" y="7428"/>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Backpage_ShapeA" o:spid="_x0000_s1026" alt="Title: Mott MacDonald formatting - Description: shape" style="position:absolute;margin-left:32.1pt;margin-top:0;width:538.55pt;height:784.9pt;z-index:-251658239;visibility:visible;mso-wrap-style:square;mso-width-percent:0;mso-height-percent:0;mso-wrap-distance-left:9pt;mso-wrap-distance-top:0;mso-wrap-distance-right:9pt;mso-wrap-distance-bottom:0;mso-position-horizontal:absolute;mso-position-horizontal-relative:page;mso-position-vertical:center;mso-position-vertical-relative:margin;mso-width-percent:0;mso-height-percent:0;mso-width-relative:margin;mso-height-relative:margin;v-text-anchor:top" coordsize="5097,7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" path="m5097,7428l5097,,,,,3386,1506,2091,3101,3386,,3386,1395,4484r,2944l5097,7428xe" fillcolor="#2fb6bc [3204]" stroked="f">
                <v:path arrowok="t" o:connecttype="custom" o:connectlocs="6839585,9968230;6839585,0;0,0;0,4543945;2020878,2806081;4161184,4543945;0,4543945;1871929,6017440;1871929,9968230;6839585,9968230" o:connectangles="0,0,0,0,0,0,0,0,0,0"/>
                <o:lock v:ext="edit" aspectratio="t"/>
                <w10:wrap anchorx="page" anchory="margin"/>
                <w10:anchorlock/>
              </v:shape>
            </w:pict>
          </mc:Fallback>
        </mc:AlternateContent>
      </w:r>
    </w:p>
    <w:p w14:paraId="53B320EA" w14:textId="77777777" w:rsidR="00F01D50" w:rsidRDefault="005C027D" w:rsidP="00087A17">
      <w:r w:rsidRPr="00C94E0B">
        <w:rPr>
          <w:noProof/>
          <w:lang w:eastAsia="en-GB"/>
        </w:rPr>
        <mc:AlternateContent>
          <mc:Choice Requires="wps">
            <w:drawing>
              <wp:anchor distT="0" distB="0" distL="114300" distR="114300" simplePos="0" relativeHeight="251658240" behindDoc="1" locked="1" layoutInCell="1" allowOverlap="1" wp14:anchorId="5C73FB33" wp14:editId="1F8DC5C9">
                <wp:simplePos x="0" y="0"/>
                <wp:positionH relativeFrom="page">
                  <wp:posOffset>352425</wp:posOffset>
                </wp:positionH>
                <wp:positionV relativeFrom="page">
                  <wp:posOffset>352425</wp:posOffset>
                </wp:positionV>
                <wp:extent cx="6839585" cy="9968230"/>
                <wp:effectExtent l="0" t="0" r="0" b="0"/>
                <wp:wrapNone/>
                <wp:docPr id="12" name="WhiteShape" descr="white box" title="Mott Macdonald"/>
                <wp:cNvGraphicFramePr/>
                <a:graphic xmlns:a="http://schemas.openxmlformats.org/drawingml/2006/main">
                  <a:graphicData uri="http://schemas.microsoft.com/office/word/2010/wordprocessingShape">
                    <wps:wsp>
                      <wps:cNvSpPr/>
                      <wps:spPr>
                        <a:xfrm>
                          <a:off x="0" y="0"/>
                          <a:ext cx="6839585" cy="99682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WhiteShape" o:spid="_x0000_s1026" alt="Title: Mott Macdonald - Description: white box" style="position:absolute;margin-left:27.75pt;margin-top:27.75pt;width:538.55pt;height:784.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" fillcolor="white [3212]" stroked="f" strokeweight="1pt">
                <w10:wrap anchorx="page" anchory="page"/>
                <w10:anchorlock/>
              </v:rect>
            </w:pict>
          </mc:Fallback>
        </mc:AlternateContent>
      </w:r>
    </w:p>
    <w:p w14:paraId="1A02963D" w14:textId="77777777" w:rsidR="00892DE7" w:rsidRDefault="00892DE7" w:rsidP="00087A17">
      <w:r w:rsidRPr="00C94E0B">
        <w:rPr>
          <w:noProof/>
          <w:lang w:eastAsia="en-GB"/>
        </w:rPr>
        <mc:AlternateContent>
          <mc:Choice Requires="wps">
            <w:drawing>
              <wp:anchor distT="0" distB="0" distL="114300" distR="114300" simplePos="0" relativeHeight="251658242" behindDoc="0" locked="1" layoutInCell="1" allowOverlap="1" wp14:anchorId="7A7CEB59" wp14:editId="255DBB88">
                <wp:simplePos x="0" y="0"/>
                <wp:positionH relativeFrom="page">
                  <wp:posOffset>809625</wp:posOffset>
                </wp:positionH>
                <wp:positionV relativeFrom="page">
                  <wp:align>bottom</wp:align>
                </wp:positionV>
                <wp:extent cx="2228400" cy="943200"/>
                <wp:effectExtent l="0" t="0" r="635" b="9525"/>
                <wp:wrapNone/>
                <wp:docPr id="77" name="WebInfo"/>
                <wp:cNvGraphicFramePr/>
                <a:graphic xmlns:a="http://schemas.openxmlformats.org/drawingml/2006/main">
                  <a:graphicData uri="http://schemas.microsoft.com/office/word/2010/wordprocessingShape">
                    <wps:wsp>
                      <wps:cNvSpPr txBox="1"/>
                      <wps:spPr>
                        <a:xfrm>
                          <a:off x="0" y="0"/>
                          <a:ext cx="2228400" cy="9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402" w:type="dxa"/>
                              <w:tblLayout w:type="fixed"/>
                              <w:tblCellMar>
                                <w:left w:w="0" w:type="dxa"/>
                                <w:right w:w="0" w:type="dxa"/>
                              </w:tblCellMar>
                              <w:tblLook w:val="04A0" w:firstRow="1" w:lastRow="0" w:firstColumn="1" w:lastColumn="0" w:noHBand="0" w:noVBand="1"/>
                            </w:tblPr>
                            <w:tblGrid>
                              <w:gridCol w:w="3402"/>
                            </w:tblGrid>
                            <w:tr w:rsidR="00926BB1" w:rsidRPr="00931A42" w14:paraId="6DD6D178" w14:textId="77777777" w:rsidTr="00BF455A">
                              <w:tc>
                                <w:tcPr>
                                  <w:tcW w:w="3402" w:type="dxa"/>
                                </w:tcPr>
                                <w:p w14:paraId="63707F77" w14:textId="77777777" w:rsidR="00926BB1" w:rsidRPr="00931A42" w:rsidRDefault="00926BB1" w:rsidP="00BF455A">
                                  <w:pPr>
                                    <w:pStyle w:val="GraphicLeft"/>
                                  </w:pPr>
                                </w:p>
                              </w:tc>
                            </w:tr>
                            <w:tr w:rsidR="00926BB1" w:rsidRPr="00931A42" w14:paraId="4FD17808" w14:textId="77777777" w:rsidTr="00BF455A">
                              <w:tc>
                                <w:tcPr>
                                  <w:tcW w:w="3402" w:type="dxa"/>
                                </w:tcPr>
                                <w:p w14:paraId="652ECF3E" w14:textId="77777777" w:rsidR="00926BB1" w:rsidRPr="00931A42" w:rsidRDefault="00926BB1" w:rsidP="00BF455A">
                                  <w:pPr>
                                    <w:pStyle w:val="WebAddress"/>
                                  </w:pPr>
                                  <w:r w:rsidRPr="00931A42">
                                    <w:t>mottmac.com</w:t>
                                  </w:r>
                                </w:p>
                              </w:tc>
                            </w:tr>
                          </w:tbl>
                          <w:p w14:paraId="31F6A412" w14:textId="77777777" w:rsidR="00926BB1" w:rsidRPr="00931A42" w:rsidRDefault="00926BB1" w:rsidP="00087A17">
                            <w:pPr>
                              <w:pStyle w:val="GraphicLef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ebInfo" o:spid="_x0000_s1034" type="#_x0000_t202" style="position:absolute;margin-left:63.75pt;margin-top:0;width:175.45pt;height:74.25pt;z-index:251658242;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" filled="f" stroked="f" strokeweight=".5pt">
                <v:textbox inset="0,0,0,0">
                  <w:txbxContent>
                    <w:tbl>
                      <w:tblPr>
                        <w:tblW w:w="3402" w:type="dxa"/>
                        <w:tblLayout w:type="fixed"/>
                        <w:tblCellMar>
                          <w:left w:w="0" w:type="dxa"/>
                          <w:right w:w="0" w:type="dxa"/>
                        </w:tblCellMar>
                        <w:tblLook w:val="04A0" w:firstRow="1" w:lastRow="0" w:firstColumn="1" w:lastColumn="0" w:noHBand="0" w:noVBand="1"/>
                      </w:tblPr>
                      <w:tblGrid>
                        <w:gridCol w:w="3402"/>
                      </w:tblGrid>
                      <w:tr w:rsidR="00926BB1" w:rsidRPr="00931A42" w14:paraId="6DD6D178" w14:textId="77777777" w:rsidTr="00BF455A">
                        <w:tc>
                          <w:tcPr>
                            <w:tcW w:w="3402" w:type="dxa"/>
                          </w:tcPr>
                          <w:p w14:paraId="63707F77" w14:textId="77777777" w:rsidR="00926BB1" w:rsidRPr="00931A42" w:rsidRDefault="00926BB1" w:rsidP="00BF455A">
                            <w:pPr>
                              <w:pStyle w:val="GraphicLeft"/>
                            </w:pPr>
                          </w:p>
                        </w:tc>
                      </w:tr>
                      <w:tr w:rsidR="00926BB1" w:rsidRPr="00931A42" w14:paraId="4FD17808" w14:textId="77777777" w:rsidTr="00BF455A">
                        <w:tc>
                          <w:tcPr>
                            <w:tcW w:w="3402" w:type="dxa"/>
                          </w:tcPr>
                          <w:p w14:paraId="652ECF3E" w14:textId="77777777" w:rsidR="00926BB1" w:rsidRPr="00931A42" w:rsidRDefault="00926BB1" w:rsidP="00BF455A">
                            <w:pPr>
                              <w:pStyle w:val="WebAddress"/>
                            </w:pPr>
                            <w:r w:rsidRPr="00931A42">
                              <w:t>mottmac.com</w:t>
                            </w:r>
                          </w:p>
                        </w:tc>
                      </w:tr>
                    </w:tbl>
                    <w:p w14:paraId="31F6A412" w14:textId="77777777" w:rsidR="00926BB1" w:rsidRPr="00931A42" w:rsidRDefault="00926BB1" w:rsidP="00087A17">
                      <w:pPr>
                        <w:pStyle w:val="GraphicLeft"/>
                      </w:pPr>
                    </w:p>
                  </w:txbxContent>
                </v:textbox>
                <w10:wrap anchorx="page" anchory="page"/>
                <w10:anchorlock/>
              </v:shape>
            </w:pict>
          </mc:Fallback>
        </mc:AlternateContent>
      </w:r>
    </w:p>
    <w:p w14:paraId="704A64D8" w14:textId="597B0296" w:rsidR="00087A17" w:rsidRDefault="00087A17" w:rsidP="00087A17"/>
    <w:p w14:paraId="710BA5A2" w14:textId="77777777" w:rsidR="00EC534E" w:rsidRPr="003075F9" w:rsidRDefault="00EC534E" w:rsidP="003075F9"/>
    <w:sectPr w:rsidR="00EC534E" w:rsidRPr="003075F9" w:rsidSect="00530427">
      <w:headerReference w:type="default" r:id="rId31"/>
      <w:footerReference w:type="default" r:id="rId32"/>
      <w:type w:val="continuous"/>
      <w:pgSz w:w="11907" w:h="16840" w:code="9"/>
      <w:pgMar w:top="1928" w:right="2268" w:bottom="1905" w:left="1134"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9E70F5" w14:textId="77777777" w:rsidR="00CD2EC1" w:rsidRPr="00931A42" w:rsidRDefault="00CD2EC1" w:rsidP="00DE4EF8">
      <w:pPr>
        <w:spacing w:before="0" w:after="0" w:line="240" w:lineRule="auto"/>
      </w:pPr>
      <w:r w:rsidRPr="00931A42">
        <w:separator/>
      </w:r>
    </w:p>
  </w:endnote>
  <w:endnote w:type="continuationSeparator" w:id="0">
    <w:p w14:paraId="6209371F" w14:textId="77777777" w:rsidR="00CD2EC1" w:rsidRPr="00931A42" w:rsidRDefault="00CD2EC1" w:rsidP="00DE4EF8">
      <w:pPr>
        <w:spacing w:before="0" w:after="0" w:line="240" w:lineRule="auto"/>
      </w:pPr>
      <w:r w:rsidRPr="00931A42">
        <w:continuationSeparator/>
      </w:r>
    </w:p>
  </w:endnote>
  <w:endnote w:type="continuationNotice" w:id="1">
    <w:p w14:paraId="5DA654DE" w14:textId="77777777" w:rsidR="00CD2EC1" w:rsidRPr="00931A42" w:rsidRDefault="00CD2EC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none)">
    <w:altName w:val="Times New Roman"/>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ystem">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6A1CD" w14:textId="77777777" w:rsidR="00926BB1" w:rsidRPr="00931A42" w:rsidRDefault="00926BB1" w:rsidP="00BF455A">
    <w:pPr>
      <w:pStyle w:val="Spacer"/>
    </w:pPr>
  </w:p>
  <w:p w14:paraId="126A38E6" w14:textId="77777777" w:rsidR="00926BB1" w:rsidRPr="00931A42" w:rsidRDefault="00926BB1" w:rsidP="00BF455A">
    <w:pPr>
      <w:pStyle w:val="Spac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Clear"/>
      <w:tblW w:w="0" w:type="auto"/>
      <w:tblLayout w:type="fixed"/>
      <w:tblLook w:val="04A0" w:firstRow="1" w:lastRow="0" w:firstColumn="1" w:lastColumn="0" w:noHBand="0" w:noVBand="1"/>
    </w:tblPr>
    <w:tblGrid>
      <w:gridCol w:w="9974"/>
    </w:tblGrid>
    <w:tr w:rsidR="00926BB1" w:rsidRPr="00931A42" w14:paraId="081F9DE2" w14:textId="77777777" w:rsidTr="00BF455A">
      <w:tc>
        <w:tcPr>
          <w:tcW w:w="9974" w:type="dxa"/>
        </w:tcPr>
        <w:p w14:paraId="4C5F8935" w14:textId="77777777" w:rsidR="00926BB1" w:rsidRPr="00931A42" w:rsidRDefault="00926BB1" w:rsidP="00BF455A">
          <w:pPr>
            <w:pStyle w:val="Footer"/>
          </w:pPr>
          <w:bookmarkStart w:id="1" w:name="_GoBack" w:colFirst="0" w:colLast="1"/>
          <w:r w:rsidRPr="00931A42">
            <w:t>Job/Div/Sub/Rep/Rev 29 February 2016</w:t>
          </w:r>
        </w:p>
      </w:tc>
    </w:tr>
    <w:bookmarkEnd w:id="1"/>
    <w:tr w:rsidR="00926BB1" w:rsidRPr="00931A42" w14:paraId="4082839A" w14:textId="77777777" w:rsidTr="00BF455A">
      <w:tc>
        <w:tcPr>
          <w:tcW w:w="9974" w:type="dxa"/>
        </w:tcPr>
        <w:p w14:paraId="3FF8A298" w14:textId="77777777" w:rsidR="00926BB1" w:rsidRPr="00931A42" w:rsidRDefault="00926BB1" w:rsidP="00BF455A">
          <w:pPr>
            <w:pStyle w:val="Footer"/>
          </w:pPr>
          <w:r w:rsidRPr="00931A42">
            <w:t>File path footer</w:t>
          </w:r>
        </w:p>
      </w:tc>
    </w:tr>
  </w:tbl>
  <w:p w14:paraId="69FF7160" w14:textId="77777777" w:rsidR="00926BB1" w:rsidRPr="00931A42" w:rsidRDefault="00926BB1" w:rsidP="00BF455A">
    <w:pPr>
      <w:pStyle w:val="Spac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0" w:type="dxa"/>
        <w:right w:w="0" w:type="dxa"/>
      </w:tblCellMar>
      <w:tblLook w:val="04A0" w:firstRow="1" w:lastRow="0" w:firstColumn="1" w:lastColumn="0" w:noHBand="0" w:noVBand="1"/>
    </w:tblPr>
    <w:tblGrid>
      <w:gridCol w:w="8505"/>
    </w:tblGrid>
    <w:tr w:rsidR="00926BB1" w:rsidRPr="00931A42" w14:paraId="6BBCA3B0" w14:textId="77777777" w:rsidTr="005E1666">
      <w:tc>
        <w:tcPr>
          <w:tcW w:w="9639" w:type="dxa"/>
        </w:tcPr>
        <w:p w14:paraId="0AAB6133" w14:textId="33DFF485" w:rsidR="00926BB1" w:rsidRPr="00931A42" w:rsidRDefault="00043D11" w:rsidP="00BF455A">
          <w:pPr>
            <w:pStyle w:val="Footer"/>
          </w:pPr>
          <w:r>
            <w:t>0</w:t>
          </w:r>
          <w:r w:rsidR="00E14F50">
            <w:t>7</w:t>
          </w:r>
          <w:r>
            <w:t xml:space="preserve"> February</w:t>
          </w:r>
          <w:r w:rsidR="00926BB1" w:rsidRPr="00931A42">
            <w:t xml:space="preserve"> 2020</w:t>
          </w:r>
        </w:p>
      </w:tc>
    </w:tr>
    <w:tr w:rsidR="00926BB1" w:rsidRPr="00931A42" w14:paraId="458F5A61" w14:textId="77777777" w:rsidTr="00360F5C">
      <w:tc>
        <w:tcPr>
          <w:tcW w:w="9639" w:type="dxa"/>
          <w:vAlign w:val="bottom"/>
        </w:tcPr>
        <w:p w14:paraId="3EE07FB0" w14:textId="77777777" w:rsidR="00926BB1" w:rsidRPr="00931A42" w:rsidRDefault="00926BB1" w:rsidP="00360F5C">
          <w:pPr>
            <w:pStyle w:val="Footer"/>
          </w:pPr>
        </w:p>
      </w:tc>
    </w:tr>
  </w:tbl>
  <w:p w14:paraId="278B141B" w14:textId="77777777" w:rsidR="00926BB1" w:rsidRPr="00931A42" w:rsidRDefault="00926BB1" w:rsidP="00BF455A">
    <w:pPr>
      <w:pStyle w:val="Spac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Clear"/>
      <w:tblW w:w="0" w:type="auto"/>
      <w:tblLayout w:type="fixed"/>
      <w:tblLook w:val="04A0" w:firstRow="1" w:lastRow="0" w:firstColumn="1" w:lastColumn="0" w:noHBand="0" w:noVBand="1"/>
    </w:tblPr>
    <w:tblGrid>
      <w:gridCol w:w="9974"/>
    </w:tblGrid>
    <w:tr w:rsidR="00926BB1" w:rsidRPr="00931A42" w14:paraId="720E4C0B" w14:textId="77777777" w:rsidTr="00BF455A">
      <w:tc>
        <w:tcPr>
          <w:tcW w:w="9974" w:type="dxa"/>
        </w:tcPr>
        <w:p w14:paraId="2CDE9531" w14:textId="2DC61E75" w:rsidR="00926BB1" w:rsidRPr="00931A42" w:rsidRDefault="00926BB1" w:rsidP="00BF455A">
          <w:pPr>
            <w:pStyle w:val="Footer"/>
          </w:pPr>
          <w:r w:rsidRPr="00931A42">
            <w:t>Job/Div/Sub/Rep/Rev 29 February 2016</w:t>
          </w:r>
        </w:p>
      </w:tc>
    </w:tr>
    <w:tr w:rsidR="00926BB1" w:rsidRPr="00931A42" w14:paraId="6A3E1D69" w14:textId="77777777" w:rsidTr="00BF455A">
      <w:tc>
        <w:tcPr>
          <w:tcW w:w="9974" w:type="dxa"/>
        </w:tcPr>
        <w:p w14:paraId="29883AA2" w14:textId="77777777" w:rsidR="00926BB1" w:rsidRPr="00931A42" w:rsidRDefault="00926BB1" w:rsidP="00BF455A">
          <w:pPr>
            <w:pStyle w:val="Footer"/>
          </w:pPr>
          <w:r w:rsidRPr="00931A42">
            <w:t>File path footer</w:t>
          </w:r>
        </w:p>
      </w:tc>
    </w:tr>
  </w:tbl>
  <w:p w14:paraId="6BFB26B3" w14:textId="77777777" w:rsidR="00926BB1" w:rsidRPr="00931A42" w:rsidRDefault="00926BB1" w:rsidP="00BF455A">
    <w:pPr>
      <w:pStyle w:val="Spac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0" w:type="dxa"/>
        <w:right w:w="0" w:type="dxa"/>
      </w:tblCellMar>
      <w:tblLook w:val="04A0" w:firstRow="1" w:lastRow="0" w:firstColumn="1" w:lastColumn="0" w:noHBand="0" w:noVBand="1"/>
    </w:tblPr>
    <w:tblGrid>
      <w:gridCol w:w="8505"/>
    </w:tblGrid>
    <w:tr w:rsidR="00926BB1" w:rsidRPr="00931A42" w14:paraId="56BB7181" w14:textId="77777777" w:rsidTr="005E1666">
      <w:tc>
        <w:tcPr>
          <w:tcW w:w="9639" w:type="dxa"/>
        </w:tcPr>
        <w:p w14:paraId="4B31F61C" w14:textId="0107298F" w:rsidR="00926BB1" w:rsidRPr="00931A42" w:rsidRDefault="00043D11" w:rsidP="00BF455A">
          <w:pPr>
            <w:pStyle w:val="Footer"/>
          </w:pPr>
          <w:r>
            <w:t>0</w:t>
          </w:r>
          <w:r w:rsidR="00E14F50">
            <w:t>7</w:t>
          </w:r>
          <w:r>
            <w:t xml:space="preserve"> February</w:t>
          </w:r>
          <w:r w:rsidRPr="00931A42">
            <w:t xml:space="preserve"> 2020</w:t>
          </w:r>
        </w:p>
      </w:tc>
    </w:tr>
    <w:tr w:rsidR="00926BB1" w:rsidRPr="00931A42" w14:paraId="06FD5D4D" w14:textId="77777777" w:rsidTr="00360F5C">
      <w:tc>
        <w:tcPr>
          <w:tcW w:w="9639" w:type="dxa"/>
          <w:vAlign w:val="bottom"/>
        </w:tcPr>
        <w:p w14:paraId="6FFE39D4" w14:textId="77777777" w:rsidR="00926BB1" w:rsidRPr="00931A42" w:rsidRDefault="00926BB1" w:rsidP="00360F5C">
          <w:pPr>
            <w:pStyle w:val="Footer"/>
          </w:pPr>
        </w:p>
      </w:tc>
    </w:tr>
  </w:tbl>
  <w:p w14:paraId="40F0FA03" w14:textId="77777777" w:rsidR="00926BB1" w:rsidRPr="00931A42" w:rsidRDefault="00926BB1" w:rsidP="00BF455A">
    <w:pPr>
      <w:pStyle w:val="Spac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D9207C" w14:textId="77777777" w:rsidR="00CD2EC1" w:rsidRPr="00931A42" w:rsidRDefault="00CD2EC1" w:rsidP="00DE4EF8">
      <w:pPr>
        <w:spacing w:before="0" w:after="0" w:line="240" w:lineRule="auto"/>
      </w:pPr>
      <w:r w:rsidRPr="00931A42">
        <w:separator/>
      </w:r>
    </w:p>
  </w:footnote>
  <w:footnote w:type="continuationSeparator" w:id="0">
    <w:p w14:paraId="56C8AEFB" w14:textId="77777777" w:rsidR="00CD2EC1" w:rsidRPr="00931A42" w:rsidRDefault="00CD2EC1" w:rsidP="00DE4EF8">
      <w:pPr>
        <w:spacing w:before="0" w:after="0" w:line="240" w:lineRule="auto"/>
      </w:pPr>
      <w:r w:rsidRPr="00931A42">
        <w:continuationSeparator/>
      </w:r>
    </w:p>
  </w:footnote>
  <w:footnote w:type="continuationNotice" w:id="1">
    <w:p w14:paraId="1A18F993" w14:textId="77777777" w:rsidR="00CD2EC1" w:rsidRPr="00931A42" w:rsidRDefault="00CD2EC1">
      <w:pPr>
        <w:spacing w:before="0" w:after="0" w:line="240" w:lineRule="auto"/>
      </w:pPr>
    </w:p>
  </w:footnote>
  <w:footnote w:id="2">
    <w:p w14:paraId="4A110600" w14:textId="45C9D367" w:rsidR="00926BB1" w:rsidRPr="00931A42" w:rsidRDefault="00926BB1">
      <w:pPr>
        <w:pStyle w:val="FootnoteText"/>
      </w:pPr>
      <w:r w:rsidRPr="00931A42">
        <w:rPr>
          <w:rStyle w:val="FootnoteReference"/>
        </w:rPr>
        <w:footnoteRef/>
      </w:r>
      <w:r w:rsidRPr="00931A42">
        <w:t xml:space="preserve"> Chichester District Council (2015) ‘Chichester Local Plan: Key Policies 2014-2029’. Available at: </w:t>
      </w:r>
      <w:hyperlink r:id="rId1" w:history="1">
        <w:r w:rsidRPr="00931A42">
          <w:rPr>
            <w:rStyle w:val="Hyperlink"/>
          </w:rPr>
          <w:t>https://www.chichester.gov.uk/CHttpHandler.ashx?id=24759&amp;p=0</w:t>
        </w:r>
      </w:hyperlink>
    </w:p>
  </w:footnote>
  <w:footnote w:id="3">
    <w:p w14:paraId="24BAEC1B" w14:textId="2C616B0B" w:rsidR="00926BB1" w:rsidRPr="00931A42" w:rsidRDefault="00926BB1">
      <w:pPr>
        <w:pStyle w:val="FootnoteText"/>
      </w:pPr>
      <w:r w:rsidRPr="00931A42">
        <w:rPr>
          <w:rStyle w:val="FootnoteReference"/>
        </w:rPr>
        <w:footnoteRef/>
      </w:r>
      <w:r w:rsidRPr="00931A42">
        <w:t xml:space="preserve"> Tangmere Parish Council (2016) ‘Tangmere Neighbourhood Plan 2014-2029’. Available at: www.chichester.gov.uk/CHttpHandler.ashx?id=26728&amp;p=0</w:t>
      </w:r>
      <w:r w:rsidRPr="00931A42">
        <w:cr/>
      </w:r>
    </w:p>
  </w:footnote>
  <w:footnote w:id="4">
    <w:p w14:paraId="243DD922" w14:textId="6B673EB3" w:rsidR="00926BB1" w:rsidRPr="00931A42" w:rsidRDefault="00926BB1" w:rsidP="00FF71CA">
      <w:pPr>
        <w:spacing w:before="0" w:after="0" w:line="240" w:lineRule="auto"/>
        <w:rPr>
          <w:rFonts w:ascii="Arial" w:eastAsia="Times New Roman" w:hAnsi="Arial" w:cs="Arial"/>
          <w:sz w:val="22"/>
          <w:szCs w:val="22"/>
        </w:rPr>
      </w:pPr>
      <w:r w:rsidRPr="00931A42">
        <w:rPr>
          <w:rStyle w:val="FootnoteReference"/>
        </w:rPr>
        <w:footnoteRef/>
      </w:r>
      <w:r w:rsidRPr="00931A42">
        <w:t xml:space="preserve"> </w:t>
      </w:r>
      <w:r w:rsidRPr="00931A42">
        <w:rPr>
          <w:rFonts w:ascii="Arial" w:eastAsia="Times New Roman" w:hAnsi="Arial" w:cs="Arial"/>
          <w:sz w:val="14"/>
          <w:szCs w:val="14"/>
        </w:rPr>
        <w:t>30% affordable housing make up is split 60:40 between affordable rent and intermediate (in line with the Tangmere Neighbourhood Plan) equating to 234 affordable rent homes and 156 intermediate homes. Affordable housing mix will be fixed as part of outline planning application</w:t>
      </w:r>
      <w:r w:rsidRPr="00931A42">
        <w:rPr>
          <w:rFonts w:ascii="Arial" w:eastAsia="Times New Roman" w:hAnsi="Arial" w:cs="Arial"/>
          <w:sz w:val="16"/>
          <w:szCs w:val="22"/>
        </w:rPr>
        <w:t>.</w:t>
      </w:r>
    </w:p>
    <w:p w14:paraId="07DF1465" w14:textId="621272F7" w:rsidR="00926BB1" w:rsidRPr="00931A42" w:rsidRDefault="00926BB1">
      <w:pPr>
        <w:pStyle w:val="FootnoteText"/>
      </w:pPr>
    </w:p>
  </w:footnote>
  <w:footnote w:id="5">
    <w:p w14:paraId="507AD54A" w14:textId="23AC52B7" w:rsidR="00926BB1" w:rsidRPr="00931A42" w:rsidRDefault="00926BB1">
      <w:pPr>
        <w:pStyle w:val="FootnoteText"/>
      </w:pPr>
      <w:r w:rsidRPr="00931A42">
        <w:rPr>
          <w:rStyle w:val="FootnoteReference"/>
        </w:rPr>
        <w:footnoteRef/>
      </w:r>
      <w:r w:rsidRPr="00931A42">
        <w:t xml:space="preserve"> Ministry of Housing, Communities &amp; Local Government (2019) Guidance on Compulsory purchase process and The Crichel Down Rules </w:t>
      </w:r>
    </w:p>
  </w:footnote>
  <w:footnote w:id="6">
    <w:p w14:paraId="4923FD7A" w14:textId="6F973FF2" w:rsidR="00926BB1" w:rsidRPr="00931A42" w:rsidRDefault="00926BB1">
      <w:pPr>
        <w:pStyle w:val="FootnoteText"/>
      </w:pPr>
      <w:r w:rsidRPr="00931A42">
        <w:rPr>
          <w:rStyle w:val="FootnoteReference"/>
        </w:rPr>
        <w:footnoteRef/>
      </w:r>
      <w:r w:rsidRPr="00931A42">
        <w:t xml:space="preserve"> Legislation UK (1990) Town and Country Planning Act 1990 </w:t>
      </w:r>
    </w:p>
  </w:footnote>
  <w:footnote w:id="7">
    <w:p w14:paraId="454250DA" w14:textId="5E31FF83" w:rsidR="00926BB1" w:rsidRPr="00931A42" w:rsidRDefault="00926BB1">
      <w:pPr>
        <w:pStyle w:val="FootnoteText"/>
      </w:pPr>
      <w:r w:rsidRPr="00931A42">
        <w:rPr>
          <w:rStyle w:val="FootnoteReference"/>
        </w:rPr>
        <w:footnoteRef/>
      </w:r>
      <w:r w:rsidRPr="00931A42">
        <w:t xml:space="preserve"> Chichester District Council (2015) ‘Chichester Local Plan: Key Policies 2014-2029’. Available at: </w:t>
      </w:r>
      <w:hyperlink r:id="rId2" w:history="1">
        <w:r w:rsidRPr="00931A42">
          <w:rPr>
            <w:rStyle w:val="Hyperlink"/>
          </w:rPr>
          <w:t>https://www.chichester.gov.uk/CHttpHandler.ashx?id=24759&amp;p=0</w:t>
        </w:r>
      </w:hyperlink>
    </w:p>
    <w:p w14:paraId="1540D837" w14:textId="77777777" w:rsidR="00926BB1" w:rsidRPr="00931A42" w:rsidRDefault="00926BB1">
      <w:pPr>
        <w:pStyle w:val="FootnoteText"/>
      </w:pPr>
    </w:p>
  </w:footnote>
  <w:footnote w:id="8">
    <w:p w14:paraId="73D3C3BE" w14:textId="77777777" w:rsidR="00CB15B0" w:rsidRPr="00067C12" w:rsidRDefault="00CB15B0" w:rsidP="00067C12">
      <w:pPr>
        <w:rPr>
          <w:sz w:val="14"/>
          <w:szCs w:val="14"/>
        </w:rPr>
      </w:pPr>
      <w:r w:rsidRPr="00067C12">
        <w:rPr>
          <w:rStyle w:val="FootnoteReference"/>
          <w:sz w:val="14"/>
          <w:szCs w:val="14"/>
        </w:rPr>
        <w:footnoteRef/>
      </w:r>
      <w:r w:rsidRPr="00067C12">
        <w:rPr>
          <w:sz w:val="14"/>
          <w:szCs w:val="14"/>
        </w:rPr>
        <w:t xml:space="preserve"> Chichester District Council (2015) ‘Chichester Local Plan: Key Policies 2014-2029’</w:t>
      </w:r>
    </w:p>
    <w:p w14:paraId="792671DC" w14:textId="1D196F69" w:rsidR="00CB15B0" w:rsidRDefault="00CB15B0">
      <w:pPr>
        <w:pStyle w:val="FootnoteText"/>
      </w:pPr>
    </w:p>
  </w:footnote>
  <w:footnote w:id="9">
    <w:p w14:paraId="0DC80C48" w14:textId="3F243090" w:rsidR="00926BB1" w:rsidRPr="00931A42" w:rsidRDefault="00926BB1" w:rsidP="0097046B">
      <w:pPr>
        <w:pStyle w:val="FootnoteText"/>
        <w:rPr>
          <w:rFonts w:ascii="Arial" w:hAnsi="Arial" w:cs="Arial"/>
          <w:sz w:val="16"/>
          <w:szCs w:val="16"/>
        </w:rPr>
      </w:pPr>
      <w:r w:rsidRPr="00931A42">
        <w:rPr>
          <w:rStyle w:val="FootnoteReference"/>
          <w:rFonts w:ascii="Arial" w:hAnsi="Arial" w:cs="Arial"/>
          <w:sz w:val="16"/>
          <w:szCs w:val="16"/>
        </w:rPr>
        <w:footnoteRef/>
      </w:r>
      <w:r w:rsidRPr="00931A42">
        <w:rPr>
          <w:rStyle w:val="FootnoteReference"/>
          <w:rFonts w:ascii="Arial" w:hAnsi="Arial" w:cs="Arial"/>
          <w:sz w:val="16"/>
          <w:szCs w:val="16"/>
        </w:rPr>
        <w:t xml:space="preserve"> </w:t>
      </w:r>
      <w:r w:rsidRPr="00931A42">
        <w:rPr>
          <w:rFonts w:ascii="Arial" w:hAnsi="Arial" w:cs="Arial"/>
          <w:sz w:val="16"/>
          <w:szCs w:val="16"/>
        </w:rPr>
        <w:t xml:space="preserve">Government Equalities Office (2018): ‘Trans People in the UK’. Available at: </w:t>
      </w:r>
      <w:hyperlink r:id="rId3" w:history="1">
        <w:r w:rsidRPr="00931A42">
          <w:rPr>
            <w:rStyle w:val="Hyperlink"/>
            <w:rFonts w:ascii="Arial" w:hAnsi="Arial" w:cs="Arial"/>
            <w:sz w:val="16"/>
            <w:szCs w:val="16"/>
          </w:rPr>
          <w:t>https://assets.publishing.service.gov.uk/government/uploads/system/uploads/attachment_data/file/721642/GEO-LGBT-factsheet.pdf</w:t>
        </w:r>
      </w:hyperlink>
      <w:r w:rsidRPr="00931A42">
        <w:rPr>
          <w:rFonts w:ascii="Arial" w:hAnsi="Arial" w:cs="Arial"/>
          <w:sz w:val="16"/>
          <w:szCs w:val="16"/>
        </w:rPr>
        <w:t xml:space="preserve"> </w:t>
      </w:r>
    </w:p>
  </w:footnote>
  <w:footnote w:id="10">
    <w:p w14:paraId="6294D83F" w14:textId="6A67D455" w:rsidR="00926BB1" w:rsidRPr="00931A42" w:rsidRDefault="00926BB1" w:rsidP="00365D8E">
      <w:pPr>
        <w:pStyle w:val="FootnoteText"/>
      </w:pPr>
      <w:r w:rsidRPr="00931A42">
        <w:rPr>
          <w:rStyle w:val="FootnoteReference"/>
        </w:rPr>
        <w:footnoteRef/>
      </w:r>
      <w:r w:rsidRPr="00931A42">
        <w:t xml:space="preserve"> Source: Office for National Statistics (2017): Available at: </w:t>
      </w:r>
      <w:hyperlink r:id="rId4" w:history="1">
        <w:r w:rsidRPr="00931A42">
          <w:rPr>
            <w:rStyle w:val="Hyperlink"/>
            <w:szCs w:val="14"/>
          </w:rPr>
          <w:t>https://www.ons.gov.uk/peoplepopulationandcommunity/culturalidentity/sexuality/bulletins/sexualidentityuk/2016</w:t>
        </w:r>
      </w:hyperlink>
      <w:r w:rsidRPr="00931A42">
        <w:t xml:space="preserve"> </w:t>
      </w:r>
    </w:p>
  </w:footnote>
  <w:footnote w:id="11">
    <w:p w14:paraId="49BE7C37" w14:textId="6FCDAFF0" w:rsidR="00926BB1" w:rsidRPr="00931A42" w:rsidRDefault="00926BB1">
      <w:pPr>
        <w:pStyle w:val="FootnoteText"/>
      </w:pPr>
      <w:r w:rsidRPr="00931A42">
        <w:rPr>
          <w:rStyle w:val="FootnoteReference"/>
        </w:rPr>
        <w:footnoteRef/>
      </w:r>
      <w:r w:rsidRPr="00931A42">
        <w:t xml:space="preserve"> Leeds University Business School (2004): ‘The Economic and Social Impact of Redundancies from Corus and Allied Steel and Wire in Wales’ </w:t>
      </w:r>
    </w:p>
  </w:footnote>
  <w:footnote w:id="12">
    <w:p w14:paraId="77555702" w14:textId="77777777" w:rsidR="00926BB1" w:rsidRPr="00931A42" w:rsidRDefault="00926BB1" w:rsidP="00872D09">
      <w:pPr>
        <w:pStyle w:val="FootnoteText"/>
      </w:pPr>
      <w:r w:rsidRPr="00931A42">
        <w:rPr>
          <w:rStyle w:val="FootnoteReference"/>
        </w:rPr>
        <w:footnoteRef/>
      </w:r>
      <w:r w:rsidRPr="00931A42">
        <w:t xml:space="preserve"> </w:t>
      </w:r>
      <w:r w:rsidRPr="00931A42">
        <w:rPr>
          <w:color w:val="222222"/>
        </w:rPr>
        <w:t xml:space="preserve">Gallo, W. T., Bradley, E. H., Falba, T. A., Dubin, J. A., Cramer, L. D., Bogardus Jr, S. T., &amp; Kasl, S. V. (2004).’ Involuntary job loss as a risk factor for subsequent myocardial infarction and stroke: findings from the Health and Retirement Survey’. </w:t>
      </w:r>
      <w:r w:rsidRPr="00931A42">
        <w:rPr>
          <w:iCs/>
          <w:color w:val="222222"/>
        </w:rPr>
        <w:t>American journal of industrial medicine</w:t>
      </w:r>
      <w:r w:rsidRPr="00931A42">
        <w:rPr>
          <w:color w:val="222222"/>
        </w:rPr>
        <w:t xml:space="preserve">, </w:t>
      </w:r>
      <w:r w:rsidRPr="00931A42">
        <w:rPr>
          <w:iCs/>
          <w:color w:val="222222"/>
        </w:rPr>
        <w:t>45</w:t>
      </w:r>
      <w:r w:rsidRPr="00931A42">
        <w:rPr>
          <w:color w:val="222222"/>
        </w:rPr>
        <w:t>(5), 408-416</w:t>
      </w:r>
    </w:p>
  </w:footnote>
  <w:footnote w:id="13">
    <w:p w14:paraId="268ED1C1" w14:textId="77777777" w:rsidR="00926BB1" w:rsidRPr="00931A42" w:rsidRDefault="00926BB1">
      <w:pPr>
        <w:pStyle w:val="FootnoteText"/>
      </w:pPr>
      <w:r w:rsidRPr="00931A42">
        <w:rPr>
          <w:rStyle w:val="FootnoteReference"/>
        </w:rPr>
        <w:footnoteRef/>
      </w:r>
      <w:r w:rsidRPr="00931A42">
        <w:t xml:space="preserve"> World Health Organisation (2011): ‘Burden of disease from environmental noise Quantification of healthy life years lost in Europe’. Available at http://www.euro.who.int/__data/assets/pdf_file/0008/136466/e94888.pdf</w:t>
      </w:r>
    </w:p>
  </w:footnote>
  <w:footnote w:id="14">
    <w:p w14:paraId="5011B008" w14:textId="77777777" w:rsidR="00926BB1" w:rsidRPr="00931A42" w:rsidRDefault="00926BB1" w:rsidP="004B29D7">
      <w:pPr>
        <w:pStyle w:val="FootnoteText"/>
      </w:pPr>
      <w:r w:rsidRPr="00931A42">
        <w:rPr>
          <w:rStyle w:val="FootnoteReference"/>
        </w:rPr>
        <w:footnoteRef/>
      </w:r>
      <w:r w:rsidRPr="00931A42">
        <w:t xml:space="preserve"> World Health Organisation (2011): ‘Burden of disease from environmental noise Quantification of healthy life years lost in Europe’.</w:t>
      </w:r>
    </w:p>
  </w:footnote>
  <w:footnote w:id="15">
    <w:p w14:paraId="519AF15B" w14:textId="2C49C0C8" w:rsidR="00926BB1" w:rsidRPr="00931A42" w:rsidRDefault="00926BB1">
      <w:pPr>
        <w:pStyle w:val="FootnoteText"/>
      </w:pPr>
      <w:r w:rsidRPr="00931A42">
        <w:rPr>
          <w:rStyle w:val="FootnoteReference"/>
        </w:rPr>
        <w:footnoteRef/>
      </w:r>
      <w:r w:rsidRPr="00931A42">
        <w:t xml:space="preserve"> Scope (undated) ‘Challenging behaviour’, Available at </w:t>
      </w:r>
      <w:hyperlink r:id="rId5" w:history="1">
        <w:r w:rsidRPr="00931A42">
          <w:rPr>
            <w:rStyle w:val="Hyperlink"/>
            <w:szCs w:val="14"/>
          </w:rPr>
          <w:t>https://www.scope.org.uk/support/parents/challenging-behaviour/reasons</w:t>
        </w:r>
      </w:hyperlink>
      <w:r w:rsidRPr="00931A42">
        <w:t xml:space="preserve"> </w:t>
      </w:r>
    </w:p>
  </w:footnote>
  <w:footnote w:id="16">
    <w:p w14:paraId="560FBD89" w14:textId="247594D2" w:rsidR="00926BB1" w:rsidRPr="00931A42" w:rsidRDefault="00926BB1">
      <w:pPr>
        <w:pStyle w:val="FootnoteText"/>
      </w:pPr>
      <w:r w:rsidRPr="00931A42">
        <w:rPr>
          <w:rStyle w:val="FootnoteReference"/>
        </w:rPr>
        <w:footnoteRef/>
      </w:r>
      <w:r w:rsidRPr="00931A42">
        <w:t xml:space="preserve"> Asthma UK, Pollution, available at: </w:t>
      </w:r>
      <w:hyperlink r:id="rId6" w:history="1">
        <w:r w:rsidRPr="00931A42">
          <w:rPr>
            <w:rStyle w:val="Hyperlink"/>
            <w:szCs w:val="14"/>
          </w:rPr>
          <w:t>https://www.asthma.org.uk/advice/triggers/pollution/</w:t>
        </w:r>
      </w:hyperlink>
      <w:r w:rsidRPr="00931A42">
        <w:t xml:space="preserve"> </w:t>
      </w:r>
    </w:p>
  </w:footnote>
  <w:footnote w:id="17">
    <w:p w14:paraId="610929C2" w14:textId="4DDAFFCD" w:rsidR="00926BB1" w:rsidRPr="00931A42" w:rsidRDefault="00926BB1">
      <w:pPr>
        <w:pStyle w:val="FootnoteText"/>
      </w:pPr>
      <w:r w:rsidRPr="00931A42">
        <w:rPr>
          <w:rStyle w:val="FootnoteReference"/>
        </w:rPr>
        <w:footnoteRef/>
      </w:r>
      <w:r w:rsidRPr="00931A42">
        <w:t xml:space="preserve"> British Heart Foundation (no date): ‘Air pollution and cardiovascular disease’. Available at: </w:t>
      </w:r>
      <w:hyperlink r:id="rId7" w:history="1">
        <w:r w:rsidRPr="00931A42">
          <w:rPr>
            <w:rStyle w:val="Hyperlink"/>
            <w:szCs w:val="14"/>
          </w:rPr>
          <w:t>https://www.bhf.org.uk/about-us/our-policies/preventing-heart-disease/air-pollution</w:t>
        </w:r>
      </w:hyperlink>
      <w:r w:rsidRPr="00931A42">
        <w:t xml:space="preserve"> </w:t>
      </w:r>
    </w:p>
  </w:footnote>
  <w:footnote w:id="18">
    <w:p w14:paraId="2B341B16" w14:textId="29C6EDD4" w:rsidR="00926BB1" w:rsidRPr="00931A42" w:rsidRDefault="00926BB1">
      <w:pPr>
        <w:pStyle w:val="FootnoteText"/>
      </w:pPr>
      <w:r w:rsidRPr="00931A42">
        <w:rPr>
          <w:rStyle w:val="FootnoteReference"/>
        </w:rPr>
        <w:footnoteRef/>
      </w:r>
      <w:r w:rsidRPr="00931A42">
        <w:t xml:space="preserve"> https://www.healthline.com/health/copd/age-of-onset</w:t>
      </w:r>
    </w:p>
  </w:footnote>
  <w:footnote w:id="19">
    <w:p w14:paraId="3AACA59C" w14:textId="5B623E1F" w:rsidR="00926BB1" w:rsidRPr="00931A42" w:rsidRDefault="00926BB1">
      <w:pPr>
        <w:pStyle w:val="FootnoteText"/>
      </w:pPr>
      <w:r w:rsidRPr="00931A42">
        <w:rPr>
          <w:rStyle w:val="FootnoteReference"/>
        </w:rPr>
        <w:footnoteRef/>
      </w:r>
      <w:r w:rsidRPr="00931A42">
        <w:t xml:space="preserve"> Royal College of Physicans (2016): ‘Every breath we take: the lifelong impact of air pollution’, available at: </w:t>
      </w:r>
      <w:hyperlink r:id="rId8" w:history="1">
        <w:r w:rsidRPr="00931A42">
          <w:rPr>
            <w:rStyle w:val="Hyperlink"/>
            <w:szCs w:val="14"/>
          </w:rPr>
          <w:t>https://www.rcplondon.ac.uk/projects/outputs/every-breath-we-take-lifelong-impact-air-pollution</w:t>
        </w:r>
      </w:hyperlink>
      <w:r w:rsidRPr="00931A42">
        <w:t xml:space="preserve">  </w:t>
      </w:r>
    </w:p>
  </w:footnote>
  <w:footnote w:id="20">
    <w:p w14:paraId="29F83A46" w14:textId="051DA829" w:rsidR="00926BB1" w:rsidRPr="00931A42" w:rsidRDefault="00926BB1">
      <w:pPr>
        <w:pStyle w:val="FootnoteText"/>
      </w:pPr>
      <w:r w:rsidRPr="00931A42">
        <w:rPr>
          <w:rStyle w:val="FootnoteReference"/>
        </w:rPr>
        <w:footnoteRef/>
      </w:r>
      <w:r w:rsidRPr="00931A42">
        <w:t xml:space="preserve"> Department for Environmental Food and Rural Affairs (2013): ‘Guide to UK Air Pollution Information Resources’.</w:t>
      </w:r>
    </w:p>
  </w:footnote>
  <w:footnote w:id="21">
    <w:p w14:paraId="36CC69D1" w14:textId="7FD7065D" w:rsidR="00926BB1" w:rsidRPr="00931A42" w:rsidRDefault="00926BB1">
      <w:pPr>
        <w:pStyle w:val="FootnoteText"/>
      </w:pPr>
      <w:r w:rsidRPr="00931A42">
        <w:rPr>
          <w:rStyle w:val="FootnoteReference"/>
        </w:rPr>
        <w:footnoteRef/>
      </w:r>
      <w:r w:rsidRPr="00931A42">
        <w:t xml:space="preserve"> World Health Organisation (2011): ‘Burden of disease from environmental noise Quantification of healthy life years lost in Europe’. Available at </w:t>
      </w:r>
      <w:hyperlink r:id="rId9" w:history="1">
        <w:r w:rsidRPr="00931A42">
          <w:rPr>
            <w:rStyle w:val="Hyperlink"/>
            <w:szCs w:val="14"/>
          </w:rPr>
          <w:t>http://www.euro.who.int/__data/assets/pdf_file/0008/136466/e94888.pdf</w:t>
        </w:r>
      </w:hyperlink>
      <w:r w:rsidRPr="00931A42">
        <w:t xml:space="preserve"> </w:t>
      </w:r>
    </w:p>
  </w:footnote>
  <w:footnote w:id="22">
    <w:p w14:paraId="1F538DBE" w14:textId="50D1E1C3" w:rsidR="00926BB1" w:rsidRPr="00931A42" w:rsidRDefault="00926BB1">
      <w:pPr>
        <w:pStyle w:val="FootnoteText"/>
      </w:pPr>
      <w:r w:rsidRPr="00931A42">
        <w:rPr>
          <w:rStyle w:val="FootnoteReference"/>
        </w:rPr>
        <w:footnoteRef/>
      </w:r>
      <w:r w:rsidRPr="00931A42">
        <w:t xml:space="preserve"> House of Commons Women and Equalities Committee (2017): ‘Building for Equality: Disability and the Built Environment’. Available at: https://publications.parliament.uk/pa/cm201617/cmselect/cmwomeq/631/631.pdf</w:t>
      </w:r>
    </w:p>
  </w:footnote>
  <w:footnote w:id="23">
    <w:p w14:paraId="705AA464" w14:textId="771C15D1" w:rsidR="00926BB1" w:rsidRPr="00931A42" w:rsidRDefault="00926BB1">
      <w:pPr>
        <w:pStyle w:val="FootnoteText"/>
      </w:pPr>
      <w:r w:rsidRPr="00931A42">
        <w:rPr>
          <w:rStyle w:val="FootnoteReference"/>
        </w:rPr>
        <w:footnoteRef/>
      </w:r>
      <w:r w:rsidRPr="00931A42">
        <w:t xml:space="preserve"> Graham, H et al (2018): ‘The experiences of everyday travel for older people in rural areas: A systematic review of UK qualitative studies’. Available at: </w:t>
      </w:r>
      <w:hyperlink r:id="rId10" w:history="1">
        <w:r w:rsidRPr="00931A42">
          <w:rPr>
            <w:rStyle w:val="Hyperlink"/>
            <w:szCs w:val="14"/>
          </w:rPr>
          <w:t>https://www.sciencedirect.com/science/article/pii/S2214140518303827</w:t>
        </w:r>
      </w:hyperlink>
    </w:p>
    <w:p w14:paraId="1FFAB6A1" w14:textId="77777777" w:rsidR="00926BB1" w:rsidRPr="00931A42" w:rsidRDefault="00926BB1">
      <w:pPr>
        <w:pStyle w:val="FootnoteText"/>
      </w:pPr>
    </w:p>
  </w:footnote>
  <w:footnote w:id="24">
    <w:p w14:paraId="0A8D6B9F" w14:textId="0B7DF2D5" w:rsidR="00926BB1" w:rsidRPr="00931A42" w:rsidRDefault="00926BB1" w:rsidP="006D6F42">
      <w:pPr>
        <w:pStyle w:val="FootnoteText"/>
      </w:pPr>
      <w:r w:rsidRPr="00931A42">
        <w:rPr>
          <w:rStyle w:val="FootnoteReference"/>
        </w:rPr>
        <w:footnoteRef/>
      </w:r>
      <w:r w:rsidRPr="00931A42">
        <w:t xml:space="preserve"> EY Foundation (2016): ‘The employment landscape for young people in the UK’. Available at: </w:t>
      </w:r>
      <w:hyperlink r:id="rId11" w:history="1">
        <w:r w:rsidRPr="00931A42">
          <w:rPr>
            <w:rStyle w:val="Hyperlink"/>
            <w:szCs w:val="14"/>
          </w:rPr>
          <w:t>https://www.ey.com/Publication/vwLUAssets/Employment_landscape_for_young_people_in_the_UK/$FILE/Employment%20landscape%20for%20young%20people%20in%20the%20UK%20-%20final%20report.pdf</w:t>
        </w:r>
      </w:hyperlink>
      <w:r w:rsidRPr="00931A42">
        <w:t xml:space="preserve"> </w:t>
      </w:r>
    </w:p>
  </w:footnote>
  <w:footnote w:id="25">
    <w:p w14:paraId="6E666663" w14:textId="77777777" w:rsidR="00926BB1" w:rsidRPr="00931A42" w:rsidRDefault="00926BB1" w:rsidP="006D6F42">
      <w:pPr>
        <w:pStyle w:val="FootnoteText"/>
      </w:pPr>
      <w:r w:rsidRPr="00931A42">
        <w:rPr>
          <w:rStyle w:val="FootnoteReference"/>
        </w:rPr>
        <w:footnoteRef/>
      </w:r>
      <w:r w:rsidRPr="00931A42">
        <w:t xml:space="preserve"> Joseph Rowntree Foundation (2015): ‘Ethnic Minority Disadvantage in The Labour Market’.</w:t>
      </w:r>
    </w:p>
  </w:footnote>
  <w:footnote w:id="26">
    <w:p w14:paraId="41BDAA53" w14:textId="79D98B40" w:rsidR="00926BB1" w:rsidRPr="00931A42" w:rsidRDefault="00926BB1">
      <w:pPr>
        <w:pStyle w:val="FootnoteText"/>
      </w:pPr>
      <w:r w:rsidRPr="00931A42">
        <w:rPr>
          <w:rStyle w:val="FootnoteReference"/>
        </w:rPr>
        <w:footnoteRef/>
      </w:r>
      <w:r w:rsidRPr="00931A42">
        <w:t xml:space="preserve">  Joseph Rowntree Foundation, ‘Housing options and solutions for young people in 2020” (2012) Available at: </w:t>
      </w:r>
      <w:hyperlink r:id="rId12" w:history="1">
        <w:r w:rsidRPr="00931A42">
          <w:rPr>
            <w:rStyle w:val="Hyperlink"/>
            <w:szCs w:val="14"/>
          </w:rPr>
          <w:t>https://www.jrf.org.uk/report/housing-options-and-solutions-young-people-2020</w:t>
        </w:r>
      </w:hyperlink>
      <w:r w:rsidRPr="00931A42">
        <w:t xml:space="preserve"> </w:t>
      </w:r>
    </w:p>
  </w:footnote>
  <w:footnote w:id="27">
    <w:p w14:paraId="200D4B53" w14:textId="62F60985" w:rsidR="00926BB1" w:rsidRPr="00931A42" w:rsidRDefault="00926BB1">
      <w:pPr>
        <w:pStyle w:val="FootnoteText"/>
      </w:pPr>
      <w:r w:rsidRPr="00931A42">
        <w:rPr>
          <w:rStyle w:val="FootnoteReference"/>
        </w:rPr>
        <w:footnoteRef/>
      </w:r>
      <w:r w:rsidRPr="00931A42">
        <w:t xml:space="preserve"> The Poverty Site (2017). See: http://www.poverty.org.uk/06/index.html</w:t>
      </w:r>
    </w:p>
  </w:footnote>
  <w:footnote w:id="28">
    <w:p w14:paraId="74C56A86" w14:textId="77777777" w:rsidR="00926BB1" w:rsidRPr="00931A42" w:rsidRDefault="00926BB1" w:rsidP="00A54BD0">
      <w:pPr>
        <w:pStyle w:val="FootnoteText"/>
      </w:pPr>
      <w:r w:rsidRPr="00931A42">
        <w:rPr>
          <w:rStyle w:val="FootnoteReference"/>
        </w:rPr>
        <w:footnoteRef/>
      </w:r>
      <w:r w:rsidRPr="00931A42">
        <w:t xml:space="preserve"> Marmot Review Team (2011) 'The Health Impacts of Cold Homes and Fuel Poverty'. London: Department of Epidemiology and Public Health, University College London. </w:t>
      </w:r>
    </w:p>
  </w:footnote>
  <w:footnote w:id="29">
    <w:p w14:paraId="36C5D9BA" w14:textId="77777777" w:rsidR="00926BB1" w:rsidRPr="00931A42" w:rsidRDefault="00926BB1" w:rsidP="00A54BD0">
      <w:pPr>
        <w:pStyle w:val="FootnoteText"/>
      </w:pPr>
      <w:r w:rsidRPr="00931A42">
        <w:rPr>
          <w:rStyle w:val="FootnoteReference"/>
        </w:rPr>
        <w:footnoteRef/>
      </w:r>
      <w:r w:rsidRPr="00931A42">
        <w:t xml:space="preserve"> The Housing and Ageing Alliance. (2013). ‘Policy Paper: Health, Housing and Ageing’</w:t>
      </w:r>
    </w:p>
  </w:footnote>
  <w:footnote w:id="30">
    <w:p w14:paraId="5F3E87D0" w14:textId="77777777" w:rsidR="00926BB1" w:rsidRPr="00931A42" w:rsidRDefault="00926BB1" w:rsidP="00A54BD0">
      <w:pPr>
        <w:pStyle w:val="FootnoteText"/>
      </w:pPr>
      <w:r w:rsidRPr="00931A42">
        <w:rPr>
          <w:rStyle w:val="FootnoteReference"/>
        </w:rPr>
        <w:footnoteRef/>
      </w:r>
      <w:r w:rsidRPr="00931A42">
        <w:t xml:space="preserve"> The Housing and Ageing Alliance. (2013). ‘Policy Paper: Health, Housing and Ageing’</w:t>
      </w:r>
    </w:p>
  </w:footnote>
  <w:footnote w:id="31">
    <w:p w14:paraId="1C78F097" w14:textId="29C00718" w:rsidR="00926BB1" w:rsidRPr="00931A42" w:rsidRDefault="00926BB1">
      <w:pPr>
        <w:pStyle w:val="FootnoteText"/>
      </w:pPr>
      <w:r w:rsidRPr="00931A42">
        <w:rPr>
          <w:rStyle w:val="FootnoteReference"/>
        </w:rPr>
        <w:footnoteRef/>
      </w:r>
      <w:r w:rsidRPr="00931A42">
        <w:t xml:space="preserve"> Matt Barnes, Carl Cullinane, Sara Scott and Hannah Silvester, People living in bad housing – numbers and health impacts (2013) </w:t>
      </w:r>
      <w:hyperlink r:id="rId13" w:history="1">
        <w:r w:rsidRPr="00931A42">
          <w:rPr>
            <w:rStyle w:val="Hyperlink"/>
            <w:szCs w:val="14"/>
          </w:rPr>
          <w:t>https://england.shelter.org.uk/__data/assets/pdf_file/0010/726166/People_living_in_bad_housing.pdf</w:t>
        </w:r>
      </w:hyperlink>
      <w:r w:rsidRPr="00931A42">
        <w:t xml:space="preserve"> </w:t>
      </w:r>
    </w:p>
  </w:footnote>
  <w:footnote w:id="32">
    <w:p w14:paraId="7CED2F32" w14:textId="77777777" w:rsidR="00926BB1" w:rsidRPr="00931A42" w:rsidRDefault="00926BB1" w:rsidP="00A54BD0">
      <w:pPr>
        <w:pStyle w:val="FootnoteText"/>
      </w:pPr>
      <w:r w:rsidRPr="00931A42">
        <w:rPr>
          <w:rStyle w:val="FootnoteReference"/>
        </w:rPr>
        <w:footnoteRef/>
      </w:r>
      <w:r w:rsidRPr="00931A42">
        <w:t xml:space="preserve"> Department for Business, Energy and Industrial Strategy (2018): ‘Fuel Poverty’</w:t>
      </w:r>
      <w:r w:rsidRPr="00931A42">
        <w:rPr>
          <w:i/>
          <w:iCs/>
        </w:rPr>
        <w:t xml:space="preserve">. </w:t>
      </w:r>
    </w:p>
  </w:footnote>
  <w:footnote w:id="33">
    <w:p w14:paraId="39C598C8" w14:textId="46DCEC79" w:rsidR="00926BB1" w:rsidRPr="00931A42" w:rsidRDefault="00926BB1" w:rsidP="00823E67">
      <w:pPr>
        <w:pStyle w:val="FootnoteText"/>
      </w:pPr>
      <w:r w:rsidRPr="00931A42">
        <w:rPr>
          <w:rStyle w:val="FootnoteReference"/>
        </w:rPr>
        <w:footnoteRef/>
      </w:r>
      <w:r w:rsidRPr="00931A42">
        <w:t xml:space="preserve"> Scope (2018): ‘Out in the cold’. Available at: </w:t>
      </w:r>
      <w:hyperlink r:id="rId14" w:history="1">
        <w:r w:rsidRPr="00931A42">
          <w:rPr>
            <w:rStyle w:val="Hyperlink"/>
          </w:rPr>
          <w:t>https://www.barrowcadbury.org.uk/wp-content/uploads/2018/03/Out-in-the-cold-Scope-report.pdf</w:t>
        </w:r>
      </w:hyperlink>
      <w:r w:rsidRPr="00931A42">
        <w:t xml:space="preserve"> </w:t>
      </w:r>
    </w:p>
  </w:footnote>
  <w:footnote w:id="34">
    <w:p w14:paraId="3A964EEC" w14:textId="679588E7" w:rsidR="00926BB1" w:rsidRPr="00931A42" w:rsidRDefault="00926BB1">
      <w:pPr>
        <w:pStyle w:val="FootnoteText"/>
      </w:pPr>
      <w:r w:rsidRPr="00931A42">
        <w:rPr>
          <w:rStyle w:val="FootnoteReference"/>
        </w:rPr>
        <w:footnoteRef/>
      </w:r>
      <w:r w:rsidRPr="00931A42">
        <w:t xml:space="preserve"> National Children's Bureau (2016): 'Housing and the health of young children: Policy and evidence briefing for the VCSE sector'. Available at: https://www.ncb.org.uk/sites/default/files/field/attachment/Housing%20and%20the%20Health%20of%20Young%20Children.pdf</w:t>
      </w:r>
    </w:p>
  </w:footnote>
  <w:footnote w:id="35">
    <w:p w14:paraId="2460F82D" w14:textId="77777777" w:rsidR="00926BB1" w:rsidRPr="00931A42" w:rsidRDefault="00926BB1" w:rsidP="00BF623C">
      <w:pPr>
        <w:pStyle w:val="FootnoteText"/>
      </w:pPr>
      <w:r w:rsidRPr="00931A42">
        <w:rPr>
          <w:rStyle w:val="FootnoteReference"/>
        </w:rPr>
        <w:footnoteRef/>
      </w:r>
      <w:r w:rsidRPr="00931A42">
        <w:t xml:space="preserve"> Runnymede Trust (2016) 'Ethnic Inequalities in London: Capital For All'. Available at: https://www.runnymedetrust.org/uploads/images/London%20Inequality%20report%20v3.pdf</w:t>
      </w:r>
    </w:p>
  </w:footnote>
  <w:footnote w:id="36">
    <w:p w14:paraId="7C7613AC" w14:textId="2468C61C" w:rsidR="00926BB1" w:rsidRPr="00931A42" w:rsidRDefault="00926BB1">
      <w:pPr>
        <w:pStyle w:val="FootnoteText"/>
      </w:pPr>
      <w:r w:rsidRPr="00931A42">
        <w:rPr>
          <w:rStyle w:val="FootnoteReference"/>
        </w:rPr>
        <w:footnoteRef/>
      </w:r>
      <w:r w:rsidRPr="00931A42">
        <w:t xml:space="preserve"> Global Partnership for Education (no date): ‘Benefits of Education’. Available at: </w:t>
      </w:r>
      <w:hyperlink r:id="rId15" w:history="1">
        <w:r w:rsidRPr="00931A42">
          <w:rPr>
            <w:rStyle w:val="Hyperlink"/>
            <w:szCs w:val="14"/>
          </w:rPr>
          <w:t>https://www.globalpartnership.org/benefits-of-education</w:t>
        </w:r>
      </w:hyperlink>
      <w:r w:rsidRPr="00931A42">
        <w:t xml:space="preserve"> </w:t>
      </w:r>
    </w:p>
  </w:footnote>
  <w:footnote w:id="37">
    <w:p w14:paraId="73B1C357" w14:textId="21223D73" w:rsidR="00926BB1" w:rsidRPr="00931A42" w:rsidRDefault="00926BB1" w:rsidP="00FF3F10">
      <w:pPr>
        <w:pStyle w:val="FootnoteText"/>
      </w:pPr>
      <w:r w:rsidRPr="00931A42">
        <w:rPr>
          <w:rStyle w:val="FootnoteReference"/>
        </w:rPr>
        <w:footnoteRef/>
      </w:r>
      <w:r w:rsidRPr="00931A42">
        <w:t xml:space="preserve"> Edward C. Melhuish, Institute for the Study of Children, Families &amp; Social Issues, Birkbeck, University of London, ‘A literature review of the impact of early years provision on young children, with emphasis given to children from disadvantaged backgrounds’</w:t>
      </w:r>
    </w:p>
  </w:footnote>
  <w:footnote w:id="38">
    <w:p w14:paraId="46E565C9" w14:textId="77777777" w:rsidR="00926BB1" w:rsidRPr="00931A42" w:rsidRDefault="00926BB1" w:rsidP="00112801">
      <w:pPr>
        <w:pStyle w:val="FootnoteText"/>
      </w:pPr>
      <w:r w:rsidRPr="00931A42">
        <w:rPr>
          <w:rStyle w:val="FootnoteReference"/>
        </w:rPr>
        <w:footnoteRef/>
      </w:r>
      <w:r w:rsidRPr="00931A42">
        <w:t xml:space="preserve"> Hartig, T. Mang, M. Evans, G.W (1991) Restorative effects of natural environment experiences; Hartig, T. Mitchell, R. DE VRIES, S. and Frumkin, H. (2014) Nature and health; Herzog, T. Black, A.M. Fountaine, K.A. Knotts, D.J (1997) Reflective and attentional recovery as distinctive benefits of restorative environments; Kaplan, R and Kaplan, S (1989) The experience of nature: A psychological perspective; Ulrich, R.S, Simmons R.F, Losito B.D, Fiority, E, Miles, M.A and Zeison, M. (1991) Stress recovery during exposure to natural and urban environments.</w:t>
      </w:r>
    </w:p>
  </w:footnote>
  <w:footnote w:id="39">
    <w:p w14:paraId="697E9B9F" w14:textId="77777777" w:rsidR="00926BB1" w:rsidRPr="00931A42" w:rsidRDefault="00926BB1" w:rsidP="00112801">
      <w:pPr>
        <w:pStyle w:val="FootnoteText"/>
      </w:pPr>
      <w:r w:rsidRPr="00931A42">
        <w:rPr>
          <w:rStyle w:val="FootnoteReference"/>
        </w:rPr>
        <w:footnoteRef/>
      </w:r>
      <w:r w:rsidRPr="00931A42">
        <w:t xml:space="preserve"> Dadvand, P. Wright, J. Martinez, D. Basagana, X. McEachan, R.R.C. Cirach, M. Gidlow, C.J. De Hoogh, K. Grazuleviciene, R. and Nieuwenhuijsen, M.J. (2014) Inequality, green spaces, and pregnant women: roles of ethnicity and individual and neighbourhood socioeconomic status. </w:t>
      </w:r>
    </w:p>
  </w:footnote>
  <w:footnote w:id="40">
    <w:p w14:paraId="3925072B" w14:textId="77777777" w:rsidR="00926BB1" w:rsidRPr="00931A42" w:rsidRDefault="00926BB1" w:rsidP="00112801">
      <w:pPr>
        <w:pStyle w:val="FootnoteText"/>
      </w:pPr>
      <w:r w:rsidRPr="00931A42">
        <w:rPr>
          <w:rStyle w:val="FootnoteReference"/>
        </w:rPr>
        <w:footnoteRef/>
      </w:r>
      <w:r w:rsidRPr="00931A42">
        <w:t xml:space="preserve"> Grazuleviciene, R. Dedele, A. Danileviciute, A. Venclovine, J. Grazulevicius, T. Andrusaityte, S. Uzdanaviticute, I and Nieuwenhuijsen, M.J. (2014) The Influence of Proximity to City Parks on Blood Pressure in Early Pregnancy; McEachan, R.R. Prady, S.L. Smith, G. Fairley, L. Cabieses, B. Gidlow, C. Wright, J Dadvand, P. Van Gent, D and Nieuwenhuijsen, M.J. (2016) The association between green space and depressive symptoms in pregnant women: moderating roles of socioeconomic status and physical activity.</w:t>
      </w:r>
    </w:p>
  </w:footnote>
  <w:footnote w:id="41">
    <w:p w14:paraId="364B037B" w14:textId="6284E614" w:rsidR="00926BB1" w:rsidRPr="00931A42" w:rsidRDefault="00926BB1">
      <w:pPr>
        <w:pStyle w:val="FootnoteText"/>
      </w:pPr>
      <w:r w:rsidRPr="00931A42">
        <w:rPr>
          <w:rStyle w:val="FootnoteReference"/>
        </w:rPr>
        <w:footnoteRef/>
      </w:r>
      <w:r w:rsidRPr="00931A42">
        <w:t xml:space="preserve"> The King’s Fund (2016): ‘Gardens and health: Implications for policy and practice’. Available at: </w:t>
      </w:r>
      <w:hyperlink r:id="rId16" w:history="1">
        <w:r w:rsidRPr="00931A42">
          <w:rPr>
            <w:rStyle w:val="Hyperlink"/>
            <w:szCs w:val="14"/>
          </w:rPr>
          <w:t>https://www.kingsfund.org.uk/sites/default/files/field/field_publication_file/Gardens_and_health.pdf</w:t>
        </w:r>
      </w:hyperlink>
    </w:p>
  </w:footnote>
  <w:footnote w:id="42">
    <w:p w14:paraId="7C431B32" w14:textId="77777777" w:rsidR="00926BB1" w:rsidRPr="00931A42" w:rsidRDefault="00926BB1" w:rsidP="00EA0923">
      <w:pPr>
        <w:pStyle w:val="FootnoteText"/>
      </w:pPr>
      <w:r w:rsidRPr="00931A42">
        <w:rPr>
          <w:rStyle w:val="FootnoteReference"/>
        </w:rPr>
        <w:footnoteRef/>
      </w:r>
      <w:r w:rsidRPr="00931A42">
        <w:t xml:space="preserve"> Nation Children’s Bureau (2007): ‘Free Play in Early Childhood’</w:t>
      </w:r>
    </w:p>
  </w:footnote>
  <w:footnote w:id="43">
    <w:p w14:paraId="48375BA9" w14:textId="5EE40950" w:rsidR="00926BB1" w:rsidRPr="00931A42" w:rsidRDefault="00926BB1" w:rsidP="00622B7F">
      <w:pPr>
        <w:pStyle w:val="FootnoteText"/>
      </w:pPr>
      <w:r w:rsidRPr="00931A42">
        <w:rPr>
          <w:rStyle w:val="FootnoteReference"/>
        </w:rPr>
        <w:footnoteRef/>
      </w:r>
      <w:r w:rsidRPr="00931A42">
        <w:t xml:space="preserve"> Nina Morris, ‘OPENspace: the research centre for inclusive access to outdoor environments’, 2003 Available at: </w:t>
      </w:r>
      <w:hyperlink r:id="rId17" w:history="1">
        <w:r w:rsidRPr="00931A42">
          <w:rPr>
            <w:rStyle w:val="Hyperlink"/>
            <w:szCs w:val="14"/>
          </w:rPr>
          <w:t>http://www.openspace.eca.ed.ac.uk/wp-content/uploads/2015/10/Health-Well-being-and-Open-Space-literature-review.pdf</w:t>
        </w:r>
      </w:hyperlink>
      <w:r w:rsidRPr="00931A42">
        <w:t xml:space="preserve"> and ‘Access to green and open spaces and the role of leisure services’ </w:t>
      </w:r>
      <w:hyperlink r:id="rId18" w:history="1">
        <w:r w:rsidRPr="00931A42">
          <w:rPr>
            <w:rStyle w:val="Hyperlink"/>
            <w:szCs w:val="14"/>
          </w:rPr>
          <w:t>https://www.kingsfund.org.uk/projects/improving-publics-health/access-green-and-open-spaces-and-role-leisure-services</w:t>
        </w:r>
      </w:hyperlink>
    </w:p>
  </w:footnote>
  <w:footnote w:id="44">
    <w:p w14:paraId="163545FA" w14:textId="6D461FB8" w:rsidR="00926BB1" w:rsidRPr="00931A42" w:rsidRDefault="00926BB1" w:rsidP="00E00F91">
      <w:pPr>
        <w:pStyle w:val="FootnoteText"/>
        <w:rPr>
          <w:sz w:val="16"/>
        </w:rPr>
      </w:pPr>
      <w:r w:rsidRPr="00931A42">
        <w:rPr>
          <w:rStyle w:val="FootnoteReference"/>
          <w:sz w:val="16"/>
        </w:rPr>
        <w:footnoteRef/>
      </w:r>
      <w:r w:rsidRPr="00931A42">
        <w:rPr>
          <w:sz w:val="16"/>
        </w:rPr>
        <w:t xml:space="preserve"> NHS (2018): ‘Exercise as you get older’. Available at: </w:t>
      </w:r>
      <w:hyperlink r:id="rId19" w:history="1">
        <w:r w:rsidRPr="00931A42">
          <w:rPr>
            <w:rStyle w:val="Hyperlink"/>
            <w:sz w:val="16"/>
          </w:rPr>
          <w:t>https://www.nhs.uk/live-well/exercise/exercise-as-you-get-older/</w:t>
        </w:r>
      </w:hyperlink>
      <w:r w:rsidRPr="00931A42">
        <w:rPr>
          <w:sz w:val="16"/>
        </w:rPr>
        <w:t xml:space="preserve"> </w:t>
      </w:r>
    </w:p>
  </w:footnote>
  <w:footnote w:id="45">
    <w:p w14:paraId="14CA4E42" w14:textId="30DA18BF" w:rsidR="00926BB1" w:rsidRPr="00931A42" w:rsidRDefault="00926BB1" w:rsidP="00E00F91">
      <w:pPr>
        <w:pStyle w:val="FootnoteText"/>
        <w:rPr>
          <w:sz w:val="16"/>
        </w:rPr>
      </w:pPr>
      <w:r w:rsidRPr="00931A42">
        <w:rPr>
          <w:rStyle w:val="FootnoteReference"/>
          <w:sz w:val="16"/>
        </w:rPr>
        <w:footnoteRef/>
      </w:r>
      <w:r w:rsidRPr="00931A42">
        <w:rPr>
          <w:sz w:val="16"/>
        </w:rPr>
        <w:t xml:space="preserve"> World Health Organization (no date): ‘Physical activity in older adults’. Available at: </w:t>
      </w:r>
      <w:hyperlink r:id="rId20" w:history="1">
        <w:r w:rsidRPr="00931A42">
          <w:rPr>
            <w:rStyle w:val="Hyperlink"/>
            <w:sz w:val="16"/>
          </w:rPr>
          <w:t>http://www.who.int/dietphysicalactivity/factsheet_olderadults/en/</w:t>
        </w:r>
      </w:hyperlink>
      <w:r w:rsidRPr="00931A42">
        <w:rPr>
          <w:sz w:val="16"/>
        </w:rPr>
        <w:t xml:space="preserve">   </w:t>
      </w:r>
      <w:hyperlink r:id="rId21" w:history="1">
        <w:r w:rsidRPr="00931A42">
          <w:rPr>
            <w:rStyle w:val="Hyperlink"/>
            <w:sz w:val="16"/>
          </w:rPr>
          <w:t>http://www.who.int/dietphysicalactivity/factsheet_olderadults/en/</w:t>
        </w:r>
      </w:hyperlink>
      <w:r w:rsidRPr="00931A42">
        <w:rPr>
          <w:sz w:val="16"/>
        </w:rPr>
        <w:t xml:space="preserve"> </w:t>
      </w:r>
    </w:p>
  </w:footnote>
  <w:footnote w:id="46">
    <w:p w14:paraId="3028E390" w14:textId="39F41953" w:rsidR="00926BB1" w:rsidRPr="00931A42" w:rsidRDefault="00926BB1" w:rsidP="00E00F91">
      <w:pPr>
        <w:pStyle w:val="FootnoteText"/>
        <w:rPr>
          <w:sz w:val="16"/>
        </w:rPr>
      </w:pPr>
      <w:r w:rsidRPr="00931A42">
        <w:rPr>
          <w:rStyle w:val="FootnoteReference"/>
          <w:sz w:val="16"/>
        </w:rPr>
        <w:footnoteRef/>
      </w:r>
      <w:r w:rsidRPr="00931A42">
        <w:rPr>
          <w:sz w:val="16"/>
        </w:rPr>
        <w:t xml:space="preserve"> Public Health England (2014): ‘Everybody active, every day’. Available at: </w:t>
      </w:r>
      <w:hyperlink r:id="rId22" w:history="1">
        <w:r w:rsidRPr="00931A42">
          <w:rPr>
            <w:rStyle w:val="Hyperlink"/>
            <w:sz w:val="16"/>
          </w:rPr>
          <w:t>https://assets.publishing.service.gov.uk/government/uploads/system/uploads/attachment_data/file/374914/Framework_13.pdf</w:t>
        </w:r>
      </w:hyperlink>
      <w:r w:rsidRPr="00931A42">
        <w:rPr>
          <w:sz w:val="16"/>
        </w:rPr>
        <w:t xml:space="preserve"> </w:t>
      </w:r>
    </w:p>
  </w:footnote>
  <w:footnote w:id="47">
    <w:p w14:paraId="24E27451" w14:textId="77777777" w:rsidR="00926BB1" w:rsidRPr="00931A42" w:rsidRDefault="00926BB1" w:rsidP="000D765E">
      <w:pPr>
        <w:pStyle w:val="FootnoteText"/>
      </w:pPr>
      <w:r w:rsidRPr="00931A42">
        <w:rPr>
          <w:rStyle w:val="FootnoteReference"/>
        </w:rPr>
        <w:footnoteRef/>
      </w:r>
      <w:r w:rsidRPr="00931A42">
        <w:t xml:space="preserve"> Fields in Trust. (2018); Revaluing Parks and Green Spaces: ‘Measuring their economic and wellbeing value to individuals’</w:t>
      </w:r>
    </w:p>
  </w:footnote>
  <w:footnote w:id="48">
    <w:p w14:paraId="5DB9C8CD" w14:textId="77777777" w:rsidR="00926BB1" w:rsidRPr="00931A42" w:rsidRDefault="00926BB1" w:rsidP="008518FE">
      <w:pPr>
        <w:pStyle w:val="FootnoteText"/>
      </w:pPr>
      <w:r w:rsidRPr="00931A42">
        <w:rPr>
          <w:rStyle w:val="FootnoteReference"/>
        </w:rPr>
        <w:footnoteRef/>
      </w:r>
      <w:r w:rsidRPr="00931A42">
        <w:t xml:space="preserve"> Public Health England (2016) Health matters: getting every adult active every day.</w:t>
      </w:r>
    </w:p>
  </w:footnote>
  <w:footnote w:id="49">
    <w:p w14:paraId="3C2D34E4" w14:textId="12C1A809" w:rsidR="00926BB1" w:rsidRPr="00931A42" w:rsidRDefault="00926BB1">
      <w:pPr>
        <w:pStyle w:val="FootnoteText"/>
      </w:pPr>
      <w:r w:rsidRPr="00931A42">
        <w:rPr>
          <w:rStyle w:val="FootnoteReference"/>
        </w:rPr>
        <w:footnoteRef/>
      </w:r>
      <w:r w:rsidRPr="00931A42">
        <w:t xml:space="preserve"> WHO, Health co-benefits of climate change mitigation -Transport sector, 2011</w:t>
      </w:r>
    </w:p>
  </w:footnote>
  <w:footnote w:id="50">
    <w:p w14:paraId="04626D94" w14:textId="647C58FF" w:rsidR="00926BB1" w:rsidRPr="00931A42" w:rsidRDefault="00926BB1">
      <w:pPr>
        <w:pStyle w:val="FootnoteText"/>
      </w:pPr>
      <w:r w:rsidRPr="00931A42">
        <w:rPr>
          <w:rStyle w:val="FootnoteReference"/>
        </w:rPr>
        <w:footnoteRef/>
      </w:r>
      <w:r w:rsidRPr="00931A42">
        <w:t xml:space="preserve"> Health matters : air pollution </w:t>
      </w:r>
      <w:hyperlink r:id="rId23" w:history="1">
        <w:r w:rsidRPr="00931A42">
          <w:rPr>
            <w:rStyle w:val="Hyperlink"/>
            <w:szCs w:val="14"/>
          </w:rPr>
          <w:t>https://www.gov.uk/government/publications/health-matters-air-pollution/health-matters-air-pollution</w:t>
        </w:r>
      </w:hyperlink>
      <w:r w:rsidRPr="00931A42">
        <w:t xml:space="preserve"> </w:t>
      </w:r>
    </w:p>
  </w:footnote>
  <w:footnote w:id="51">
    <w:p w14:paraId="1ECFCB80" w14:textId="016C833D" w:rsidR="00926BB1" w:rsidRPr="00931A42" w:rsidRDefault="00926BB1">
      <w:pPr>
        <w:pStyle w:val="FootnoteText"/>
      </w:pPr>
      <w:r w:rsidRPr="00931A42">
        <w:rPr>
          <w:rStyle w:val="FootnoteReference"/>
        </w:rPr>
        <w:footnoteRef/>
      </w:r>
      <w:r w:rsidRPr="00931A42">
        <w:t xml:space="preserve"> Verplanken B, Walker I, Davis A, Jurasek M. ‘Context change and travel mode choice: combining the habit discontinuity and self-activation hypotheses.’ (2008)</w:t>
      </w:r>
    </w:p>
  </w:footnote>
  <w:footnote w:id="52">
    <w:p w14:paraId="45C2B47F" w14:textId="116F124B" w:rsidR="00926BB1" w:rsidRPr="00931A42" w:rsidRDefault="00926BB1">
      <w:pPr>
        <w:pStyle w:val="FootnoteText"/>
      </w:pPr>
      <w:r w:rsidRPr="00931A42">
        <w:rPr>
          <w:rStyle w:val="FootnoteReference"/>
        </w:rPr>
        <w:footnoteRef/>
      </w:r>
      <w:r w:rsidRPr="00931A42">
        <w:t xml:space="preserve"> Flint E, Cummins S, Sacker A. ‘Associations between active commuting, body fat, and body mass index: population based, cross sectional study in the United Kingdom.’ Available at: </w:t>
      </w:r>
      <w:hyperlink r:id="rId24" w:history="1">
        <w:r w:rsidRPr="00931A42">
          <w:rPr>
            <w:rStyle w:val="Hyperlink"/>
            <w:szCs w:val="14"/>
          </w:rPr>
          <w:t>https://www.bmj.com/content/349/bmj.g4887</w:t>
        </w:r>
      </w:hyperlink>
      <w:r w:rsidRPr="00931A42">
        <w:t xml:space="preserve"> </w:t>
      </w:r>
    </w:p>
  </w:footnote>
  <w:footnote w:id="53">
    <w:p w14:paraId="452D80F5" w14:textId="5EB46150" w:rsidR="00926BB1" w:rsidRPr="00931A42" w:rsidRDefault="00926BB1">
      <w:pPr>
        <w:pStyle w:val="FootnoteText"/>
      </w:pPr>
      <w:r w:rsidRPr="00931A42">
        <w:rPr>
          <w:rStyle w:val="FootnoteReference"/>
        </w:rPr>
        <w:footnoteRef/>
      </w:r>
      <w:r w:rsidRPr="00931A42">
        <w:t xml:space="preserve"> We are Cycling UK (2017): ‘What is inclusive cycling?’. Available at: https://www.cyclinguk.org/blog/what-inclusive-cycling</w:t>
      </w:r>
    </w:p>
  </w:footnote>
  <w:footnote w:id="54">
    <w:p w14:paraId="4B8D9FAE" w14:textId="3A25E545" w:rsidR="00926BB1" w:rsidRPr="00931A42" w:rsidRDefault="00926BB1" w:rsidP="00E077CC">
      <w:pPr>
        <w:pStyle w:val="FootnoteText"/>
      </w:pPr>
      <w:r w:rsidRPr="00931A42">
        <w:rPr>
          <w:rStyle w:val="FootnoteReference"/>
        </w:rPr>
        <w:footnoteRef/>
      </w:r>
      <w:r w:rsidRPr="00931A42">
        <w:t xml:space="preserve"> Richardson, C., Faulkner, G., McDevitt, J., Skrinar, G., Hutchinson, D., Piette, J. (2005) Integrating physical activity into mental health services for persons with serious mental illness.</w:t>
      </w:r>
    </w:p>
  </w:footnote>
  <w:footnote w:id="55">
    <w:p w14:paraId="28070DB5" w14:textId="6D1D910C" w:rsidR="00926BB1" w:rsidRPr="00931A42" w:rsidRDefault="00926BB1">
      <w:pPr>
        <w:pStyle w:val="FootnoteText"/>
      </w:pPr>
      <w:r w:rsidRPr="00931A42">
        <w:rPr>
          <w:rStyle w:val="FootnoteReference"/>
        </w:rPr>
        <w:footnoteRef/>
      </w:r>
      <w:r w:rsidRPr="00931A42">
        <w:t xml:space="preserve"> Transport for London (2011): 'What are the barriers to cycling amongst ethnic minority groups and people from deprived backgrounds?'. Available at: </w:t>
      </w:r>
      <w:hyperlink r:id="rId25" w:history="1">
        <w:r w:rsidRPr="00931A42">
          <w:rPr>
            <w:rStyle w:val="Hyperlink"/>
            <w:szCs w:val="14"/>
          </w:rPr>
          <w:t>http://content.tfl.gov.uk/barriers-to-cycling-for-ethnic-minorities-and-deprived-groups-summary.pdf</w:t>
        </w:r>
      </w:hyperlink>
      <w:r w:rsidRPr="00931A42">
        <w:t xml:space="preserve"> </w:t>
      </w:r>
    </w:p>
  </w:footnote>
  <w:footnote w:id="56">
    <w:p w14:paraId="37D58FDE" w14:textId="22527658" w:rsidR="00926BB1" w:rsidRPr="00931A42" w:rsidRDefault="00926BB1">
      <w:pPr>
        <w:pStyle w:val="FootnoteText"/>
      </w:pPr>
      <w:r w:rsidRPr="00931A42">
        <w:rPr>
          <w:rStyle w:val="FootnoteReference"/>
        </w:rPr>
        <w:footnoteRef/>
      </w:r>
      <w:r w:rsidRPr="00931A42">
        <w:t xml:space="preserve"> EY Foundation (2016): ‘The employment landscape for young people in the UK’. Available at: </w:t>
      </w:r>
      <w:hyperlink r:id="rId26" w:history="1">
        <w:r w:rsidRPr="00931A42">
          <w:rPr>
            <w:rStyle w:val="Hyperlink"/>
            <w:szCs w:val="14"/>
          </w:rPr>
          <w:t>https://www.ey.com/Publication/vwLUAssets/Employment_landscape_for_young_people_in_the_UK/$FILE/Employment%20landscape%20for%20young%20people%20in%20the%20UK%20-%20final%20report.pdf</w:t>
        </w:r>
      </w:hyperlink>
      <w:r w:rsidRPr="00931A42">
        <w:t xml:space="preserve"> </w:t>
      </w:r>
    </w:p>
  </w:footnote>
  <w:footnote w:id="57">
    <w:p w14:paraId="30072886" w14:textId="3DCBDC81" w:rsidR="00926BB1" w:rsidRPr="00931A42" w:rsidRDefault="00926BB1">
      <w:pPr>
        <w:pStyle w:val="FootnoteText"/>
      </w:pPr>
      <w:r w:rsidRPr="00931A42">
        <w:rPr>
          <w:rStyle w:val="FootnoteReference"/>
        </w:rPr>
        <w:footnoteRef/>
      </w:r>
      <w:r w:rsidRPr="00931A42">
        <w:t xml:space="preserve"> Joseph Rowntree Foundation (2015): ‘Ethnic Minority Disadvantage in The Labour Market’.</w:t>
      </w:r>
    </w:p>
  </w:footnote>
  <w:footnote w:id="58">
    <w:p w14:paraId="413D63B5" w14:textId="656327D6" w:rsidR="00926BB1" w:rsidRPr="00931A42" w:rsidRDefault="00926BB1">
      <w:pPr>
        <w:pStyle w:val="FootnoteText"/>
      </w:pPr>
      <w:r w:rsidRPr="00931A42">
        <w:rPr>
          <w:rStyle w:val="FootnoteReference"/>
          <w:szCs w:val="14"/>
        </w:rPr>
        <w:footnoteRef/>
      </w:r>
      <w:r w:rsidRPr="00931A42">
        <w:t xml:space="preserve"> </w:t>
      </w:r>
      <w:r w:rsidRPr="00931A42">
        <w:rPr>
          <w:rStyle w:val="Hyperlink"/>
          <w:color w:val="auto"/>
          <w:szCs w:val="14"/>
          <w:u w:val="none"/>
        </w:rPr>
        <w:t>My Community (2017): ‘Community hubs for local services’. Available at:</w:t>
      </w:r>
      <w:r w:rsidRPr="00931A42">
        <w:rPr>
          <w:rStyle w:val="Hyperlink"/>
          <w:color w:val="auto"/>
          <w:szCs w:val="14"/>
        </w:rPr>
        <w:t xml:space="preserve"> </w:t>
      </w:r>
      <w:hyperlink r:id="rId27" w:history="1">
        <w:r w:rsidRPr="00931A42">
          <w:rPr>
            <w:rStyle w:val="Hyperlink"/>
            <w:szCs w:val="14"/>
          </w:rPr>
          <w:t>https://mycommunity.org.uk/help-centre/resources/local-services/community-hubs/</w:t>
        </w:r>
      </w:hyperlink>
      <w:r w:rsidRPr="00931A42">
        <w:rPr>
          <w:rStyle w:val="Hyperlink"/>
          <w:szCs w:val="14"/>
        </w:rPr>
        <w:t xml:space="preserve"> </w:t>
      </w:r>
    </w:p>
  </w:footnote>
  <w:footnote w:id="59">
    <w:p w14:paraId="612BF4DF" w14:textId="28F185A4" w:rsidR="00926BB1" w:rsidRPr="00931A42" w:rsidRDefault="00926BB1">
      <w:pPr>
        <w:pStyle w:val="FootnoteText"/>
      </w:pPr>
      <w:r w:rsidRPr="00931A42">
        <w:rPr>
          <w:rStyle w:val="FootnoteReference"/>
          <w:szCs w:val="14"/>
        </w:rPr>
        <w:footnoteRef/>
      </w:r>
      <w:r w:rsidRPr="00931A42">
        <w:t xml:space="preserve"> Age UK (2018): ‘All the Lonely People’. Available at: </w:t>
      </w:r>
      <w:hyperlink r:id="rId28" w:history="1">
        <w:r w:rsidRPr="00931A42">
          <w:rPr>
            <w:rStyle w:val="Hyperlink"/>
            <w:szCs w:val="14"/>
          </w:rPr>
          <w:t>https://www.ageuk.org.uk/globalassets/age-uk/documents/reports-and-publications/reports-and-briefings/loneliness/loneliness-report_final_2409.pdf</w:t>
        </w:r>
      </w:hyperlink>
      <w:r w:rsidRPr="00931A42">
        <w:t xml:space="preserve"> </w:t>
      </w:r>
    </w:p>
  </w:footnote>
  <w:footnote w:id="60">
    <w:p w14:paraId="7CC08891" w14:textId="54A0A2B1" w:rsidR="00926BB1" w:rsidRPr="00931A42" w:rsidRDefault="00926BB1" w:rsidP="00754DC6">
      <w:pPr>
        <w:pStyle w:val="FootnoteText"/>
      </w:pPr>
      <w:r w:rsidRPr="00931A42">
        <w:rPr>
          <w:rStyle w:val="FootnoteReference"/>
          <w:szCs w:val="14"/>
        </w:rPr>
        <w:footnoteRef/>
      </w:r>
      <w:r w:rsidRPr="00931A42">
        <w:t xml:space="preserve"> Scope (2017): ‘Nearly half of disabled people chronically lonely’. Available at: </w:t>
      </w:r>
      <w:hyperlink r:id="rId29" w:history="1">
        <w:r w:rsidRPr="00931A42">
          <w:rPr>
            <w:rStyle w:val="Hyperlink"/>
            <w:szCs w:val="14"/>
          </w:rPr>
          <w:t>https://www.scope.org.uk/press-releases/nearly-half-of-disabled-people-chronically-lonely</w:t>
        </w:r>
      </w:hyperlink>
      <w:r w:rsidRPr="00931A42">
        <w:t xml:space="preserve"> </w:t>
      </w:r>
    </w:p>
  </w:footnote>
  <w:footnote w:id="61">
    <w:p w14:paraId="7200A618" w14:textId="318E5065" w:rsidR="00926BB1" w:rsidRPr="00931A42" w:rsidRDefault="00926BB1" w:rsidP="00A210BB">
      <w:pPr>
        <w:pStyle w:val="FootnoteText"/>
      </w:pPr>
      <w:r w:rsidRPr="00931A42">
        <w:rPr>
          <w:rStyle w:val="FootnoteReference"/>
          <w:szCs w:val="14"/>
        </w:rPr>
        <w:footnoteRef/>
      </w:r>
      <w:r w:rsidRPr="00931A42">
        <w:t xml:space="preserve"> Merton Council (2018): ‘The Merton Story – health and wellbeing in Merton in 2018’. Available at: </w:t>
      </w:r>
      <w:hyperlink r:id="rId30" w:history="1">
        <w:r w:rsidRPr="00931A42">
          <w:rPr>
            <w:rStyle w:val="Hyperlink"/>
            <w:szCs w:val="14"/>
          </w:rPr>
          <w:t>https://www2.merton.gov.uk/Merton%20Story%20FINAL_June_2018.pdf</w:t>
        </w:r>
      </w:hyperlink>
      <w:r w:rsidRPr="00931A42">
        <w:rPr>
          <w:sz w:val="16"/>
        </w:rPr>
        <w:t xml:space="preserve"> </w:t>
      </w:r>
    </w:p>
  </w:footnote>
  <w:footnote w:id="62">
    <w:p w14:paraId="6C7D45C9" w14:textId="3BAF0257" w:rsidR="00926BB1" w:rsidRPr="00931A42" w:rsidRDefault="00926BB1">
      <w:pPr>
        <w:pStyle w:val="FootnoteText"/>
      </w:pPr>
      <w:r w:rsidRPr="00931A42">
        <w:rPr>
          <w:rStyle w:val="FootnoteReference"/>
        </w:rPr>
        <w:footnoteRef/>
      </w:r>
      <w:r w:rsidRPr="00931A42">
        <w:t xml:space="preserve"> Countryside, ‘Tangmere Strategic Development Location – Masterplan Document’ (2019). Available at: </w:t>
      </w:r>
      <w:hyperlink r:id="rId31" w:history="1">
        <w:r w:rsidRPr="00931A42">
          <w:rPr>
            <w:rStyle w:val="Hyperlink"/>
            <w:szCs w:val="14"/>
          </w:rPr>
          <w:t>https://www.countryside-tangmere.co.uk/downloads/masterplan-document.pdf</w:t>
        </w:r>
      </w:hyperlink>
      <w:r w:rsidRPr="00931A42">
        <w:t xml:space="preserve"> </w:t>
      </w:r>
    </w:p>
  </w:footnote>
  <w:footnote w:id="63">
    <w:p w14:paraId="41D8E60A" w14:textId="37247D1A" w:rsidR="00926BB1" w:rsidRPr="00931A42" w:rsidRDefault="00926BB1">
      <w:pPr>
        <w:pStyle w:val="FootnoteText"/>
      </w:pPr>
      <w:r w:rsidRPr="00931A42">
        <w:rPr>
          <w:rStyle w:val="FootnoteReference"/>
        </w:rPr>
        <w:footnoteRef/>
      </w:r>
      <w:r w:rsidRPr="00931A42">
        <w:t xml:space="preserve"> </w:t>
      </w:r>
      <w:r w:rsidRPr="00931A42">
        <w:rPr>
          <w:rFonts w:ascii="Arial" w:hAnsi="Arial" w:cs="Arial"/>
        </w:rPr>
        <w:t>Accessible homes would be required to meet Building Regulation requirement M4 (3) ‘wheelchair user dwellings’, i.e. a home is designed to be wheelchair accessible, or easily adaptable for residents who are wheelchair users.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81352" w14:textId="2DD2BDCA" w:rsidR="00926BB1" w:rsidRPr="00931A42" w:rsidRDefault="00926BB1">
    <w:pPr>
      <w:pStyle w:val="Header"/>
    </w:pPr>
    <w:r w:rsidRPr="00931A42">
      <w:rPr>
        <w:noProof/>
        <w:lang w:eastAsia="en-GB"/>
      </w:rPr>
      <w:drawing>
        <wp:anchor distT="0" distB="0" distL="114300" distR="114300" simplePos="0" relativeHeight="251660288" behindDoc="0" locked="0" layoutInCell="1" allowOverlap="1" wp14:anchorId="1E0974C7" wp14:editId="03C3C6B2">
          <wp:simplePos x="0" y="0"/>
          <wp:positionH relativeFrom="page">
            <wp:posOffset>719455</wp:posOffset>
          </wp:positionH>
          <wp:positionV relativeFrom="page">
            <wp:posOffset>565150</wp:posOffset>
          </wp:positionV>
          <wp:extent cx="790575" cy="669290"/>
          <wp:effectExtent l="0" t="0" r="9525" b="0"/>
          <wp:wrapNone/>
          <wp:docPr id="16" name="LogoHide6"/>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Clear"/>
      <w:tblpPr w:leftFromText="181" w:rightFromText="181" w:vertAnchor="page" w:horzAnchor="page" w:tblpX="3743" w:tblpY="10094"/>
      <w:tblW w:w="7031" w:type="dxa"/>
      <w:tblLayout w:type="fixed"/>
      <w:tblCellMar>
        <w:bottom w:w="198" w:type="dxa"/>
      </w:tblCellMar>
      <w:tblLook w:val="04A0" w:firstRow="1" w:lastRow="0" w:firstColumn="1" w:lastColumn="0" w:noHBand="0" w:noVBand="1"/>
      <w:tblCaption w:val="Tangmere SDL CPO"/>
      <w:tblDescription w:val="Header for Document"/>
    </w:tblPr>
    <w:tblGrid>
      <w:gridCol w:w="7031"/>
    </w:tblGrid>
    <w:tr w:rsidR="00926BB1" w:rsidRPr="00931A42" w14:paraId="3C045273" w14:textId="77777777" w:rsidTr="00685427">
      <w:trPr>
        <w:tblHeader/>
      </w:trPr>
      <w:tc>
        <w:tcPr>
          <w:tcW w:w="7031" w:type="dxa"/>
        </w:tcPr>
        <w:p w14:paraId="263E3858" w14:textId="4688568F" w:rsidR="00926BB1" w:rsidRPr="00931A42" w:rsidRDefault="00926BB1">
          <w:pPr>
            <w:pStyle w:val="RefDocTitle"/>
          </w:pPr>
          <w:r w:rsidRPr="00931A42">
            <w:t>Tangmere Strategic Development Location Compulsory Purchase Order</w:t>
          </w:r>
        </w:p>
      </w:tc>
    </w:tr>
    <w:tr w:rsidR="00926BB1" w:rsidRPr="00931A42" w14:paraId="67895FD0" w14:textId="77777777" w:rsidTr="000A5025">
      <w:tc>
        <w:tcPr>
          <w:tcW w:w="7031" w:type="dxa"/>
        </w:tcPr>
        <w:p w14:paraId="0CDBCE63" w14:textId="77777777" w:rsidR="00926BB1" w:rsidRPr="00931A42" w:rsidRDefault="00926BB1">
          <w:pPr>
            <w:pStyle w:val="RefDocSubTitle"/>
          </w:pPr>
          <w:r w:rsidRPr="00931A42">
            <w:t xml:space="preserve">Equality Impact Assessment </w:t>
          </w:r>
        </w:p>
      </w:tc>
    </w:tr>
    <w:tr w:rsidR="00926BB1" w:rsidRPr="00931A42" w14:paraId="1DD5FB0D" w14:textId="77777777" w:rsidTr="000A5025">
      <w:tc>
        <w:tcPr>
          <w:tcW w:w="7031" w:type="dxa"/>
          <w:shd w:val="clear" w:color="auto" w:fill="auto"/>
          <w:tcMar>
            <w:bottom w:w="85" w:type="dxa"/>
          </w:tcMar>
        </w:tcPr>
        <w:p w14:paraId="1C2DA314" w14:textId="400EC3A3" w:rsidR="00926BB1" w:rsidRPr="00931A42" w:rsidRDefault="00E14F50" w:rsidP="000A5025">
          <w:pPr>
            <w:pStyle w:val="RefDocDate"/>
          </w:pPr>
          <w:r>
            <w:t>7</w:t>
          </w:r>
          <w:r w:rsidR="00043D11">
            <w:t xml:space="preserve"> February</w:t>
          </w:r>
          <w:r w:rsidR="00926BB1" w:rsidRPr="00931A42">
            <w:t xml:space="preserve"> 2020</w:t>
          </w:r>
        </w:p>
      </w:tc>
    </w:tr>
  </w:tbl>
  <w:tbl>
    <w:tblPr>
      <w:tblStyle w:val="TableClear"/>
      <w:tblpPr w:leftFromText="181" w:rightFromText="181" w:vertAnchor="page" w:horzAnchor="page" w:tblpX="3743" w:tblpY="15055"/>
      <w:tblW w:w="7031" w:type="dxa"/>
      <w:tblLayout w:type="fixed"/>
      <w:tblLook w:val="04A0" w:firstRow="1" w:lastRow="0" w:firstColumn="1" w:lastColumn="0" w:noHBand="0" w:noVBand="1"/>
    </w:tblPr>
    <w:tblGrid>
      <w:gridCol w:w="7031"/>
    </w:tblGrid>
    <w:tr w:rsidR="00926BB1" w:rsidRPr="00931A42" w14:paraId="6EE5EB0D" w14:textId="77777777" w:rsidTr="008A6B49">
      <w:trPr>
        <w:trHeight w:hRule="exact" w:val="851"/>
      </w:trPr>
      <w:tc>
        <w:tcPr>
          <w:tcW w:w="7031" w:type="dxa"/>
          <w:vAlign w:val="bottom"/>
        </w:tcPr>
        <w:p w14:paraId="136D9B27" w14:textId="77777777" w:rsidR="00926BB1" w:rsidRPr="00931A42" w:rsidRDefault="00926BB1" w:rsidP="001513FD">
          <w:pPr>
            <w:pStyle w:val="SmallSpacer"/>
          </w:pPr>
        </w:p>
      </w:tc>
    </w:tr>
    <w:tr w:rsidR="00926BB1" w:rsidRPr="00931A42" w14:paraId="4B109F8E" w14:textId="77777777" w:rsidTr="008A6B49">
      <w:tc>
        <w:tcPr>
          <w:tcW w:w="7031" w:type="dxa"/>
        </w:tcPr>
        <w:p w14:paraId="0577414B" w14:textId="77777777" w:rsidR="00926BB1" w:rsidRPr="00931A42" w:rsidRDefault="00926BB1" w:rsidP="00FE13C2">
          <w:pPr>
            <w:pStyle w:val="DocFileRef"/>
          </w:pPr>
        </w:p>
      </w:tc>
    </w:tr>
  </w:tbl>
  <w:p w14:paraId="57C5E519" w14:textId="77777777" w:rsidR="00926BB1" w:rsidRPr="00931A42" w:rsidRDefault="00926BB1">
    <w:pPr>
      <w:pStyle w:val="Header"/>
    </w:pPr>
  </w:p>
  <w:p w14:paraId="5DF2DA1B" w14:textId="11777EAA" w:rsidR="00926BB1" w:rsidRPr="00931A42" w:rsidRDefault="00926BB1">
    <w:pPr>
      <w:pStyle w:val="Header"/>
    </w:pPr>
    <w:r w:rsidRPr="00931A42">
      <w:rPr>
        <w:noProof/>
        <w:lang w:eastAsia="en-GB"/>
      </w:rPr>
      <w:drawing>
        <wp:anchor distT="0" distB="0" distL="114300" distR="114300" simplePos="0" relativeHeight="251664896" behindDoc="0" locked="0" layoutInCell="1" allowOverlap="1" wp14:anchorId="67565AB8" wp14:editId="292F6A59">
          <wp:simplePos x="0" y="0"/>
          <wp:positionH relativeFrom="page">
            <wp:posOffset>719455</wp:posOffset>
          </wp:positionH>
          <wp:positionV relativeFrom="page">
            <wp:posOffset>565150</wp:posOffset>
          </wp:positionV>
          <wp:extent cx="790575" cy="669290"/>
          <wp:effectExtent l="0" t="0" r="9525" b="0"/>
          <wp:wrapNone/>
          <wp:docPr id="17" name="LogoHide5" descr="logo" title="Mott MacDonald Logo"/>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r w:rsidRPr="00931A42">
      <w:rPr>
        <w:noProof/>
        <w:lang w:eastAsia="en-GB"/>
      </w:rPr>
      <mc:AlternateContent>
        <mc:Choice Requires="wps">
          <w:drawing>
            <wp:anchor distT="0" distB="0" distL="114300" distR="114300" simplePos="0" relativeHeight="251652608" behindDoc="1" locked="0" layoutInCell="1" allowOverlap="1" wp14:anchorId="38756291" wp14:editId="1C5BDA34">
              <wp:simplePos x="0" y="0"/>
              <wp:positionH relativeFrom="page">
                <wp:posOffset>356235</wp:posOffset>
              </wp:positionH>
              <wp:positionV relativeFrom="page">
                <wp:posOffset>3253740</wp:posOffset>
              </wp:positionV>
              <wp:extent cx="4115105" cy="7077600"/>
              <wp:effectExtent l="0" t="0" r="0" b="9525"/>
              <wp:wrapNone/>
              <wp:docPr id="7" name="Coverpage_ShapeA" descr="Shape formatting" title="Mott MacDonald Formatt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wps:cNvSpPr>
                    <wps:spPr bwMode="auto">
                      <a:xfrm>
                        <a:off x="0" y="0"/>
                        <a:ext cx="4115105" cy="7077600"/>
                      </a:xfrm>
                      <a:custGeom>
                        <a:avLst/>
                        <a:gdLst>
                          <a:gd name="T0" fmla="*/ 3068 w 3068"/>
                          <a:gd name="T1" fmla="*/ 1280 h 5277"/>
                          <a:gd name="T2" fmla="*/ 0 w 3068"/>
                          <a:gd name="T3" fmla="*/ 1280 h 5277"/>
                          <a:gd name="T4" fmla="*/ 0 w 3068"/>
                          <a:gd name="T5" fmla="*/ 1280 h 5277"/>
                          <a:gd name="T6" fmla="*/ 1489 w 3068"/>
                          <a:gd name="T7" fmla="*/ 0 h 5277"/>
                          <a:gd name="T8" fmla="*/ 3068 w 3068"/>
                          <a:gd name="T9" fmla="*/ 1280 h 5277"/>
                          <a:gd name="T10" fmla="*/ 0 w 3068"/>
                          <a:gd name="T11" fmla="*/ 1280 h 5277"/>
                          <a:gd name="T12" fmla="*/ 0 w 3068"/>
                          <a:gd name="T13" fmla="*/ 2827 h 5277"/>
                          <a:gd name="T14" fmla="*/ 0 w 3068"/>
                          <a:gd name="T15" fmla="*/ 5277 h 5277"/>
                          <a:gd name="T16" fmla="*/ 1380 w 3068"/>
                          <a:gd name="T17" fmla="*/ 5277 h 5277"/>
                          <a:gd name="T18" fmla="*/ 1380 w 3068"/>
                          <a:gd name="T19" fmla="*/ 2827 h 5277"/>
                          <a:gd name="T20" fmla="*/ 1380 w 3068"/>
                          <a:gd name="T21" fmla="*/ 2368 h 5277"/>
                          <a:gd name="T22" fmla="*/ 0 w 3068"/>
                          <a:gd name="T23" fmla="*/ 1280 h 5277"/>
                          <a:gd name="T24" fmla="*/ 0 w 3068"/>
                          <a:gd name="T25" fmla="*/ 1280 h 52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068" h="5277">
                            <a:moveTo>
                              <a:pt x="3068" y="1280"/>
                            </a:moveTo>
                            <a:lnTo>
                              <a:pt x="0" y="1280"/>
                            </a:lnTo>
                            <a:lnTo>
                              <a:pt x="0" y="1280"/>
                            </a:lnTo>
                            <a:lnTo>
                              <a:pt x="1489" y="0"/>
                            </a:lnTo>
                            <a:lnTo>
                              <a:pt x="3068" y="1280"/>
                            </a:lnTo>
                            <a:close/>
                            <a:moveTo>
                              <a:pt x="0" y="1280"/>
                            </a:moveTo>
                            <a:lnTo>
                              <a:pt x="0" y="2827"/>
                            </a:lnTo>
                            <a:lnTo>
                              <a:pt x="0" y="5277"/>
                            </a:lnTo>
                            <a:lnTo>
                              <a:pt x="1380" y="5277"/>
                            </a:lnTo>
                            <a:lnTo>
                              <a:pt x="1380" y="2827"/>
                            </a:lnTo>
                            <a:lnTo>
                              <a:pt x="1380" y="2368"/>
                            </a:lnTo>
                            <a:lnTo>
                              <a:pt x="0" y="1280"/>
                            </a:lnTo>
                            <a:lnTo>
                              <a:pt x="0" y="1280"/>
                            </a:lnTo>
                            <a:close/>
                          </a:path>
                        </a:pathLst>
                      </a:custGeom>
                      <a:solidFill>
                        <a:schemeClr val="accent1"/>
                      </a:solidFill>
                      <a:ln>
                        <a:noFill/>
                      </a:ln>
                    </wps:spPr>
                    <wps:bodyPr vert="horz" wrap="square" lIns="91440" tIns="45720" rIns="91440" bIns="45720" numCol="1" anchor="t" anchorCtr="0" compatLnSpc="1">
                      <a:prstTxWarp prst="textNoShape">
                        <a:avLst/>
                      </a:prstTxWarp>
                    </wps:bodyPr>
                  </wps:wsp>
                </a:graphicData>
              </a:graphic>
              <wp14:sizeRelV relativeFrom="margin">
                <wp14:pctHeight>0</wp14:pctHeight>
              </wp14:sizeRelV>
            </wp:anchor>
          </w:drawing>
        </mc:Choice>
        <mc:Fallback>
          <w:pict>
            <v:shape id="Coverpage_ShapeA" o:spid="_x0000_s1026" alt="Title: Mott MacDonald Formatting - Description: Shape formatting" style="position:absolute;margin-left:28.05pt;margin-top:256.2pt;width:324pt;height:557.3pt;z-index:-251663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coordsize="3068,5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" path="m3068,1280l,1280r,l1489,,3068,1280xm,1280l,2827,,5277r1380,l1380,2827r,-459l,1280r,xe" fillcolor="#2fb6bc [3204]" stroked="f">
              <v:path arrowok="t" o:connecttype="custom" o:connectlocs="4115105,1716757;0,1716757;0,1716757;1997194,0;4115105,1716757;0,1716757;0,3791619;0,7077600;1850992,7077600;1850992,3791619;1850992,3176001;0,1716757;0,1716757" o:connectangles="0,0,0,0,0,0,0,0,0,0,0,0,0"/>
              <o:lock v:ext="edit" aspectratio="t" verticies="t"/>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277E6" w14:textId="00FE7207" w:rsidR="00926BB1" w:rsidRPr="00931A42" w:rsidRDefault="00926BB1">
    <w:pPr>
      <w:pStyle w:val="Header"/>
    </w:pPr>
    <w:r w:rsidRPr="00931A42">
      <w:rPr>
        <w:noProof/>
        <w:lang w:eastAsia="en-GB"/>
      </w:rPr>
      <w:drawing>
        <wp:anchor distT="0" distB="0" distL="114300" distR="114300" simplePos="0" relativeHeight="251658240" behindDoc="0" locked="0" layoutInCell="1" allowOverlap="1" wp14:anchorId="6E5C5BCA" wp14:editId="3474E9F2">
          <wp:simplePos x="0" y="0"/>
          <wp:positionH relativeFrom="page">
            <wp:posOffset>719455</wp:posOffset>
          </wp:positionH>
          <wp:positionV relativeFrom="page">
            <wp:posOffset>565150</wp:posOffset>
          </wp:positionV>
          <wp:extent cx="790575" cy="669290"/>
          <wp:effectExtent l="0" t="0" r="9525" b="0"/>
          <wp:wrapNone/>
          <wp:docPr id="18" name="LogoHide4"/>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1">
                    <a:extLst>
                      <a:ext uri="{28A0092B-C50C-407E-A947-70E740481C1C}">
                        <a14:useLocalDpi xmlns:a14="http://schemas.microsoft.com/office/drawing/2010/main" val="0"/>
                      </a:ext>
                    </a:extLst>
                  </a:blip>
                  <a:stretch>
                    <a:fillRect/>
                  </a:stretch>
                </pic:blipFill>
                <pic:spPr>
                  <a:xfrm>
                    <a:off x="0" y="0"/>
                    <a:ext cx="790575" cy="66929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ED412" w14:textId="77777777" w:rsidR="00926BB1" w:rsidRPr="00931A42" w:rsidRDefault="00926BB1" w:rsidP="00BF455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5F3BF" w14:textId="77777777" w:rsidR="00926BB1" w:rsidRPr="00931A42" w:rsidRDefault="00926BB1" w:rsidP="00BF455A">
    <w:pPr>
      <w:pStyle w:val="Spac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0" w:type="dxa"/>
        <w:right w:w="0" w:type="dxa"/>
      </w:tblCellMar>
      <w:tblLook w:val="04A0" w:firstRow="1" w:lastRow="0" w:firstColumn="1" w:lastColumn="0" w:noHBand="0" w:noVBand="1"/>
    </w:tblPr>
    <w:tblGrid>
      <w:gridCol w:w="8505"/>
    </w:tblGrid>
    <w:tr w:rsidR="00926BB1" w:rsidRPr="00931A42" w14:paraId="0F5DB703" w14:textId="77777777" w:rsidTr="005E1666">
      <w:trPr>
        <w:trHeight w:val="141"/>
      </w:trPr>
      <w:tc>
        <w:tcPr>
          <w:tcW w:w="9639" w:type="dxa"/>
        </w:tcPr>
        <w:p w14:paraId="22361203" w14:textId="701010EB" w:rsidR="00926BB1" w:rsidRPr="00931A42" w:rsidRDefault="00926BB1" w:rsidP="00BF455A">
          <w:pPr>
            <w:pStyle w:val="Header"/>
          </w:pPr>
          <w:r w:rsidRPr="00931A42">
            <w:t>Mott MacDonald | Tangmere Strategic Development Location Compulsory Purchase Order</w:t>
          </w:r>
        </w:p>
      </w:tc>
    </w:tr>
    <w:tr w:rsidR="00926BB1" w:rsidRPr="00931A42" w14:paraId="2E95CE52" w14:textId="77777777" w:rsidTr="005E1666">
      <w:trPr>
        <w:trHeight w:val="141"/>
      </w:trPr>
      <w:tc>
        <w:tcPr>
          <w:tcW w:w="9639" w:type="dxa"/>
        </w:tcPr>
        <w:p w14:paraId="1942B13A" w14:textId="77777777" w:rsidR="00926BB1" w:rsidRPr="00931A42" w:rsidRDefault="00926BB1" w:rsidP="00BF455A">
          <w:pPr>
            <w:pStyle w:val="Header"/>
          </w:pPr>
          <w:r w:rsidRPr="00931A42">
            <w:t xml:space="preserve">Equality Impact Assessment </w:t>
          </w:r>
        </w:p>
      </w:tc>
    </w:tr>
  </w:tbl>
  <w:p w14:paraId="4418E7DF" w14:textId="77777777" w:rsidR="00926BB1" w:rsidRPr="00931A42" w:rsidRDefault="00926BB1" w:rsidP="00BF455A">
    <w:pPr>
      <w:pStyle w:val="Spac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Clear"/>
      <w:tblW w:w="0" w:type="auto"/>
      <w:tblLayout w:type="fixed"/>
      <w:tblLook w:val="04A0" w:firstRow="1" w:lastRow="0" w:firstColumn="1" w:lastColumn="0" w:noHBand="0" w:noVBand="1"/>
    </w:tblPr>
    <w:tblGrid>
      <w:gridCol w:w="9974"/>
    </w:tblGrid>
    <w:tr w:rsidR="00926BB1" w:rsidRPr="00931A42" w14:paraId="68F8325A" w14:textId="77777777" w:rsidTr="00BF455A">
      <w:tc>
        <w:tcPr>
          <w:tcW w:w="9974" w:type="dxa"/>
        </w:tcPr>
        <w:p w14:paraId="14F07D00" w14:textId="402BA46E" w:rsidR="00926BB1" w:rsidRPr="00931A42" w:rsidRDefault="00926BB1" w:rsidP="00BF455A">
          <w:pPr>
            <w:pStyle w:val="Header"/>
          </w:pPr>
          <w:r w:rsidRPr="00931A42">
            <w:rPr>
              <w:rStyle w:val="Pagenumber"/>
            </w:rPr>
            <w:fldChar w:fldCharType="begin"/>
          </w:r>
          <w:r w:rsidRPr="00931A42">
            <w:rPr>
              <w:rStyle w:val="Pagenumber"/>
            </w:rPr>
            <w:instrText xml:space="preserve"> PAGE   </w:instrText>
          </w:r>
          <w:r w:rsidRPr="00931A42">
            <w:rPr>
              <w:rStyle w:val="Pagenumber"/>
            </w:rPr>
            <w:fldChar w:fldCharType="separate"/>
          </w:r>
          <w:r w:rsidRPr="00931A42">
            <w:rPr>
              <w:rStyle w:val="Pagenumber"/>
              <w:noProof/>
            </w:rPr>
            <w:t>5</w:t>
          </w:r>
          <w:r w:rsidRPr="00931A42">
            <w:rPr>
              <w:rStyle w:val="Pagenumber"/>
            </w:rPr>
            <w:fldChar w:fldCharType="end"/>
          </w:r>
          <w:r w:rsidRPr="00931A42">
            <w:rPr>
              <w:noProof/>
            </w:rPr>
            <w:t xml:space="preserve"> | Mott MacDonald Cambridge Education | Confidential (little long) | Ecology &amp; Modelling Study into Deterioration of Shellfish Species. It looks like this if it goes more than one line</w:t>
          </w:r>
        </w:p>
      </w:tc>
    </w:tr>
  </w:tbl>
  <w:p w14:paraId="14B0A03B" w14:textId="77777777" w:rsidR="00926BB1" w:rsidRPr="00931A42" w:rsidRDefault="00926BB1" w:rsidP="00BF455A">
    <w:pPr>
      <w:pStyle w:val="Spac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ayout w:type="fixed"/>
      <w:tblCellMar>
        <w:left w:w="0" w:type="dxa"/>
        <w:right w:w="0" w:type="dxa"/>
      </w:tblCellMar>
      <w:tblLook w:val="04A0" w:firstRow="1" w:lastRow="0" w:firstColumn="1" w:lastColumn="0" w:noHBand="0" w:noVBand="1"/>
    </w:tblPr>
    <w:tblGrid>
      <w:gridCol w:w="8505"/>
    </w:tblGrid>
    <w:tr w:rsidR="00926BB1" w:rsidRPr="00931A42" w14:paraId="4FB4DB47" w14:textId="77777777" w:rsidTr="000C30BC">
      <w:tc>
        <w:tcPr>
          <w:tcW w:w="8505" w:type="dxa"/>
        </w:tcPr>
        <w:p w14:paraId="6C38878B" w14:textId="3ABDEC63" w:rsidR="00926BB1" w:rsidRPr="00931A42" w:rsidRDefault="00926BB1" w:rsidP="00C9536B">
          <w:pPr>
            <w:pStyle w:val="Header"/>
          </w:pPr>
          <w:r w:rsidRPr="00931A42">
            <w:t>Mott MacDonald | Tangmere Strategic Development Location Compulsory Purchase Order</w:t>
          </w:r>
        </w:p>
      </w:tc>
    </w:tr>
    <w:tr w:rsidR="00926BB1" w:rsidRPr="00931A42" w14:paraId="6F51EFDD" w14:textId="77777777" w:rsidTr="00C9536B">
      <w:tc>
        <w:tcPr>
          <w:tcW w:w="8505" w:type="dxa"/>
        </w:tcPr>
        <w:p w14:paraId="684D0F54" w14:textId="77777777" w:rsidR="00926BB1" w:rsidRPr="00931A42" w:rsidRDefault="00926BB1" w:rsidP="00147611">
          <w:pPr>
            <w:pStyle w:val="Header"/>
            <w:rPr>
              <w:rStyle w:val="Pagenumber"/>
              <w:b w:val="0"/>
              <w:bCs w:val="0"/>
            </w:rPr>
          </w:pPr>
          <w:r w:rsidRPr="00931A42">
            <w:t xml:space="preserve">Equality Impact Assessment </w:t>
          </w:r>
        </w:p>
      </w:tc>
    </w:tr>
  </w:tbl>
  <w:p w14:paraId="356BF622" w14:textId="69D5759E" w:rsidR="00926BB1" w:rsidRPr="00931A42" w:rsidRDefault="00926BB1" w:rsidP="00BF455A">
    <w:pPr>
      <w:pStyle w:val="Spacer"/>
    </w:pPr>
    <w:r w:rsidRPr="00931A42">
      <w:rPr>
        <w:noProof/>
        <w:lang w:eastAsia="en-GB"/>
      </w:rPr>
      <mc:AlternateContent>
        <mc:Choice Requires="wps">
          <w:drawing>
            <wp:anchor distT="0" distB="0" distL="114300" distR="114300" simplePos="0" relativeHeight="251656192" behindDoc="0" locked="0" layoutInCell="1" allowOverlap="1" wp14:anchorId="097E385A" wp14:editId="4A4485B3">
              <wp:simplePos x="0" y="0"/>
              <wp:positionH relativeFrom="rightMargin">
                <wp:align>right</wp:align>
              </wp:positionH>
              <wp:positionV relativeFrom="page">
                <wp:align>top</wp:align>
              </wp:positionV>
              <wp:extent cx="950400" cy="871200"/>
              <wp:effectExtent l="0" t="0" r="0" b="5715"/>
              <wp:wrapNone/>
              <wp:docPr id="43" name="Pagenumber"/>
              <wp:cNvGraphicFramePr/>
              <a:graphic xmlns:a="http://schemas.openxmlformats.org/drawingml/2006/main">
                <a:graphicData uri="http://schemas.microsoft.com/office/word/2010/wordprocessingShape">
                  <wps:wsp>
                    <wps:cNvSpPr txBox="1"/>
                    <wps:spPr>
                      <a:xfrm>
                        <a:off x="0" y="0"/>
                        <a:ext cx="950400" cy="871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189540F1" w14:textId="064F267D" w:rsidR="00926BB1" w:rsidRPr="00931A42" w:rsidRDefault="00926BB1" w:rsidP="005B3874">
                          <w:pPr>
                            <w:pStyle w:val="HeaderRight"/>
                            <w:rPr>
                              <w:rStyle w:val="Pagenumber"/>
                            </w:rPr>
                          </w:pPr>
                          <w:r w:rsidRPr="00931A42">
                            <w:rPr>
                              <w:rStyle w:val="Pagenumber"/>
                            </w:rPr>
                            <w:fldChar w:fldCharType="begin"/>
                          </w:r>
                          <w:r w:rsidRPr="00931A42">
                            <w:rPr>
                              <w:rStyle w:val="Pagenumber"/>
                            </w:rPr>
                            <w:instrText xml:space="preserve"> PAGE   </w:instrText>
                          </w:r>
                          <w:r w:rsidRPr="00931A42">
                            <w:rPr>
                              <w:rStyle w:val="Pagenumber"/>
                            </w:rPr>
                            <w:fldChar w:fldCharType="separate"/>
                          </w:r>
                          <w:r w:rsidR="00685427">
                            <w:rPr>
                              <w:rStyle w:val="Pagenumber"/>
                              <w:noProof/>
                            </w:rPr>
                            <w:t>6</w:t>
                          </w:r>
                          <w:r w:rsidRPr="00931A42">
                            <w:rPr>
                              <w:rStyle w:val="Pagenumber"/>
                            </w:rPr>
                            <w:fldChar w:fldCharType="end"/>
                          </w:r>
                        </w:p>
                      </w:txbxContent>
                    </wps:txbx>
                    <wps:bodyPr rot="0" spcFirstLastPara="0" vertOverflow="overflow" horzOverflow="overflow" vert="horz" wrap="square" lIns="0" tIns="360000" rIns="72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agenumber" o:spid="_x0000_s1035" type="#_x0000_t202" style="position:absolute;margin-left:23.65pt;margin-top:0;width:74.85pt;height:68.6pt;z-index:251656192;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" filled="f" fillcolor="white [3201]" stroked="f" strokeweight=".5pt">
              <v:textbox inset="0,10mm,20mm,0">
                <w:txbxContent>
                  <w:p w14:paraId="189540F1" w14:textId="064F267D" w:rsidR="00926BB1" w:rsidRPr="00931A42" w:rsidRDefault="00926BB1" w:rsidP="005B3874">
                    <w:pPr>
                      <w:pStyle w:val="HeaderRight"/>
                      <w:rPr>
                        <w:rStyle w:val="Pagenumber"/>
                      </w:rPr>
                    </w:pPr>
                    <w:r w:rsidRPr="00931A42">
                      <w:rPr>
                        <w:rStyle w:val="Pagenumber"/>
                      </w:rPr>
                      <w:fldChar w:fldCharType="begin"/>
                    </w:r>
                    <w:r w:rsidRPr="00931A42">
                      <w:rPr>
                        <w:rStyle w:val="Pagenumber"/>
                      </w:rPr>
                      <w:instrText xml:space="preserve"> PAGE   </w:instrText>
                    </w:r>
                    <w:r w:rsidRPr="00931A42">
                      <w:rPr>
                        <w:rStyle w:val="Pagenumber"/>
                      </w:rPr>
                      <w:fldChar w:fldCharType="separate"/>
                    </w:r>
                    <w:r w:rsidR="00685427">
                      <w:rPr>
                        <w:rStyle w:val="Pagenumber"/>
                        <w:noProof/>
                      </w:rPr>
                      <w:t>6</w:t>
                    </w:r>
                    <w:r w:rsidRPr="00931A42">
                      <w:rPr>
                        <w:rStyle w:val="Pagenumber"/>
                      </w:rPr>
                      <w:fldChar w:fldCharType="end"/>
                    </w:r>
                  </w:p>
                </w:txbxContent>
              </v:textbox>
              <w10:wrap anchorx="margin"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2A00B0"/>
    <w:lvl w:ilvl="0">
      <w:start w:val="1"/>
      <w:numFmt w:val="decimal"/>
      <w:pStyle w:val="ListNumber5"/>
      <w:lvlText w:val="%1."/>
      <w:lvlJc w:val="left"/>
      <w:pPr>
        <w:tabs>
          <w:tab w:val="num" w:pos="1132"/>
        </w:tabs>
        <w:ind w:left="1132" w:hanging="360"/>
      </w:pPr>
    </w:lvl>
  </w:abstractNum>
  <w:abstractNum w:abstractNumId="1">
    <w:nsid w:val="FFFFFF7D"/>
    <w:multiLevelType w:val="singleLevel"/>
    <w:tmpl w:val="C264170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0D66980"/>
    <w:lvl w:ilvl="0">
      <w:start w:val="1"/>
      <w:numFmt w:val="decimal"/>
      <w:pStyle w:val="ListNumber3"/>
      <w:lvlText w:val="%1."/>
      <w:lvlJc w:val="left"/>
      <w:pPr>
        <w:tabs>
          <w:tab w:val="num" w:pos="926"/>
        </w:tabs>
        <w:ind w:left="926" w:hanging="360"/>
      </w:pPr>
    </w:lvl>
  </w:abstractNum>
  <w:abstractNum w:abstractNumId="3">
    <w:nsid w:val="FFFFFF7F"/>
    <w:multiLevelType w:val="singleLevel"/>
    <w:tmpl w:val="00F2C0F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AA829C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BCA6A94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8C0F27A"/>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66601A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0D685C2"/>
    <w:lvl w:ilvl="0">
      <w:start w:val="1"/>
      <w:numFmt w:val="decimal"/>
      <w:pStyle w:val="ListNumber"/>
      <w:lvlText w:val="%1."/>
      <w:lvlJc w:val="left"/>
      <w:pPr>
        <w:tabs>
          <w:tab w:val="num" w:pos="360"/>
        </w:tabs>
        <w:ind w:left="360" w:hanging="360"/>
      </w:pPr>
    </w:lvl>
  </w:abstractNum>
  <w:abstractNum w:abstractNumId="9">
    <w:nsid w:val="FFFFFF89"/>
    <w:multiLevelType w:val="singleLevel"/>
    <w:tmpl w:val="49F82DD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9F4F17"/>
    <w:multiLevelType w:val="multilevel"/>
    <w:tmpl w:val="30FC9948"/>
    <w:numStyleLink w:val="AppListStyle"/>
  </w:abstractNum>
  <w:abstractNum w:abstractNumId="11">
    <w:nsid w:val="0E785489"/>
    <w:multiLevelType w:val="hybridMultilevel"/>
    <w:tmpl w:val="A77262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10D56E7B"/>
    <w:multiLevelType w:val="multilevel"/>
    <w:tmpl w:val="38D6B40A"/>
    <w:lvl w:ilvl="0">
      <w:start w:val="1"/>
      <w:numFmt w:val="decimal"/>
      <w:pStyle w:val="TableNumBullet1"/>
      <w:lvlText w:val="%1."/>
      <w:lvlJc w:val="left"/>
      <w:pPr>
        <w:ind w:left="278" w:hanging="170"/>
      </w:pPr>
      <w:rPr>
        <w:rFonts w:hint="default"/>
        <w:b w:val="0"/>
        <w:i w:val="0"/>
        <w:color w:val="2FB6BC" w:themeColor="accent1"/>
        <w:sz w:val="16"/>
      </w:rPr>
    </w:lvl>
    <w:lvl w:ilvl="1">
      <w:start w:val="1"/>
      <w:numFmt w:val="lowerLetter"/>
      <w:pStyle w:val="TableNumBullet2"/>
      <w:lvlText w:val="%2."/>
      <w:lvlJc w:val="left"/>
      <w:pPr>
        <w:ind w:left="448" w:hanging="170"/>
      </w:pPr>
      <w:rPr>
        <w:rFonts w:hint="default"/>
        <w:b w:val="0"/>
        <w:i w:val="0"/>
        <w:color w:val="2FB6BC" w:themeColor="accent1"/>
        <w:sz w:val="16"/>
      </w:rPr>
    </w:lvl>
    <w:lvl w:ilvl="2">
      <w:start w:val="1"/>
      <w:numFmt w:val="lowerRoman"/>
      <w:pStyle w:val="TableNumBullet3"/>
      <w:lvlText w:val="%3."/>
      <w:lvlJc w:val="left"/>
      <w:pPr>
        <w:ind w:left="618" w:hanging="170"/>
      </w:pPr>
      <w:rPr>
        <w:rFonts w:hint="default"/>
        <w:b w:val="0"/>
        <w:i w:val="0"/>
        <w:color w:val="2FB6BC" w:themeColor="accent1"/>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11FB0A73"/>
    <w:multiLevelType w:val="multilevel"/>
    <w:tmpl w:val="4DE00D3C"/>
    <w:lvl w:ilvl="0">
      <w:start w:val="1"/>
      <w:numFmt w:val="upperLetter"/>
      <w:lvlRestart w:val="0"/>
      <w:lvlText w:val="%1."/>
      <w:lvlJc w:val="left"/>
      <w:pPr>
        <w:tabs>
          <w:tab w:val="num" w:pos="0"/>
        </w:tabs>
        <w:ind w:left="0" w:hanging="1134"/>
      </w:pPr>
      <w:rPr>
        <w:rFonts w:ascii="Arial" w:hAnsi="Arial" w:cs="Arial" w:hint="default"/>
        <w:b/>
        <w:bCs/>
        <w:i w:val="0"/>
        <w:color w:val="000000" w:themeColor="text1"/>
        <w:sz w:val="40"/>
        <w:szCs w:val="40"/>
      </w:rPr>
    </w:lvl>
    <w:lvl w:ilvl="1">
      <w:start w:val="1"/>
      <w:numFmt w:val="decimal"/>
      <w:lvlText w:val="%1.%2"/>
      <w:lvlJc w:val="left"/>
      <w:pPr>
        <w:tabs>
          <w:tab w:val="num" w:pos="0"/>
        </w:tabs>
        <w:ind w:left="0" w:hanging="1134"/>
      </w:pPr>
      <w:rPr>
        <w:rFonts w:ascii="Arial" w:hAnsi="Arial" w:cs="Arial" w:hint="default"/>
        <w:b/>
        <w:i w:val="0"/>
        <w:color w:val="2FB6BC" w:themeColor="accent1"/>
        <w:sz w:val="22"/>
      </w:rPr>
    </w:lvl>
    <w:lvl w:ilvl="2">
      <w:start w:val="1"/>
      <w:numFmt w:val="decimal"/>
      <w:lvlText w:val="%1.%2.%3"/>
      <w:lvlJc w:val="left"/>
      <w:pPr>
        <w:tabs>
          <w:tab w:val="num" w:pos="0"/>
        </w:tabs>
        <w:ind w:left="0" w:hanging="1134"/>
      </w:pPr>
      <w:rPr>
        <w:rFonts w:ascii="Arial" w:hAnsi="Arial" w:cs="Arial" w:hint="default"/>
        <w:b w:val="0"/>
        <w:i w:val="0"/>
        <w:color w:val="auto"/>
        <w:sz w:val="20"/>
      </w:rPr>
    </w:lvl>
    <w:lvl w:ilvl="3">
      <w:start w:val="1"/>
      <w:numFmt w:val="decimal"/>
      <w:lvlText w:val="%1.%2.%3.%4"/>
      <w:lvlJc w:val="left"/>
      <w:pPr>
        <w:tabs>
          <w:tab w:val="num" w:pos="0"/>
        </w:tabs>
        <w:ind w:left="0" w:hanging="1134"/>
      </w:pPr>
      <w:rPr>
        <w:rFonts w:ascii="Arial" w:hAnsi="Arial" w:hint="default"/>
        <w:color w:val="auto"/>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nsid w:val="1A684DB4"/>
    <w:multiLevelType w:val="hybridMultilevel"/>
    <w:tmpl w:val="1B88B0EE"/>
    <w:lvl w:ilvl="0" w:tplc="15CCB3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B17483D"/>
    <w:multiLevelType w:val="hybridMultilevel"/>
    <w:tmpl w:val="04687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BA0AC7"/>
    <w:multiLevelType w:val="hybridMultilevel"/>
    <w:tmpl w:val="8D30E7A6"/>
    <w:lvl w:ilvl="0" w:tplc="40C6689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AA1C6E"/>
    <w:multiLevelType w:val="multilevel"/>
    <w:tmpl w:val="36B8B546"/>
    <w:numStyleLink w:val="SecListStyle"/>
  </w:abstractNum>
  <w:abstractNum w:abstractNumId="18">
    <w:nsid w:val="30072634"/>
    <w:multiLevelType w:val="hybridMultilevel"/>
    <w:tmpl w:val="AF12C2B4"/>
    <w:lvl w:ilvl="0" w:tplc="70E2FFD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3B7E6D"/>
    <w:multiLevelType w:val="multilevel"/>
    <w:tmpl w:val="30FC9948"/>
    <w:name w:val="AppHeadList"/>
    <w:styleLink w:val="AppListStyle"/>
    <w:lvl w:ilvl="0">
      <w:start w:val="1"/>
      <w:numFmt w:val="upperLetter"/>
      <w:lvlRestart w:val="0"/>
      <w:lvlText w:val="%1."/>
      <w:lvlJc w:val="left"/>
      <w:pPr>
        <w:tabs>
          <w:tab w:val="num" w:pos="567"/>
        </w:tabs>
        <w:ind w:left="0" w:firstLine="0"/>
      </w:pPr>
      <w:rPr>
        <w:rFonts w:ascii="Arial" w:hAnsi="Arial" w:cs="Arial" w:hint="default"/>
        <w:b/>
        <w:bCs/>
        <w:i w:val="0"/>
        <w:color w:val="000000" w:themeColor="text1"/>
        <w:sz w:val="40"/>
        <w:szCs w:val="40"/>
      </w:rPr>
    </w:lvl>
    <w:lvl w:ilvl="1">
      <w:start w:val="1"/>
      <w:numFmt w:val="decimal"/>
      <w:lvlText w:val="%1.%2"/>
      <w:lvlJc w:val="left"/>
      <w:pPr>
        <w:tabs>
          <w:tab w:val="num" w:pos="652"/>
        </w:tabs>
        <w:ind w:left="0" w:firstLine="0"/>
      </w:pPr>
      <w:rPr>
        <w:rFonts w:ascii="Arial" w:hAnsi="Arial" w:cs="Arial" w:hint="default"/>
        <w:b/>
        <w:i w:val="0"/>
        <w:color w:val="2FB6BC" w:themeColor="accent1"/>
        <w:sz w:val="22"/>
      </w:rPr>
    </w:lvl>
    <w:lvl w:ilvl="2">
      <w:start w:val="1"/>
      <w:numFmt w:val="decimal"/>
      <w:lvlText w:val="%1.%2.%3"/>
      <w:lvlJc w:val="left"/>
      <w:pPr>
        <w:tabs>
          <w:tab w:val="num" w:pos="907"/>
        </w:tabs>
        <w:ind w:left="0" w:firstLine="0"/>
      </w:pPr>
      <w:rPr>
        <w:rFonts w:ascii="Arial" w:hAnsi="Arial" w:cs="Arial" w:hint="default"/>
        <w:b/>
        <w:i w:val="0"/>
        <w:color w:val="2FB6BC" w:themeColor="accent1"/>
        <w:sz w:val="20"/>
      </w:rPr>
    </w:lvl>
    <w:lvl w:ilvl="3">
      <w:start w:val="1"/>
      <w:numFmt w:val="decimal"/>
      <w:lvlText w:val="%1.%2.%3.%4"/>
      <w:lvlJc w:val="left"/>
      <w:pPr>
        <w:tabs>
          <w:tab w:val="num" w:pos="1077"/>
        </w:tabs>
        <w:ind w:left="0" w:firstLine="0"/>
      </w:pPr>
      <w:rPr>
        <w:rFonts w:ascii="Arial" w:hAnsi="Arial" w:hint="default"/>
        <w:color w:val="2FB6BC"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nsid w:val="3AFF7D2C"/>
    <w:multiLevelType w:val="hybridMultilevel"/>
    <w:tmpl w:val="9C2CE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C8D2A46"/>
    <w:multiLevelType w:val="multilevel"/>
    <w:tmpl w:val="0E0647D0"/>
    <w:lvl w:ilvl="0">
      <w:start w:val="1"/>
      <w:numFmt w:val="bullet"/>
      <w:pStyle w:val="KeyMsgBullet"/>
      <w:lvlText w:val="●"/>
      <w:lvlJc w:val="left"/>
      <w:pPr>
        <w:tabs>
          <w:tab w:val="num" w:pos="369"/>
        </w:tabs>
        <w:ind w:left="369" w:hanging="369"/>
      </w:pPr>
      <w:rPr>
        <w:rFonts w:ascii="Arial" w:hAnsi="Arial" w:hint="default"/>
        <w:color w:val="2FB6BC"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7FB34D5"/>
    <w:multiLevelType w:val="multilevel"/>
    <w:tmpl w:val="36B8B546"/>
    <w:name w:val="SecHeadList"/>
    <w:styleLink w:val="SecListStyle"/>
    <w:lvl w:ilvl="0">
      <w:start w:val="1"/>
      <w:numFmt w:val="decimal"/>
      <w:lvlRestart w:val="0"/>
      <w:lvlText w:val="%1"/>
      <w:lvlJc w:val="left"/>
      <w:pPr>
        <w:tabs>
          <w:tab w:val="num" w:pos="567"/>
        </w:tabs>
        <w:ind w:left="0" w:firstLine="0"/>
      </w:pPr>
      <w:rPr>
        <w:b/>
        <w:bCs/>
        <w:i w:val="0"/>
        <w:color w:val="000000" w:themeColor="text1"/>
        <w:sz w:val="40"/>
        <w:szCs w:val="40"/>
      </w:rPr>
    </w:lvl>
    <w:lvl w:ilvl="1">
      <w:start w:val="1"/>
      <w:numFmt w:val="decimal"/>
      <w:lvlText w:val="%1.%2"/>
      <w:lvlJc w:val="left"/>
      <w:pPr>
        <w:tabs>
          <w:tab w:val="num" w:pos="652"/>
        </w:tabs>
        <w:ind w:left="0" w:firstLine="0"/>
      </w:pPr>
      <w:rPr>
        <w:b/>
        <w:i w:val="0"/>
        <w:color w:val="2FB6BC" w:themeColor="accent1"/>
        <w:sz w:val="22"/>
      </w:rPr>
    </w:lvl>
    <w:lvl w:ilvl="2">
      <w:start w:val="1"/>
      <w:numFmt w:val="decimal"/>
      <w:lvlText w:val="%1.%2.%3"/>
      <w:lvlJc w:val="left"/>
      <w:pPr>
        <w:tabs>
          <w:tab w:val="num" w:pos="822"/>
        </w:tabs>
        <w:ind w:left="0" w:firstLine="0"/>
      </w:pPr>
      <w:rPr>
        <w:b/>
        <w:i w:val="0"/>
        <w:color w:val="2FB6BC" w:themeColor="accent1"/>
        <w:sz w:val="20"/>
      </w:rPr>
    </w:lvl>
    <w:lvl w:ilvl="3">
      <w:start w:val="1"/>
      <w:numFmt w:val="decimal"/>
      <w:lvlText w:val="%1.%2.%3.%4"/>
      <w:lvlJc w:val="left"/>
      <w:pPr>
        <w:tabs>
          <w:tab w:val="num" w:pos="1106"/>
        </w:tabs>
        <w:ind w:left="0" w:firstLine="0"/>
      </w:pPr>
      <w:rPr>
        <w:b w:val="0"/>
        <w:i w:val="0"/>
        <w:color w:val="2FB6BC" w:themeColor="accent1"/>
        <w:sz w:val="20"/>
      </w:rPr>
    </w:lvl>
    <w:lvl w:ilvl="4">
      <w:start w:val="1"/>
      <w:numFmt w:val="none"/>
      <w:lvlText w:val=""/>
      <w:lvlJc w:val="left"/>
      <w:pPr>
        <w:ind w:left="0" w:firstLine="0"/>
      </w:pPr>
      <w:rPr>
        <w:rFonts w:asciiTheme="majorHAnsi" w:hAnsiTheme="majorHAnsi" w:hint="default"/>
      </w:rPr>
    </w:lvl>
    <w:lvl w:ilvl="5">
      <w:start w:val="1"/>
      <w:numFmt w:val="none"/>
      <w:lvlText w:val=""/>
      <w:lvlJc w:val="left"/>
      <w:pPr>
        <w:ind w:left="0" w:firstLine="0"/>
      </w:pPr>
      <w:rPr>
        <w:rFonts w:asciiTheme="majorHAnsi" w:hAnsiTheme="majorHAnsi" w:hint="default"/>
      </w:rPr>
    </w:lvl>
    <w:lvl w:ilvl="6">
      <w:start w:val="1"/>
      <w:numFmt w:val="none"/>
      <w:lvlText w:val=""/>
      <w:lvlJc w:val="left"/>
      <w:pPr>
        <w:ind w:left="0" w:firstLine="0"/>
      </w:pPr>
      <w:rPr>
        <w:rFonts w:asciiTheme="majorHAnsi" w:hAnsiTheme="majorHAnsi" w:hint="default"/>
      </w:rPr>
    </w:lvl>
    <w:lvl w:ilvl="7">
      <w:start w:val="1"/>
      <w:numFmt w:val="none"/>
      <w:lvlText w:val=""/>
      <w:lvlJc w:val="left"/>
      <w:pPr>
        <w:ind w:left="0" w:firstLine="0"/>
      </w:pPr>
      <w:rPr>
        <w:rFonts w:asciiTheme="majorHAnsi" w:hAnsiTheme="majorHAnsi" w:hint="default"/>
      </w:rPr>
    </w:lvl>
    <w:lvl w:ilvl="8">
      <w:start w:val="1"/>
      <w:numFmt w:val="none"/>
      <w:lvlText w:val=""/>
      <w:lvlJc w:val="left"/>
      <w:pPr>
        <w:ind w:left="0" w:firstLine="0"/>
      </w:pPr>
      <w:rPr>
        <w:rFonts w:asciiTheme="majorHAnsi" w:hAnsiTheme="majorHAnsi" w:hint="default"/>
      </w:rPr>
    </w:lvl>
  </w:abstractNum>
  <w:abstractNum w:abstractNumId="23">
    <w:nsid w:val="496B5589"/>
    <w:multiLevelType w:val="hybridMultilevel"/>
    <w:tmpl w:val="DDA83396"/>
    <w:lvl w:ilvl="0" w:tplc="6C845F48">
      <w:start w:val="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98B2690"/>
    <w:multiLevelType w:val="hybridMultilevel"/>
    <w:tmpl w:val="46464B20"/>
    <w:lvl w:ilvl="0" w:tplc="9C8897C8">
      <w:start w:val="1"/>
      <w:numFmt w:val="decimal"/>
      <w:lvlText w:val="%1."/>
      <w:lvlJc w:val="left"/>
      <w:pPr>
        <w:ind w:left="720" w:hanging="360"/>
      </w:pPr>
      <w:rPr>
        <w:rFonts w:hint="default"/>
        <w:color w:val="auto"/>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A0744BE"/>
    <w:multiLevelType w:val="multilevel"/>
    <w:tmpl w:val="B20876E2"/>
    <w:lvl w:ilvl="0">
      <w:start w:val="1"/>
      <w:numFmt w:val="bullet"/>
      <w:pStyle w:val="Bullet1"/>
      <w:lvlText w:val="●"/>
      <w:lvlJc w:val="left"/>
      <w:pPr>
        <w:tabs>
          <w:tab w:val="num" w:pos="284"/>
        </w:tabs>
        <w:ind w:left="284" w:hanging="284"/>
      </w:pPr>
      <w:rPr>
        <w:rFonts w:ascii="Arial" w:hAnsi="Arial" w:hint="default"/>
        <w:color w:val="2FB6BC" w:themeColor="accent1"/>
      </w:rPr>
    </w:lvl>
    <w:lvl w:ilvl="1">
      <w:start w:val="1"/>
      <w:numFmt w:val="bullet"/>
      <w:pStyle w:val="Bullet2"/>
      <w:lvlText w:val="–"/>
      <w:lvlJc w:val="left"/>
      <w:pPr>
        <w:tabs>
          <w:tab w:val="num" w:pos="567"/>
        </w:tabs>
        <w:ind w:left="567" w:hanging="283"/>
      </w:pPr>
      <w:rPr>
        <w:rFonts w:hint="default"/>
        <w:color w:val="2FB6BC" w:themeColor="accent1"/>
      </w:rPr>
    </w:lvl>
    <w:lvl w:ilvl="2">
      <w:start w:val="1"/>
      <w:numFmt w:val="bullet"/>
      <w:pStyle w:val="Bullet3"/>
      <w:lvlText w:val="○"/>
      <w:lvlJc w:val="left"/>
      <w:pPr>
        <w:tabs>
          <w:tab w:val="num" w:pos="851"/>
        </w:tabs>
        <w:ind w:left="851" w:hanging="284"/>
      </w:pPr>
      <w:rPr>
        <w:rFonts w:ascii="Times New Roman" w:hAnsi="Times New Roman" w:cs="Times New Roman" w:hint="default"/>
        <w:color w:val="2FB6BC"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nsid w:val="4BB06A1A"/>
    <w:multiLevelType w:val="multilevel"/>
    <w:tmpl w:val="56A4557C"/>
    <w:lvl w:ilvl="0">
      <w:start w:val="1"/>
      <w:numFmt w:val="bullet"/>
      <w:pStyle w:val="CVBullet"/>
      <w:lvlText w:val="●"/>
      <w:lvlJc w:val="left"/>
      <w:pPr>
        <w:ind w:left="360" w:hanging="360"/>
      </w:pPr>
      <w:rPr>
        <w:rFonts w:ascii="Arial" w:hAnsi="Arial" w:cs="Arial" w:hint="default"/>
        <w:color w:val="2FB6BC" w:themeColor="accent1"/>
        <w:sz w:val="17"/>
      </w:rPr>
    </w:lvl>
    <w:lvl w:ilvl="1">
      <w:start w:val="1"/>
      <w:numFmt w:val="bullet"/>
      <w:lvlText w:val="–"/>
      <w:lvlJc w:val="left"/>
      <w:pPr>
        <w:tabs>
          <w:tab w:val="num" w:pos="567"/>
        </w:tabs>
        <w:ind w:left="567" w:hanging="340"/>
      </w:pPr>
      <w:rPr>
        <w:rFonts w:hint="default"/>
        <w:color w:val="2FB6BC" w:themeColor="accent1"/>
      </w:rPr>
    </w:lvl>
    <w:lvl w:ilvl="2">
      <w:start w:val="1"/>
      <w:numFmt w:val="bullet"/>
      <w:lvlText w:val="–"/>
      <w:lvlJc w:val="left"/>
      <w:pPr>
        <w:tabs>
          <w:tab w:val="num" w:pos="851"/>
        </w:tabs>
        <w:ind w:left="851" w:hanging="284"/>
      </w:pPr>
      <w:rPr>
        <w:rFonts w:hint="default"/>
        <w:color w:val="2FB6BC"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nsid w:val="503B27ED"/>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537E6240"/>
    <w:multiLevelType w:val="hybridMultilevel"/>
    <w:tmpl w:val="EEC49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CD76A65"/>
    <w:multiLevelType w:val="hybridMultilevel"/>
    <w:tmpl w:val="2DF0AE92"/>
    <w:lvl w:ilvl="0" w:tplc="01660CA4">
      <w:start w:val="5"/>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E8262FB"/>
    <w:multiLevelType w:val="multilevel"/>
    <w:tmpl w:val="30FC9948"/>
    <w:numStyleLink w:val="AppListStyle"/>
  </w:abstractNum>
  <w:abstractNum w:abstractNumId="31">
    <w:nsid w:val="68DF7BFE"/>
    <w:multiLevelType w:val="multilevel"/>
    <w:tmpl w:val="09F437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6C821031"/>
    <w:multiLevelType w:val="multilevel"/>
    <w:tmpl w:val="36B8B546"/>
    <w:name w:val="SecHeadList2"/>
    <w:numStyleLink w:val="SecListStyle"/>
  </w:abstractNum>
  <w:abstractNum w:abstractNumId="33">
    <w:nsid w:val="6EE3444F"/>
    <w:multiLevelType w:val="multilevel"/>
    <w:tmpl w:val="441404E6"/>
    <w:lvl w:ilvl="0">
      <w:start w:val="1"/>
      <w:numFmt w:val="bullet"/>
      <w:pStyle w:val="TableBullet1"/>
      <w:lvlText w:val="●"/>
      <w:lvlJc w:val="left"/>
      <w:pPr>
        <w:ind w:left="278" w:hanging="170"/>
      </w:pPr>
      <w:rPr>
        <w:rFonts w:ascii="Calibri" w:hAnsi="Calibri" w:hint="default"/>
        <w:color w:val="2FB6BC" w:themeColor="accent1"/>
      </w:rPr>
    </w:lvl>
    <w:lvl w:ilvl="1">
      <w:start w:val="1"/>
      <w:numFmt w:val="bullet"/>
      <w:pStyle w:val="TableBullet2"/>
      <w:lvlText w:val="–"/>
      <w:lvlJc w:val="left"/>
      <w:pPr>
        <w:ind w:left="448" w:hanging="170"/>
      </w:pPr>
      <w:rPr>
        <w:rFonts w:hint="default"/>
        <w:color w:val="2FB6BC" w:themeColor="accent1"/>
      </w:rPr>
    </w:lvl>
    <w:lvl w:ilvl="2">
      <w:start w:val="1"/>
      <w:numFmt w:val="bullet"/>
      <w:pStyle w:val="TableBullet3"/>
      <w:lvlText w:val="○"/>
      <w:lvlJc w:val="left"/>
      <w:pPr>
        <w:ind w:left="618" w:hanging="170"/>
      </w:pPr>
      <w:rPr>
        <w:rFonts w:ascii="Times New Roman" w:hAnsi="Times New Roman" w:cs="Times New Roman" w:hint="default"/>
        <w:color w:val="2FB6BC"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bullet"/>
      <w:lvlText w:val="–"/>
      <w:lvlJc w:val="left"/>
      <w:pPr>
        <w:ind w:left="0" w:firstLine="0"/>
      </w:pPr>
      <w:rPr>
        <w:rFonts w:ascii="(none)" w:hAnsi="(none)" w:hint="default"/>
        <w:color w:val="auto"/>
      </w:rPr>
    </w:lvl>
    <w:lvl w:ilvl="8">
      <w:start w:val="1"/>
      <w:numFmt w:val="none"/>
      <w:lvlText w:val=""/>
      <w:lvlJc w:val="left"/>
      <w:pPr>
        <w:ind w:left="0" w:firstLine="0"/>
      </w:pPr>
      <w:rPr>
        <w:rFonts w:hint="default"/>
      </w:rPr>
    </w:lvl>
  </w:abstractNum>
  <w:abstractNum w:abstractNumId="34">
    <w:nsid w:val="796A3518"/>
    <w:multiLevelType w:val="multilevel"/>
    <w:tmpl w:val="5A3ADDCE"/>
    <w:lvl w:ilvl="0">
      <w:start w:val="1"/>
      <w:numFmt w:val="decimal"/>
      <w:pStyle w:val="NumBullet1"/>
      <w:lvlText w:val="%1."/>
      <w:lvlJc w:val="left"/>
      <w:pPr>
        <w:tabs>
          <w:tab w:val="num" w:pos="284"/>
        </w:tabs>
        <w:ind w:left="284" w:hanging="284"/>
      </w:pPr>
      <w:rPr>
        <w:rFonts w:hint="default"/>
        <w:color w:val="2FB6BC" w:themeColor="accent1"/>
      </w:rPr>
    </w:lvl>
    <w:lvl w:ilvl="1">
      <w:start w:val="1"/>
      <w:numFmt w:val="lowerLetter"/>
      <w:pStyle w:val="NumBullet2"/>
      <w:lvlText w:val="%2."/>
      <w:lvlJc w:val="left"/>
      <w:pPr>
        <w:tabs>
          <w:tab w:val="num" w:pos="567"/>
        </w:tabs>
        <w:ind w:left="567" w:hanging="283"/>
      </w:pPr>
      <w:rPr>
        <w:rFonts w:hint="default"/>
        <w:color w:val="2FB6BC" w:themeColor="accent1"/>
      </w:rPr>
    </w:lvl>
    <w:lvl w:ilvl="2">
      <w:start w:val="1"/>
      <w:numFmt w:val="lowerRoman"/>
      <w:pStyle w:val="NumBullet3"/>
      <w:lvlText w:val="%3."/>
      <w:lvlJc w:val="left"/>
      <w:pPr>
        <w:tabs>
          <w:tab w:val="num" w:pos="851"/>
        </w:tabs>
        <w:ind w:left="851" w:hanging="284"/>
      </w:pPr>
      <w:rPr>
        <w:rFonts w:hint="default"/>
        <w:color w:val="2FB6BC" w:themeColor="accent1"/>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19"/>
  </w:num>
  <w:num w:numId="3">
    <w:abstractNumId w:val="30"/>
  </w:num>
  <w:num w:numId="4">
    <w:abstractNumId w:val="25"/>
  </w:num>
  <w:num w:numId="5">
    <w:abstractNumId w:val="21"/>
  </w:num>
  <w:num w:numId="6">
    <w:abstractNumId w:val="34"/>
  </w:num>
  <w:num w:numId="7">
    <w:abstractNumId w:val="22"/>
  </w:num>
  <w:num w:numId="8">
    <w:abstractNumId w:val="33"/>
  </w:num>
  <w:num w:numId="9">
    <w:abstractNumId w:val="17"/>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0"/>
  </w:num>
  <w:num w:numId="21">
    <w:abstractNumId w:val="32"/>
  </w:num>
  <w:num w:numId="22">
    <w:abstractNumId w:val="12"/>
  </w:num>
  <w:num w:numId="23">
    <w:abstractNumId w:val="12"/>
  </w:num>
  <w:num w:numId="24">
    <w:abstractNumId w:val="12"/>
  </w:num>
  <w:num w:numId="25">
    <w:abstractNumId w:val="33"/>
  </w:num>
  <w:num w:numId="26">
    <w:abstractNumId w:val="33"/>
  </w:num>
  <w:num w:numId="27">
    <w:abstractNumId w:val="33"/>
  </w:num>
  <w:num w:numId="28">
    <w:abstractNumId w:val="12"/>
  </w:num>
  <w:num w:numId="29">
    <w:abstractNumId w:val="12"/>
  </w:num>
  <w:num w:numId="30">
    <w:abstractNumId w:val="12"/>
  </w:num>
  <w:num w:numId="31">
    <w:abstractNumId w:val="18"/>
  </w:num>
  <w:num w:numId="32">
    <w:abstractNumId w:val="14"/>
  </w:num>
  <w:num w:numId="33">
    <w:abstractNumId w:val="28"/>
  </w:num>
  <w:num w:numId="34">
    <w:abstractNumId w:val="11"/>
  </w:num>
  <w:num w:numId="35">
    <w:abstractNumId w:val="2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num>
  <w:num w:numId="37">
    <w:abstractNumId w:val="15"/>
  </w:num>
  <w:num w:numId="38">
    <w:abstractNumId w:val="16"/>
  </w:num>
  <w:num w:numId="39">
    <w:abstractNumId w:val="23"/>
  </w:num>
  <w:num w:numId="40">
    <w:abstractNumId w:val="27"/>
  </w:num>
  <w:num w:numId="41">
    <w:abstractNumId w:val="31"/>
  </w:num>
  <w:num w:numId="42">
    <w:abstractNumId w:val="31"/>
  </w:num>
  <w:num w:numId="43">
    <w:abstractNumId w:val="29"/>
  </w:num>
  <w:num w:numId="44">
    <w:abstractNumId w:val="13"/>
  </w:num>
  <w:num w:numId="45">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trackedChanges" w:enforcement="0"/>
  <w:defaultTabStop w:val="720"/>
  <w:hyphenationZone w:val="425"/>
  <w:doNotShadeFormData/>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8AD"/>
    <w:rsid w:val="000002EC"/>
    <w:rsid w:val="0000049A"/>
    <w:rsid w:val="0000060D"/>
    <w:rsid w:val="00001B23"/>
    <w:rsid w:val="00002212"/>
    <w:rsid w:val="000023D1"/>
    <w:rsid w:val="0000259A"/>
    <w:rsid w:val="0000260C"/>
    <w:rsid w:val="0000278A"/>
    <w:rsid w:val="00002CE5"/>
    <w:rsid w:val="00003235"/>
    <w:rsid w:val="00003731"/>
    <w:rsid w:val="000038E3"/>
    <w:rsid w:val="00003E5F"/>
    <w:rsid w:val="0000408C"/>
    <w:rsid w:val="000043AD"/>
    <w:rsid w:val="000046F7"/>
    <w:rsid w:val="0000488D"/>
    <w:rsid w:val="000051A8"/>
    <w:rsid w:val="00006D02"/>
    <w:rsid w:val="000071CC"/>
    <w:rsid w:val="00007AA3"/>
    <w:rsid w:val="00007AC4"/>
    <w:rsid w:val="000104D1"/>
    <w:rsid w:val="00010657"/>
    <w:rsid w:val="00010956"/>
    <w:rsid w:val="000109B7"/>
    <w:rsid w:val="00010C01"/>
    <w:rsid w:val="00010ED2"/>
    <w:rsid w:val="000118F7"/>
    <w:rsid w:val="00011FB5"/>
    <w:rsid w:val="000120F0"/>
    <w:rsid w:val="000121EC"/>
    <w:rsid w:val="000124C2"/>
    <w:rsid w:val="00012D6A"/>
    <w:rsid w:val="00013143"/>
    <w:rsid w:val="000133A6"/>
    <w:rsid w:val="00013A8C"/>
    <w:rsid w:val="00013E24"/>
    <w:rsid w:val="00013EFB"/>
    <w:rsid w:val="00014062"/>
    <w:rsid w:val="00014266"/>
    <w:rsid w:val="00014B73"/>
    <w:rsid w:val="000150E8"/>
    <w:rsid w:val="000154AB"/>
    <w:rsid w:val="00016A56"/>
    <w:rsid w:val="00016D5F"/>
    <w:rsid w:val="00017673"/>
    <w:rsid w:val="00017739"/>
    <w:rsid w:val="000179D0"/>
    <w:rsid w:val="00017A08"/>
    <w:rsid w:val="0002094B"/>
    <w:rsid w:val="00020D15"/>
    <w:rsid w:val="00020E14"/>
    <w:rsid w:val="0002152B"/>
    <w:rsid w:val="00021897"/>
    <w:rsid w:val="000220AD"/>
    <w:rsid w:val="0002252C"/>
    <w:rsid w:val="00022984"/>
    <w:rsid w:val="00022D24"/>
    <w:rsid w:val="00023408"/>
    <w:rsid w:val="00023571"/>
    <w:rsid w:val="00023EBC"/>
    <w:rsid w:val="000249BB"/>
    <w:rsid w:val="00024C84"/>
    <w:rsid w:val="00024D9E"/>
    <w:rsid w:val="00025E20"/>
    <w:rsid w:val="000260D4"/>
    <w:rsid w:val="000261D4"/>
    <w:rsid w:val="0002655D"/>
    <w:rsid w:val="000268DC"/>
    <w:rsid w:val="00026BD5"/>
    <w:rsid w:val="00027597"/>
    <w:rsid w:val="00027A8A"/>
    <w:rsid w:val="00027AE3"/>
    <w:rsid w:val="0003005C"/>
    <w:rsid w:val="0003034A"/>
    <w:rsid w:val="000308E4"/>
    <w:rsid w:val="00030F6C"/>
    <w:rsid w:val="0003145A"/>
    <w:rsid w:val="00032073"/>
    <w:rsid w:val="000321AE"/>
    <w:rsid w:val="00032AEC"/>
    <w:rsid w:val="00032DCD"/>
    <w:rsid w:val="00033667"/>
    <w:rsid w:val="00033983"/>
    <w:rsid w:val="00033A7B"/>
    <w:rsid w:val="00033AD1"/>
    <w:rsid w:val="00033B5B"/>
    <w:rsid w:val="00033BB0"/>
    <w:rsid w:val="00033CC9"/>
    <w:rsid w:val="00033EEE"/>
    <w:rsid w:val="00034842"/>
    <w:rsid w:val="00034B4E"/>
    <w:rsid w:val="00035027"/>
    <w:rsid w:val="00035296"/>
    <w:rsid w:val="00035418"/>
    <w:rsid w:val="000354B8"/>
    <w:rsid w:val="00035B99"/>
    <w:rsid w:val="00035E2A"/>
    <w:rsid w:val="00036544"/>
    <w:rsid w:val="000365AF"/>
    <w:rsid w:val="00036810"/>
    <w:rsid w:val="00036F1C"/>
    <w:rsid w:val="000372CD"/>
    <w:rsid w:val="00037A14"/>
    <w:rsid w:val="0004012C"/>
    <w:rsid w:val="00040B2E"/>
    <w:rsid w:val="00040BE9"/>
    <w:rsid w:val="00040D2E"/>
    <w:rsid w:val="000417E1"/>
    <w:rsid w:val="00041B12"/>
    <w:rsid w:val="00041B4C"/>
    <w:rsid w:val="00041C60"/>
    <w:rsid w:val="0004237D"/>
    <w:rsid w:val="0004243F"/>
    <w:rsid w:val="000428B6"/>
    <w:rsid w:val="00043240"/>
    <w:rsid w:val="0004368B"/>
    <w:rsid w:val="00043D11"/>
    <w:rsid w:val="000447E9"/>
    <w:rsid w:val="00044DC0"/>
    <w:rsid w:val="00045139"/>
    <w:rsid w:val="0004544E"/>
    <w:rsid w:val="000455ED"/>
    <w:rsid w:val="00045637"/>
    <w:rsid w:val="00045F17"/>
    <w:rsid w:val="000468B6"/>
    <w:rsid w:val="00046A90"/>
    <w:rsid w:val="00047923"/>
    <w:rsid w:val="00047C3B"/>
    <w:rsid w:val="00047C72"/>
    <w:rsid w:val="000503CA"/>
    <w:rsid w:val="00050A3A"/>
    <w:rsid w:val="00050A9B"/>
    <w:rsid w:val="00050B1B"/>
    <w:rsid w:val="00050FCB"/>
    <w:rsid w:val="0005125A"/>
    <w:rsid w:val="00051EFC"/>
    <w:rsid w:val="00052264"/>
    <w:rsid w:val="000522BD"/>
    <w:rsid w:val="0005264B"/>
    <w:rsid w:val="00052A19"/>
    <w:rsid w:val="00052AC5"/>
    <w:rsid w:val="0005301E"/>
    <w:rsid w:val="00053524"/>
    <w:rsid w:val="000535FA"/>
    <w:rsid w:val="0005391E"/>
    <w:rsid w:val="00053BAB"/>
    <w:rsid w:val="00054159"/>
    <w:rsid w:val="00054160"/>
    <w:rsid w:val="000544A2"/>
    <w:rsid w:val="00054F5F"/>
    <w:rsid w:val="00055137"/>
    <w:rsid w:val="00055467"/>
    <w:rsid w:val="00055A6A"/>
    <w:rsid w:val="0005680E"/>
    <w:rsid w:val="00056BFF"/>
    <w:rsid w:val="00056DBA"/>
    <w:rsid w:val="000578E0"/>
    <w:rsid w:val="00057DFF"/>
    <w:rsid w:val="0006008F"/>
    <w:rsid w:val="000600BA"/>
    <w:rsid w:val="00060198"/>
    <w:rsid w:val="000606AB"/>
    <w:rsid w:val="00060877"/>
    <w:rsid w:val="000613FB"/>
    <w:rsid w:val="00061790"/>
    <w:rsid w:val="00061BB8"/>
    <w:rsid w:val="00061FC8"/>
    <w:rsid w:val="0006288D"/>
    <w:rsid w:val="0006327F"/>
    <w:rsid w:val="000636A8"/>
    <w:rsid w:val="0006374A"/>
    <w:rsid w:val="00063BA9"/>
    <w:rsid w:val="00063C34"/>
    <w:rsid w:val="00064A42"/>
    <w:rsid w:val="00065AFC"/>
    <w:rsid w:val="0006647C"/>
    <w:rsid w:val="00066946"/>
    <w:rsid w:val="000669EE"/>
    <w:rsid w:val="00066BB8"/>
    <w:rsid w:val="000670D5"/>
    <w:rsid w:val="00067904"/>
    <w:rsid w:val="00067A96"/>
    <w:rsid w:val="00067B3B"/>
    <w:rsid w:val="00067C12"/>
    <w:rsid w:val="00070174"/>
    <w:rsid w:val="000703DE"/>
    <w:rsid w:val="00071259"/>
    <w:rsid w:val="000719C5"/>
    <w:rsid w:val="00071F5F"/>
    <w:rsid w:val="000722C9"/>
    <w:rsid w:val="0007239C"/>
    <w:rsid w:val="00072B9F"/>
    <w:rsid w:val="00072C25"/>
    <w:rsid w:val="00073136"/>
    <w:rsid w:val="000733C3"/>
    <w:rsid w:val="0007361A"/>
    <w:rsid w:val="0007388D"/>
    <w:rsid w:val="000740AC"/>
    <w:rsid w:val="0007417C"/>
    <w:rsid w:val="00074D8F"/>
    <w:rsid w:val="0007528C"/>
    <w:rsid w:val="00075454"/>
    <w:rsid w:val="00075748"/>
    <w:rsid w:val="00075ACE"/>
    <w:rsid w:val="00075C02"/>
    <w:rsid w:val="00075C49"/>
    <w:rsid w:val="00075F19"/>
    <w:rsid w:val="00076A26"/>
    <w:rsid w:val="00076E9E"/>
    <w:rsid w:val="00077529"/>
    <w:rsid w:val="000775F3"/>
    <w:rsid w:val="00077867"/>
    <w:rsid w:val="00080802"/>
    <w:rsid w:val="00080F98"/>
    <w:rsid w:val="00080FDA"/>
    <w:rsid w:val="000810B5"/>
    <w:rsid w:val="00081261"/>
    <w:rsid w:val="00081884"/>
    <w:rsid w:val="00081E78"/>
    <w:rsid w:val="0008292B"/>
    <w:rsid w:val="00082AA0"/>
    <w:rsid w:val="00082C50"/>
    <w:rsid w:val="0008303F"/>
    <w:rsid w:val="00083264"/>
    <w:rsid w:val="000832A7"/>
    <w:rsid w:val="0008341E"/>
    <w:rsid w:val="00083AAA"/>
    <w:rsid w:val="00083D2F"/>
    <w:rsid w:val="00084457"/>
    <w:rsid w:val="000845BA"/>
    <w:rsid w:val="00084EF3"/>
    <w:rsid w:val="000868A3"/>
    <w:rsid w:val="0008710E"/>
    <w:rsid w:val="00087A17"/>
    <w:rsid w:val="00087A30"/>
    <w:rsid w:val="00087B13"/>
    <w:rsid w:val="00090038"/>
    <w:rsid w:val="0009052B"/>
    <w:rsid w:val="00091002"/>
    <w:rsid w:val="000912D4"/>
    <w:rsid w:val="00091B57"/>
    <w:rsid w:val="00091E8C"/>
    <w:rsid w:val="0009207C"/>
    <w:rsid w:val="0009229F"/>
    <w:rsid w:val="0009254C"/>
    <w:rsid w:val="00092600"/>
    <w:rsid w:val="000931F1"/>
    <w:rsid w:val="000934A4"/>
    <w:rsid w:val="0009397C"/>
    <w:rsid w:val="00095550"/>
    <w:rsid w:val="0009584D"/>
    <w:rsid w:val="00095AB8"/>
    <w:rsid w:val="00095AC7"/>
    <w:rsid w:val="00095C13"/>
    <w:rsid w:val="00096847"/>
    <w:rsid w:val="00096C03"/>
    <w:rsid w:val="0009704C"/>
    <w:rsid w:val="000971A1"/>
    <w:rsid w:val="00097906"/>
    <w:rsid w:val="00097998"/>
    <w:rsid w:val="00097AE9"/>
    <w:rsid w:val="00097F58"/>
    <w:rsid w:val="000A0312"/>
    <w:rsid w:val="000A0439"/>
    <w:rsid w:val="000A0C3C"/>
    <w:rsid w:val="000A0C4C"/>
    <w:rsid w:val="000A10AE"/>
    <w:rsid w:val="000A120F"/>
    <w:rsid w:val="000A1366"/>
    <w:rsid w:val="000A198B"/>
    <w:rsid w:val="000A1A6F"/>
    <w:rsid w:val="000A27E5"/>
    <w:rsid w:val="000A2A06"/>
    <w:rsid w:val="000A2A2B"/>
    <w:rsid w:val="000A2AB2"/>
    <w:rsid w:val="000A2EBB"/>
    <w:rsid w:val="000A2F9A"/>
    <w:rsid w:val="000A30BF"/>
    <w:rsid w:val="000A3862"/>
    <w:rsid w:val="000A3B34"/>
    <w:rsid w:val="000A3CBD"/>
    <w:rsid w:val="000A3D46"/>
    <w:rsid w:val="000A4194"/>
    <w:rsid w:val="000A4768"/>
    <w:rsid w:val="000A4C83"/>
    <w:rsid w:val="000A4C88"/>
    <w:rsid w:val="000A5025"/>
    <w:rsid w:val="000A57A6"/>
    <w:rsid w:val="000A6716"/>
    <w:rsid w:val="000A7649"/>
    <w:rsid w:val="000A7BC9"/>
    <w:rsid w:val="000A7F42"/>
    <w:rsid w:val="000A7F49"/>
    <w:rsid w:val="000B0E69"/>
    <w:rsid w:val="000B1191"/>
    <w:rsid w:val="000B1199"/>
    <w:rsid w:val="000B11B2"/>
    <w:rsid w:val="000B1D1D"/>
    <w:rsid w:val="000B2066"/>
    <w:rsid w:val="000B272A"/>
    <w:rsid w:val="000B2AE8"/>
    <w:rsid w:val="000B3CCA"/>
    <w:rsid w:val="000B4C95"/>
    <w:rsid w:val="000B4F7B"/>
    <w:rsid w:val="000B52FB"/>
    <w:rsid w:val="000B54AF"/>
    <w:rsid w:val="000B57A6"/>
    <w:rsid w:val="000B5C6D"/>
    <w:rsid w:val="000B6278"/>
    <w:rsid w:val="000B71F2"/>
    <w:rsid w:val="000B761D"/>
    <w:rsid w:val="000B7672"/>
    <w:rsid w:val="000C0200"/>
    <w:rsid w:val="000C032D"/>
    <w:rsid w:val="000C0886"/>
    <w:rsid w:val="000C0B84"/>
    <w:rsid w:val="000C108B"/>
    <w:rsid w:val="000C143D"/>
    <w:rsid w:val="000C1620"/>
    <w:rsid w:val="000C18CC"/>
    <w:rsid w:val="000C2564"/>
    <w:rsid w:val="000C28F4"/>
    <w:rsid w:val="000C30BC"/>
    <w:rsid w:val="000C3168"/>
    <w:rsid w:val="000C34D7"/>
    <w:rsid w:val="000C405F"/>
    <w:rsid w:val="000C4096"/>
    <w:rsid w:val="000C42EE"/>
    <w:rsid w:val="000C4954"/>
    <w:rsid w:val="000C4AAF"/>
    <w:rsid w:val="000C4C8A"/>
    <w:rsid w:val="000C5074"/>
    <w:rsid w:val="000C5DD7"/>
    <w:rsid w:val="000C5F63"/>
    <w:rsid w:val="000C6225"/>
    <w:rsid w:val="000C6247"/>
    <w:rsid w:val="000C7630"/>
    <w:rsid w:val="000D01B8"/>
    <w:rsid w:val="000D0D60"/>
    <w:rsid w:val="000D17AC"/>
    <w:rsid w:val="000D1879"/>
    <w:rsid w:val="000D1D4A"/>
    <w:rsid w:val="000D1DE6"/>
    <w:rsid w:val="000D1EFE"/>
    <w:rsid w:val="000D260B"/>
    <w:rsid w:val="000D2718"/>
    <w:rsid w:val="000D28E7"/>
    <w:rsid w:val="000D2A74"/>
    <w:rsid w:val="000D2EF9"/>
    <w:rsid w:val="000D3A58"/>
    <w:rsid w:val="000D40C7"/>
    <w:rsid w:val="000D5732"/>
    <w:rsid w:val="000D5F5F"/>
    <w:rsid w:val="000D6AC3"/>
    <w:rsid w:val="000D7590"/>
    <w:rsid w:val="000D765E"/>
    <w:rsid w:val="000D7839"/>
    <w:rsid w:val="000D79D7"/>
    <w:rsid w:val="000D7DE5"/>
    <w:rsid w:val="000E053E"/>
    <w:rsid w:val="000E0A82"/>
    <w:rsid w:val="000E117A"/>
    <w:rsid w:val="000E1285"/>
    <w:rsid w:val="000E14E3"/>
    <w:rsid w:val="000E18E0"/>
    <w:rsid w:val="000E1AAC"/>
    <w:rsid w:val="000E1AB7"/>
    <w:rsid w:val="000E22B1"/>
    <w:rsid w:val="000E28B3"/>
    <w:rsid w:val="000E3001"/>
    <w:rsid w:val="000E33E5"/>
    <w:rsid w:val="000E367F"/>
    <w:rsid w:val="000E36C3"/>
    <w:rsid w:val="000E3830"/>
    <w:rsid w:val="000E3E33"/>
    <w:rsid w:val="000E49C8"/>
    <w:rsid w:val="000E4EDC"/>
    <w:rsid w:val="000E4F6B"/>
    <w:rsid w:val="000E5033"/>
    <w:rsid w:val="000E6A68"/>
    <w:rsid w:val="000E6FB6"/>
    <w:rsid w:val="000E721C"/>
    <w:rsid w:val="000E733A"/>
    <w:rsid w:val="000E742C"/>
    <w:rsid w:val="000E7911"/>
    <w:rsid w:val="000E7CC3"/>
    <w:rsid w:val="000F00A2"/>
    <w:rsid w:val="000F023B"/>
    <w:rsid w:val="000F04D1"/>
    <w:rsid w:val="000F08DD"/>
    <w:rsid w:val="000F12B6"/>
    <w:rsid w:val="000F149E"/>
    <w:rsid w:val="000F1D1C"/>
    <w:rsid w:val="000F1D74"/>
    <w:rsid w:val="000F221C"/>
    <w:rsid w:val="000F2371"/>
    <w:rsid w:val="000F29CD"/>
    <w:rsid w:val="000F3114"/>
    <w:rsid w:val="000F3B3C"/>
    <w:rsid w:val="000F40A7"/>
    <w:rsid w:val="000F4327"/>
    <w:rsid w:val="000F49EB"/>
    <w:rsid w:val="000F4AD4"/>
    <w:rsid w:val="000F50B9"/>
    <w:rsid w:val="000F50DF"/>
    <w:rsid w:val="000F582C"/>
    <w:rsid w:val="000F68C2"/>
    <w:rsid w:val="000F6933"/>
    <w:rsid w:val="000F6BD3"/>
    <w:rsid w:val="000F71AF"/>
    <w:rsid w:val="000F71E5"/>
    <w:rsid w:val="000F7708"/>
    <w:rsid w:val="000F7766"/>
    <w:rsid w:val="000F791D"/>
    <w:rsid w:val="000F7E8F"/>
    <w:rsid w:val="00100826"/>
    <w:rsid w:val="001009B0"/>
    <w:rsid w:val="00100B9D"/>
    <w:rsid w:val="00100C06"/>
    <w:rsid w:val="00100D9D"/>
    <w:rsid w:val="00102149"/>
    <w:rsid w:val="0010229D"/>
    <w:rsid w:val="00102310"/>
    <w:rsid w:val="00102438"/>
    <w:rsid w:val="00102720"/>
    <w:rsid w:val="00102A36"/>
    <w:rsid w:val="00102DCF"/>
    <w:rsid w:val="00102E48"/>
    <w:rsid w:val="001032FD"/>
    <w:rsid w:val="001033A6"/>
    <w:rsid w:val="001038D4"/>
    <w:rsid w:val="00103A23"/>
    <w:rsid w:val="00103BEB"/>
    <w:rsid w:val="00103E81"/>
    <w:rsid w:val="001050E0"/>
    <w:rsid w:val="001059F4"/>
    <w:rsid w:val="00105A54"/>
    <w:rsid w:val="00105DF2"/>
    <w:rsid w:val="00106ACB"/>
    <w:rsid w:val="00106F5E"/>
    <w:rsid w:val="00107249"/>
    <w:rsid w:val="001077F3"/>
    <w:rsid w:val="00107EED"/>
    <w:rsid w:val="00107F36"/>
    <w:rsid w:val="00110C24"/>
    <w:rsid w:val="001113C2"/>
    <w:rsid w:val="0011162A"/>
    <w:rsid w:val="001116A4"/>
    <w:rsid w:val="0011177E"/>
    <w:rsid w:val="0011279B"/>
    <w:rsid w:val="00112801"/>
    <w:rsid w:val="001137AE"/>
    <w:rsid w:val="00113C26"/>
    <w:rsid w:val="00114164"/>
    <w:rsid w:val="00114768"/>
    <w:rsid w:val="00114A67"/>
    <w:rsid w:val="00114D3F"/>
    <w:rsid w:val="001152DC"/>
    <w:rsid w:val="001153A7"/>
    <w:rsid w:val="001156C7"/>
    <w:rsid w:val="0011589D"/>
    <w:rsid w:val="00115A7F"/>
    <w:rsid w:val="0011600E"/>
    <w:rsid w:val="00116820"/>
    <w:rsid w:val="00116E3B"/>
    <w:rsid w:val="001175CD"/>
    <w:rsid w:val="001175E5"/>
    <w:rsid w:val="00117A58"/>
    <w:rsid w:val="0012025E"/>
    <w:rsid w:val="00120B83"/>
    <w:rsid w:val="00120C95"/>
    <w:rsid w:val="00120DFE"/>
    <w:rsid w:val="00120EB9"/>
    <w:rsid w:val="001214B4"/>
    <w:rsid w:val="0012186D"/>
    <w:rsid w:val="00121919"/>
    <w:rsid w:val="00121BBF"/>
    <w:rsid w:val="00121BE2"/>
    <w:rsid w:val="00121CB7"/>
    <w:rsid w:val="00122C17"/>
    <w:rsid w:val="00122ECB"/>
    <w:rsid w:val="00123066"/>
    <w:rsid w:val="00123529"/>
    <w:rsid w:val="001238DD"/>
    <w:rsid w:val="00123993"/>
    <w:rsid w:val="00123B36"/>
    <w:rsid w:val="00123C58"/>
    <w:rsid w:val="00124022"/>
    <w:rsid w:val="00124389"/>
    <w:rsid w:val="00124517"/>
    <w:rsid w:val="001245D8"/>
    <w:rsid w:val="00124888"/>
    <w:rsid w:val="00124B1F"/>
    <w:rsid w:val="00124E57"/>
    <w:rsid w:val="001254CB"/>
    <w:rsid w:val="00125560"/>
    <w:rsid w:val="0012563F"/>
    <w:rsid w:val="00125BC8"/>
    <w:rsid w:val="0012607A"/>
    <w:rsid w:val="00126E53"/>
    <w:rsid w:val="001274B1"/>
    <w:rsid w:val="00127B08"/>
    <w:rsid w:val="00130183"/>
    <w:rsid w:val="00130687"/>
    <w:rsid w:val="00130A57"/>
    <w:rsid w:val="00131C27"/>
    <w:rsid w:val="00131F2B"/>
    <w:rsid w:val="00131FBA"/>
    <w:rsid w:val="001322E8"/>
    <w:rsid w:val="00132A94"/>
    <w:rsid w:val="00132D30"/>
    <w:rsid w:val="00133140"/>
    <w:rsid w:val="00133A0B"/>
    <w:rsid w:val="001348BE"/>
    <w:rsid w:val="00134CC3"/>
    <w:rsid w:val="0013533B"/>
    <w:rsid w:val="00135574"/>
    <w:rsid w:val="00135943"/>
    <w:rsid w:val="00135949"/>
    <w:rsid w:val="00135C2A"/>
    <w:rsid w:val="00136970"/>
    <w:rsid w:val="001369A8"/>
    <w:rsid w:val="00136ED9"/>
    <w:rsid w:val="00137081"/>
    <w:rsid w:val="00137D48"/>
    <w:rsid w:val="0014013C"/>
    <w:rsid w:val="00140D77"/>
    <w:rsid w:val="001410CF"/>
    <w:rsid w:val="00141266"/>
    <w:rsid w:val="001420C5"/>
    <w:rsid w:val="001425CA"/>
    <w:rsid w:val="001426B4"/>
    <w:rsid w:val="00142DEE"/>
    <w:rsid w:val="001430A2"/>
    <w:rsid w:val="001434A2"/>
    <w:rsid w:val="001436CC"/>
    <w:rsid w:val="001439D9"/>
    <w:rsid w:val="00143ADC"/>
    <w:rsid w:val="00143C49"/>
    <w:rsid w:val="00143C4F"/>
    <w:rsid w:val="00143F72"/>
    <w:rsid w:val="00144067"/>
    <w:rsid w:val="001440A2"/>
    <w:rsid w:val="001441DC"/>
    <w:rsid w:val="001443F1"/>
    <w:rsid w:val="00144495"/>
    <w:rsid w:val="00144623"/>
    <w:rsid w:val="0014463B"/>
    <w:rsid w:val="00144673"/>
    <w:rsid w:val="00144840"/>
    <w:rsid w:val="001453EA"/>
    <w:rsid w:val="00145F17"/>
    <w:rsid w:val="0014678D"/>
    <w:rsid w:val="00146A0C"/>
    <w:rsid w:val="00146B71"/>
    <w:rsid w:val="00147436"/>
    <w:rsid w:val="00147611"/>
    <w:rsid w:val="00147639"/>
    <w:rsid w:val="00147A77"/>
    <w:rsid w:val="00147B10"/>
    <w:rsid w:val="001502D2"/>
    <w:rsid w:val="00150C6C"/>
    <w:rsid w:val="00150DB0"/>
    <w:rsid w:val="00150F6C"/>
    <w:rsid w:val="001513FD"/>
    <w:rsid w:val="00151F97"/>
    <w:rsid w:val="00151FF1"/>
    <w:rsid w:val="001521B9"/>
    <w:rsid w:val="001522CC"/>
    <w:rsid w:val="00152DD9"/>
    <w:rsid w:val="00153516"/>
    <w:rsid w:val="00154198"/>
    <w:rsid w:val="0015423D"/>
    <w:rsid w:val="00154B22"/>
    <w:rsid w:val="00154DC0"/>
    <w:rsid w:val="00154F8B"/>
    <w:rsid w:val="00155238"/>
    <w:rsid w:val="00156486"/>
    <w:rsid w:val="00156499"/>
    <w:rsid w:val="00156B1C"/>
    <w:rsid w:val="00156FBF"/>
    <w:rsid w:val="0015746F"/>
    <w:rsid w:val="0015765D"/>
    <w:rsid w:val="001579EA"/>
    <w:rsid w:val="00157B3B"/>
    <w:rsid w:val="001601CE"/>
    <w:rsid w:val="0016102E"/>
    <w:rsid w:val="00161037"/>
    <w:rsid w:val="00161B99"/>
    <w:rsid w:val="00161FC1"/>
    <w:rsid w:val="001620B6"/>
    <w:rsid w:val="00162974"/>
    <w:rsid w:val="00162ADF"/>
    <w:rsid w:val="00162D9F"/>
    <w:rsid w:val="0016328F"/>
    <w:rsid w:val="001636DB"/>
    <w:rsid w:val="001637DA"/>
    <w:rsid w:val="00163B93"/>
    <w:rsid w:val="001643E4"/>
    <w:rsid w:val="001645ED"/>
    <w:rsid w:val="00164601"/>
    <w:rsid w:val="00164B99"/>
    <w:rsid w:val="00164C82"/>
    <w:rsid w:val="00165B89"/>
    <w:rsid w:val="00166373"/>
    <w:rsid w:val="001667AF"/>
    <w:rsid w:val="001667E6"/>
    <w:rsid w:val="001674B8"/>
    <w:rsid w:val="001678E3"/>
    <w:rsid w:val="00170399"/>
    <w:rsid w:val="001706D5"/>
    <w:rsid w:val="001707E9"/>
    <w:rsid w:val="00171362"/>
    <w:rsid w:val="0017138B"/>
    <w:rsid w:val="00171439"/>
    <w:rsid w:val="0017266B"/>
    <w:rsid w:val="00172695"/>
    <w:rsid w:val="00172701"/>
    <w:rsid w:val="001728E5"/>
    <w:rsid w:val="00172BA0"/>
    <w:rsid w:val="0017441C"/>
    <w:rsid w:val="001745F7"/>
    <w:rsid w:val="001751F0"/>
    <w:rsid w:val="001753A7"/>
    <w:rsid w:val="00175531"/>
    <w:rsid w:val="00175540"/>
    <w:rsid w:val="001757E7"/>
    <w:rsid w:val="0017633E"/>
    <w:rsid w:val="00176879"/>
    <w:rsid w:val="00176ADE"/>
    <w:rsid w:val="0017740A"/>
    <w:rsid w:val="00177BB6"/>
    <w:rsid w:val="001803FF"/>
    <w:rsid w:val="00181B25"/>
    <w:rsid w:val="00181F2A"/>
    <w:rsid w:val="0018209B"/>
    <w:rsid w:val="0018238C"/>
    <w:rsid w:val="001826DE"/>
    <w:rsid w:val="001829A4"/>
    <w:rsid w:val="00182CDC"/>
    <w:rsid w:val="00182E79"/>
    <w:rsid w:val="001835E2"/>
    <w:rsid w:val="00183F8B"/>
    <w:rsid w:val="001846BD"/>
    <w:rsid w:val="00184C9F"/>
    <w:rsid w:val="00184CBA"/>
    <w:rsid w:val="00185720"/>
    <w:rsid w:val="00186676"/>
    <w:rsid w:val="00186702"/>
    <w:rsid w:val="00186EFD"/>
    <w:rsid w:val="0018710C"/>
    <w:rsid w:val="001872C8"/>
    <w:rsid w:val="001878A2"/>
    <w:rsid w:val="001879B0"/>
    <w:rsid w:val="001904A3"/>
    <w:rsid w:val="001908D8"/>
    <w:rsid w:val="00190AB9"/>
    <w:rsid w:val="001912D6"/>
    <w:rsid w:val="0019154D"/>
    <w:rsid w:val="001922FA"/>
    <w:rsid w:val="001924E5"/>
    <w:rsid w:val="001925B9"/>
    <w:rsid w:val="001927F1"/>
    <w:rsid w:val="00192B34"/>
    <w:rsid w:val="00192BDA"/>
    <w:rsid w:val="00193120"/>
    <w:rsid w:val="001933A2"/>
    <w:rsid w:val="00193AE3"/>
    <w:rsid w:val="00195122"/>
    <w:rsid w:val="0019635A"/>
    <w:rsid w:val="001963ED"/>
    <w:rsid w:val="001963FC"/>
    <w:rsid w:val="00196A48"/>
    <w:rsid w:val="00196F4C"/>
    <w:rsid w:val="00197394"/>
    <w:rsid w:val="001978B3"/>
    <w:rsid w:val="001979A2"/>
    <w:rsid w:val="00197DB0"/>
    <w:rsid w:val="001A027F"/>
    <w:rsid w:val="001A02E9"/>
    <w:rsid w:val="001A0BD4"/>
    <w:rsid w:val="001A1208"/>
    <w:rsid w:val="001A12A0"/>
    <w:rsid w:val="001A1596"/>
    <w:rsid w:val="001A169C"/>
    <w:rsid w:val="001A1EBA"/>
    <w:rsid w:val="001A1F4E"/>
    <w:rsid w:val="001A209A"/>
    <w:rsid w:val="001A2594"/>
    <w:rsid w:val="001A263E"/>
    <w:rsid w:val="001A2E82"/>
    <w:rsid w:val="001A2E98"/>
    <w:rsid w:val="001A2FB9"/>
    <w:rsid w:val="001A3A0D"/>
    <w:rsid w:val="001A441D"/>
    <w:rsid w:val="001A4BA8"/>
    <w:rsid w:val="001A521D"/>
    <w:rsid w:val="001A5889"/>
    <w:rsid w:val="001A5BA9"/>
    <w:rsid w:val="001A676C"/>
    <w:rsid w:val="001A6DA1"/>
    <w:rsid w:val="001A6ED0"/>
    <w:rsid w:val="001A778F"/>
    <w:rsid w:val="001A7827"/>
    <w:rsid w:val="001B0292"/>
    <w:rsid w:val="001B0849"/>
    <w:rsid w:val="001B0CD1"/>
    <w:rsid w:val="001B0E14"/>
    <w:rsid w:val="001B118E"/>
    <w:rsid w:val="001B12E1"/>
    <w:rsid w:val="001B1452"/>
    <w:rsid w:val="001B146E"/>
    <w:rsid w:val="001B1E15"/>
    <w:rsid w:val="001B1F99"/>
    <w:rsid w:val="001B2040"/>
    <w:rsid w:val="001B25DA"/>
    <w:rsid w:val="001B2ADA"/>
    <w:rsid w:val="001B3510"/>
    <w:rsid w:val="001B3BEB"/>
    <w:rsid w:val="001B3FA0"/>
    <w:rsid w:val="001B3FD2"/>
    <w:rsid w:val="001B47B1"/>
    <w:rsid w:val="001B48CE"/>
    <w:rsid w:val="001B4ABA"/>
    <w:rsid w:val="001B4D0F"/>
    <w:rsid w:val="001B4E42"/>
    <w:rsid w:val="001B50BC"/>
    <w:rsid w:val="001B52D1"/>
    <w:rsid w:val="001B67D9"/>
    <w:rsid w:val="001B6A00"/>
    <w:rsid w:val="001B6A6E"/>
    <w:rsid w:val="001B7365"/>
    <w:rsid w:val="001B73A4"/>
    <w:rsid w:val="001B7540"/>
    <w:rsid w:val="001B7EF4"/>
    <w:rsid w:val="001C0519"/>
    <w:rsid w:val="001C06AE"/>
    <w:rsid w:val="001C0CEF"/>
    <w:rsid w:val="001C0EE4"/>
    <w:rsid w:val="001C1624"/>
    <w:rsid w:val="001C221B"/>
    <w:rsid w:val="001C2545"/>
    <w:rsid w:val="001C274B"/>
    <w:rsid w:val="001C39F1"/>
    <w:rsid w:val="001C3D2C"/>
    <w:rsid w:val="001C3D79"/>
    <w:rsid w:val="001C3D80"/>
    <w:rsid w:val="001C4326"/>
    <w:rsid w:val="001C4386"/>
    <w:rsid w:val="001C4CF8"/>
    <w:rsid w:val="001C4D57"/>
    <w:rsid w:val="001C4DC2"/>
    <w:rsid w:val="001C4E87"/>
    <w:rsid w:val="001C548A"/>
    <w:rsid w:val="001C62B6"/>
    <w:rsid w:val="001C6478"/>
    <w:rsid w:val="001C650E"/>
    <w:rsid w:val="001C6919"/>
    <w:rsid w:val="001C734E"/>
    <w:rsid w:val="001C7C61"/>
    <w:rsid w:val="001D01CB"/>
    <w:rsid w:val="001D0953"/>
    <w:rsid w:val="001D0B0A"/>
    <w:rsid w:val="001D0F4B"/>
    <w:rsid w:val="001D0F9B"/>
    <w:rsid w:val="001D19AE"/>
    <w:rsid w:val="001D1BE8"/>
    <w:rsid w:val="001D1DD8"/>
    <w:rsid w:val="001D1E3E"/>
    <w:rsid w:val="001D2A4B"/>
    <w:rsid w:val="001D2B76"/>
    <w:rsid w:val="001D338E"/>
    <w:rsid w:val="001D45D7"/>
    <w:rsid w:val="001D46C9"/>
    <w:rsid w:val="001D54FA"/>
    <w:rsid w:val="001D5A3A"/>
    <w:rsid w:val="001D62D6"/>
    <w:rsid w:val="001D638F"/>
    <w:rsid w:val="001D64BE"/>
    <w:rsid w:val="001D6590"/>
    <w:rsid w:val="001D68DA"/>
    <w:rsid w:val="001D6909"/>
    <w:rsid w:val="001D6E9B"/>
    <w:rsid w:val="001D70AF"/>
    <w:rsid w:val="001D7783"/>
    <w:rsid w:val="001E07C2"/>
    <w:rsid w:val="001E0915"/>
    <w:rsid w:val="001E0DA6"/>
    <w:rsid w:val="001E0E7D"/>
    <w:rsid w:val="001E0F2B"/>
    <w:rsid w:val="001E17A6"/>
    <w:rsid w:val="001E38D5"/>
    <w:rsid w:val="001E3E34"/>
    <w:rsid w:val="001E4211"/>
    <w:rsid w:val="001E45E3"/>
    <w:rsid w:val="001E4DD2"/>
    <w:rsid w:val="001E5780"/>
    <w:rsid w:val="001E5C70"/>
    <w:rsid w:val="001E5D23"/>
    <w:rsid w:val="001E62D9"/>
    <w:rsid w:val="001E6743"/>
    <w:rsid w:val="001E6C3E"/>
    <w:rsid w:val="001E6E1E"/>
    <w:rsid w:val="001E7115"/>
    <w:rsid w:val="001E7209"/>
    <w:rsid w:val="001E726F"/>
    <w:rsid w:val="001E79BA"/>
    <w:rsid w:val="001E7A62"/>
    <w:rsid w:val="001E7B5F"/>
    <w:rsid w:val="001E7C95"/>
    <w:rsid w:val="001F01F9"/>
    <w:rsid w:val="001F059B"/>
    <w:rsid w:val="001F1609"/>
    <w:rsid w:val="001F1C4B"/>
    <w:rsid w:val="001F1D8A"/>
    <w:rsid w:val="001F25E0"/>
    <w:rsid w:val="001F2F1C"/>
    <w:rsid w:val="001F4800"/>
    <w:rsid w:val="001F4DFA"/>
    <w:rsid w:val="001F5282"/>
    <w:rsid w:val="001F5A31"/>
    <w:rsid w:val="001F5F5C"/>
    <w:rsid w:val="001F610C"/>
    <w:rsid w:val="001F6558"/>
    <w:rsid w:val="0020047B"/>
    <w:rsid w:val="002006CB"/>
    <w:rsid w:val="002006D8"/>
    <w:rsid w:val="00200D70"/>
    <w:rsid w:val="002017FE"/>
    <w:rsid w:val="00201D52"/>
    <w:rsid w:val="002021D2"/>
    <w:rsid w:val="00202263"/>
    <w:rsid w:val="002026B0"/>
    <w:rsid w:val="0020276F"/>
    <w:rsid w:val="00202DCA"/>
    <w:rsid w:val="00202F02"/>
    <w:rsid w:val="002034EC"/>
    <w:rsid w:val="00203BCA"/>
    <w:rsid w:val="00203E13"/>
    <w:rsid w:val="0020413F"/>
    <w:rsid w:val="002045A4"/>
    <w:rsid w:val="0020474E"/>
    <w:rsid w:val="00204B8A"/>
    <w:rsid w:val="00204BE3"/>
    <w:rsid w:val="00204D5B"/>
    <w:rsid w:val="00204F03"/>
    <w:rsid w:val="0020520C"/>
    <w:rsid w:val="00205386"/>
    <w:rsid w:val="002053AB"/>
    <w:rsid w:val="00205712"/>
    <w:rsid w:val="002058A5"/>
    <w:rsid w:val="00206BEB"/>
    <w:rsid w:val="002071F8"/>
    <w:rsid w:val="00207E34"/>
    <w:rsid w:val="002104AF"/>
    <w:rsid w:val="00210B06"/>
    <w:rsid w:val="00211387"/>
    <w:rsid w:val="00211428"/>
    <w:rsid w:val="00211539"/>
    <w:rsid w:val="00211CE3"/>
    <w:rsid w:val="00211ED0"/>
    <w:rsid w:val="002121D7"/>
    <w:rsid w:val="0021220C"/>
    <w:rsid w:val="002125F2"/>
    <w:rsid w:val="00212EB2"/>
    <w:rsid w:val="00213341"/>
    <w:rsid w:val="00213A29"/>
    <w:rsid w:val="00213AC1"/>
    <w:rsid w:val="00213EC8"/>
    <w:rsid w:val="00214256"/>
    <w:rsid w:val="0021520D"/>
    <w:rsid w:val="002156DA"/>
    <w:rsid w:val="002156DE"/>
    <w:rsid w:val="00215BEA"/>
    <w:rsid w:val="00215CC5"/>
    <w:rsid w:val="002165D0"/>
    <w:rsid w:val="0021676F"/>
    <w:rsid w:val="002168CA"/>
    <w:rsid w:val="00216959"/>
    <w:rsid w:val="002169DB"/>
    <w:rsid w:val="00216D26"/>
    <w:rsid w:val="002174E9"/>
    <w:rsid w:val="00217C20"/>
    <w:rsid w:val="00217E70"/>
    <w:rsid w:val="0022090D"/>
    <w:rsid w:val="00220C0E"/>
    <w:rsid w:val="0022109E"/>
    <w:rsid w:val="0022118F"/>
    <w:rsid w:val="00221882"/>
    <w:rsid w:val="0022196C"/>
    <w:rsid w:val="00221BB0"/>
    <w:rsid w:val="00221E70"/>
    <w:rsid w:val="002220BE"/>
    <w:rsid w:val="0022245F"/>
    <w:rsid w:val="002225A1"/>
    <w:rsid w:val="002225DF"/>
    <w:rsid w:val="002229E4"/>
    <w:rsid w:val="00222BBF"/>
    <w:rsid w:val="00222DEB"/>
    <w:rsid w:val="00223AAE"/>
    <w:rsid w:val="00223DA1"/>
    <w:rsid w:val="00224249"/>
    <w:rsid w:val="0022502C"/>
    <w:rsid w:val="00225B6F"/>
    <w:rsid w:val="00225F9F"/>
    <w:rsid w:val="00225FAA"/>
    <w:rsid w:val="00225FB5"/>
    <w:rsid w:val="0022628C"/>
    <w:rsid w:val="00226473"/>
    <w:rsid w:val="00226933"/>
    <w:rsid w:val="002269D2"/>
    <w:rsid w:val="00226A5F"/>
    <w:rsid w:val="00226BB2"/>
    <w:rsid w:val="0022700F"/>
    <w:rsid w:val="00227437"/>
    <w:rsid w:val="00227BFF"/>
    <w:rsid w:val="00227FFB"/>
    <w:rsid w:val="0023001B"/>
    <w:rsid w:val="00230192"/>
    <w:rsid w:val="00231305"/>
    <w:rsid w:val="00231BCD"/>
    <w:rsid w:val="00232391"/>
    <w:rsid w:val="002323A7"/>
    <w:rsid w:val="0023521D"/>
    <w:rsid w:val="00235614"/>
    <w:rsid w:val="00235DE9"/>
    <w:rsid w:val="00235FA7"/>
    <w:rsid w:val="00236399"/>
    <w:rsid w:val="00236605"/>
    <w:rsid w:val="0023717E"/>
    <w:rsid w:val="0023736D"/>
    <w:rsid w:val="00237A46"/>
    <w:rsid w:val="00237D57"/>
    <w:rsid w:val="00240039"/>
    <w:rsid w:val="002402E0"/>
    <w:rsid w:val="002405D9"/>
    <w:rsid w:val="00240F13"/>
    <w:rsid w:val="002418FB"/>
    <w:rsid w:val="00241C31"/>
    <w:rsid w:val="0024259A"/>
    <w:rsid w:val="00242BA9"/>
    <w:rsid w:val="00242C44"/>
    <w:rsid w:val="00243077"/>
    <w:rsid w:val="00243515"/>
    <w:rsid w:val="00243777"/>
    <w:rsid w:val="00243D13"/>
    <w:rsid w:val="002446D7"/>
    <w:rsid w:val="00244B2E"/>
    <w:rsid w:val="00244BF1"/>
    <w:rsid w:val="00245025"/>
    <w:rsid w:val="002450FC"/>
    <w:rsid w:val="00245219"/>
    <w:rsid w:val="0024558F"/>
    <w:rsid w:val="00246101"/>
    <w:rsid w:val="00246916"/>
    <w:rsid w:val="00246D8C"/>
    <w:rsid w:val="00246F86"/>
    <w:rsid w:val="00247196"/>
    <w:rsid w:val="00247664"/>
    <w:rsid w:val="00247B6E"/>
    <w:rsid w:val="00247BBB"/>
    <w:rsid w:val="00247FA7"/>
    <w:rsid w:val="0025002F"/>
    <w:rsid w:val="00250536"/>
    <w:rsid w:val="002511E5"/>
    <w:rsid w:val="00251222"/>
    <w:rsid w:val="00251FF5"/>
    <w:rsid w:val="0025222A"/>
    <w:rsid w:val="00252CE3"/>
    <w:rsid w:val="00253006"/>
    <w:rsid w:val="00253655"/>
    <w:rsid w:val="00253D73"/>
    <w:rsid w:val="00254184"/>
    <w:rsid w:val="0025472B"/>
    <w:rsid w:val="00255363"/>
    <w:rsid w:val="00255EB3"/>
    <w:rsid w:val="00255ED9"/>
    <w:rsid w:val="0025617A"/>
    <w:rsid w:val="002562CA"/>
    <w:rsid w:val="00256391"/>
    <w:rsid w:val="0025656E"/>
    <w:rsid w:val="00256853"/>
    <w:rsid w:val="00256F1C"/>
    <w:rsid w:val="002570D0"/>
    <w:rsid w:val="002573F8"/>
    <w:rsid w:val="002579EC"/>
    <w:rsid w:val="00257C52"/>
    <w:rsid w:val="00260146"/>
    <w:rsid w:val="00260C1C"/>
    <w:rsid w:val="00260DBC"/>
    <w:rsid w:val="002611B3"/>
    <w:rsid w:val="00261CFA"/>
    <w:rsid w:val="00262019"/>
    <w:rsid w:val="002621D8"/>
    <w:rsid w:val="0026224F"/>
    <w:rsid w:val="0026292C"/>
    <w:rsid w:val="00262CFE"/>
    <w:rsid w:val="00263103"/>
    <w:rsid w:val="002631D7"/>
    <w:rsid w:val="002637CD"/>
    <w:rsid w:val="00263A55"/>
    <w:rsid w:val="00263CEC"/>
    <w:rsid w:val="00263D8A"/>
    <w:rsid w:val="00263DB2"/>
    <w:rsid w:val="00263DE3"/>
    <w:rsid w:val="002642BB"/>
    <w:rsid w:val="002647DA"/>
    <w:rsid w:val="0026482D"/>
    <w:rsid w:val="00264D68"/>
    <w:rsid w:val="0026558E"/>
    <w:rsid w:val="00265737"/>
    <w:rsid w:val="00265B08"/>
    <w:rsid w:val="00265E8B"/>
    <w:rsid w:val="00265F4B"/>
    <w:rsid w:val="00266822"/>
    <w:rsid w:val="002668AB"/>
    <w:rsid w:val="00266A9A"/>
    <w:rsid w:val="00266E02"/>
    <w:rsid w:val="00266F0F"/>
    <w:rsid w:val="002679AE"/>
    <w:rsid w:val="00267A5D"/>
    <w:rsid w:val="002700D4"/>
    <w:rsid w:val="00271255"/>
    <w:rsid w:val="002718EC"/>
    <w:rsid w:val="0027195C"/>
    <w:rsid w:val="00271E7B"/>
    <w:rsid w:val="002726A5"/>
    <w:rsid w:val="00272A89"/>
    <w:rsid w:val="00272CF0"/>
    <w:rsid w:val="00272F23"/>
    <w:rsid w:val="00273795"/>
    <w:rsid w:val="0027387C"/>
    <w:rsid w:val="00273942"/>
    <w:rsid w:val="002746F3"/>
    <w:rsid w:val="002748BF"/>
    <w:rsid w:val="0027494F"/>
    <w:rsid w:val="00274C1E"/>
    <w:rsid w:val="002752C6"/>
    <w:rsid w:val="00275483"/>
    <w:rsid w:val="00275489"/>
    <w:rsid w:val="00275849"/>
    <w:rsid w:val="00275A73"/>
    <w:rsid w:val="00275B01"/>
    <w:rsid w:val="00275D54"/>
    <w:rsid w:val="00275E3A"/>
    <w:rsid w:val="00275FE3"/>
    <w:rsid w:val="0027684E"/>
    <w:rsid w:val="002770BD"/>
    <w:rsid w:val="00277B56"/>
    <w:rsid w:val="0028061D"/>
    <w:rsid w:val="0028139B"/>
    <w:rsid w:val="00281657"/>
    <w:rsid w:val="0028176C"/>
    <w:rsid w:val="00281B52"/>
    <w:rsid w:val="002824A4"/>
    <w:rsid w:val="00282557"/>
    <w:rsid w:val="0028294B"/>
    <w:rsid w:val="00282B2B"/>
    <w:rsid w:val="00282C90"/>
    <w:rsid w:val="00282E94"/>
    <w:rsid w:val="0028377D"/>
    <w:rsid w:val="00284105"/>
    <w:rsid w:val="002847F3"/>
    <w:rsid w:val="00284C45"/>
    <w:rsid w:val="00284C9D"/>
    <w:rsid w:val="00284E72"/>
    <w:rsid w:val="00284EDD"/>
    <w:rsid w:val="002855EA"/>
    <w:rsid w:val="00285B39"/>
    <w:rsid w:val="00285D6B"/>
    <w:rsid w:val="002864A2"/>
    <w:rsid w:val="00286853"/>
    <w:rsid w:val="00286B3C"/>
    <w:rsid w:val="00286DEB"/>
    <w:rsid w:val="00287484"/>
    <w:rsid w:val="00287CC6"/>
    <w:rsid w:val="002909BF"/>
    <w:rsid w:val="00290D99"/>
    <w:rsid w:val="00291134"/>
    <w:rsid w:val="00291620"/>
    <w:rsid w:val="0029168B"/>
    <w:rsid w:val="002916DA"/>
    <w:rsid w:val="0029185D"/>
    <w:rsid w:val="00292B30"/>
    <w:rsid w:val="00292D40"/>
    <w:rsid w:val="002932A0"/>
    <w:rsid w:val="0029374D"/>
    <w:rsid w:val="00293A42"/>
    <w:rsid w:val="00293E5D"/>
    <w:rsid w:val="00294578"/>
    <w:rsid w:val="0029487B"/>
    <w:rsid w:val="002949F4"/>
    <w:rsid w:val="00295428"/>
    <w:rsid w:val="002954B3"/>
    <w:rsid w:val="0029564F"/>
    <w:rsid w:val="00296030"/>
    <w:rsid w:val="00296BFE"/>
    <w:rsid w:val="00297082"/>
    <w:rsid w:val="00297226"/>
    <w:rsid w:val="0029784A"/>
    <w:rsid w:val="002978DF"/>
    <w:rsid w:val="00297F02"/>
    <w:rsid w:val="002A01CE"/>
    <w:rsid w:val="002A0E64"/>
    <w:rsid w:val="002A162D"/>
    <w:rsid w:val="002A1A99"/>
    <w:rsid w:val="002A1DDA"/>
    <w:rsid w:val="002A1E8F"/>
    <w:rsid w:val="002A447C"/>
    <w:rsid w:val="002A453B"/>
    <w:rsid w:val="002A4E78"/>
    <w:rsid w:val="002A51BA"/>
    <w:rsid w:val="002A5284"/>
    <w:rsid w:val="002A5E0A"/>
    <w:rsid w:val="002A6C5C"/>
    <w:rsid w:val="002A774C"/>
    <w:rsid w:val="002A7D9B"/>
    <w:rsid w:val="002B0599"/>
    <w:rsid w:val="002B066B"/>
    <w:rsid w:val="002B0A81"/>
    <w:rsid w:val="002B0AB2"/>
    <w:rsid w:val="002B1248"/>
    <w:rsid w:val="002B12C7"/>
    <w:rsid w:val="002B1B0B"/>
    <w:rsid w:val="002B1FD2"/>
    <w:rsid w:val="002B28EE"/>
    <w:rsid w:val="002B2A7E"/>
    <w:rsid w:val="002B387B"/>
    <w:rsid w:val="002B3B0A"/>
    <w:rsid w:val="002B3D8B"/>
    <w:rsid w:val="002B4026"/>
    <w:rsid w:val="002B55AB"/>
    <w:rsid w:val="002B5FFB"/>
    <w:rsid w:val="002B62B1"/>
    <w:rsid w:val="002B62F2"/>
    <w:rsid w:val="002B689A"/>
    <w:rsid w:val="002B6AAB"/>
    <w:rsid w:val="002B764A"/>
    <w:rsid w:val="002C08E2"/>
    <w:rsid w:val="002C091A"/>
    <w:rsid w:val="002C0A2B"/>
    <w:rsid w:val="002C129F"/>
    <w:rsid w:val="002C17C7"/>
    <w:rsid w:val="002C1AD0"/>
    <w:rsid w:val="002C1F52"/>
    <w:rsid w:val="002C2600"/>
    <w:rsid w:val="002C2B2D"/>
    <w:rsid w:val="002C2CC3"/>
    <w:rsid w:val="002C2CCC"/>
    <w:rsid w:val="002C2D6C"/>
    <w:rsid w:val="002C2E22"/>
    <w:rsid w:val="002C2E74"/>
    <w:rsid w:val="002C2F58"/>
    <w:rsid w:val="002C314A"/>
    <w:rsid w:val="002C36C9"/>
    <w:rsid w:val="002C3958"/>
    <w:rsid w:val="002C426D"/>
    <w:rsid w:val="002C4283"/>
    <w:rsid w:val="002C43A9"/>
    <w:rsid w:val="002C54F7"/>
    <w:rsid w:val="002C5907"/>
    <w:rsid w:val="002C59ED"/>
    <w:rsid w:val="002C6680"/>
    <w:rsid w:val="002C6851"/>
    <w:rsid w:val="002C69FC"/>
    <w:rsid w:val="002C6A36"/>
    <w:rsid w:val="002C6BE3"/>
    <w:rsid w:val="002C755E"/>
    <w:rsid w:val="002C7838"/>
    <w:rsid w:val="002C7946"/>
    <w:rsid w:val="002D01C7"/>
    <w:rsid w:val="002D0228"/>
    <w:rsid w:val="002D0669"/>
    <w:rsid w:val="002D06BD"/>
    <w:rsid w:val="002D0772"/>
    <w:rsid w:val="002D0DF0"/>
    <w:rsid w:val="002D226C"/>
    <w:rsid w:val="002D295F"/>
    <w:rsid w:val="002D383E"/>
    <w:rsid w:val="002D3C8D"/>
    <w:rsid w:val="002D4A8F"/>
    <w:rsid w:val="002D520F"/>
    <w:rsid w:val="002D5612"/>
    <w:rsid w:val="002D56BA"/>
    <w:rsid w:val="002D57C0"/>
    <w:rsid w:val="002D5907"/>
    <w:rsid w:val="002D5A40"/>
    <w:rsid w:val="002D5B8E"/>
    <w:rsid w:val="002D5B9B"/>
    <w:rsid w:val="002D61EE"/>
    <w:rsid w:val="002D6382"/>
    <w:rsid w:val="002D6C0D"/>
    <w:rsid w:val="002D7316"/>
    <w:rsid w:val="002E0062"/>
    <w:rsid w:val="002E0246"/>
    <w:rsid w:val="002E0478"/>
    <w:rsid w:val="002E0A1B"/>
    <w:rsid w:val="002E2086"/>
    <w:rsid w:val="002E23AE"/>
    <w:rsid w:val="002E23EC"/>
    <w:rsid w:val="002E2488"/>
    <w:rsid w:val="002E25A5"/>
    <w:rsid w:val="002E354B"/>
    <w:rsid w:val="002E3697"/>
    <w:rsid w:val="002E36C7"/>
    <w:rsid w:val="002E3A3B"/>
    <w:rsid w:val="002E3AF5"/>
    <w:rsid w:val="002E3D6F"/>
    <w:rsid w:val="002E3FE2"/>
    <w:rsid w:val="002E40B8"/>
    <w:rsid w:val="002E40C8"/>
    <w:rsid w:val="002E680A"/>
    <w:rsid w:val="002E68E8"/>
    <w:rsid w:val="002E702D"/>
    <w:rsid w:val="002E70D9"/>
    <w:rsid w:val="002E72F9"/>
    <w:rsid w:val="002E7489"/>
    <w:rsid w:val="002E77D8"/>
    <w:rsid w:val="002E782B"/>
    <w:rsid w:val="002F00D1"/>
    <w:rsid w:val="002F0439"/>
    <w:rsid w:val="002F26E6"/>
    <w:rsid w:val="002F2CE1"/>
    <w:rsid w:val="002F2E86"/>
    <w:rsid w:val="002F31A0"/>
    <w:rsid w:val="002F352E"/>
    <w:rsid w:val="002F354A"/>
    <w:rsid w:val="002F38F6"/>
    <w:rsid w:val="002F3AF4"/>
    <w:rsid w:val="002F3EF0"/>
    <w:rsid w:val="002F41AE"/>
    <w:rsid w:val="002F4306"/>
    <w:rsid w:val="002F4988"/>
    <w:rsid w:val="002F4AE3"/>
    <w:rsid w:val="002F4D99"/>
    <w:rsid w:val="002F50B7"/>
    <w:rsid w:val="002F51E7"/>
    <w:rsid w:val="002F5578"/>
    <w:rsid w:val="002F5739"/>
    <w:rsid w:val="002F5941"/>
    <w:rsid w:val="002F5988"/>
    <w:rsid w:val="002F5CE7"/>
    <w:rsid w:val="002F5DF4"/>
    <w:rsid w:val="002F6495"/>
    <w:rsid w:val="002F6CD1"/>
    <w:rsid w:val="002F6D17"/>
    <w:rsid w:val="002F6EE9"/>
    <w:rsid w:val="002F6F65"/>
    <w:rsid w:val="002F7117"/>
    <w:rsid w:val="002F7481"/>
    <w:rsid w:val="003001F1"/>
    <w:rsid w:val="0030038A"/>
    <w:rsid w:val="003003E8"/>
    <w:rsid w:val="00300455"/>
    <w:rsid w:val="0030089D"/>
    <w:rsid w:val="003009BC"/>
    <w:rsid w:val="00300FA2"/>
    <w:rsid w:val="003011DE"/>
    <w:rsid w:val="00301406"/>
    <w:rsid w:val="00301ABD"/>
    <w:rsid w:val="00301E25"/>
    <w:rsid w:val="00301EBE"/>
    <w:rsid w:val="00302450"/>
    <w:rsid w:val="00302654"/>
    <w:rsid w:val="003026C3"/>
    <w:rsid w:val="0030292B"/>
    <w:rsid w:val="00302ECA"/>
    <w:rsid w:val="0030364E"/>
    <w:rsid w:val="0030397F"/>
    <w:rsid w:val="00303F40"/>
    <w:rsid w:val="00304493"/>
    <w:rsid w:val="0030491C"/>
    <w:rsid w:val="00304A25"/>
    <w:rsid w:val="00304EE0"/>
    <w:rsid w:val="003053BA"/>
    <w:rsid w:val="00305530"/>
    <w:rsid w:val="003056BD"/>
    <w:rsid w:val="00305AA0"/>
    <w:rsid w:val="00305DD1"/>
    <w:rsid w:val="00306123"/>
    <w:rsid w:val="00306231"/>
    <w:rsid w:val="003069F8"/>
    <w:rsid w:val="00306BE3"/>
    <w:rsid w:val="00306FEA"/>
    <w:rsid w:val="003071E7"/>
    <w:rsid w:val="003073CB"/>
    <w:rsid w:val="003075F9"/>
    <w:rsid w:val="003077D5"/>
    <w:rsid w:val="00307822"/>
    <w:rsid w:val="00307E19"/>
    <w:rsid w:val="00307E45"/>
    <w:rsid w:val="00310A62"/>
    <w:rsid w:val="00310A6D"/>
    <w:rsid w:val="00310A96"/>
    <w:rsid w:val="003116F6"/>
    <w:rsid w:val="00311D31"/>
    <w:rsid w:val="0031244C"/>
    <w:rsid w:val="00312592"/>
    <w:rsid w:val="003125BE"/>
    <w:rsid w:val="0031290A"/>
    <w:rsid w:val="00312953"/>
    <w:rsid w:val="00312BA4"/>
    <w:rsid w:val="00312C9A"/>
    <w:rsid w:val="00312F99"/>
    <w:rsid w:val="00313E6C"/>
    <w:rsid w:val="003140FF"/>
    <w:rsid w:val="00314338"/>
    <w:rsid w:val="00314AE4"/>
    <w:rsid w:val="00314D32"/>
    <w:rsid w:val="003150CC"/>
    <w:rsid w:val="00315547"/>
    <w:rsid w:val="003157DC"/>
    <w:rsid w:val="00315905"/>
    <w:rsid w:val="00315FC9"/>
    <w:rsid w:val="0031608E"/>
    <w:rsid w:val="0031618C"/>
    <w:rsid w:val="003169F1"/>
    <w:rsid w:val="003171D9"/>
    <w:rsid w:val="0031720F"/>
    <w:rsid w:val="0031741B"/>
    <w:rsid w:val="003178E7"/>
    <w:rsid w:val="00317ABA"/>
    <w:rsid w:val="00317B08"/>
    <w:rsid w:val="00317DB7"/>
    <w:rsid w:val="00320706"/>
    <w:rsid w:val="00320E18"/>
    <w:rsid w:val="0032128B"/>
    <w:rsid w:val="00321FD2"/>
    <w:rsid w:val="003221B9"/>
    <w:rsid w:val="003226AC"/>
    <w:rsid w:val="00322BCD"/>
    <w:rsid w:val="00322E08"/>
    <w:rsid w:val="0032426C"/>
    <w:rsid w:val="00324517"/>
    <w:rsid w:val="00324627"/>
    <w:rsid w:val="003248B7"/>
    <w:rsid w:val="003248BB"/>
    <w:rsid w:val="00324F3F"/>
    <w:rsid w:val="0032520E"/>
    <w:rsid w:val="003254A6"/>
    <w:rsid w:val="003255F3"/>
    <w:rsid w:val="00325FD6"/>
    <w:rsid w:val="00327784"/>
    <w:rsid w:val="00330454"/>
    <w:rsid w:val="00330BF5"/>
    <w:rsid w:val="00330E07"/>
    <w:rsid w:val="003319A8"/>
    <w:rsid w:val="00331D2C"/>
    <w:rsid w:val="00331F66"/>
    <w:rsid w:val="00332392"/>
    <w:rsid w:val="00332470"/>
    <w:rsid w:val="00332DA6"/>
    <w:rsid w:val="00333490"/>
    <w:rsid w:val="003340E3"/>
    <w:rsid w:val="00334164"/>
    <w:rsid w:val="00334340"/>
    <w:rsid w:val="00334796"/>
    <w:rsid w:val="003351C5"/>
    <w:rsid w:val="0033579E"/>
    <w:rsid w:val="003358F5"/>
    <w:rsid w:val="00335A29"/>
    <w:rsid w:val="00335BA6"/>
    <w:rsid w:val="00335F45"/>
    <w:rsid w:val="00336353"/>
    <w:rsid w:val="00336586"/>
    <w:rsid w:val="00336AAE"/>
    <w:rsid w:val="00337CE2"/>
    <w:rsid w:val="00340058"/>
    <w:rsid w:val="003409A5"/>
    <w:rsid w:val="00341243"/>
    <w:rsid w:val="0034181B"/>
    <w:rsid w:val="00341E3E"/>
    <w:rsid w:val="0034243A"/>
    <w:rsid w:val="003425ED"/>
    <w:rsid w:val="00342E6F"/>
    <w:rsid w:val="00342FDC"/>
    <w:rsid w:val="00343C43"/>
    <w:rsid w:val="003447B7"/>
    <w:rsid w:val="00344808"/>
    <w:rsid w:val="003449C9"/>
    <w:rsid w:val="00345206"/>
    <w:rsid w:val="00345479"/>
    <w:rsid w:val="00345599"/>
    <w:rsid w:val="003456F6"/>
    <w:rsid w:val="00345873"/>
    <w:rsid w:val="003459EC"/>
    <w:rsid w:val="00345E02"/>
    <w:rsid w:val="00345F8E"/>
    <w:rsid w:val="00346244"/>
    <w:rsid w:val="003462F3"/>
    <w:rsid w:val="00346589"/>
    <w:rsid w:val="0034683A"/>
    <w:rsid w:val="00346D32"/>
    <w:rsid w:val="00347439"/>
    <w:rsid w:val="003475AC"/>
    <w:rsid w:val="00347919"/>
    <w:rsid w:val="00347A9B"/>
    <w:rsid w:val="00347FAD"/>
    <w:rsid w:val="00347FCD"/>
    <w:rsid w:val="003501CC"/>
    <w:rsid w:val="003501CE"/>
    <w:rsid w:val="00350235"/>
    <w:rsid w:val="00350E84"/>
    <w:rsid w:val="003512CE"/>
    <w:rsid w:val="00351D6F"/>
    <w:rsid w:val="003522B6"/>
    <w:rsid w:val="00352781"/>
    <w:rsid w:val="003535DC"/>
    <w:rsid w:val="003538C6"/>
    <w:rsid w:val="00353BAC"/>
    <w:rsid w:val="00353F17"/>
    <w:rsid w:val="00354035"/>
    <w:rsid w:val="003547E1"/>
    <w:rsid w:val="003547E9"/>
    <w:rsid w:val="00354BED"/>
    <w:rsid w:val="00354C09"/>
    <w:rsid w:val="0035519B"/>
    <w:rsid w:val="00355DE2"/>
    <w:rsid w:val="00355EFD"/>
    <w:rsid w:val="00356F04"/>
    <w:rsid w:val="00357F4B"/>
    <w:rsid w:val="003604C7"/>
    <w:rsid w:val="00360F5C"/>
    <w:rsid w:val="00361078"/>
    <w:rsid w:val="003610F5"/>
    <w:rsid w:val="00361AB3"/>
    <w:rsid w:val="00361FBF"/>
    <w:rsid w:val="00362B42"/>
    <w:rsid w:val="0036314F"/>
    <w:rsid w:val="0036336F"/>
    <w:rsid w:val="003636F2"/>
    <w:rsid w:val="00364411"/>
    <w:rsid w:val="0036460B"/>
    <w:rsid w:val="00364BD4"/>
    <w:rsid w:val="00364BFF"/>
    <w:rsid w:val="00364CAC"/>
    <w:rsid w:val="00365626"/>
    <w:rsid w:val="00365D8E"/>
    <w:rsid w:val="00365F2C"/>
    <w:rsid w:val="00366244"/>
    <w:rsid w:val="0036675B"/>
    <w:rsid w:val="00366C1C"/>
    <w:rsid w:val="00367477"/>
    <w:rsid w:val="0036756A"/>
    <w:rsid w:val="00370F44"/>
    <w:rsid w:val="00371B37"/>
    <w:rsid w:val="00371B4F"/>
    <w:rsid w:val="00371C5A"/>
    <w:rsid w:val="00372862"/>
    <w:rsid w:val="00372A40"/>
    <w:rsid w:val="00372ACE"/>
    <w:rsid w:val="00372EA3"/>
    <w:rsid w:val="003730A6"/>
    <w:rsid w:val="0037340F"/>
    <w:rsid w:val="00373CD9"/>
    <w:rsid w:val="00374078"/>
    <w:rsid w:val="00374650"/>
    <w:rsid w:val="003749F6"/>
    <w:rsid w:val="00374D3F"/>
    <w:rsid w:val="00375084"/>
    <w:rsid w:val="00375333"/>
    <w:rsid w:val="00376B1D"/>
    <w:rsid w:val="00376CB7"/>
    <w:rsid w:val="00376DDC"/>
    <w:rsid w:val="00377314"/>
    <w:rsid w:val="00377330"/>
    <w:rsid w:val="00377A08"/>
    <w:rsid w:val="0038027D"/>
    <w:rsid w:val="00380777"/>
    <w:rsid w:val="00380825"/>
    <w:rsid w:val="00380BF7"/>
    <w:rsid w:val="00380D11"/>
    <w:rsid w:val="00380DC1"/>
    <w:rsid w:val="003811D3"/>
    <w:rsid w:val="003812E0"/>
    <w:rsid w:val="00381A7C"/>
    <w:rsid w:val="00381B44"/>
    <w:rsid w:val="00381E7B"/>
    <w:rsid w:val="00382217"/>
    <w:rsid w:val="003824B4"/>
    <w:rsid w:val="00382597"/>
    <w:rsid w:val="003825DD"/>
    <w:rsid w:val="0038297F"/>
    <w:rsid w:val="00382BC4"/>
    <w:rsid w:val="00382D3B"/>
    <w:rsid w:val="00383310"/>
    <w:rsid w:val="00383448"/>
    <w:rsid w:val="00383519"/>
    <w:rsid w:val="0038353A"/>
    <w:rsid w:val="00383949"/>
    <w:rsid w:val="00383B38"/>
    <w:rsid w:val="00383B80"/>
    <w:rsid w:val="00384001"/>
    <w:rsid w:val="00384F68"/>
    <w:rsid w:val="00385067"/>
    <w:rsid w:val="003850A6"/>
    <w:rsid w:val="0038575C"/>
    <w:rsid w:val="0038696D"/>
    <w:rsid w:val="00386BE0"/>
    <w:rsid w:val="003872BF"/>
    <w:rsid w:val="00387538"/>
    <w:rsid w:val="00390879"/>
    <w:rsid w:val="00390B9F"/>
    <w:rsid w:val="00391032"/>
    <w:rsid w:val="00391B3F"/>
    <w:rsid w:val="00391CB3"/>
    <w:rsid w:val="003925DE"/>
    <w:rsid w:val="00392751"/>
    <w:rsid w:val="003929B9"/>
    <w:rsid w:val="00393449"/>
    <w:rsid w:val="003936EA"/>
    <w:rsid w:val="00394415"/>
    <w:rsid w:val="00394951"/>
    <w:rsid w:val="00394999"/>
    <w:rsid w:val="00394D4A"/>
    <w:rsid w:val="0039507D"/>
    <w:rsid w:val="003951C7"/>
    <w:rsid w:val="003956A2"/>
    <w:rsid w:val="00395A74"/>
    <w:rsid w:val="00395DBB"/>
    <w:rsid w:val="00395E11"/>
    <w:rsid w:val="00395F74"/>
    <w:rsid w:val="0039669F"/>
    <w:rsid w:val="00397707"/>
    <w:rsid w:val="003977D8"/>
    <w:rsid w:val="003979C6"/>
    <w:rsid w:val="003A0041"/>
    <w:rsid w:val="003A01FA"/>
    <w:rsid w:val="003A0365"/>
    <w:rsid w:val="003A09F8"/>
    <w:rsid w:val="003A0CE1"/>
    <w:rsid w:val="003A10C0"/>
    <w:rsid w:val="003A14C6"/>
    <w:rsid w:val="003A15D2"/>
    <w:rsid w:val="003A1818"/>
    <w:rsid w:val="003A1A59"/>
    <w:rsid w:val="003A2749"/>
    <w:rsid w:val="003A2D5A"/>
    <w:rsid w:val="003A309E"/>
    <w:rsid w:val="003A31D6"/>
    <w:rsid w:val="003A3D64"/>
    <w:rsid w:val="003A3E6F"/>
    <w:rsid w:val="003A433F"/>
    <w:rsid w:val="003A4347"/>
    <w:rsid w:val="003A4676"/>
    <w:rsid w:val="003A4967"/>
    <w:rsid w:val="003A49D4"/>
    <w:rsid w:val="003A5601"/>
    <w:rsid w:val="003A5799"/>
    <w:rsid w:val="003A5B66"/>
    <w:rsid w:val="003A5F8F"/>
    <w:rsid w:val="003A6002"/>
    <w:rsid w:val="003A6026"/>
    <w:rsid w:val="003A6184"/>
    <w:rsid w:val="003A69DD"/>
    <w:rsid w:val="003A6B30"/>
    <w:rsid w:val="003A7626"/>
    <w:rsid w:val="003A7D7B"/>
    <w:rsid w:val="003B0ED9"/>
    <w:rsid w:val="003B0F49"/>
    <w:rsid w:val="003B1333"/>
    <w:rsid w:val="003B158D"/>
    <w:rsid w:val="003B17F0"/>
    <w:rsid w:val="003B1DB6"/>
    <w:rsid w:val="003B23F3"/>
    <w:rsid w:val="003B260C"/>
    <w:rsid w:val="003B264F"/>
    <w:rsid w:val="003B34A7"/>
    <w:rsid w:val="003B37F5"/>
    <w:rsid w:val="003B3F0D"/>
    <w:rsid w:val="003B4167"/>
    <w:rsid w:val="003B4569"/>
    <w:rsid w:val="003B4775"/>
    <w:rsid w:val="003B489E"/>
    <w:rsid w:val="003B4954"/>
    <w:rsid w:val="003B4A90"/>
    <w:rsid w:val="003B4B15"/>
    <w:rsid w:val="003B4B52"/>
    <w:rsid w:val="003B4BEB"/>
    <w:rsid w:val="003B4CF7"/>
    <w:rsid w:val="003B51F4"/>
    <w:rsid w:val="003B5721"/>
    <w:rsid w:val="003B57EA"/>
    <w:rsid w:val="003B5BE9"/>
    <w:rsid w:val="003B620A"/>
    <w:rsid w:val="003B6DB0"/>
    <w:rsid w:val="003B6E0E"/>
    <w:rsid w:val="003B701C"/>
    <w:rsid w:val="003B70DF"/>
    <w:rsid w:val="003B7B8C"/>
    <w:rsid w:val="003C07BD"/>
    <w:rsid w:val="003C0AC7"/>
    <w:rsid w:val="003C0EE2"/>
    <w:rsid w:val="003C10E3"/>
    <w:rsid w:val="003C111E"/>
    <w:rsid w:val="003C16D7"/>
    <w:rsid w:val="003C185B"/>
    <w:rsid w:val="003C1DB6"/>
    <w:rsid w:val="003C2059"/>
    <w:rsid w:val="003C228E"/>
    <w:rsid w:val="003C2363"/>
    <w:rsid w:val="003C28C5"/>
    <w:rsid w:val="003C36CD"/>
    <w:rsid w:val="003C3BCE"/>
    <w:rsid w:val="003C42F6"/>
    <w:rsid w:val="003C4650"/>
    <w:rsid w:val="003C499C"/>
    <w:rsid w:val="003C547B"/>
    <w:rsid w:val="003C56BD"/>
    <w:rsid w:val="003C5B46"/>
    <w:rsid w:val="003C5CF4"/>
    <w:rsid w:val="003C646B"/>
    <w:rsid w:val="003C67FF"/>
    <w:rsid w:val="003C69C3"/>
    <w:rsid w:val="003C72B1"/>
    <w:rsid w:val="003C75FD"/>
    <w:rsid w:val="003C761A"/>
    <w:rsid w:val="003C7751"/>
    <w:rsid w:val="003C7818"/>
    <w:rsid w:val="003C788A"/>
    <w:rsid w:val="003C79C8"/>
    <w:rsid w:val="003D042A"/>
    <w:rsid w:val="003D07EF"/>
    <w:rsid w:val="003D0CAD"/>
    <w:rsid w:val="003D1494"/>
    <w:rsid w:val="003D1846"/>
    <w:rsid w:val="003D1AD0"/>
    <w:rsid w:val="003D2147"/>
    <w:rsid w:val="003D2964"/>
    <w:rsid w:val="003D2EB7"/>
    <w:rsid w:val="003D37EC"/>
    <w:rsid w:val="003D38CF"/>
    <w:rsid w:val="003D3A17"/>
    <w:rsid w:val="003D3A52"/>
    <w:rsid w:val="003D42F9"/>
    <w:rsid w:val="003D4AE9"/>
    <w:rsid w:val="003D4BDB"/>
    <w:rsid w:val="003D4CBB"/>
    <w:rsid w:val="003D4DD5"/>
    <w:rsid w:val="003D54AC"/>
    <w:rsid w:val="003D5663"/>
    <w:rsid w:val="003D5ED9"/>
    <w:rsid w:val="003D5FE6"/>
    <w:rsid w:val="003D63C0"/>
    <w:rsid w:val="003D6BFE"/>
    <w:rsid w:val="003D6E12"/>
    <w:rsid w:val="003D7289"/>
    <w:rsid w:val="003D7580"/>
    <w:rsid w:val="003D77FF"/>
    <w:rsid w:val="003D78BD"/>
    <w:rsid w:val="003E0298"/>
    <w:rsid w:val="003E02A1"/>
    <w:rsid w:val="003E158F"/>
    <w:rsid w:val="003E161E"/>
    <w:rsid w:val="003E2055"/>
    <w:rsid w:val="003E207D"/>
    <w:rsid w:val="003E21B3"/>
    <w:rsid w:val="003E24D8"/>
    <w:rsid w:val="003E2806"/>
    <w:rsid w:val="003E280E"/>
    <w:rsid w:val="003E2B2E"/>
    <w:rsid w:val="003E2B88"/>
    <w:rsid w:val="003E3055"/>
    <w:rsid w:val="003E307E"/>
    <w:rsid w:val="003E372D"/>
    <w:rsid w:val="003E374E"/>
    <w:rsid w:val="003E381D"/>
    <w:rsid w:val="003E3993"/>
    <w:rsid w:val="003E4230"/>
    <w:rsid w:val="003E4D34"/>
    <w:rsid w:val="003E4F4C"/>
    <w:rsid w:val="003E5172"/>
    <w:rsid w:val="003E53E5"/>
    <w:rsid w:val="003E5B6B"/>
    <w:rsid w:val="003E5C55"/>
    <w:rsid w:val="003E5F3C"/>
    <w:rsid w:val="003E634E"/>
    <w:rsid w:val="003E6980"/>
    <w:rsid w:val="003E6C4C"/>
    <w:rsid w:val="003E6D1B"/>
    <w:rsid w:val="003E7243"/>
    <w:rsid w:val="003E73CF"/>
    <w:rsid w:val="003E7AF5"/>
    <w:rsid w:val="003E7E56"/>
    <w:rsid w:val="003F01A7"/>
    <w:rsid w:val="003F088C"/>
    <w:rsid w:val="003F095A"/>
    <w:rsid w:val="003F0A8A"/>
    <w:rsid w:val="003F0AE6"/>
    <w:rsid w:val="003F0B70"/>
    <w:rsid w:val="003F1215"/>
    <w:rsid w:val="003F14FD"/>
    <w:rsid w:val="003F16BF"/>
    <w:rsid w:val="003F1D54"/>
    <w:rsid w:val="003F2874"/>
    <w:rsid w:val="003F2B54"/>
    <w:rsid w:val="003F4676"/>
    <w:rsid w:val="003F4A09"/>
    <w:rsid w:val="003F4A83"/>
    <w:rsid w:val="003F4EF8"/>
    <w:rsid w:val="003F549A"/>
    <w:rsid w:val="003F5FED"/>
    <w:rsid w:val="003F6683"/>
    <w:rsid w:val="003F7729"/>
    <w:rsid w:val="00400143"/>
    <w:rsid w:val="004004F2"/>
    <w:rsid w:val="00400804"/>
    <w:rsid w:val="00400FC1"/>
    <w:rsid w:val="004024A7"/>
    <w:rsid w:val="004027B1"/>
    <w:rsid w:val="004028B7"/>
    <w:rsid w:val="00402B47"/>
    <w:rsid w:val="00402C06"/>
    <w:rsid w:val="00402C8C"/>
    <w:rsid w:val="00402E90"/>
    <w:rsid w:val="00402F1B"/>
    <w:rsid w:val="00403A35"/>
    <w:rsid w:val="00403B35"/>
    <w:rsid w:val="00404EBE"/>
    <w:rsid w:val="00404EDB"/>
    <w:rsid w:val="00405035"/>
    <w:rsid w:val="00405700"/>
    <w:rsid w:val="004073A4"/>
    <w:rsid w:val="00407BED"/>
    <w:rsid w:val="00407DDB"/>
    <w:rsid w:val="00407FD3"/>
    <w:rsid w:val="0041008E"/>
    <w:rsid w:val="00410A80"/>
    <w:rsid w:val="0041111D"/>
    <w:rsid w:val="00411915"/>
    <w:rsid w:val="00411B69"/>
    <w:rsid w:val="004120A1"/>
    <w:rsid w:val="004121A8"/>
    <w:rsid w:val="00412926"/>
    <w:rsid w:val="00412CE0"/>
    <w:rsid w:val="004136B7"/>
    <w:rsid w:val="0041411F"/>
    <w:rsid w:val="004142C3"/>
    <w:rsid w:val="004143DC"/>
    <w:rsid w:val="004147AE"/>
    <w:rsid w:val="0041493C"/>
    <w:rsid w:val="00414E8B"/>
    <w:rsid w:val="00414FF5"/>
    <w:rsid w:val="00415098"/>
    <w:rsid w:val="00415292"/>
    <w:rsid w:val="00417867"/>
    <w:rsid w:val="00417C06"/>
    <w:rsid w:val="00420AA4"/>
    <w:rsid w:val="00421579"/>
    <w:rsid w:val="00423460"/>
    <w:rsid w:val="00423469"/>
    <w:rsid w:val="004236B0"/>
    <w:rsid w:val="00424AF6"/>
    <w:rsid w:val="00424BAA"/>
    <w:rsid w:val="004252A4"/>
    <w:rsid w:val="004252B1"/>
    <w:rsid w:val="004252FC"/>
    <w:rsid w:val="00425771"/>
    <w:rsid w:val="00425D12"/>
    <w:rsid w:val="00425FCE"/>
    <w:rsid w:val="00426153"/>
    <w:rsid w:val="0042653A"/>
    <w:rsid w:val="00426B04"/>
    <w:rsid w:val="0042795D"/>
    <w:rsid w:val="00427C0D"/>
    <w:rsid w:val="00430179"/>
    <w:rsid w:val="004308AD"/>
    <w:rsid w:val="004308EB"/>
    <w:rsid w:val="00431B93"/>
    <w:rsid w:val="00431D5C"/>
    <w:rsid w:val="004324EC"/>
    <w:rsid w:val="0043272A"/>
    <w:rsid w:val="00432968"/>
    <w:rsid w:val="00432A4E"/>
    <w:rsid w:val="00432BD8"/>
    <w:rsid w:val="00433210"/>
    <w:rsid w:val="0043353E"/>
    <w:rsid w:val="00433EA7"/>
    <w:rsid w:val="004341F6"/>
    <w:rsid w:val="0043564D"/>
    <w:rsid w:val="00435765"/>
    <w:rsid w:val="00435BD4"/>
    <w:rsid w:val="00435E3E"/>
    <w:rsid w:val="00436258"/>
    <w:rsid w:val="00436937"/>
    <w:rsid w:val="00436E25"/>
    <w:rsid w:val="004370D2"/>
    <w:rsid w:val="004401A8"/>
    <w:rsid w:val="0044083F"/>
    <w:rsid w:val="00440E68"/>
    <w:rsid w:val="00441B8E"/>
    <w:rsid w:val="00442852"/>
    <w:rsid w:val="00442C51"/>
    <w:rsid w:val="00443040"/>
    <w:rsid w:val="0044330E"/>
    <w:rsid w:val="00443762"/>
    <w:rsid w:val="004440FB"/>
    <w:rsid w:val="004446DF"/>
    <w:rsid w:val="0044470D"/>
    <w:rsid w:val="004448B6"/>
    <w:rsid w:val="00444FC3"/>
    <w:rsid w:val="00445127"/>
    <w:rsid w:val="00445656"/>
    <w:rsid w:val="0044598C"/>
    <w:rsid w:val="00445E23"/>
    <w:rsid w:val="00445F0B"/>
    <w:rsid w:val="00445F92"/>
    <w:rsid w:val="00446057"/>
    <w:rsid w:val="00446065"/>
    <w:rsid w:val="004462A8"/>
    <w:rsid w:val="00446415"/>
    <w:rsid w:val="0044679D"/>
    <w:rsid w:val="00446DD0"/>
    <w:rsid w:val="00447410"/>
    <w:rsid w:val="00447482"/>
    <w:rsid w:val="00447685"/>
    <w:rsid w:val="0045010B"/>
    <w:rsid w:val="00450842"/>
    <w:rsid w:val="004508EB"/>
    <w:rsid w:val="00450ACE"/>
    <w:rsid w:val="0045159B"/>
    <w:rsid w:val="00452142"/>
    <w:rsid w:val="0045249D"/>
    <w:rsid w:val="004525BD"/>
    <w:rsid w:val="0045264A"/>
    <w:rsid w:val="00452C74"/>
    <w:rsid w:val="00452DDC"/>
    <w:rsid w:val="00454807"/>
    <w:rsid w:val="00454D3E"/>
    <w:rsid w:val="00454F5C"/>
    <w:rsid w:val="004550B8"/>
    <w:rsid w:val="00455690"/>
    <w:rsid w:val="004557A0"/>
    <w:rsid w:val="00455E81"/>
    <w:rsid w:val="00456323"/>
    <w:rsid w:val="004564E1"/>
    <w:rsid w:val="00456C8E"/>
    <w:rsid w:val="00456CB9"/>
    <w:rsid w:val="00456F6A"/>
    <w:rsid w:val="004576AD"/>
    <w:rsid w:val="004577A1"/>
    <w:rsid w:val="00457971"/>
    <w:rsid w:val="00457F99"/>
    <w:rsid w:val="0046015D"/>
    <w:rsid w:val="00461049"/>
    <w:rsid w:val="00461206"/>
    <w:rsid w:val="004612B7"/>
    <w:rsid w:val="00461670"/>
    <w:rsid w:val="00461B0B"/>
    <w:rsid w:val="0046216F"/>
    <w:rsid w:val="004626C6"/>
    <w:rsid w:val="00463151"/>
    <w:rsid w:val="0046325D"/>
    <w:rsid w:val="004632A2"/>
    <w:rsid w:val="00463A62"/>
    <w:rsid w:val="004647A1"/>
    <w:rsid w:val="004648AE"/>
    <w:rsid w:val="00464E24"/>
    <w:rsid w:val="0046554D"/>
    <w:rsid w:val="00465773"/>
    <w:rsid w:val="004659FF"/>
    <w:rsid w:val="004668D5"/>
    <w:rsid w:val="004679EA"/>
    <w:rsid w:val="00467B20"/>
    <w:rsid w:val="0047090A"/>
    <w:rsid w:val="00470B7E"/>
    <w:rsid w:val="00470D57"/>
    <w:rsid w:val="004712FE"/>
    <w:rsid w:val="00471926"/>
    <w:rsid w:val="00471D9A"/>
    <w:rsid w:val="00471EAC"/>
    <w:rsid w:val="00472375"/>
    <w:rsid w:val="004723DC"/>
    <w:rsid w:val="00472701"/>
    <w:rsid w:val="00472977"/>
    <w:rsid w:val="0047354F"/>
    <w:rsid w:val="0047397D"/>
    <w:rsid w:val="00473C2A"/>
    <w:rsid w:val="00474F2D"/>
    <w:rsid w:val="0047557A"/>
    <w:rsid w:val="004756AB"/>
    <w:rsid w:val="00475946"/>
    <w:rsid w:val="00475C88"/>
    <w:rsid w:val="0047605F"/>
    <w:rsid w:val="00476E40"/>
    <w:rsid w:val="004776E4"/>
    <w:rsid w:val="00477BD1"/>
    <w:rsid w:val="00477CDC"/>
    <w:rsid w:val="00480045"/>
    <w:rsid w:val="00480A26"/>
    <w:rsid w:val="00480A34"/>
    <w:rsid w:val="00480CCA"/>
    <w:rsid w:val="00480F7F"/>
    <w:rsid w:val="00481354"/>
    <w:rsid w:val="00481404"/>
    <w:rsid w:val="00481507"/>
    <w:rsid w:val="00481D14"/>
    <w:rsid w:val="0048398E"/>
    <w:rsid w:val="00483CC6"/>
    <w:rsid w:val="004844B2"/>
    <w:rsid w:val="004848CB"/>
    <w:rsid w:val="0048492F"/>
    <w:rsid w:val="00484CBA"/>
    <w:rsid w:val="00484E0D"/>
    <w:rsid w:val="00484E28"/>
    <w:rsid w:val="00484ECE"/>
    <w:rsid w:val="004856E2"/>
    <w:rsid w:val="0048575D"/>
    <w:rsid w:val="00485F5F"/>
    <w:rsid w:val="00486C3C"/>
    <w:rsid w:val="00486F10"/>
    <w:rsid w:val="004911BF"/>
    <w:rsid w:val="00491A72"/>
    <w:rsid w:val="00492073"/>
    <w:rsid w:val="00492185"/>
    <w:rsid w:val="00492502"/>
    <w:rsid w:val="00492940"/>
    <w:rsid w:val="00493269"/>
    <w:rsid w:val="0049398A"/>
    <w:rsid w:val="00493B10"/>
    <w:rsid w:val="00493B77"/>
    <w:rsid w:val="00493C5D"/>
    <w:rsid w:val="004946DD"/>
    <w:rsid w:val="00494EC3"/>
    <w:rsid w:val="00495583"/>
    <w:rsid w:val="004963E9"/>
    <w:rsid w:val="00496499"/>
    <w:rsid w:val="0049671C"/>
    <w:rsid w:val="00496940"/>
    <w:rsid w:val="00496E2C"/>
    <w:rsid w:val="00496E55"/>
    <w:rsid w:val="00497425"/>
    <w:rsid w:val="00497473"/>
    <w:rsid w:val="004A177E"/>
    <w:rsid w:val="004A1DF3"/>
    <w:rsid w:val="004A1FB8"/>
    <w:rsid w:val="004A22D1"/>
    <w:rsid w:val="004A2824"/>
    <w:rsid w:val="004A28DE"/>
    <w:rsid w:val="004A2AF5"/>
    <w:rsid w:val="004A2B4C"/>
    <w:rsid w:val="004A2BA6"/>
    <w:rsid w:val="004A33CF"/>
    <w:rsid w:val="004A3455"/>
    <w:rsid w:val="004A3598"/>
    <w:rsid w:val="004A3827"/>
    <w:rsid w:val="004A3C2E"/>
    <w:rsid w:val="004A428A"/>
    <w:rsid w:val="004A42B0"/>
    <w:rsid w:val="004A4942"/>
    <w:rsid w:val="004A4AEE"/>
    <w:rsid w:val="004A5146"/>
    <w:rsid w:val="004A5291"/>
    <w:rsid w:val="004A5DFE"/>
    <w:rsid w:val="004A637C"/>
    <w:rsid w:val="004A64C4"/>
    <w:rsid w:val="004A6817"/>
    <w:rsid w:val="004A6A08"/>
    <w:rsid w:val="004A6A30"/>
    <w:rsid w:val="004A6D97"/>
    <w:rsid w:val="004A76F9"/>
    <w:rsid w:val="004A7800"/>
    <w:rsid w:val="004A7D71"/>
    <w:rsid w:val="004B00F3"/>
    <w:rsid w:val="004B0134"/>
    <w:rsid w:val="004B0773"/>
    <w:rsid w:val="004B0B14"/>
    <w:rsid w:val="004B0DD2"/>
    <w:rsid w:val="004B12A8"/>
    <w:rsid w:val="004B19BF"/>
    <w:rsid w:val="004B1B8C"/>
    <w:rsid w:val="004B1C18"/>
    <w:rsid w:val="004B1FEC"/>
    <w:rsid w:val="004B21B9"/>
    <w:rsid w:val="004B21D4"/>
    <w:rsid w:val="004B25B9"/>
    <w:rsid w:val="004B26B2"/>
    <w:rsid w:val="004B2910"/>
    <w:rsid w:val="004B29D7"/>
    <w:rsid w:val="004B36BA"/>
    <w:rsid w:val="004B3DB2"/>
    <w:rsid w:val="004B3ED5"/>
    <w:rsid w:val="004B41A1"/>
    <w:rsid w:val="004B44D0"/>
    <w:rsid w:val="004B4F47"/>
    <w:rsid w:val="004B5182"/>
    <w:rsid w:val="004B524F"/>
    <w:rsid w:val="004B5721"/>
    <w:rsid w:val="004B5798"/>
    <w:rsid w:val="004B57C3"/>
    <w:rsid w:val="004B5C39"/>
    <w:rsid w:val="004B5D53"/>
    <w:rsid w:val="004B5D78"/>
    <w:rsid w:val="004B5F76"/>
    <w:rsid w:val="004B604D"/>
    <w:rsid w:val="004B6CA7"/>
    <w:rsid w:val="004B703B"/>
    <w:rsid w:val="004B7712"/>
    <w:rsid w:val="004B7842"/>
    <w:rsid w:val="004C0568"/>
    <w:rsid w:val="004C0713"/>
    <w:rsid w:val="004C0743"/>
    <w:rsid w:val="004C0CC7"/>
    <w:rsid w:val="004C12B8"/>
    <w:rsid w:val="004C157F"/>
    <w:rsid w:val="004C1788"/>
    <w:rsid w:val="004C1EFF"/>
    <w:rsid w:val="004C2900"/>
    <w:rsid w:val="004C2DFC"/>
    <w:rsid w:val="004C2FBE"/>
    <w:rsid w:val="004C37FF"/>
    <w:rsid w:val="004C3811"/>
    <w:rsid w:val="004C3AA0"/>
    <w:rsid w:val="004C3AE8"/>
    <w:rsid w:val="004C3C0F"/>
    <w:rsid w:val="004C3D15"/>
    <w:rsid w:val="004C4337"/>
    <w:rsid w:val="004C450D"/>
    <w:rsid w:val="004C47A8"/>
    <w:rsid w:val="004C488D"/>
    <w:rsid w:val="004C4CD7"/>
    <w:rsid w:val="004C5216"/>
    <w:rsid w:val="004C524F"/>
    <w:rsid w:val="004C530D"/>
    <w:rsid w:val="004C5908"/>
    <w:rsid w:val="004C5BA5"/>
    <w:rsid w:val="004C6AA2"/>
    <w:rsid w:val="004C6C29"/>
    <w:rsid w:val="004C7151"/>
    <w:rsid w:val="004C71EF"/>
    <w:rsid w:val="004D0321"/>
    <w:rsid w:val="004D03C8"/>
    <w:rsid w:val="004D064B"/>
    <w:rsid w:val="004D104C"/>
    <w:rsid w:val="004D1931"/>
    <w:rsid w:val="004D21FF"/>
    <w:rsid w:val="004D2890"/>
    <w:rsid w:val="004D2D30"/>
    <w:rsid w:val="004D2E60"/>
    <w:rsid w:val="004D3807"/>
    <w:rsid w:val="004D41FC"/>
    <w:rsid w:val="004D4207"/>
    <w:rsid w:val="004D4E95"/>
    <w:rsid w:val="004D5284"/>
    <w:rsid w:val="004D5C5C"/>
    <w:rsid w:val="004D5FD8"/>
    <w:rsid w:val="004D6B7B"/>
    <w:rsid w:val="004D6C17"/>
    <w:rsid w:val="004D7706"/>
    <w:rsid w:val="004D7A7B"/>
    <w:rsid w:val="004E010A"/>
    <w:rsid w:val="004E08C9"/>
    <w:rsid w:val="004E08FF"/>
    <w:rsid w:val="004E0972"/>
    <w:rsid w:val="004E0D0A"/>
    <w:rsid w:val="004E0F56"/>
    <w:rsid w:val="004E15ED"/>
    <w:rsid w:val="004E175F"/>
    <w:rsid w:val="004E19BC"/>
    <w:rsid w:val="004E1B59"/>
    <w:rsid w:val="004E1D70"/>
    <w:rsid w:val="004E22B1"/>
    <w:rsid w:val="004E2D1F"/>
    <w:rsid w:val="004E2E7D"/>
    <w:rsid w:val="004E3608"/>
    <w:rsid w:val="004E3C86"/>
    <w:rsid w:val="004E3EFF"/>
    <w:rsid w:val="004E4397"/>
    <w:rsid w:val="004E4CA9"/>
    <w:rsid w:val="004E518B"/>
    <w:rsid w:val="004E55B2"/>
    <w:rsid w:val="004E5C7D"/>
    <w:rsid w:val="004E60D8"/>
    <w:rsid w:val="004E631C"/>
    <w:rsid w:val="004E73EC"/>
    <w:rsid w:val="004F0675"/>
    <w:rsid w:val="004F06CB"/>
    <w:rsid w:val="004F08E6"/>
    <w:rsid w:val="004F1270"/>
    <w:rsid w:val="004F14EB"/>
    <w:rsid w:val="004F1A5F"/>
    <w:rsid w:val="004F218E"/>
    <w:rsid w:val="004F2385"/>
    <w:rsid w:val="004F25B9"/>
    <w:rsid w:val="004F25CD"/>
    <w:rsid w:val="004F2B1E"/>
    <w:rsid w:val="004F3069"/>
    <w:rsid w:val="004F33AD"/>
    <w:rsid w:val="004F3A29"/>
    <w:rsid w:val="004F412F"/>
    <w:rsid w:val="004F453E"/>
    <w:rsid w:val="004F46BB"/>
    <w:rsid w:val="004F4BCC"/>
    <w:rsid w:val="004F4C81"/>
    <w:rsid w:val="004F5076"/>
    <w:rsid w:val="004F52B6"/>
    <w:rsid w:val="004F552C"/>
    <w:rsid w:val="004F582C"/>
    <w:rsid w:val="004F5A15"/>
    <w:rsid w:val="004F5F3F"/>
    <w:rsid w:val="004F65E2"/>
    <w:rsid w:val="004F6D39"/>
    <w:rsid w:val="004F7032"/>
    <w:rsid w:val="004F750C"/>
    <w:rsid w:val="004F7D03"/>
    <w:rsid w:val="004F7F82"/>
    <w:rsid w:val="0050027A"/>
    <w:rsid w:val="005009E0"/>
    <w:rsid w:val="00501085"/>
    <w:rsid w:val="00501155"/>
    <w:rsid w:val="00501376"/>
    <w:rsid w:val="00501965"/>
    <w:rsid w:val="00501AA8"/>
    <w:rsid w:val="00501B46"/>
    <w:rsid w:val="00501FB3"/>
    <w:rsid w:val="0050217A"/>
    <w:rsid w:val="005028C4"/>
    <w:rsid w:val="00502B55"/>
    <w:rsid w:val="00502B83"/>
    <w:rsid w:val="00502D39"/>
    <w:rsid w:val="00502F5A"/>
    <w:rsid w:val="00503105"/>
    <w:rsid w:val="00503231"/>
    <w:rsid w:val="005034C5"/>
    <w:rsid w:val="00503803"/>
    <w:rsid w:val="00504678"/>
    <w:rsid w:val="00504EC6"/>
    <w:rsid w:val="005056F5"/>
    <w:rsid w:val="00505A5A"/>
    <w:rsid w:val="0050607F"/>
    <w:rsid w:val="00506312"/>
    <w:rsid w:val="005063B6"/>
    <w:rsid w:val="0050645E"/>
    <w:rsid w:val="0050661E"/>
    <w:rsid w:val="00506628"/>
    <w:rsid w:val="0050701B"/>
    <w:rsid w:val="00507C47"/>
    <w:rsid w:val="00507D2A"/>
    <w:rsid w:val="00510E12"/>
    <w:rsid w:val="00510F13"/>
    <w:rsid w:val="00511083"/>
    <w:rsid w:val="005111B7"/>
    <w:rsid w:val="00511492"/>
    <w:rsid w:val="005115E0"/>
    <w:rsid w:val="005118EC"/>
    <w:rsid w:val="00511F7F"/>
    <w:rsid w:val="0051263D"/>
    <w:rsid w:val="00512AE3"/>
    <w:rsid w:val="00512D43"/>
    <w:rsid w:val="00512D53"/>
    <w:rsid w:val="00513191"/>
    <w:rsid w:val="00513F3C"/>
    <w:rsid w:val="00513F6E"/>
    <w:rsid w:val="00513F77"/>
    <w:rsid w:val="005144BC"/>
    <w:rsid w:val="00514CEB"/>
    <w:rsid w:val="00515310"/>
    <w:rsid w:val="0051564E"/>
    <w:rsid w:val="0051574B"/>
    <w:rsid w:val="00515D75"/>
    <w:rsid w:val="00516334"/>
    <w:rsid w:val="005163D0"/>
    <w:rsid w:val="00516616"/>
    <w:rsid w:val="00516626"/>
    <w:rsid w:val="00516CAF"/>
    <w:rsid w:val="00517302"/>
    <w:rsid w:val="00517520"/>
    <w:rsid w:val="005179A4"/>
    <w:rsid w:val="00517B2E"/>
    <w:rsid w:val="00517F03"/>
    <w:rsid w:val="00520BE8"/>
    <w:rsid w:val="00520F83"/>
    <w:rsid w:val="00521406"/>
    <w:rsid w:val="00522BAA"/>
    <w:rsid w:val="00522E00"/>
    <w:rsid w:val="00522EAE"/>
    <w:rsid w:val="0052307E"/>
    <w:rsid w:val="005242EA"/>
    <w:rsid w:val="0052432C"/>
    <w:rsid w:val="005245AC"/>
    <w:rsid w:val="005247D9"/>
    <w:rsid w:val="00524973"/>
    <w:rsid w:val="00524AA5"/>
    <w:rsid w:val="00524F1E"/>
    <w:rsid w:val="005250E1"/>
    <w:rsid w:val="005258C5"/>
    <w:rsid w:val="005264EF"/>
    <w:rsid w:val="005269F4"/>
    <w:rsid w:val="00526DC3"/>
    <w:rsid w:val="00527202"/>
    <w:rsid w:val="0052737F"/>
    <w:rsid w:val="005274B6"/>
    <w:rsid w:val="00530006"/>
    <w:rsid w:val="00530427"/>
    <w:rsid w:val="00531A77"/>
    <w:rsid w:val="00532565"/>
    <w:rsid w:val="00532E8B"/>
    <w:rsid w:val="00533733"/>
    <w:rsid w:val="0053373B"/>
    <w:rsid w:val="00533A2D"/>
    <w:rsid w:val="00533C9C"/>
    <w:rsid w:val="00534484"/>
    <w:rsid w:val="005349E0"/>
    <w:rsid w:val="00534AA1"/>
    <w:rsid w:val="00534BDD"/>
    <w:rsid w:val="00535578"/>
    <w:rsid w:val="00535895"/>
    <w:rsid w:val="00535FB2"/>
    <w:rsid w:val="005368DE"/>
    <w:rsid w:val="00536B0C"/>
    <w:rsid w:val="0053763B"/>
    <w:rsid w:val="00537872"/>
    <w:rsid w:val="00537E28"/>
    <w:rsid w:val="00540117"/>
    <w:rsid w:val="00540120"/>
    <w:rsid w:val="00540E15"/>
    <w:rsid w:val="00540FAD"/>
    <w:rsid w:val="005413AE"/>
    <w:rsid w:val="005415EE"/>
    <w:rsid w:val="00541AC8"/>
    <w:rsid w:val="0054205D"/>
    <w:rsid w:val="0054262D"/>
    <w:rsid w:val="005426CB"/>
    <w:rsid w:val="00542CED"/>
    <w:rsid w:val="0054388B"/>
    <w:rsid w:val="00543B46"/>
    <w:rsid w:val="00543B57"/>
    <w:rsid w:val="005442EC"/>
    <w:rsid w:val="005448B5"/>
    <w:rsid w:val="00544E6F"/>
    <w:rsid w:val="00546233"/>
    <w:rsid w:val="00546357"/>
    <w:rsid w:val="00546CDA"/>
    <w:rsid w:val="0054740B"/>
    <w:rsid w:val="00547716"/>
    <w:rsid w:val="00547871"/>
    <w:rsid w:val="00547919"/>
    <w:rsid w:val="00547A9D"/>
    <w:rsid w:val="00547C64"/>
    <w:rsid w:val="00547F73"/>
    <w:rsid w:val="005500C7"/>
    <w:rsid w:val="0055052B"/>
    <w:rsid w:val="00550586"/>
    <w:rsid w:val="00550657"/>
    <w:rsid w:val="00550686"/>
    <w:rsid w:val="005508B9"/>
    <w:rsid w:val="00550E59"/>
    <w:rsid w:val="00551580"/>
    <w:rsid w:val="00551A59"/>
    <w:rsid w:val="00551F1A"/>
    <w:rsid w:val="005525AF"/>
    <w:rsid w:val="005529CE"/>
    <w:rsid w:val="00552D83"/>
    <w:rsid w:val="00553068"/>
    <w:rsid w:val="005530BC"/>
    <w:rsid w:val="005533B3"/>
    <w:rsid w:val="00553C72"/>
    <w:rsid w:val="00554239"/>
    <w:rsid w:val="005546DB"/>
    <w:rsid w:val="00554782"/>
    <w:rsid w:val="005548CF"/>
    <w:rsid w:val="00554C81"/>
    <w:rsid w:val="00554DED"/>
    <w:rsid w:val="00555447"/>
    <w:rsid w:val="005554E8"/>
    <w:rsid w:val="00555853"/>
    <w:rsid w:val="00555BC7"/>
    <w:rsid w:val="005566E7"/>
    <w:rsid w:val="00556763"/>
    <w:rsid w:val="005567CA"/>
    <w:rsid w:val="00556A7A"/>
    <w:rsid w:val="00556AAA"/>
    <w:rsid w:val="00556FCB"/>
    <w:rsid w:val="005572FA"/>
    <w:rsid w:val="00557365"/>
    <w:rsid w:val="005574E7"/>
    <w:rsid w:val="00557C0A"/>
    <w:rsid w:val="005615AF"/>
    <w:rsid w:val="00561E2D"/>
    <w:rsid w:val="00562077"/>
    <w:rsid w:val="0056220C"/>
    <w:rsid w:val="0056227B"/>
    <w:rsid w:val="0056272C"/>
    <w:rsid w:val="00563772"/>
    <w:rsid w:val="005639E4"/>
    <w:rsid w:val="00563A1A"/>
    <w:rsid w:val="00563BDC"/>
    <w:rsid w:val="00563DAA"/>
    <w:rsid w:val="00563DD0"/>
    <w:rsid w:val="00563FD1"/>
    <w:rsid w:val="005641AD"/>
    <w:rsid w:val="00564879"/>
    <w:rsid w:val="00564D26"/>
    <w:rsid w:val="005652FB"/>
    <w:rsid w:val="005656D0"/>
    <w:rsid w:val="00565AE1"/>
    <w:rsid w:val="00565C22"/>
    <w:rsid w:val="005661AC"/>
    <w:rsid w:val="00566231"/>
    <w:rsid w:val="00566532"/>
    <w:rsid w:val="005668EB"/>
    <w:rsid w:val="00566983"/>
    <w:rsid w:val="00566B36"/>
    <w:rsid w:val="00566BD9"/>
    <w:rsid w:val="00566DA1"/>
    <w:rsid w:val="00566DD0"/>
    <w:rsid w:val="00566E69"/>
    <w:rsid w:val="00566ED5"/>
    <w:rsid w:val="005672E3"/>
    <w:rsid w:val="00567421"/>
    <w:rsid w:val="00570089"/>
    <w:rsid w:val="00570846"/>
    <w:rsid w:val="0057109F"/>
    <w:rsid w:val="0057118B"/>
    <w:rsid w:val="005718A5"/>
    <w:rsid w:val="00572927"/>
    <w:rsid w:val="00572999"/>
    <w:rsid w:val="00572D1B"/>
    <w:rsid w:val="0057307E"/>
    <w:rsid w:val="005730B0"/>
    <w:rsid w:val="0057325E"/>
    <w:rsid w:val="00573305"/>
    <w:rsid w:val="00573ECD"/>
    <w:rsid w:val="00574382"/>
    <w:rsid w:val="005752ED"/>
    <w:rsid w:val="005753ED"/>
    <w:rsid w:val="00575A0E"/>
    <w:rsid w:val="00575FBA"/>
    <w:rsid w:val="0057605C"/>
    <w:rsid w:val="00576167"/>
    <w:rsid w:val="0057636C"/>
    <w:rsid w:val="00576381"/>
    <w:rsid w:val="0057665A"/>
    <w:rsid w:val="00576672"/>
    <w:rsid w:val="005766DD"/>
    <w:rsid w:val="00576916"/>
    <w:rsid w:val="00577DA2"/>
    <w:rsid w:val="00580748"/>
    <w:rsid w:val="00580845"/>
    <w:rsid w:val="00581928"/>
    <w:rsid w:val="00581CCD"/>
    <w:rsid w:val="00581E00"/>
    <w:rsid w:val="00581E07"/>
    <w:rsid w:val="00582047"/>
    <w:rsid w:val="00582378"/>
    <w:rsid w:val="00582AFF"/>
    <w:rsid w:val="00582D61"/>
    <w:rsid w:val="00583A9F"/>
    <w:rsid w:val="00583CC2"/>
    <w:rsid w:val="00583EE0"/>
    <w:rsid w:val="0058445D"/>
    <w:rsid w:val="00585DB9"/>
    <w:rsid w:val="00586B69"/>
    <w:rsid w:val="00586C4B"/>
    <w:rsid w:val="00586D03"/>
    <w:rsid w:val="0058710D"/>
    <w:rsid w:val="00590147"/>
    <w:rsid w:val="00590FC9"/>
    <w:rsid w:val="00590FD7"/>
    <w:rsid w:val="005916CE"/>
    <w:rsid w:val="00592382"/>
    <w:rsid w:val="005923E5"/>
    <w:rsid w:val="00592586"/>
    <w:rsid w:val="005927F6"/>
    <w:rsid w:val="00592820"/>
    <w:rsid w:val="00593632"/>
    <w:rsid w:val="005936DF"/>
    <w:rsid w:val="005939E5"/>
    <w:rsid w:val="00593D5F"/>
    <w:rsid w:val="00594028"/>
    <w:rsid w:val="00594375"/>
    <w:rsid w:val="00594851"/>
    <w:rsid w:val="005953C3"/>
    <w:rsid w:val="005956E0"/>
    <w:rsid w:val="00595923"/>
    <w:rsid w:val="0059618D"/>
    <w:rsid w:val="005968E1"/>
    <w:rsid w:val="0059785F"/>
    <w:rsid w:val="005A05D3"/>
    <w:rsid w:val="005A0792"/>
    <w:rsid w:val="005A1468"/>
    <w:rsid w:val="005A146D"/>
    <w:rsid w:val="005A2D08"/>
    <w:rsid w:val="005A31F7"/>
    <w:rsid w:val="005A3256"/>
    <w:rsid w:val="005A32D0"/>
    <w:rsid w:val="005A337D"/>
    <w:rsid w:val="005A3B1F"/>
    <w:rsid w:val="005A4189"/>
    <w:rsid w:val="005A44F3"/>
    <w:rsid w:val="005A5195"/>
    <w:rsid w:val="005A52C9"/>
    <w:rsid w:val="005A5E2F"/>
    <w:rsid w:val="005A6C73"/>
    <w:rsid w:val="005A6CED"/>
    <w:rsid w:val="005A72F6"/>
    <w:rsid w:val="005A7664"/>
    <w:rsid w:val="005A77C9"/>
    <w:rsid w:val="005B0615"/>
    <w:rsid w:val="005B0664"/>
    <w:rsid w:val="005B11FB"/>
    <w:rsid w:val="005B1579"/>
    <w:rsid w:val="005B1769"/>
    <w:rsid w:val="005B185D"/>
    <w:rsid w:val="005B257E"/>
    <w:rsid w:val="005B2840"/>
    <w:rsid w:val="005B2B43"/>
    <w:rsid w:val="005B30D0"/>
    <w:rsid w:val="005B32DF"/>
    <w:rsid w:val="005B3874"/>
    <w:rsid w:val="005B3ACB"/>
    <w:rsid w:val="005B4834"/>
    <w:rsid w:val="005B4B93"/>
    <w:rsid w:val="005B50FC"/>
    <w:rsid w:val="005B5A39"/>
    <w:rsid w:val="005B5CE6"/>
    <w:rsid w:val="005B62B6"/>
    <w:rsid w:val="005B66BC"/>
    <w:rsid w:val="005B690C"/>
    <w:rsid w:val="005B694C"/>
    <w:rsid w:val="005B6AC0"/>
    <w:rsid w:val="005B7D30"/>
    <w:rsid w:val="005C027D"/>
    <w:rsid w:val="005C072B"/>
    <w:rsid w:val="005C0DA1"/>
    <w:rsid w:val="005C1AA0"/>
    <w:rsid w:val="005C225A"/>
    <w:rsid w:val="005C2D01"/>
    <w:rsid w:val="005C2DB0"/>
    <w:rsid w:val="005C2E30"/>
    <w:rsid w:val="005C336A"/>
    <w:rsid w:val="005C35EF"/>
    <w:rsid w:val="005C410C"/>
    <w:rsid w:val="005C414C"/>
    <w:rsid w:val="005C4296"/>
    <w:rsid w:val="005C44EF"/>
    <w:rsid w:val="005C4541"/>
    <w:rsid w:val="005C455B"/>
    <w:rsid w:val="005C48C1"/>
    <w:rsid w:val="005C49A7"/>
    <w:rsid w:val="005C4CD9"/>
    <w:rsid w:val="005C4DDF"/>
    <w:rsid w:val="005C534E"/>
    <w:rsid w:val="005C5393"/>
    <w:rsid w:val="005C6888"/>
    <w:rsid w:val="005C6DE4"/>
    <w:rsid w:val="005C6FFC"/>
    <w:rsid w:val="005C74BF"/>
    <w:rsid w:val="005C7BDF"/>
    <w:rsid w:val="005C7D3D"/>
    <w:rsid w:val="005C7FB8"/>
    <w:rsid w:val="005D09F4"/>
    <w:rsid w:val="005D0E49"/>
    <w:rsid w:val="005D0E5A"/>
    <w:rsid w:val="005D100C"/>
    <w:rsid w:val="005D1CDA"/>
    <w:rsid w:val="005D1F1C"/>
    <w:rsid w:val="005D24FB"/>
    <w:rsid w:val="005D2B55"/>
    <w:rsid w:val="005D3CA3"/>
    <w:rsid w:val="005D4260"/>
    <w:rsid w:val="005D4D13"/>
    <w:rsid w:val="005D52CC"/>
    <w:rsid w:val="005D55E5"/>
    <w:rsid w:val="005D60AD"/>
    <w:rsid w:val="005D62C1"/>
    <w:rsid w:val="005D63AA"/>
    <w:rsid w:val="005D7170"/>
    <w:rsid w:val="005D7695"/>
    <w:rsid w:val="005D769D"/>
    <w:rsid w:val="005E02BC"/>
    <w:rsid w:val="005E032F"/>
    <w:rsid w:val="005E04D7"/>
    <w:rsid w:val="005E10E1"/>
    <w:rsid w:val="005E133D"/>
    <w:rsid w:val="005E1368"/>
    <w:rsid w:val="005E1666"/>
    <w:rsid w:val="005E1A8F"/>
    <w:rsid w:val="005E1FAE"/>
    <w:rsid w:val="005E1FFB"/>
    <w:rsid w:val="005E21C5"/>
    <w:rsid w:val="005E23B4"/>
    <w:rsid w:val="005E31ED"/>
    <w:rsid w:val="005E370C"/>
    <w:rsid w:val="005E3770"/>
    <w:rsid w:val="005E37D9"/>
    <w:rsid w:val="005E42A7"/>
    <w:rsid w:val="005E4328"/>
    <w:rsid w:val="005E4365"/>
    <w:rsid w:val="005E4562"/>
    <w:rsid w:val="005E49E9"/>
    <w:rsid w:val="005E4C35"/>
    <w:rsid w:val="005E4C60"/>
    <w:rsid w:val="005E50B2"/>
    <w:rsid w:val="005E54C2"/>
    <w:rsid w:val="005E5E7F"/>
    <w:rsid w:val="005E6ADE"/>
    <w:rsid w:val="005E6C08"/>
    <w:rsid w:val="005E6DB8"/>
    <w:rsid w:val="005E70C0"/>
    <w:rsid w:val="005E728F"/>
    <w:rsid w:val="005E7419"/>
    <w:rsid w:val="005E7B4F"/>
    <w:rsid w:val="005E7EE3"/>
    <w:rsid w:val="005F0041"/>
    <w:rsid w:val="005F04E9"/>
    <w:rsid w:val="005F054B"/>
    <w:rsid w:val="005F0B0C"/>
    <w:rsid w:val="005F0B84"/>
    <w:rsid w:val="005F12E0"/>
    <w:rsid w:val="005F132E"/>
    <w:rsid w:val="005F1361"/>
    <w:rsid w:val="005F13D1"/>
    <w:rsid w:val="005F1759"/>
    <w:rsid w:val="005F17F0"/>
    <w:rsid w:val="005F2028"/>
    <w:rsid w:val="005F21BF"/>
    <w:rsid w:val="005F2349"/>
    <w:rsid w:val="005F2CC4"/>
    <w:rsid w:val="005F312B"/>
    <w:rsid w:val="005F323E"/>
    <w:rsid w:val="005F3901"/>
    <w:rsid w:val="005F4787"/>
    <w:rsid w:val="005F509B"/>
    <w:rsid w:val="005F5DEB"/>
    <w:rsid w:val="005F602C"/>
    <w:rsid w:val="005F6650"/>
    <w:rsid w:val="005F6688"/>
    <w:rsid w:val="005F6935"/>
    <w:rsid w:val="005F7210"/>
    <w:rsid w:val="005F7415"/>
    <w:rsid w:val="006000DE"/>
    <w:rsid w:val="006002AF"/>
    <w:rsid w:val="0060040F"/>
    <w:rsid w:val="006005D2"/>
    <w:rsid w:val="00600636"/>
    <w:rsid w:val="006006A5"/>
    <w:rsid w:val="0060085D"/>
    <w:rsid w:val="006008A7"/>
    <w:rsid w:val="00600930"/>
    <w:rsid w:val="00600B31"/>
    <w:rsid w:val="006019F9"/>
    <w:rsid w:val="00601BDA"/>
    <w:rsid w:val="00601E9C"/>
    <w:rsid w:val="006028AC"/>
    <w:rsid w:val="00602D22"/>
    <w:rsid w:val="00603EC2"/>
    <w:rsid w:val="0060435B"/>
    <w:rsid w:val="00604A33"/>
    <w:rsid w:val="00605498"/>
    <w:rsid w:val="006054E7"/>
    <w:rsid w:val="006055A7"/>
    <w:rsid w:val="006055CB"/>
    <w:rsid w:val="006058F6"/>
    <w:rsid w:val="00605DCB"/>
    <w:rsid w:val="006062CD"/>
    <w:rsid w:val="006063AA"/>
    <w:rsid w:val="0060654D"/>
    <w:rsid w:val="0060697B"/>
    <w:rsid w:val="00606D4D"/>
    <w:rsid w:val="006100B9"/>
    <w:rsid w:val="00610DCE"/>
    <w:rsid w:val="00610F0B"/>
    <w:rsid w:val="00610F59"/>
    <w:rsid w:val="00611290"/>
    <w:rsid w:val="00611831"/>
    <w:rsid w:val="006118AF"/>
    <w:rsid w:val="00611F3B"/>
    <w:rsid w:val="00612159"/>
    <w:rsid w:val="00612291"/>
    <w:rsid w:val="006124C7"/>
    <w:rsid w:val="00612540"/>
    <w:rsid w:val="00612901"/>
    <w:rsid w:val="00612C2D"/>
    <w:rsid w:val="00612F01"/>
    <w:rsid w:val="006133BA"/>
    <w:rsid w:val="006133BF"/>
    <w:rsid w:val="006137BE"/>
    <w:rsid w:val="00613A10"/>
    <w:rsid w:val="00613D56"/>
    <w:rsid w:val="00613F61"/>
    <w:rsid w:val="00613FC0"/>
    <w:rsid w:val="006148DD"/>
    <w:rsid w:val="0061559C"/>
    <w:rsid w:val="006155AF"/>
    <w:rsid w:val="006156D5"/>
    <w:rsid w:val="00615730"/>
    <w:rsid w:val="006159F9"/>
    <w:rsid w:val="00616550"/>
    <w:rsid w:val="006165FF"/>
    <w:rsid w:val="00616785"/>
    <w:rsid w:val="00616DEF"/>
    <w:rsid w:val="00617096"/>
    <w:rsid w:val="00617333"/>
    <w:rsid w:val="0061749B"/>
    <w:rsid w:val="00620060"/>
    <w:rsid w:val="00620320"/>
    <w:rsid w:val="006209A8"/>
    <w:rsid w:val="00620C57"/>
    <w:rsid w:val="00620C81"/>
    <w:rsid w:val="006211D0"/>
    <w:rsid w:val="00621582"/>
    <w:rsid w:val="00621B2D"/>
    <w:rsid w:val="00621C24"/>
    <w:rsid w:val="00622166"/>
    <w:rsid w:val="0062256E"/>
    <w:rsid w:val="00622759"/>
    <w:rsid w:val="00622999"/>
    <w:rsid w:val="00622A2F"/>
    <w:rsid w:val="00622B7F"/>
    <w:rsid w:val="00622B99"/>
    <w:rsid w:val="00622C0D"/>
    <w:rsid w:val="0062358D"/>
    <w:rsid w:val="00623919"/>
    <w:rsid w:val="00623C75"/>
    <w:rsid w:val="00623DA6"/>
    <w:rsid w:val="0062464A"/>
    <w:rsid w:val="00624C79"/>
    <w:rsid w:val="00625976"/>
    <w:rsid w:val="00625CD5"/>
    <w:rsid w:val="00625EEA"/>
    <w:rsid w:val="006268BD"/>
    <w:rsid w:val="0062695E"/>
    <w:rsid w:val="00626C85"/>
    <w:rsid w:val="00626CD0"/>
    <w:rsid w:val="00626EDC"/>
    <w:rsid w:val="0062721F"/>
    <w:rsid w:val="00627359"/>
    <w:rsid w:val="0062752D"/>
    <w:rsid w:val="0062781B"/>
    <w:rsid w:val="00627AA4"/>
    <w:rsid w:val="00627D65"/>
    <w:rsid w:val="00630342"/>
    <w:rsid w:val="00630D8E"/>
    <w:rsid w:val="00631352"/>
    <w:rsid w:val="00631AB5"/>
    <w:rsid w:val="00632CCD"/>
    <w:rsid w:val="00632DB7"/>
    <w:rsid w:val="0063303E"/>
    <w:rsid w:val="00633D2B"/>
    <w:rsid w:val="0063412B"/>
    <w:rsid w:val="006346C0"/>
    <w:rsid w:val="0063488E"/>
    <w:rsid w:val="00634C4B"/>
    <w:rsid w:val="00635260"/>
    <w:rsid w:val="006359D1"/>
    <w:rsid w:val="00635F74"/>
    <w:rsid w:val="006360FD"/>
    <w:rsid w:val="006365F1"/>
    <w:rsid w:val="00636A8D"/>
    <w:rsid w:val="006370C8"/>
    <w:rsid w:val="00640340"/>
    <w:rsid w:val="006405D1"/>
    <w:rsid w:val="00640809"/>
    <w:rsid w:val="00641318"/>
    <w:rsid w:val="00641DBA"/>
    <w:rsid w:val="00641E53"/>
    <w:rsid w:val="0064268B"/>
    <w:rsid w:val="00642E09"/>
    <w:rsid w:val="00643495"/>
    <w:rsid w:val="00643987"/>
    <w:rsid w:val="00643AF4"/>
    <w:rsid w:val="00643CF5"/>
    <w:rsid w:val="00645000"/>
    <w:rsid w:val="006455A9"/>
    <w:rsid w:val="00646734"/>
    <w:rsid w:val="0064685D"/>
    <w:rsid w:val="006468BD"/>
    <w:rsid w:val="00646AAE"/>
    <w:rsid w:val="006471CB"/>
    <w:rsid w:val="00647796"/>
    <w:rsid w:val="00647DB1"/>
    <w:rsid w:val="00647E36"/>
    <w:rsid w:val="00650AF7"/>
    <w:rsid w:val="00650BF4"/>
    <w:rsid w:val="00651147"/>
    <w:rsid w:val="006513B2"/>
    <w:rsid w:val="006521DC"/>
    <w:rsid w:val="00652217"/>
    <w:rsid w:val="00652673"/>
    <w:rsid w:val="00652701"/>
    <w:rsid w:val="00652BEE"/>
    <w:rsid w:val="00652FD7"/>
    <w:rsid w:val="00653390"/>
    <w:rsid w:val="00653696"/>
    <w:rsid w:val="00653CD6"/>
    <w:rsid w:val="00654032"/>
    <w:rsid w:val="006543EA"/>
    <w:rsid w:val="006544CF"/>
    <w:rsid w:val="006544F9"/>
    <w:rsid w:val="0065455E"/>
    <w:rsid w:val="006547C4"/>
    <w:rsid w:val="00654BAA"/>
    <w:rsid w:val="00655F6E"/>
    <w:rsid w:val="006562EF"/>
    <w:rsid w:val="00656461"/>
    <w:rsid w:val="00656C51"/>
    <w:rsid w:val="006570B4"/>
    <w:rsid w:val="006573B9"/>
    <w:rsid w:val="00660149"/>
    <w:rsid w:val="0066062C"/>
    <w:rsid w:val="00660933"/>
    <w:rsid w:val="00660C27"/>
    <w:rsid w:val="006617A8"/>
    <w:rsid w:val="00661DF9"/>
    <w:rsid w:val="00661E17"/>
    <w:rsid w:val="00661FE9"/>
    <w:rsid w:val="006621C1"/>
    <w:rsid w:val="006622C5"/>
    <w:rsid w:val="00662603"/>
    <w:rsid w:val="00662A1F"/>
    <w:rsid w:val="00662F4B"/>
    <w:rsid w:val="00663659"/>
    <w:rsid w:val="00663B43"/>
    <w:rsid w:val="006640CE"/>
    <w:rsid w:val="00664654"/>
    <w:rsid w:val="00664788"/>
    <w:rsid w:val="006650B7"/>
    <w:rsid w:val="00665130"/>
    <w:rsid w:val="006653C3"/>
    <w:rsid w:val="00665D51"/>
    <w:rsid w:val="00666233"/>
    <w:rsid w:val="0066624B"/>
    <w:rsid w:val="00666427"/>
    <w:rsid w:val="00666741"/>
    <w:rsid w:val="00666E94"/>
    <w:rsid w:val="0066744E"/>
    <w:rsid w:val="0066772A"/>
    <w:rsid w:val="0067008F"/>
    <w:rsid w:val="006713DA"/>
    <w:rsid w:val="006715DB"/>
    <w:rsid w:val="00671BC7"/>
    <w:rsid w:val="00672F0E"/>
    <w:rsid w:val="0067309E"/>
    <w:rsid w:val="00673F3B"/>
    <w:rsid w:val="00673FC1"/>
    <w:rsid w:val="006744AF"/>
    <w:rsid w:val="00674532"/>
    <w:rsid w:val="00675650"/>
    <w:rsid w:val="006757BC"/>
    <w:rsid w:val="00675B69"/>
    <w:rsid w:val="00676427"/>
    <w:rsid w:val="00676470"/>
    <w:rsid w:val="0067671D"/>
    <w:rsid w:val="00680754"/>
    <w:rsid w:val="0068081D"/>
    <w:rsid w:val="00680919"/>
    <w:rsid w:val="00680AA7"/>
    <w:rsid w:val="00680B4F"/>
    <w:rsid w:val="00680D95"/>
    <w:rsid w:val="00680DCC"/>
    <w:rsid w:val="006819D7"/>
    <w:rsid w:val="00682033"/>
    <w:rsid w:val="0068236A"/>
    <w:rsid w:val="006823A4"/>
    <w:rsid w:val="00682BF4"/>
    <w:rsid w:val="00682C25"/>
    <w:rsid w:val="00682E8C"/>
    <w:rsid w:val="00683B48"/>
    <w:rsid w:val="0068400E"/>
    <w:rsid w:val="00684282"/>
    <w:rsid w:val="00684674"/>
    <w:rsid w:val="006849A1"/>
    <w:rsid w:val="00684B2E"/>
    <w:rsid w:val="00684B94"/>
    <w:rsid w:val="00685427"/>
    <w:rsid w:val="0068589F"/>
    <w:rsid w:val="00685CF3"/>
    <w:rsid w:val="0068626E"/>
    <w:rsid w:val="00686792"/>
    <w:rsid w:val="00687B09"/>
    <w:rsid w:val="00687D1C"/>
    <w:rsid w:val="00687E86"/>
    <w:rsid w:val="00690241"/>
    <w:rsid w:val="00690B68"/>
    <w:rsid w:val="00690BFD"/>
    <w:rsid w:val="00690F79"/>
    <w:rsid w:val="0069125C"/>
    <w:rsid w:val="006913F3"/>
    <w:rsid w:val="0069144D"/>
    <w:rsid w:val="006914DC"/>
    <w:rsid w:val="00691A3D"/>
    <w:rsid w:val="00691B70"/>
    <w:rsid w:val="00691EE6"/>
    <w:rsid w:val="00691FD8"/>
    <w:rsid w:val="00692254"/>
    <w:rsid w:val="00692269"/>
    <w:rsid w:val="00692858"/>
    <w:rsid w:val="00692BA1"/>
    <w:rsid w:val="00692BA7"/>
    <w:rsid w:val="00693538"/>
    <w:rsid w:val="00693B8F"/>
    <w:rsid w:val="006941F1"/>
    <w:rsid w:val="00694CCC"/>
    <w:rsid w:val="00694EDF"/>
    <w:rsid w:val="00696410"/>
    <w:rsid w:val="00696411"/>
    <w:rsid w:val="00696A11"/>
    <w:rsid w:val="00696CDE"/>
    <w:rsid w:val="00697321"/>
    <w:rsid w:val="00697E7A"/>
    <w:rsid w:val="00697F67"/>
    <w:rsid w:val="006A0CF5"/>
    <w:rsid w:val="006A0D5F"/>
    <w:rsid w:val="006A0F28"/>
    <w:rsid w:val="006A1C58"/>
    <w:rsid w:val="006A1E5C"/>
    <w:rsid w:val="006A1EE2"/>
    <w:rsid w:val="006A2162"/>
    <w:rsid w:val="006A22C5"/>
    <w:rsid w:val="006A24E9"/>
    <w:rsid w:val="006A26C6"/>
    <w:rsid w:val="006A3E18"/>
    <w:rsid w:val="006A3E92"/>
    <w:rsid w:val="006A4051"/>
    <w:rsid w:val="006A4078"/>
    <w:rsid w:val="006A43AD"/>
    <w:rsid w:val="006A465A"/>
    <w:rsid w:val="006A499A"/>
    <w:rsid w:val="006A49AE"/>
    <w:rsid w:val="006A50A8"/>
    <w:rsid w:val="006A519C"/>
    <w:rsid w:val="006A5450"/>
    <w:rsid w:val="006A6604"/>
    <w:rsid w:val="006A6948"/>
    <w:rsid w:val="006A6D86"/>
    <w:rsid w:val="006A6DCB"/>
    <w:rsid w:val="006A7228"/>
    <w:rsid w:val="006A7529"/>
    <w:rsid w:val="006B01FF"/>
    <w:rsid w:val="006B0A27"/>
    <w:rsid w:val="006B14D7"/>
    <w:rsid w:val="006B1B7F"/>
    <w:rsid w:val="006B1F94"/>
    <w:rsid w:val="006B20A3"/>
    <w:rsid w:val="006B23D9"/>
    <w:rsid w:val="006B2ECB"/>
    <w:rsid w:val="006B3927"/>
    <w:rsid w:val="006B3D8D"/>
    <w:rsid w:val="006B459D"/>
    <w:rsid w:val="006B4DD3"/>
    <w:rsid w:val="006B4F85"/>
    <w:rsid w:val="006B4FB0"/>
    <w:rsid w:val="006B5A4F"/>
    <w:rsid w:val="006B6067"/>
    <w:rsid w:val="006B676D"/>
    <w:rsid w:val="006B6B32"/>
    <w:rsid w:val="006B6F05"/>
    <w:rsid w:val="006B7344"/>
    <w:rsid w:val="006B74DF"/>
    <w:rsid w:val="006B78A3"/>
    <w:rsid w:val="006C026C"/>
    <w:rsid w:val="006C0379"/>
    <w:rsid w:val="006C083A"/>
    <w:rsid w:val="006C1042"/>
    <w:rsid w:val="006C177A"/>
    <w:rsid w:val="006C1876"/>
    <w:rsid w:val="006C200A"/>
    <w:rsid w:val="006C2010"/>
    <w:rsid w:val="006C20B4"/>
    <w:rsid w:val="006C2898"/>
    <w:rsid w:val="006C3491"/>
    <w:rsid w:val="006C3C1D"/>
    <w:rsid w:val="006C4097"/>
    <w:rsid w:val="006C425A"/>
    <w:rsid w:val="006C4C86"/>
    <w:rsid w:val="006C5137"/>
    <w:rsid w:val="006C5EF9"/>
    <w:rsid w:val="006C6092"/>
    <w:rsid w:val="006C619D"/>
    <w:rsid w:val="006C64D9"/>
    <w:rsid w:val="006C676B"/>
    <w:rsid w:val="006C67CA"/>
    <w:rsid w:val="006C693E"/>
    <w:rsid w:val="006C699B"/>
    <w:rsid w:val="006C6ADC"/>
    <w:rsid w:val="006C6F22"/>
    <w:rsid w:val="006C7183"/>
    <w:rsid w:val="006C7393"/>
    <w:rsid w:val="006C74C0"/>
    <w:rsid w:val="006C7575"/>
    <w:rsid w:val="006C75A1"/>
    <w:rsid w:val="006C78DB"/>
    <w:rsid w:val="006C7B7F"/>
    <w:rsid w:val="006C7E52"/>
    <w:rsid w:val="006D0327"/>
    <w:rsid w:val="006D035F"/>
    <w:rsid w:val="006D0F9A"/>
    <w:rsid w:val="006D13B1"/>
    <w:rsid w:val="006D17DA"/>
    <w:rsid w:val="006D1981"/>
    <w:rsid w:val="006D19A8"/>
    <w:rsid w:val="006D1C6D"/>
    <w:rsid w:val="006D1CA6"/>
    <w:rsid w:val="006D1E66"/>
    <w:rsid w:val="006D1F42"/>
    <w:rsid w:val="006D210A"/>
    <w:rsid w:val="006D2750"/>
    <w:rsid w:val="006D365D"/>
    <w:rsid w:val="006D384E"/>
    <w:rsid w:val="006D3A7B"/>
    <w:rsid w:val="006D3F51"/>
    <w:rsid w:val="006D3FCB"/>
    <w:rsid w:val="006D4015"/>
    <w:rsid w:val="006D4065"/>
    <w:rsid w:val="006D427D"/>
    <w:rsid w:val="006D5282"/>
    <w:rsid w:val="006D52B1"/>
    <w:rsid w:val="006D5700"/>
    <w:rsid w:val="006D589D"/>
    <w:rsid w:val="006D5E82"/>
    <w:rsid w:val="006D64A6"/>
    <w:rsid w:val="006D67FA"/>
    <w:rsid w:val="006D6B48"/>
    <w:rsid w:val="006D6F42"/>
    <w:rsid w:val="006E04B4"/>
    <w:rsid w:val="006E061A"/>
    <w:rsid w:val="006E081B"/>
    <w:rsid w:val="006E098A"/>
    <w:rsid w:val="006E0FCF"/>
    <w:rsid w:val="006E12CF"/>
    <w:rsid w:val="006E19E6"/>
    <w:rsid w:val="006E2822"/>
    <w:rsid w:val="006E2DC9"/>
    <w:rsid w:val="006E2DD5"/>
    <w:rsid w:val="006E3B4F"/>
    <w:rsid w:val="006E3BC1"/>
    <w:rsid w:val="006E3DA9"/>
    <w:rsid w:val="006E4401"/>
    <w:rsid w:val="006E4BE4"/>
    <w:rsid w:val="006E4C94"/>
    <w:rsid w:val="006E4FB3"/>
    <w:rsid w:val="006E516B"/>
    <w:rsid w:val="006E5733"/>
    <w:rsid w:val="006E5A5B"/>
    <w:rsid w:val="006E5D45"/>
    <w:rsid w:val="006E6593"/>
    <w:rsid w:val="006E6C7B"/>
    <w:rsid w:val="006E6FF3"/>
    <w:rsid w:val="006E7799"/>
    <w:rsid w:val="006E7AB6"/>
    <w:rsid w:val="006E7DDA"/>
    <w:rsid w:val="006F024C"/>
    <w:rsid w:val="006F084C"/>
    <w:rsid w:val="006F08C3"/>
    <w:rsid w:val="006F0F23"/>
    <w:rsid w:val="006F1231"/>
    <w:rsid w:val="006F1355"/>
    <w:rsid w:val="006F36D1"/>
    <w:rsid w:val="006F3AF3"/>
    <w:rsid w:val="006F3CC4"/>
    <w:rsid w:val="006F3D0F"/>
    <w:rsid w:val="006F4615"/>
    <w:rsid w:val="006F4951"/>
    <w:rsid w:val="006F580C"/>
    <w:rsid w:val="006F5EAF"/>
    <w:rsid w:val="006F5FE2"/>
    <w:rsid w:val="006F6103"/>
    <w:rsid w:val="006F642B"/>
    <w:rsid w:val="006F6DA8"/>
    <w:rsid w:val="006F6FFB"/>
    <w:rsid w:val="006F7881"/>
    <w:rsid w:val="006F7936"/>
    <w:rsid w:val="006F79B8"/>
    <w:rsid w:val="006F7DCF"/>
    <w:rsid w:val="006F7F49"/>
    <w:rsid w:val="006F7FEA"/>
    <w:rsid w:val="00700097"/>
    <w:rsid w:val="0070090C"/>
    <w:rsid w:val="00700B7C"/>
    <w:rsid w:val="0070106D"/>
    <w:rsid w:val="00701143"/>
    <w:rsid w:val="007013B0"/>
    <w:rsid w:val="007015FF"/>
    <w:rsid w:val="00701975"/>
    <w:rsid w:val="00701E8F"/>
    <w:rsid w:val="00701EF7"/>
    <w:rsid w:val="007025C5"/>
    <w:rsid w:val="00702980"/>
    <w:rsid w:val="00703123"/>
    <w:rsid w:val="00703150"/>
    <w:rsid w:val="0070357C"/>
    <w:rsid w:val="00703807"/>
    <w:rsid w:val="00703C32"/>
    <w:rsid w:val="00703D35"/>
    <w:rsid w:val="0070456D"/>
    <w:rsid w:val="00704885"/>
    <w:rsid w:val="00704BFB"/>
    <w:rsid w:val="00704C60"/>
    <w:rsid w:val="00705015"/>
    <w:rsid w:val="0070538B"/>
    <w:rsid w:val="007053F4"/>
    <w:rsid w:val="00705692"/>
    <w:rsid w:val="00705FC1"/>
    <w:rsid w:val="00706D89"/>
    <w:rsid w:val="00707205"/>
    <w:rsid w:val="007075B6"/>
    <w:rsid w:val="0070787C"/>
    <w:rsid w:val="00707BA2"/>
    <w:rsid w:val="00707E8B"/>
    <w:rsid w:val="00707FFA"/>
    <w:rsid w:val="00710A98"/>
    <w:rsid w:val="00710C22"/>
    <w:rsid w:val="00710D96"/>
    <w:rsid w:val="00710F29"/>
    <w:rsid w:val="00711033"/>
    <w:rsid w:val="00711265"/>
    <w:rsid w:val="007112F9"/>
    <w:rsid w:val="00711597"/>
    <w:rsid w:val="00712827"/>
    <w:rsid w:val="00712B08"/>
    <w:rsid w:val="00712B5A"/>
    <w:rsid w:val="007130C0"/>
    <w:rsid w:val="00713D12"/>
    <w:rsid w:val="00714BB0"/>
    <w:rsid w:val="00714DCA"/>
    <w:rsid w:val="007151BA"/>
    <w:rsid w:val="00715706"/>
    <w:rsid w:val="00715776"/>
    <w:rsid w:val="00715EED"/>
    <w:rsid w:val="0071603E"/>
    <w:rsid w:val="00716049"/>
    <w:rsid w:val="0071775A"/>
    <w:rsid w:val="00717A7B"/>
    <w:rsid w:val="007202F3"/>
    <w:rsid w:val="007206F8"/>
    <w:rsid w:val="00720BA4"/>
    <w:rsid w:val="00722B09"/>
    <w:rsid w:val="00723AA7"/>
    <w:rsid w:val="00724558"/>
    <w:rsid w:val="007247F6"/>
    <w:rsid w:val="007258E9"/>
    <w:rsid w:val="00726010"/>
    <w:rsid w:val="00726239"/>
    <w:rsid w:val="0072671D"/>
    <w:rsid w:val="00726B8A"/>
    <w:rsid w:val="00726E54"/>
    <w:rsid w:val="00727828"/>
    <w:rsid w:val="00727976"/>
    <w:rsid w:val="00727BB0"/>
    <w:rsid w:val="00727CF3"/>
    <w:rsid w:val="00727E11"/>
    <w:rsid w:val="00730403"/>
    <w:rsid w:val="00730456"/>
    <w:rsid w:val="00730503"/>
    <w:rsid w:val="0073079A"/>
    <w:rsid w:val="0073106E"/>
    <w:rsid w:val="007316FC"/>
    <w:rsid w:val="00731CE9"/>
    <w:rsid w:val="00732B9A"/>
    <w:rsid w:val="00733285"/>
    <w:rsid w:val="007333F8"/>
    <w:rsid w:val="007339D8"/>
    <w:rsid w:val="007339E0"/>
    <w:rsid w:val="00733C74"/>
    <w:rsid w:val="00733D04"/>
    <w:rsid w:val="007340A9"/>
    <w:rsid w:val="0073448D"/>
    <w:rsid w:val="007345A2"/>
    <w:rsid w:val="007346EF"/>
    <w:rsid w:val="007356CC"/>
    <w:rsid w:val="00735AD5"/>
    <w:rsid w:val="00735B87"/>
    <w:rsid w:val="00735E88"/>
    <w:rsid w:val="007369B0"/>
    <w:rsid w:val="00736C30"/>
    <w:rsid w:val="00736EF9"/>
    <w:rsid w:val="00737108"/>
    <w:rsid w:val="00740E0D"/>
    <w:rsid w:val="00740E25"/>
    <w:rsid w:val="007419AE"/>
    <w:rsid w:val="0074200A"/>
    <w:rsid w:val="007423D9"/>
    <w:rsid w:val="0074274F"/>
    <w:rsid w:val="00742881"/>
    <w:rsid w:val="007428A5"/>
    <w:rsid w:val="0074351C"/>
    <w:rsid w:val="00743807"/>
    <w:rsid w:val="00744C1D"/>
    <w:rsid w:val="00744C30"/>
    <w:rsid w:val="00744F5F"/>
    <w:rsid w:val="007454E2"/>
    <w:rsid w:val="00745A1D"/>
    <w:rsid w:val="00745A47"/>
    <w:rsid w:val="007464EF"/>
    <w:rsid w:val="00746537"/>
    <w:rsid w:val="00746B90"/>
    <w:rsid w:val="00746DD3"/>
    <w:rsid w:val="007473AF"/>
    <w:rsid w:val="00747718"/>
    <w:rsid w:val="00747B2C"/>
    <w:rsid w:val="00750503"/>
    <w:rsid w:val="007508DA"/>
    <w:rsid w:val="00750A1F"/>
    <w:rsid w:val="00751684"/>
    <w:rsid w:val="007520A2"/>
    <w:rsid w:val="00752A6F"/>
    <w:rsid w:val="00752DB5"/>
    <w:rsid w:val="00752E01"/>
    <w:rsid w:val="00753C92"/>
    <w:rsid w:val="00754DC6"/>
    <w:rsid w:val="007570D5"/>
    <w:rsid w:val="00757665"/>
    <w:rsid w:val="00757ADC"/>
    <w:rsid w:val="00757E5F"/>
    <w:rsid w:val="00760622"/>
    <w:rsid w:val="00760887"/>
    <w:rsid w:val="00760964"/>
    <w:rsid w:val="007609EF"/>
    <w:rsid w:val="00760E64"/>
    <w:rsid w:val="00760F1A"/>
    <w:rsid w:val="007611CD"/>
    <w:rsid w:val="00761256"/>
    <w:rsid w:val="00761312"/>
    <w:rsid w:val="00761A6F"/>
    <w:rsid w:val="007624D9"/>
    <w:rsid w:val="00762555"/>
    <w:rsid w:val="007628DE"/>
    <w:rsid w:val="007630E4"/>
    <w:rsid w:val="0076364D"/>
    <w:rsid w:val="00763BB7"/>
    <w:rsid w:val="00763F5F"/>
    <w:rsid w:val="0076447F"/>
    <w:rsid w:val="00764742"/>
    <w:rsid w:val="00765BDA"/>
    <w:rsid w:val="00765C55"/>
    <w:rsid w:val="00766BC7"/>
    <w:rsid w:val="00766E1E"/>
    <w:rsid w:val="00767A1D"/>
    <w:rsid w:val="00767AF2"/>
    <w:rsid w:val="00770229"/>
    <w:rsid w:val="007703D4"/>
    <w:rsid w:val="007706DF"/>
    <w:rsid w:val="007709AF"/>
    <w:rsid w:val="00770F59"/>
    <w:rsid w:val="00770F62"/>
    <w:rsid w:val="00770F7C"/>
    <w:rsid w:val="00771559"/>
    <w:rsid w:val="00771659"/>
    <w:rsid w:val="00771998"/>
    <w:rsid w:val="00771E06"/>
    <w:rsid w:val="0077203F"/>
    <w:rsid w:val="00772546"/>
    <w:rsid w:val="00772B0F"/>
    <w:rsid w:val="00772E5E"/>
    <w:rsid w:val="00772EBE"/>
    <w:rsid w:val="00774383"/>
    <w:rsid w:val="0077445D"/>
    <w:rsid w:val="00774B0F"/>
    <w:rsid w:val="00775AB2"/>
    <w:rsid w:val="00775CE5"/>
    <w:rsid w:val="00776310"/>
    <w:rsid w:val="00776589"/>
    <w:rsid w:val="007772DE"/>
    <w:rsid w:val="00780496"/>
    <w:rsid w:val="00780BF3"/>
    <w:rsid w:val="00782084"/>
    <w:rsid w:val="00782959"/>
    <w:rsid w:val="00782C74"/>
    <w:rsid w:val="00782ED9"/>
    <w:rsid w:val="00783588"/>
    <w:rsid w:val="007838EF"/>
    <w:rsid w:val="00783A04"/>
    <w:rsid w:val="00784060"/>
    <w:rsid w:val="007842B0"/>
    <w:rsid w:val="00784FCA"/>
    <w:rsid w:val="007858A5"/>
    <w:rsid w:val="00785E1A"/>
    <w:rsid w:val="00786334"/>
    <w:rsid w:val="00786835"/>
    <w:rsid w:val="007868C9"/>
    <w:rsid w:val="00786BDC"/>
    <w:rsid w:val="00786E56"/>
    <w:rsid w:val="007872D3"/>
    <w:rsid w:val="0078748F"/>
    <w:rsid w:val="0078769D"/>
    <w:rsid w:val="00787BDB"/>
    <w:rsid w:val="00787EFB"/>
    <w:rsid w:val="00787FD3"/>
    <w:rsid w:val="00790100"/>
    <w:rsid w:val="007902A0"/>
    <w:rsid w:val="00790696"/>
    <w:rsid w:val="007908E1"/>
    <w:rsid w:val="0079092C"/>
    <w:rsid w:val="00790D1C"/>
    <w:rsid w:val="007912AF"/>
    <w:rsid w:val="007915BF"/>
    <w:rsid w:val="00791D3B"/>
    <w:rsid w:val="00791F27"/>
    <w:rsid w:val="00792033"/>
    <w:rsid w:val="00792516"/>
    <w:rsid w:val="00792AEE"/>
    <w:rsid w:val="0079341D"/>
    <w:rsid w:val="007934C8"/>
    <w:rsid w:val="00793A30"/>
    <w:rsid w:val="00793B59"/>
    <w:rsid w:val="00793D24"/>
    <w:rsid w:val="00793FFF"/>
    <w:rsid w:val="007940FB"/>
    <w:rsid w:val="00794273"/>
    <w:rsid w:val="007945A9"/>
    <w:rsid w:val="00794BEE"/>
    <w:rsid w:val="00794D01"/>
    <w:rsid w:val="00795BA1"/>
    <w:rsid w:val="00796752"/>
    <w:rsid w:val="007975F7"/>
    <w:rsid w:val="00797701"/>
    <w:rsid w:val="0079772A"/>
    <w:rsid w:val="007977AF"/>
    <w:rsid w:val="0079788B"/>
    <w:rsid w:val="00797DC8"/>
    <w:rsid w:val="00797F54"/>
    <w:rsid w:val="007A01A1"/>
    <w:rsid w:val="007A0F75"/>
    <w:rsid w:val="007A0FF7"/>
    <w:rsid w:val="007A11E3"/>
    <w:rsid w:val="007A1A0F"/>
    <w:rsid w:val="007A1F80"/>
    <w:rsid w:val="007A24F4"/>
    <w:rsid w:val="007A2821"/>
    <w:rsid w:val="007A29D0"/>
    <w:rsid w:val="007A2AC1"/>
    <w:rsid w:val="007A2C6D"/>
    <w:rsid w:val="007A2DD0"/>
    <w:rsid w:val="007A341E"/>
    <w:rsid w:val="007A389C"/>
    <w:rsid w:val="007A3FDF"/>
    <w:rsid w:val="007A40A6"/>
    <w:rsid w:val="007A432A"/>
    <w:rsid w:val="007A4509"/>
    <w:rsid w:val="007A4582"/>
    <w:rsid w:val="007A4B10"/>
    <w:rsid w:val="007A4FD0"/>
    <w:rsid w:val="007A5098"/>
    <w:rsid w:val="007A55E6"/>
    <w:rsid w:val="007A5C4B"/>
    <w:rsid w:val="007A6CCC"/>
    <w:rsid w:val="007A6E22"/>
    <w:rsid w:val="007A6F9A"/>
    <w:rsid w:val="007A7F8F"/>
    <w:rsid w:val="007B0108"/>
    <w:rsid w:val="007B027C"/>
    <w:rsid w:val="007B1B94"/>
    <w:rsid w:val="007B20BD"/>
    <w:rsid w:val="007B244D"/>
    <w:rsid w:val="007B261F"/>
    <w:rsid w:val="007B2B79"/>
    <w:rsid w:val="007B3784"/>
    <w:rsid w:val="007B3924"/>
    <w:rsid w:val="007B3982"/>
    <w:rsid w:val="007B3E79"/>
    <w:rsid w:val="007B41BE"/>
    <w:rsid w:val="007B49EB"/>
    <w:rsid w:val="007B4A0D"/>
    <w:rsid w:val="007B5E28"/>
    <w:rsid w:val="007B6979"/>
    <w:rsid w:val="007B6B97"/>
    <w:rsid w:val="007B6BA5"/>
    <w:rsid w:val="007B7677"/>
    <w:rsid w:val="007B7718"/>
    <w:rsid w:val="007B7B31"/>
    <w:rsid w:val="007B7F8B"/>
    <w:rsid w:val="007C02BC"/>
    <w:rsid w:val="007C0844"/>
    <w:rsid w:val="007C0C5E"/>
    <w:rsid w:val="007C0E98"/>
    <w:rsid w:val="007C103B"/>
    <w:rsid w:val="007C104D"/>
    <w:rsid w:val="007C148D"/>
    <w:rsid w:val="007C1600"/>
    <w:rsid w:val="007C1660"/>
    <w:rsid w:val="007C2834"/>
    <w:rsid w:val="007C31CE"/>
    <w:rsid w:val="007C31F3"/>
    <w:rsid w:val="007C3249"/>
    <w:rsid w:val="007C3A5D"/>
    <w:rsid w:val="007C3D64"/>
    <w:rsid w:val="007C4428"/>
    <w:rsid w:val="007C46AA"/>
    <w:rsid w:val="007C4807"/>
    <w:rsid w:val="007C4B6D"/>
    <w:rsid w:val="007C4F1A"/>
    <w:rsid w:val="007C584A"/>
    <w:rsid w:val="007C5B5F"/>
    <w:rsid w:val="007C5BBF"/>
    <w:rsid w:val="007C660D"/>
    <w:rsid w:val="007C6635"/>
    <w:rsid w:val="007C71A6"/>
    <w:rsid w:val="007C76EA"/>
    <w:rsid w:val="007C78FE"/>
    <w:rsid w:val="007C7BE6"/>
    <w:rsid w:val="007C7CDE"/>
    <w:rsid w:val="007D0A59"/>
    <w:rsid w:val="007D0E9D"/>
    <w:rsid w:val="007D145E"/>
    <w:rsid w:val="007D16A0"/>
    <w:rsid w:val="007D16F8"/>
    <w:rsid w:val="007D1E5B"/>
    <w:rsid w:val="007D2580"/>
    <w:rsid w:val="007D2A5E"/>
    <w:rsid w:val="007D2C85"/>
    <w:rsid w:val="007D33A5"/>
    <w:rsid w:val="007D3440"/>
    <w:rsid w:val="007D35FE"/>
    <w:rsid w:val="007D3918"/>
    <w:rsid w:val="007D3976"/>
    <w:rsid w:val="007D41B2"/>
    <w:rsid w:val="007D4E67"/>
    <w:rsid w:val="007D4FA6"/>
    <w:rsid w:val="007D56C5"/>
    <w:rsid w:val="007D5C03"/>
    <w:rsid w:val="007D6DC5"/>
    <w:rsid w:val="007D6ECB"/>
    <w:rsid w:val="007E0393"/>
    <w:rsid w:val="007E05BC"/>
    <w:rsid w:val="007E095E"/>
    <w:rsid w:val="007E0B50"/>
    <w:rsid w:val="007E1440"/>
    <w:rsid w:val="007E1965"/>
    <w:rsid w:val="007E1EDC"/>
    <w:rsid w:val="007E223E"/>
    <w:rsid w:val="007E22F3"/>
    <w:rsid w:val="007E2A9F"/>
    <w:rsid w:val="007E2DA7"/>
    <w:rsid w:val="007E30E5"/>
    <w:rsid w:val="007E330F"/>
    <w:rsid w:val="007E3944"/>
    <w:rsid w:val="007E4529"/>
    <w:rsid w:val="007E4C00"/>
    <w:rsid w:val="007E4D2C"/>
    <w:rsid w:val="007E55B4"/>
    <w:rsid w:val="007E57C9"/>
    <w:rsid w:val="007E6569"/>
    <w:rsid w:val="007E6E8B"/>
    <w:rsid w:val="007E76A1"/>
    <w:rsid w:val="007E7813"/>
    <w:rsid w:val="007E7F24"/>
    <w:rsid w:val="007F0416"/>
    <w:rsid w:val="007F065B"/>
    <w:rsid w:val="007F096F"/>
    <w:rsid w:val="007F097E"/>
    <w:rsid w:val="007F100D"/>
    <w:rsid w:val="007F13D0"/>
    <w:rsid w:val="007F21D8"/>
    <w:rsid w:val="007F220F"/>
    <w:rsid w:val="007F2806"/>
    <w:rsid w:val="007F2B84"/>
    <w:rsid w:val="007F3C47"/>
    <w:rsid w:val="007F3E66"/>
    <w:rsid w:val="007F3FC9"/>
    <w:rsid w:val="007F44A3"/>
    <w:rsid w:val="007F4E98"/>
    <w:rsid w:val="007F4EE0"/>
    <w:rsid w:val="007F51D7"/>
    <w:rsid w:val="007F55F3"/>
    <w:rsid w:val="007F5E58"/>
    <w:rsid w:val="007F6429"/>
    <w:rsid w:val="007F66FE"/>
    <w:rsid w:val="007F6A47"/>
    <w:rsid w:val="007F6ED5"/>
    <w:rsid w:val="007F7C58"/>
    <w:rsid w:val="0080022E"/>
    <w:rsid w:val="00800792"/>
    <w:rsid w:val="00800936"/>
    <w:rsid w:val="00801469"/>
    <w:rsid w:val="008014BC"/>
    <w:rsid w:val="0080150C"/>
    <w:rsid w:val="00802013"/>
    <w:rsid w:val="0080250E"/>
    <w:rsid w:val="00803228"/>
    <w:rsid w:val="008035D0"/>
    <w:rsid w:val="008039AD"/>
    <w:rsid w:val="00803EA5"/>
    <w:rsid w:val="00804761"/>
    <w:rsid w:val="00804A60"/>
    <w:rsid w:val="00805074"/>
    <w:rsid w:val="00805145"/>
    <w:rsid w:val="00805886"/>
    <w:rsid w:val="00805F82"/>
    <w:rsid w:val="0080675C"/>
    <w:rsid w:val="00806A5D"/>
    <w:rsid w:val="00806DFD"/>
    <w:rsid w:val="00807257"/>
    <w:rsid w:val="008077B7"/>
    <w:rsid w:val="00807A09"/>
    <w:rsid w:val="008101AD"/>
    <w:rsid w:val="008104E4"/>
    <w:rsid w:val="008106B4"/>
    <w:rsid w:val="008107D3"/>
    <w:rsid w:val="00810A1E"/>
    <w:rsid w:val="00811219"/>
    <w:rsid w:val="00811CDB"/>
    <w:rsid w:val="00811D73"/>
    <w:rsid w:val="00811F20"/>
    <w:rsid w:val="00812186"/>
    <w:rsid w:val="008123BC"/>
    <w:rsid w:val="0081296B"/>
    <w:rsid w:val="00812A70"/>
    <w:rsid w:val="00813945"/>
    <w:rsid w:val="00813E4D"/>
    <w:rsid w:val="00813FB5"/>
    <w:rsid w:val="0081419F"/>
    <w:rsid w:val="008149F9"/>
    <w:rsid w:val="00814A84"/>
    <w:rsid w:val="00814B97"/>
    <w:rsid w:val="00814E0B"/>
    <w:rsid w:val="008153B2"/>
    <w:rsid w:val="00815798"/>
    <w:rsid w:val="00815B8B"/>
    <w:rsid w:val="00816481"/>
    <w:rsid w:val="008165AD"/>
    <w:rsid w:val="00816647"/>
    <w:rsid w:val="0081675D"/>
    <w:rsid w:val="008179A0"/>
    <w:rsid w:val="00817E6B"/>
    <w:rsid w:val="008201FA"/>
    <w:rsid w:val="0082020F"/>
    <w:rsid w:val="0082067B"/>
    <w:rsid w:val="008207FC"/>
    <w:rsid w:val="00821212"/>
    <w:rsid w:val="00822994"/>
    <w:rsid w:val="00823340"/>
    <w:rsid w:val="0082344E"/>
    <w:rsid w:val="00823ACA"/>
    <w:rsid w:val="00823E67"/>
    <w:rsid w:val="00824176"/>
    <w:rsid w:val="008244C9"/>
    <w:rsid w:val="00824A6E"/>
    <w:rsid w:val="00824C94"/>
    <w:rsid w:val="00825657"/>
    <w:rsid w:val="00826559"/>
    <w:rsid w:val="00826A4E"/>
    <w:rsid w:val="00826CFA"/>
    <w:rsid w:val="00827CA6"/>
    <w:rsid w:val="00830226"/>
    <w:rsid w:val="008304F1"/>
    <w:rsid w:val="00830A4A"/>
    <w:rsid w:val="00831285"/>
    <w:rsid w:val="00831504"/>
    <w:rsid w:val="008319BE"/>
    <w:rsid w:val="00832263"/>
    <w:rsid w:val="0083264D"/>
    <w:rsid w:val="00832B0C"/>
    <w:rsid w:val="00832F7B"/>
    <w:rsid w:val="00833048"/>
    <w:rsid w:val="0083349D"/>
    <w:rsid w:val="00833565"/>
    <w:rsid w:val="008336A0"/>
    <w:rsid w:val="00833F36"/>
    <w:rsid w:val="0083408E"/>
    <w:rsid w:val="008348B5"/>
    <w:rsid w:val="00834BB4"/>
    <w:rsid w:val="00834FE0"/>
    <w:rsid w:val="00835591"/>
    <w:rsid w:val="00835967"/>
    <w:rsid w:val="0083606F"/>
    <w:rsid w:val="00836163"/>
    <w:rsid w:val="00836262"/>
    <w:rsid w:val="00836330"/>
    <w:rsid w:val="00836516"/>
    <w:rsid w:val="008367F7"/>
    <w:rsid w:val="0083754E"/>
    <w:rsid w:val="0083755C"/>
    <w:rsid w:val="00837695"/>
    <w:rsid w:val="00837805"/>
    <w:rsid w:val="0083780A"/>
    <w:rsid w:val="008379A1"/>
    <w:rsid w:val="00837FE8"/>
    <w:rsid w:val="00840125"/>
    <w:rsid w:val="008402DD"/>
    <w:rsid w:val="008407A4"/>
    <w:rsid w:val="00840928"/>
    <w:rsid w:val="008413A4"/>
    <w:rsid w:val="008414AE"/>
    <w:rsid w:val="00841855"/>
    <w:rsid w:val="008421F7"/>
    <w:rsid w:val="00842FF5"/>
    <w:rsid w:val="008438C4"/>
    <w:rsid w:val="00843A3A"/>
    <w:rsid w:val="00843EDA"/>
    <w:rsid w:val="0084448D"/>
    <w:rsid w:val="008444DB"/>
    <w:rsid w:val="008445A2"/>
    <w:rsid w:val="008448B5"/>
    <w:rsid w:val="00844B1D"/>
    <w:rsid w:val="0084521E"/>
    <w:rsid w:val="008453B8"/>
    <w:rsid w:val="008454D2"/>
    <w:rsid w:val="00846BE8"/>
    <w:rsid w:val="00846CA0"/>
    <w:rsid w:val="00846D2B"/>
    <w:rsid w:val="00846ED3"/>
    <w:rsid w:val="00847057"/>
    <w:rsid w:val="00847A00"/>
    <w:rsid w:val="00850067"/>
    <w:rsid w:val="00850AC9"/>
    <w:rsid w:val="008512DA"/>
    <w:rsid w:val="00851520"/>
    <w:rsid w:val="0085158D"/>
    <w:rsid w:val="008518B3"/>
    <w:rsid w:val="008518FE"/>
    <w:rsid w:val="00851B4D"/>
    <w:rsid w:val="008521CE"/>
    <w:rsid w:val="00852F5E"/>
    <w:rsid w:val="00853161"/>
    <w:rsid w:val="008532CB"/>
    <w:rsid w:val="00853A65"/>
    <w:rsid w:val="00854675"/>
    <w:rsid w:val="008549BA"/>
    <w:rsid w:val="00854A5F"/>
    <w:rsid w:val="00854E34"/>
    <w:rsid w:val="008551E9"/>
    <w:rsid w:val="00855870"/>
    <w:rsid w:val="008564A5"/>
    <w:rsid w:val="00856614"/>
    <w:rsid w:val="008570DA"/>
    <w:rsid w:val="008572CF"/>
    <w:rsid w:val="00857CDB"/>
    <w:rsid w:val="00860003"/>
    <w:rsid w:val="00861042"/>
    <w:rsid w:val="00861838"/>
    <w:rsid w:val="008619F6"/>
    <w:rsid w:val="00862286"/>
    <w:rsid w:val="0086242A"/>
    <w:rsid w:val="008624B1"/>
    <w:rsid w:val="008624C8"/>
    <w:rsid w:val="0086476D"/>
    <w:rsid w:val="00864776"/>
    <w:rsid w:val="008648CE"/>
    <w:rsid w:val="00864F33"/>
    <w:rsid w:val="00864FB4"/>
    <w:rsid w:val="0086506B"/>
    <w:rsid w:val="00865150"/>
    <w:rsid w:val="00865BC9"/>
    <w:rsid w:val="00865DFF"/>
    <w:rsid w:val="00865E5A"/>
    <w:rsid w:val="00866569"/>
    <w:rsid w:val="008668B8"/>
    <w:rsid w:val="0086789B"/>
    <w:rsid w:val="00867CED"/>
    <w:rsid w:val="00867F91"/>
    <w:rsid w:val="008700C4"/>
    <w:rsid w:val="008703B8"/>
    <w:rsid w:val="00870696"/>
    <w:rsid w:val="00870AA9"/>
    <w:rsid w:val="00871394"/>
    <w:rsid w:val="00871806"/>
    <w:rsid w:val="008718F5"/>
    <w:rsid w:val="00871924"/>
    <w:rsid w:val="00871B74"/>
    <w:rsid w:val="0087201E"/>
    <w:rsid w:val="00872800"/>
    <w:rsid w:val="00872849"/>
    <w:rsid w:val="00872A87"/>
    <w:rsid w:val="00872D09"/>
    <w:rsid w:val="0087303F"/>
    <w:rsid w:val="008730AF"/>
    <w:rsid w:val="00873B92"/>
    <w:rsid w:val="00873BFE"/>
    <w:rsid w:val="00873F03"/>
    <w:rsid w:val="00874102"/>
    <w:rsid w:val="0087444F"/>
    <w:rsid w:val="00874AF6"/>
    <w:rsid w:val="00874F14"/>
    <w:rsid w:val="00875317"/>
    <w:rsid w:val="0087537E"/>
    <w:rsid w:val="0087556C"/>
    <w:rsid w:val="008755B9"/>
    <w:rsid w:val="00875717"/>
    <w:rsid w:val="00875A32"/>
    <w:rsid w:val="00875E2E"/>
    <w:rsid w:val="0087609E"/>
    <w:rsid w:val="008763EA"/>
    <w:rsid w:val="0087694C"/>
    <w:rsid w:val="00876C8A"/>
    <w:rsid w:val="00877064"/>
    <w:rsid w:val="00877654"/>
    <w:rsid w:val="008779C6"/>
    <w:rsid w:val="00880617"/>
    <w:rsid w:val="00880AF2"/>
    <w:rsid w:val="00881732"/>
    <w:rsid w:val="0088199C"/>
    <w:rsid w:val="0088245A"/>
    <w:rsid w:val="008824E6"/>
    <w:rsid w:val="0088257C"/>
    <w:rsid w:val="008825B9"/>
    <w:rsid w:val="00882DBD"/>
    <w:rsid w:val="00882FF7"/>
    <w:rsid w:val="008831FC"/>
    <w:rsid w:val="008832F8"/>
    <w:rsid w:val="008834E9"/>
    <w:rsid w:val="00884AC3"/>
    <w:rsid w:val="00885DC5"/>
    <w:rsid w:val="00885DCA"/>
    <w:rsid w:val="00886370"/>
    <w:rsid w:val="008866BF"/>
    <w:rsid w:val="008867CC"/>
    <w:rsid w:val="00886B98"/>
    <w:rsid w:val="008875C5"/>
    <w:rsid w:val="008876E6"/>
    <w:rsid w:val="008900AC"/>
    <w:rsid w:val="0089034E"/>
    <w:rsid w:val="008905E3"/>
    <w:rsid w:val="00890C84"/>
    <w:rsid w:val="00890D7F"/>
    <w:rsid w:val="00891669"/>
    <w:rsid w:val="008917D5"/>
    <w:rsid w:val="00891F64"/>
    <w:rsid w:val="00892000"/>
    <w:rsid w:val="00892138"/>
    <w:rsid w:val="00892368"/>
    <w:rsid w:val="008925E3"/>
    <w:rsid w:val="0089294D"/>
    <w:rsid w:val="00892DE7"/>
    <w:rsid w:val="00893ADC"/>
    <w:rsid w:val="00893DE4"/>
    <w:rsid w:val="0089473C"/>
    <w:rsid w:val="00894B8A"/>
    <w:rsid w:val="00894EAD"/>
    <w:rsid w:val="00895336"/>
    <w:rsid w:val="0089596C"/>
    <w:rsid w:val="008959F3"/>
    <w:rsid w:val="00895AD4"/>
    <w:rsid w:val="00895E9B"/>
    <w:rsid w:val="008963E5"/>
    <w:rsid w:val="00896786"/>
    <w:rsid w:val="008969E8"/>
    <w:rsid w:val="00896C7F"/>
    <w:rsid w:val="00896F95"/>
    <w:rsid w:val="00897376"/>
    <w:rsid w:val="0089796A"/>
    <w:rsid w:val="00897CB0"/>
    <w:rsid w:val="008A00E3"/>
    <w:rsid w:val="008A03FB"/>
    <w:rsid w:val="008A08DA"/>
    <w:rsid w:val="008A094E"/>
    <w:rsid w:val="008A0F31"/>
    <w:rsid w:val="008A11A2"/>
    <w:rsid w:val="008A13B8"/>
    <w:rsid w:val="008A16DC"/>
    <w:rsid w:val="008A19C4"/>
    <w:rsid w:val="008A2906"/>
    <w:rsid w:val="008A2BBA"/>
    <w:rsid w:val="008A2C9E"/>
    <w:rsid w:val="008A2FBB"/>
    <w:rsid w:val="008A33C6"/>
    <w:rsid w:val="008A3736"/>
    <w:rsid w:val="008A4590"/>
    <w:rsid w:val="008A4678"/>
    <w:rsid w:val="008A4980"/>
    <w:rsid w:val="008A4EA9"/>
    <w:rsid w:val="008A5148"/>
    <w:rsid w:val="008A578B"/>
    <w:rsid w:val="008A630E"/>
    <w:rsid w:val="008A6951"/>
    <w:rsid w:val="008A6B49"/>
    <w:rsid w:val="008A719E"/>
    <w:rsid w:val="008A743D"/>
    <w:rsid w:val="008A795C"/>
    <w:rsid w:val="008B006E"/>
    <w:rsid w:val="008B0519"/>
    <w:rsid w:val="008B088E"/>
    <w:rsid w:val="008B0C6E"/>
    <w:rsid w:val="008B0CA7"/>
    <w:rsid w:val="008B0EA2"/>
    <w:rsid w:val="008B109C"/>
    <w:rsid w:val="008B1A27"/>
    <w:rsid w:val="008B1B34"/>
    <w:rsid w:val="008B1DEE"/>
    <w:rsid w:val="008B1F8B"/>
    <w:rsid w:val="008B27DA"/>
    <w:rsid w:val="008B2BC4"/>
    <w:rsid w:val="008B2D6A"/>
    <w:rsid w:val="008B2FC1"/>
    <w:rsid w:val="008B30B8"/>
    <w:rsid w:val="008B3639"/>
    <w:rsid w:val="008B3A9E"/>
    <w:rsid w:val="008B3D04"/>
    <w:rsid w:val="008B49DB"/>
    <w:rsid w:val="008B4E37"/>
    <w:rsid w:val="008B51B4"/>
    <w:rsid w:val="008B5560"/>
    <w:rsid w:val="008B585A"/>
    <w:rsid w:val="008B5CB1"/>
    <w:rsid w:val="008B5E24"/>
    <w:rsid w:val="008B5FC1"/>
    <w:rsid w:val="008B601C"/>
    <w:rsid w:val="008B606C"/>
    <w:rsid w:val="008B61DC"/>
    <w:rsid w:val="008B63FD"/>
    <w:rsid w:val="008C01B9"/>
    <w:rsid w:val="008C08C5"/>
    <w:rsid w:val="008C0D41"/>
    <w:rsid w:val="008C0DE3"/>
    <w:rsid w:val="008C14C7"/>
    <w:rsid w:val="008C2090"/>
    <w:rsid w:val="008C2245"/>
    <w:rsid w:val="008C235E"/>
    <w:rsid w:val="008C2AF1"/>
    <w:rsid w:val="008C345E"/>
    <w:rsid w:val="008C4152"/>
    <w:rsid w:val="008C5199"/>
    <w:rsid w:val="008C5B9B"/>
    <w:rsid w:val="008C6388"/>
    <w:rsid w:val="008C6672"/>
    <w:rsid w:val="008C6689"/>
    <w:rsid w:val="008C6ABE"/>
    <w:rsid w:val="008C6DB2"/>
    <w:rsid w:val="008C6DE9"/>
    <w:rsid w:val="008C6E09"/>
    <w:rsid w:val="008C792F"/>
    <w:rsid w:val="008C7B0F"/>
    <w:rsid w:val="008C7B69"/>
    <w:rsid w:val="008C7BF1"/>
    <w:rsid w:val="008D00ED"/>
    <w:rsid w:val="008D0278"/>
    <w:rsid w:val="008D061F"/>
    <w:rsid w:val="008D06B7"/>
    <w:rsid w:val="008D0A67"/>
    <w:rsid w:val="008D0AA4"/>
    <w:rsid w:val="008D149B"/>
    <w:rsid w:val="008D19B0"/>
    <w:rsid w:val="008D1BFD"/>
    <w:rsid w:val="008D1D40"/>
    <w:rsid w:val="008D1E2E"/>
    <w:rsid w:val="008D21B2"/>
    <w:rsid w:val="008D2264"/>
    <w:rsid w:val="008D22FE"/>
    <w:rsid w:val="008D23E1"/>
    <w:rsid w:val="008D2451"/>
    <w:rsid w:val="008D283E"/>
    <w:rsid w:val="008D2B6D"/>
    <w:rsid w:val="008D33E3"/>
    <w:rsid w:val="008D346B"/>
    <w:rsid w:val="008D3E4B"/>
    <w:rsid w:val="008D4200"/>
    <w:rsid w:val="008D4677"/>
    <w:rsid w:val="008D5EEB"/>
    <w:rsid w:val="008D69A0"/>
    <w:rsid w:val="008D7110"/>
    <w:rsid w:val="008D74E8"/>
    <w:rsid w:val="008E043F"/>
    <w:rsid w:val="008E047D"/>
    <w:rsid w:val="008E08C9"/>
    <w:rsid w:val="008E0F4B"/>
    <w:rsid w:val="008E1779"/>
    <w:rsid w:val="008E2129"/>
    <w:rsid w:val="008E2378"/>
    <w:rsid w:val="008E26C9"/>
    <w:rsid w:val="008E284B"/>
    <w:rsid w:val="008E2E52"/>
    <w:rsid w:val="008E3C71"/>
    <w:rsid w:val="008E3D2E"/>
    <w:rsid w:val="008E41DF"/>
    <w:rsid w:val="008E4D44"/>
    <w:rsid w:val="008E4E2D"/>
    <w:rsid w:val="008E517A"/>
    <w:rsid w:val="008E51C9"/>
    <w:rsid w:val="008E54E6"/>
    <w:rsid w:val="008E56A9"/>
    <w:rsid w:val="008E7606"/>
    <w:rsid w:val="008E778C"/>
    <w:rsid w:val="008E79EB"/>
    <w:rsid w:val="008E7C56"/>
    <w:rsid w:val="008F03F7"/>
    <w:rsid w:val="008F0A0B"/>
    <w:rsid w:val="008F0A38"/>
    <w:rsid w:val="008F0CFE"/>
    <w:rsid w:val="008F1E23"/>
    <w:rsid w:val="008F1ED8"/>
    <w:rsid w:val="008F20FC"/>
    <w:rsid w:val="008F25E9"/>
    <w:rsid w:val="008F2FC9"/>
    <w:rsid w:val="008F358D"/>
    <w:rsid w:val="008F35DE"/>
    <w:rsid w:val="008F3FFD"/>
    <w:rsid w:val="008F45C8"/>
    <w:rsid w:val="008F4DEE"/>
    <w:rsid w:val="008F50A3"/>
    <w:rsid w:val="008F51AD"/>
    <w:rsid w:val="008F5208"/>
    <w:rsid w:val="008F54C1"/>
    <w:rsid w:val="008F575B"/>
    <w:rsid w:val="008F5A2C"/>
    <w:rsid w:val="008F5F5D"/>
    <w:rsid w:val="008F606A"/>
    <w:rsid w:val="008F642B"/>
    <w:rsid w:val="008F6AA7"/>
    <w:rsid w:val="008F6BBE"/>
    <w:rsid w:val="008F7124"/>
    <w:rsid w:val="008F71FD"/>
    <w:rsid w:val="008F7729"/>
    <w:rsid w:val="008F7BCB"/>
    <w:rsid w:val="008F7D23"/>
    <w:rsid w:val="008F7F11"/>
    <w:rsid w:val="00900749"/>
    <w:rsid w:val="0090117B"/>
    <w:rsid w:val="0090130A"/>
    <w:rsid w:val="009021A5"/>
    <w:rsid w:val="009025B6"/>
    <w:rsid w:val="0090311B"/>
    <w:rsid w:val="009033E4"/>
    <w:rsid w:val="0090409C"/>
    <w:rsid w:val="00904330"/>
    <w:rsid w:val="009046C8"/>
    <w:rsid w:val="00904D34"/>
    <w:rsid w:val="00905CA9"/>
    <w:rsid w:val="00905DE1"/>
    <w:rsid w:val="0090614A"/>
    <w:rsid w:val="00906354"/>
    <w:rsid w:val="0090697E"/>
    <w:rsid w:val="00906CDB"/>
    <w:rsid w:val="009070D1"/>
    <w:rsid w:val="00907D7A"/>
    <w:rsid w:val="00907F77"/>
    <w:rsid w:val="00910906"/>
    <w:rsid w:val="00910D34"/>
    <w:rsid w:val="00911003"/>
    <w:rsid w:val="00911677"/>
    <w:rsid w:val="009125EF"/>
    <w:rsid w:val="00912EFC"/>
    <w:rsid w:val="00913670"/>
    <w:rsid w:val="0091389D"/>
    <w:rsid w:val="00913B1A"/>
    <w:rsid w:val="00913B7F"/>
    <w:rsid w:val="00913C3A"/>
    <w:rsid w:val="00913CB0"/>
    <w:rsid w:val="0091432B"/>
    <w:rsid w:val="0091464E"/>
    <w:rsid w:val="00914F69"/>
    <w:rsid w:val="00915DAF"/>
    <w:rsid w:val="009161E0"/>
    <w:rsid w:val="00916B0E"/>
    <w:rsid w:val="00917880"/>
    <w:rsid w:val="009200AE"/>
    <w:rsid w:val="0092054A"/>
    <w:rsid w:val="00920A7B"/>
    <w:rsid w:val="00920A85"/>
    <w:rsid w:val="009221E0"/>
    <w:rsid w:val="0092241C"/>
    <w:rsid w:val="009229AC"/>
    <w:rsid w:val="00922AC9"/>
    <w:rsid w:val="0092336E"/>
    <w:rsid w:val="00923BB0"/>
    <w:rsid w:val="00925177"/>
    <w:rsid w:val="009262AD"/>
    <w:rsid w:val="009267F2"/>
    <w:rsid w:val="00926B9F"/>
    <w:rsid w:val="00926BB1"/>
    <w:rsid w:val="009270BA"/>
    <w:rsid w:val="00927181"/>
    <w:rsid w:val="0092729C"/>
    <w:rsid w:val="00927E39"/>
    <w:rsid w:val="00927F6E"/>
    <w:rsid w:val="00930177"/>
    <w:rsid w:val="00930CC3"/>
    <w:rsid w:val="00931234"/>
    <w:rsid w:val="009316F0"/>
    <w:rsid w:val="009319E3"/>
    <w:rsid w:val="00931A42"/>
    <w:rsid w:val="00931AF9"/>
    <w:rsid w:val="00931B7E"/>
    <w:rsid w:val="00931F2F"/>
    <w:rsid w:val="00932536"/>
    <w:rsid w:val="00932573"/>
    <w:rsid w:val="009329D2"/>
    <w:rsid w:val="009331BA"/>
    <w:rsid w:val="009334DC"/>
    <w:rsid w:val="00933A90"/>
    <w:rsid w:val="00934248"/>
    <w:rsid w:val="00934394"/>
    <w:rsid w:val="009343FD"/>
    <w:rsid w:val="00934D03"/>
    <w:rsid w:val="00934D36"/>
    <w:rsid w:val="0093520D"/>
    <w:rsid w:val="00935242"/>
    <w:rsid w:val="00935AE1"/>
    <w:rsid w:val="00935C47"/>
    <w:rsid w:val="009365AF"/>
    <w:rsid w:val="00937067"/>
    <w:rsid w:val="00937231"/>
    <w:rsid w:val="00937662"/>
    <w:rsid w:val="00937962"/>
    <w:rsid w:val="00937A54"/>
    <w:rsid w:val="009400E3"/>
    <w:rsid w:val="0094056B"/>
    <w:rsid w:val="00940785"/>
    <w:rsid w:val="00940843"/>
    <w:rsid w:val="009414C1"/>
    <w:rsid w:val="00941757"/>
    <w:rsid w:val="009419BD"/>
    <w:rsid w:val="00941BCE"/>
    <w:rsid w:val="00941E88"/>
    <w:rsid w:val="0094205B"/>
    <w:rsid w:val="0094228D"/>
    <w:rsid w:val="00942875"/>
    <w:rsid w:val="00942FA1"/>
    <w:rsid w:val="00943007"/>
    <w:rsid w:val="00943369"/>
    <w:rsid w:val="0094357F"/>
    <w:rsid w:val="009435E3"/>
    <w:rsid w:val="00943DEF"/>
    <w:rsid w:val="00944063"/>
    <w:rsid w:val="0094408D"/>
    <w:rsid w:val="009445A8"/>
    <w:rsid w:val="009447C5"/>
    <w:rsid w:val="00945E27"/>
    <w:rsid w:val="0094643B"/>
    <w:rsid w:val="00946843"/>
    <w:rsid w:val="00947673"/>
    <w:rsid w:val="00947675"/>
    <w:rsid w:val="00947829"/>
    <w:rsid w:val="00947D1A"/>
    <w:rsid w:val="00947FAC"/>
    <w:rsid w:val="00950974"/>
    <w:rsid w:val="00950B0B"/>
    <w:rsid w:val="00950B57"/>
    <w:rsid w:val="00950DB9"/>
    <w:rsid w:val="00950E51"/>
    <w:rsid w:val="009511E8"/>
    <w:rsid w:val="009512E2"/>
    <w:rsid w:val="009520B4"/>
    <w:rsid w:val="00952308"/>
    <w:rsid w:val="00953215"/>
    <w:rsid w:val="009548E8"/>
    <w:rsid w:val="00954D33"/>
    <w:rsid w:val="0095526B"/>
    <w:rsid w:val="009558B2"/>
    <w:rsid w:val="00955C61"/>
    <w:rsid w:val="00955DE7"/>
    <w:rsid w:val="009566CF"/>
    <w:rsid w:val="0095688C"/>
    <w:rsid w:val="009568E1"/>
    <w:rsid w:val="00956DD9"/>
    <w:rsid w:val="009572AD"/>
    <w:rsid w:val="009600FE"/>
    <w:rsid w:val="009603B6"/>
    <w:rsid w:val="00961198"/>
    <w:rsid w:val="0096147F"/>
    <w:rsid w:val="00961D67"/>
    <w:rsid w:val="0096249A"/>
    <w:rsid w:val="0096289C"/>
    <w:rsid w:val="00962F06"/>
    <w:rsid w:val="009630FF"/>
    <w:rsid w:val="009632E5"/>
    <w:rsid w:val="009637B9"/>
    <w:rsid w:val="0096388B"/>
    <w:rsid w:val="0096395D"/>
    <w:rsid w:val="00963E2E"/>
    <w:rsid w:val="00964436"/>
    <w:rsid w:val="009645B1"/>
    <w:rsid w:val="00964659"/>
    <w:rsid w:val="00964AAF"/>
    <w:rsid w:val="00964B8D"/>
    <w:rsid w:val="00964E1E"/>
    <w:rsid w:val="009652EE"/>
    <w:rsid w:val="009657E0"/>
    <w:rsid w:val="00965F44"/>
    <w:rsid w:val="0096621C"/>
    <w:rsid w:val="009662CA"/>
    <w:rsid w:val="00966D02"/>
    <w:rsid w:val="00966D68"/>
    <w:rsid w:val="00966E3B"/>
    <w:rsid w:val="00966EE1"/>
    <w:rsid w:val="009671D9"/>
    <w:rsid w:val="00967833"/>
    <w:rsid w:val="0097046B"/>
    <w:rsid w:val="009705A0"/>
    <w:rsid w:val="009705F3"/>
    <w:rsid w:val="00970CA8"/>
    <w:rsid w:val="009712E5"/>
    <w:rsid w:val="00971F23"/>
    <w:rsid w:val="00972803"/>
    <w:rsid w:val="00973844"/>
    <w:rsid w:val="009739D0"/>
    <w:rsid w:val="0097459B"/>
    <w:rsid w:val="00974880"/>
    <w:rsid w:val="00975335"/>
    <w:rsid w:val="009759FD"/>
    <w:rsid w:val="00975C36"/>
    <w:rsid w:val="0097627B"/>
    <w:rsid w:val="0097632B"/>
    <w:rsid w:val="00976661"/>
    <w:rsid w:val="009772C6"/>
    <w:rsid w:val="00980403"/>
    <w:rsid w:val="00980850"/>
    <w:rsid w:val="00981168"/>
    <w:rsid w:val="009815B0"/>
    <w:rsid w:val="00981BDD"/>
    <w:rsid w:val="009823D0"/>
    <w:rsid w:val="009825A2"/>
    <w:rsid w:val="00982ED0"/>
    <w:rsid w:val="0098352D"/>
    <w:rsid w:val="0098362B"/>
    <w:rsid w:val="00983BFD"/>
    <w:rsid w:val="009844FC"/>
    <w:rsid w:val="00984EBC"/>
    <w:rsid w:val="00985ACB"/>
    <w:rsid w:val="00985AE0"/>
    <w:rsid w:val="00985C30"/>
    <w:rsid w:val="00985F34"/>
    <w:rsid w:val="00986576"/>
    <w:rsid w:val="00986727"/>
    <w:rsid w:val="00986A99"/>
    <w:rsid w:val="00986B3B"/>
    <w:rsid w:val="0098729C"/>
    <w:rsid w:val="00987484"/>
    <w:rsid w:val="00987599"/>
    <w:rsid w:val="0098771D"/>
    <w:rsid w:val="009878CE"/>
    <w:rsid w:val="009907C8"/>
    <w:rsid w:val="00990CD3"/>
    <w:rsid w:val="00991D51"/>
    <w:rsid w:val="00991E6A"/>
    <w:rsid w:val="0099209F"/>
    <w:rsid w:val="00992166"/>
    <w:rsid w:val="0099249A"/>
    <w:rsid w:val="00992C6A"/>
    <w:rsid w:val="0099322A"/>
    <w:rsid w:val="0099395D"/>
    <w:rsid w:val="0099483B"/>
    <w:rsid w:val="00995013"/>
    <w:rsid w:val="0099516A"/>
    <w:rsid w:val="00995407"/>
    <w:rsid w:val="00995AC8"/>
    <w:rsid w:val="00995F6A"/>
    <w:rsid w:val="0099605A"/>
    <w:rsid w:val="0099641E"/>
    <w:rsid w:val="00996E21"/>
    <w:rsid w:val="0099728C"/>
    <w:rsid w:val="0099748B"/>
    <w:rsid w:val="00997995"/>
    <w:rsid w:val="00997FC7"/>
    <w:rsid w:val="009A0250"/>
    <w:rsid w:val="009A038B"/>
    <w:rsid w:val="009A045D"/>
    <w:rsid w:val="009A04CA"/>
    <w:rsid w:val="009A05C0"/>
    <w:rsid w:val="009A074B"/>
    <w:rsid w:val="009A0DBC"/>
    <w:rsid w:val="009A0DF1"/>
    <w:rsid w:val="009A10E6"/>
    <w:rsid w:val="009A126E"/>
    <w:rsid w:val="009A127B"/>
    <w:rsid w:val="009A1EE7"/>
    <w:rsid w:val="009A1F0B"/>
    <w:rsid w:val="009A27BB"/>
    <w:rsid w:val="009A285E"/>
    <w:rsid w:val="009A3044"/>
    <w:rsid w:val="009A3C5D"/>
    <w:rsid w:val="009A3D0E"/>
    <w:rsid w:val="009A426D"/>
    <w:rsid w:val="009A431A"/>
    <w:rsid w:val="009A4535"/>
    <w:rsid w:val="009A4AEC"/>
    <w:rsid w:val="009A4BF6"/>
    <w:rsid w:val="009A4EE5"/>
    <w:rsid w:val="009A50B2"/>
    <w:rsid w:val="009A54B4"/>
    <w:rsid w:val="009A5969"/>
    <w:rsid w:val="009A5B2B"/>
    <w:rsid w:val="009A5D75"/>
    <w:rsid w:val="009A67A4"/>
    <w:rsid w:val="009A691B"/>
    <w:rsid w:val="009A6AEE"/>
    <w:rsid w:val="009A6C67"/>
    <w:rsid w:val="009A6E23"/>
    <w:rsid w:val="009A6F85"/>
    <w:rsid w:val="009A71C0"/>
    <w:rsid w:val="009A73D0"/>
    <w:rsid w:val="009A7A4C"/>
    <w:rsid w:val="009A7F06"/>
    <w:rsid w:val="009B0155"/>
    <w:rsid w:val="009B01AD"/>
    <w:rsid w:val="009B0822"/>
    <w:rsid w:val="009B0C85"/>
    <w:rsid w:val="009B1030"/>
    <w:rsid w:val="009B1112"/>
    <w:rsid w:val="009B115C"/>
    <w:rsid w:val="009B19B8"/>
    <w:rsid w:val="009B1C7B"/>
    <w:rsid w:val="009B2CA6"/>
    <w:rsid w:val="009B393C"/>
    <w:rsid w:val="009B3DFE"/>
    <w:rsid w:val="009B42FC"/>
    <w:rsid w:val="009B4E9A"/>
    <w:rsid w:val="009B4ED6"/>
    <w:rsid w:val="009B5044"/>
    <w:rsid w:val="009B58B6"/>
    <w:rsid w:val="009B5D63"/>
    <w:rsid w:val="009B5F20"/>
    <w:rsid w:val="009B67DA"/>
    <w:rsid w:val="009C005A"/>
    <w:rsid w:val="009C08F5"/>
    <w:rsid w:val="009C11A7"/>
    <w:rsid w:val="009C1719"/>
    <w:rsid w:val="009C1A45"/>
    <w:rsid w:val="009C22A8"/>
    <w:rsid w:val="009C2CD9"/>
    <w:rsid w:val="009C2F23"/>
    <w:rsid w:val="009C3602"/>
    <w:rsid w:val="009C38D0"/>
    <w:rsid w:val="009C3B20"/>
    <w:rsid w:val="009C4317"/>
    <w:rsid w:val="009C4433"/>
    <w:rsid w:val="009C4537"/>
    <w:rsid w:val="009C5952"/>
    <w:rsid w:val="009C6196"/>
    <w:rsid w:val="009C669A"/>
    <w:rsid w:val="009C6730"/>
    <w:rsid w:val="009C67B0"/>
    <w:rsid w:val="009C6988"/>
    <w:rsid w:val="009C6BE6"/>
    <w:rsid w:val="009C7087"/>
    <w:rsid w:val="009C77AE"/>
    <w:rsid w:val="009C7878"/>
    <w:rsid w:val="009D0D9A"/>
    <w:rsid w:val="009D0FE5"/>
    <w:rsid w:val="009D122F"/>
    <w:rsid w:val="009D18C9"/>
    <w:rsid w:val="009D2144"/>
    <w:rsid w:val="009D3334"/>
    <w:rsid w:val="009D3D25"/>
    <w:rsid w:val="009D3D61"/>
    <w:rsid w:val="009D3E61"/>
    <w:rsid w:val="009D41F6"/>
    <w:rsid w:val="009D4596"/>
    <w:rsid w:val="009D496A"/>
    <w:rsid w:val="009D4FE8"/>
    <w:rsid w:val="009D5274"/>
    <w:rsid w:val="009D5ACE"/>
    <w:rsid w:val="009D5FB2"/>
    <w:rsid w:val="009D601B"/>
    <w:rsid w:val="009D67AC"/>
    <w:rsid w:val="009D67B8"/>
    <w:rsid w:val="009D6AF9"/>
    <w:rsid w:val="009D7134"/>
    <w:rsid w:val="009D7400"/>
    <w:rsid w:val="009D7D9F"/>
    <w:rsid w:val="009E02DA"/>
    <w:rsid w:val="009E05FC"/>
    <w:rsid w:val="009E0A2F"/>
    <w:rsid w:val="009E0CC4"/>
    <w:rsid w:val="009E11CB"/>
    <w:rsid w:val="009E1387"/>
    <w:rsid w:val="009E164E"/>
    <w:rsid w:val="009E29D7"/>
    <w:rsid w:val="009E3874"/>
    <w:rsid w:val="009E44B7"/>
    <w:rsid w:val="009E4A0C"/>
    <w:rsid w:val="009E4BF7"/>
    <w:rsid w:val="009E54ED"/>
    <w:rsid w:val="009E55FD"/>
    <w:rsid w:val="009E58C1"/>
    <w:rsid w:val="009E5EF5"/>
    <w:rsid w:val="009E635D"/>
    <w:rsid w:val="009E6CF1"/>
    <w:rsid w:val="009E72A6"/>
    <w:rsid w:val="009E7BC1"/>
    <w:rsid w:val="009F0646"/>
    <w:rsid w:val="009F0E7B"/>
    <w:rsid w:val="009F115B"/>
    <w:rsid w:val="009F15B7"/>
    <w:rsid w:val="009F1888"/>
    <w:rsid w:val="009F2307"/>
    <w:rsid w:val="009F24B8"/>
    <w:rsid w:val="009F27D2"/>
    <w:rsid w:val="009F2C9C"/>
    <w:rsid w:val="009F39A0"/>
    <w:rsid w:val="009F3BF4"/>
    <w:rsid w:val="009F43E4"/>
    <w:rsid w:val="009F4612"/>
    <w:rsid w:val="009F4A02"/>
    <w:rsid w:val="009F4C41"/>
    <w:rsid w:val="009F547E"/>
    <w:rsid w:val="009F548F"/>
    <w:rsid w:val="009F5A93"/>
    <w:rsid w:val="009F5E5A"/>
    <w:rsid w:val="009F62A2"/>
    <w:rsid w:val="009F6A7A"/>
    <w:rsid w:val="009F6B77"/>
    <w:rsid w:val="009F70B4"/>
    <w:rsid w:val="009F7202"/>
    <w:rsid w:val="00A000E9"/>
    <w:rsid w:val="00A009AF"/>
    <w:rsid w:val="00A00E34"/>
    <w:rsid w:val="00A012CE"/>
    <w:rsid w:val="00A01354"/>
    <w:rsid w:val="00A015FA"/>
    <w:rsid w:val="00A0172A"/>
    <w:rsid w:val="00A018C5"/>
    <w:rsid w:val="00A01940"/>
    <w:rsid w:val="00A01DF3"/>
    <w:rsid w:val="00A01FBC"/>
    <w:rsid w:val="00A0273B"/>
    <w:rsid w:val="00A028D0"/>
    <w:rsid w:val="00A02E4F"/>
    <w:rsid w:val="00A037AE"/>
    <w:rsid w:val="00A047FB"/>
    <w:rsid w:val="00A04800"/>
    <w:rsid w:val="00A048DE"/>
    <w:rsid w:val="00A048FF"/>
    <w:rsid w:val="00A055A6"/>
    <w:rsid w:val="00A05E12"/>
    <w:rsid w:val="00A06602"/>
    <w:rsid w:val="00A069D5"/>
    <w:rsid w:val="00A06E82"/>
    <w:rsid w:val="00A07210"/>
    <w:rsid w:val="00A07435"/>
    <w:rsid w:val="00A100AF"/>
    <w:rsid w:val="00A10F77"/>
    <w:rsid w:val="00A11303"/>
    <w:rsid w:val="00A113DC"/>
    <w:rsid w:val="00A11CF6"/>
    <w:rsid w:val="00A1213F"/>
    <w:rsid w:val="00A13234"/>
    <w:rsid w:val="00A1342D"/>
    <w:rsid w:val="00A1385F"/>
    <w:rsid w:val="00A151DB"/>
    <w:rsid w:val="00A15AFF"/>
    <w:rsid w:val="00A15FDC"/>
    <w:rsid w:val="00A1664B"/>
    <w:rsid w:val="00A17072"/>
    <w:rsid w:val="00A17920"/>
    <w:rsid w:val="00A209CB"/>
    <w:rsid w:val="00A20F45"/>
    <w:rsid w:val="00A20F8E"/>
    <w:rsid w:val="00A21063"/>
    <w:rsid w:val="00A210BB"/>
    <w:rsid w:val="00A211A4"/>
    <w:rsid w:val="00A21363"/>
    <w:rsid w:val="00A2143E"/>
    <w:rsid w:val="00A21979"/>
    <w:rsid w:val="00A219ED"/>
    <w:rsid w:val="00A21A56"/>
    <w:rsid w:val="00A21BE6"/>
    <w:rsid w:val="00A222C8"/>
    <w:rsid w:val="00A22C52"/>
    <w:rsid w:val="00A22D24"/>
    <w:rsid w:val="00A22EF7"/>
    <w:rsid w:val="00A23557"/>
    <w:rsid w:val="00A2413E"/>
    <w:rsid w:val="00A245B1"/>
    <w:rsid w:val="00A24854"/>
    <w:rsid w:val="00A24931"/>
    <w:rsid w:val="00A24F74"/>
    <w:rsid w:val="00A24FA5"/>
    <w:rsid w:val="00A251D0"/>
    <w:rsid w:val="00A252AD"/>
    <w:rsid w:val="00A25F7D"/>
    <w:rsid w:val="00A261EE"/>
    <w:rsid w:val="00A26EE9"/>
    <w:rsid w:val="00A26F31"/>
    <w:rsid w:val="00A26F7F"/>
    <w:rsid w:val="00A27A41"/>
    <w:rsid w:val="00A27B28"/>
    <w:rsid w:val="00A27B7B"/>
    <w:rsid w:val="00A302D2"/>
    <w:rsid w:val="00A30E9F"/>
    <w:rsid w:val="00A3117D"/>
    <w:rsid w:val="00A316C4"/>
    <w:rsid w:val="00A31A97"/>
    <w:rsid w:val="00A31DE5"/>
    <w:rsid w:val="00A32557"/>
    <w:rsid w:val="00A3295D"/>
    <w:rsid w:val="00A32A94"/>
    <w:rsid w:val="00A32E04"/>
    <w:rsid w:val="00A33176"/>
    <w:rsid w:val="00A33190"/>
    <w:rsid w:val="00A3343F"/>
    <w:rsid w:val="00A336C9"/>
    <w:rsid w:val="00A3376D"/>
    <w:rsid w:val="00A33C5F"/>
    <w:rsid w:val="00A33D36"/>
    <w:rsid w:val="00A341A4"/>
    <w:rsid w:val="00A342A9"/>
    <w:rsid w:val="00A34350"/>
    <w:rsid w:val="00A34370"/>
    <w:rsid w:val="00A345BF"/>
    <w:rsid w:val="00A348D5"/>
    <w:rsid w:val="00A35EFF"/>
    <w:rsid w:val="00A36F7C"/>
    <w:rsid w:val="00A3718B"/>
    <w:rsid w:val="00A373B8"/>
    <w:rsid w:val="00A376F2"/>
    <w:rsid w:val="00A37C01"/>
    <w:rsid w:val="00A37D3A"/>
    <w:rsid w:val="00A37FAD"/>
    <w:rsid w:val="00A403C1"/>
    <w:rsid w:val="00A403D9"/>
    <w:rsid w:val="00A404B7"/>
    <w:rsid w:val="00A40E04"/>
    <w:rsid w:val="00A4126A"/>
    <w:rsid w:val="00A41507"/>
    <w:rsid w:val="00A4175D"/>
    <w:rsid w:val="00A419BC"/>
    <w:rsid w:val="00A42FF5"/>
    <w:rsid w:val="00A431BF"/>
    <w:rsid w:val="00A434AB"/>
    <w:rsid w:val="00A436A1"/>
    <w:rsid w:val="00A43FEE"/>
    <w:rsid w:val="00A458B1"/>
    <w:rsid w:val="00A45DFE"/>
    <w:rsid w:val="00A463A0"/>
    <w:rsid w:val="00A4674B"/>
    <w:rsid w:val="00A479DF"/>
    <w:rsid w:val="00A47A8A"/>
    <w:rsid w:val="00A47C37"/>
    <w:rsid w:val="00A50028"/>
    <w:rsid w:val="00A5028E"/>
    <w:rsid w:val="00A50D4B"/>
    <w:rsid w:val="00A5113C"/>
    <w:rsid w:val="00A51485"/>
    <w:rsid w:val="00A53D52"/>
    <w:rsid w:val="00A53E76"/>
    <w:rsid w:val="00A5444E"/>
    <w:rsid w:val="00A54617"/>
    <w:rsid w:val="00A54BD0"/>
    <w:rsid w:val="00A55018"/>
    <w:rsid w:val="00A55A51"/>
    <w:rsid w:val="00A55FDC"/>
    <w:rsid w:val="00A564EF"/>
    <w:rsid w:val="00A56679"/>
    <w:rsid w:val="00A56898"/>
    <w:rsid w:val="00A56A4F"/>
    <w:rsid w:val="00A56CA2"/>
    <w:rsid w:val="00A56DBE"/>
    <w:rsid w:val="00A56DC4"/>
    <w:rsid w:val="00A56E13"/>
    <w:rsid w:val="00A56E2D"/>
    <w:rsid w:val="00A57208"/>
    <w:rsid w:val="00A5763C"/>
    <w:rsid w:val="00A57B43"/>
    <w:rsid w:val="00A57C89"/>
    <w:rsid w:val="00A57DDA"/>
    <w:rsid w:val="00A60428"/>
    <w:rsid w:val="00A606C3"/>
    <w:rsid w:val="00A61024"/>
    <w:rsid w:val="00A6156F"/>
    <w:rsid w:val="00A617F0"/>
    <w:rsid w:val="00A62291"/>
    <w:rsid w:val="00A6230A"/>
    <w:rsid w:val="00A62339"/>
    <w:rsid w:val="00A625F0"/>
    <w:rsid w:val="00A62B54"/>
    <w:rsid w:val="00A62D5B"/>
    <w:rsid w:val="00A63210"/>
    <w:rsid w:val="00A6325D"/>
    <w:rsid w:val="00A6342A"/>
    <w:rsid w:val="00A641E0"/>
    <w:rsid w:val="00A642B3"/>
    <w:rsid w:val="00A64490"/>
    <w:rsid w:val="00A649E3"/>
    <w:rsid w:val="00A650DA"/>
    <w:rsid w:val="00A65333"/>
    <w:rsid w:val="00A65CA7"/>
    <w:rsid w:val="00A6648B"/>
    <w:rsid w:val="00A667E3"/>
    <w:rsid w:val="00A66E8B"/>
    <w:rsid w:val="00A718AD"/>
    <w:rsid w:val="00A722D5"/>
    <w:rsid w:val="00A729F2"/>
    <w:rsid w:val="00A7350E"/>
    <w:rsid w:val="00A74263"/>
    <w:rsid w:val="00A74C8C"/>
    <w:rsid w:val="00A7535A"/>
    <w:rsid w:val="00A753A3"/>
    <w:rsid w:val="00A753ED"/>
    <w:rsid w:val="00A76448"/>
    <w:rsid w:val="00A76B79"/>
    <w:rsid w:val="00A77F9C"/>
    <w:rsid w:val="00A80B6B"/>
    <w:rsid w:val="00A80B99"/>
    <w:rsid w:val="00A81198"/>
    <w:rsid w:val="00A813F5"/>
    <w:rsid w:val="00A815E7"/>
    <w:rsid w:val="00A81A1E"/>
    <w:rsid w:val="00A81EDC"/>
    <w:rsid w:val="00A8258E"/>
    <w:rsid w:val="00A829C6"/>
    <w:rsid w:val="00A82A28"/>
    <w:rsid w:val="00A82A77"/>
    <w:rsid w:val="00A82D21"/>
    <w:rsid w:val="00A82EEB"/>
    <w:rsid w:val="00A8311E"/>
    <w:rsid w:val="00A83C2D"/>
    <w:rsid w:val="00A83F02"/>
    <w:rsid w:val="00A8453C"/>
    <w:rsid w:val="00A84B6D"/>
    <w:rsid w:val="00A85103"/>
    <w:rsid w:val="00A855A7"/>
    <w:rsid w:val="00A85615"/>
    <w:rsid w:val="00A85645"/>
    <w:rsid w:val="00A85F64"/>
    <w:rsid w:val="00A8620F"/>
    <w:rsid w:val="00A8630C"/>
    <w:rsid w:val="00A86449"/>
    <w:rsid w:val="00A8676E"/>
    <w:rsid w:val="00A868F3"/>
    <w:rsid w:val="00A87C74"/>
    <w:rsid w:val="00A900FC"/>
    <w:rsid w:val="00A901E9"/>
    <w:rsid w:val="00A90A6E"/>
    <w:rsid w:val="00A916E1"/>
    <w:rsid w:val="00A917DF"/>
    <w:rsid w:val="00A92483"/>
    <w:rsid w:val="00A929F3"/>
    <w:rsid w:val="00A92E22"/>
    <w:rsid w:val="00A93014"/>
    <w:rsid w:val="00A9308E"/>
    <w:rsid w:val="00A9341F"/>
    <w:rsid w:val="00A934B6"/>
    <w:rsid w:val="00A93847"/>
    <w:rsid w:val="00A93C56"/>
    <w:rsid w:val="00A940D4"/>
    <w:rsid w:val="00A94309"/>
    <w:rsid w:val="00A94562"/>
    <w:rsid w:val="00A94A18"/>
    <w:rsid w:val="00A951C2"/>
    <w:rsid w:val="00A95509"/>
    <w:rsid w:val="00A95668"/>
    <w:rsid w:val="00A956E2"/>
    <w:rsid w:val="00A95B32"/>
    <w:rsid w:val="00A95F29"/>
    <w:rsid w:val="00A960D2"/>
    <w:rsid w:val="00A96BD6"/>
    <w:rsid w:val="00A97E84"/>
    <w:rsid w:val="00AA0188"/>
    <w:rsid w:val="00AA0A6B"/>
    <w:rsid w:val="00AA1006"/>
    <w:rsid w:val="00AA199E"/>
    <w:rsid w:val="00AA1A89"/>
    <w:rsid w:val="00AA1D26"/>
    <w:rsid w:val="00AA21A5"/>
    <w:rsid w:val="00AA227A"/>
    <w:rsid w:val="00AA2480"/>
    <w:rsid w:val="00AA34CF"/>
    <w:rsid w:val="00AA3544"/>
    <w:rsid w:val="00AA3937"/>
    <w:rsid w:val="00AA400A"/>
    <w:rsid w:val="00AA419B"/>
    <w:rsid w:val="00AA45B8"/>
    <w:rsid w:val="00AA5010"/>
    <w:rsid w:val="00AA50FB"/>
    <w:rsid w:val="00AA5368"/>
    <w:rsid w:val="00AA5B47"/>
    <w:rsid w:val="00AA5E43"/>
    <w:rsid w:val="00AA611E"/>
    <w:rsid w:val="00AA637B"/>
    <w:rsid w:val="00AA6576"/>
    <w:rsid w:val="00AA68FB"/>
    <w:rsid w:val="00AA6C08"/>
    <w:rsid w:val="00AA6C55"/>
    <w:rsid w:val="00AA6CA4"/>
    <w:rsid w:val="00AA6E05"/>
    <w:rsid w:val="00AA7EF2"/>
    <w:rsid w:val="00AB086F"/>
    <w:rsid w:val="00AB0AC7"/>
    <w:rsid w:val="00AB101C"/>
    <w:rsid w:val="00AB1444"/>
    <w:rsid w:val="00AB1A9C"/>
    <w:rsid w:val="00AB1B7C"/>
    <w:rsid w:val="00AB22EE"/>
    <w:rsid w:val="00AB254B"/>
    <w:rsid w:val="00AB2F64"/>
    <w:rsid w:val="00AB3195"/>
    <w:rsid w:val="00AB34B3"/>
    <w:rsid w:val="00AB3F05"/>
    <w:rsid w:val="00AB4558"/>
    <w:rsid w:val="00AB488E"/>
    <w:rsid w:val="00AB48C1"/>
    <w:rsid w:val="00AB4BA1"/>
    <w:rsid w:val="00AB4C6B"/>
    <w:rsid w:val="00AB4E85"/>
    <w:rsid w:val="00AB4FD3"/>
    <w:rsid w:val="00AB52BB"/>
    <w:rsid w:val="00AB5324"/>
    <w:rsid w:val="00AB564D"/>
    <w:rsid w:val="00AB5763"/>
    <w:rsid w:val="00AB5D04"/>
    <w:rsid w:val="00AB6292"/>
    <w:rsid w:val="00AB6BE8"/>
    <w:rsid w:val="00AB76BA"/>
    <w:rsid w:val="00AC00D4"/>
    <w:rsid w:val="00AC0319"/>
    <w:rsid w:val="00AC06CE"/>
    <w:rsid w:val="00AC0A33"/>
    <w:rsid w:val="00AC0D0B"/>
    <w:rsid w:val="00AC12D5"/>
    <w:rsid w:val="00AC12E3"/>
    <w:rsid w:val="00AC1627"/>
    <w:rsid w:val="00AC194B"/>
    <w:rsid w:val="00AC1BD7"/>
    <w:rsid w:val="00AC213E"/>
    <w:rsid w:val="00AC2A04"/>
    <w:rsid w:val="00AC2CAC"/>
    <w:rsid w:val="00AC392D"/>
    <w:rsid w:val="00AC3A94"/>
    <w:rsid w:val="00AC3CDE"/>
    <w:rsid w:val="00AC4E61"/>
    <w:rsid w:val="00AC52E2"/>
    <w:rsid w:val="00AC53D7"/>
    <w:rsid w:val="00AC5C9D"/>
    <w:rsid w:val="00AC602B"/>
    <w:rsid w:val="00AC6275"/>
    <w:rsid w:val="00AC7522"/>
    <w:rsid w:val="00AC7B0A"/>
    <w:rsid w:val="00AD0124"/>
    <w:rsid w:val="00AD0F0A"/>
    <w:rsid w:val="00AD0F18"/>
    <w:rsid w:val="00AD1774"/>
    <w:rsid w:val="00AD2A1C"/>
    <w:rsid w:val="00AD2C77"/>
    <w:rsid w:val="00AD2E81"/>
    <w:rsid w:val="00AD3C91"/>
    <w:rsid w:val="00AD3D2D"/>
    <w:rsid w:val="00AD3EBB"/>
    <w:rsid w:val="00AD41EA"/>
    <w:rsid w:val="00AD48C7"/>
    <w:rsid w:val="00AD492B"/>
    <w:rsid w:val="00AD5667"/>
    <w:rsid w:val="00AD5957"/>
    <w:rsid w:val="00AD5E60"/>
    <w:rsid w:val="00AD5FCE"/>
    <w:rsid w:val="00AD67D2"/>
    <w:rsid w:val="00AD6B76"/>
    <w:rsid w:val="00AD714F"/>
    <w:rsid w:val="00AD7E02"/>
    <w:rsid w:val="00AD7F08"/>
    <w:rsid w:val="00AE116D"/>
    <w:rsid w:val="00AE1C8F"/>
    <w:rsid w:val="00AE209D"/>
    <w:rsid w:val="00AE244E"/>
    <w:rsid w:val="00AE24B9"/>
    <w:rsid w:val="00AE2E69"/>
    <w:rsid w:val="00AE2F2D"/>
    <w:rsid w:val="00AE355F"/>
    <w:rsid w:val="00AE3EBF"/>
    <w:rsid w:val="00AE4003"/>
    <w:rsid w:val="00AE4244"/>
    <w:rsid w:val="00AE431C"/>
    <w:rsid w:val="00AE4588"/>
    <w:rsid w:val="00AE4930"/>
    <w:rsid w:val="00AE5027"/>
    <w:rsid w:val="00AE6129"/>
    <w:rsid w:val="00AE6470"/>
    <w:rsid w:val="00AE7006"/>
    <w:rsid w:val="00AE7E2B"/>
    <w:rsid w:val="00AF0378"/>
    <w:rsid w:val="00AF1302"/>
    <w:rsid w:val="00AF16CD"/>
    <w:rsid w:val="00AF182A"/>
    <w:rsid w:val="00AF1E64"/>
    <w:rsid w:val="00AF2123"/>
    <w:rsid w:val="00AF2460"/>
    <w:rsid w:val="00AF2854"/>
    <w:rsid w:val="00AF28C0"/>
    <w:rsid w:val="00AF2BDA"/>
    <w:rsid w:val="00AF2DE2"/>
    <w:rsid w:val="00AF2E45"/>
    <w:rsid w:val="00AF2E57"/>
    <w:rsid w:val="00AF2F3C"/>
    <w:rsid w:val="00AF313A"/>
    <w:rsid w:val="00AF3805"/>
    <w:rsid w:val="00AF43E5"/>
    <w:rsid w:val="00AF4B15"/>
    <w:rsid w:val="00AF4B86"/>
    <w:rsid w:val="00AF51DC"/>
    <w:rsid w:val="00AF6433"/>
    <w:rsid w:val="00AF6583"/>
    <w:rsid w:val="00AF658C"/>
    <w:rsid w:val="00AF65D2"/>
    <w:rsid w:val="00AF6899"/>
    <w:rsid w:val="00AF6D70"/>
    <w:rsid w:val="00AF7673"/>
    <w:rsid w:val="00AF78C6"/>
    <w:rsid w:val="00AF7AB5"/>
    <w:rsid w:val="00B00715"/>
    <w:rsid w:val="00B00769"/>
    <w:rsid w:val="00B0105D"/>
    <w:rsid w:val="00B01157"/>
    <w:rsid w:val="00B014DB"/>
    <w:rsid w:val="00B01690"/>
    <w:rsid w:val="00B01B15"/>
    <w:rsid w:val="00B021F1"/>
    <w:rsid w:val="00B02D32"/>
    <w:rsid w:val="00B02F3F"/>
    <w:rsid w:val="00B0367B"/>
    <w:rsid w:val="00B03A38"/>
    <w:rsid w:val="00B04393"/>
    <w:rsid w:val="00B0537B"/>
    <w:rsid w:val="00B056AB"/>
    <w:rsid w:val="00B05A37"/>
    <w:rsid w:val="00B072A1"/>
    <w:rsid w:val="00B0760E"/>
    <w:rsid w:val="00B07AEE"/>
    <w:rsid w:val="00B07C73"/>
    <w:rsid w:val="00B07F7E"/>
    <w:rsid w:val="00B10C3E"/>
    <w:rsid w:val="00B11593"/>
    <w:rsid w:val="00B11A45"/>
    <w:rsid w:val="00B11C91"/>
    <w:rsid w:val="00B12057"/>
    <w:rsid w:val="00B120CE"/>
    <w:rsid w:val="00B13445"/>
    <w:rsid w:val="00B13A74"/>
    <w:rsid w:val="00B1410A"/>
    <w:rsid w:val="00B1443C"/>
    <w:rsid w:val="00B146AA"/>
    <w:rsid w:val="00B146FC"/>
    <w:rsid w:val="00B147AF"/>
    <w:rsid w:val="00B14989"/>
    <w:rsid w:val="00B157D7"/>
    <w:rsid w:val="00B15960"/>
    <w:rsid w:val="00B161D8"/>
    <w:rsid w:val="00B161F3"/>
    <w:rsid w:val="00B1763B"/>
    <w:rsid w:val="00B1798F"/>
    <w:rsid w:val="00B20041"/>
    <w:rsid w:val="00B201D5"/>
    <w:rsid w:val="00B201E5"/>
    <w:rsid w:val="00B20306"/>
    <w:rsid w:val="00B206CD"/>
    <w:rsid w:val="00B208FB"/>
    <w:rsid w:val="00B20B63"/>
    <w:rsid w:val="00B20CE0"/>
    <w:rsid w:val="00B20D80"/>
    <w:rsid w:val="00B20E94"/>
    <w:rsid w:val="00B20F0A"/>
    <w:rsid w:val="00B2164B"/>
    <w:rsid w:val="00B21706"/>
    <w:rsid w:val="00B2197C"/>
    <w:rsid w:val="00B21DFB"/>
    <w:rsid w:val="00B21E09"/>
    <w:rsid w:val="00B21FC9"/>
    <w:rsid w:val="00B22554"/>
    <w:rsid w:val="00B22E54"/>
    <w:rsid w:val="00B233FE"/>
    <w:rsid w:val="00B23C76"/>
    <w:rsid w:val="00B2472A"/>
    <w:rsid w:val="00B24732"/>
    <w:rsid w:val="00B24C0D"/>
    <w:rsid w:val="00B24D03"/>
    <w:rsid w:val="00B25A07"/>
    <w:rsid w:val="00B2665E"/>
    <w:rsid w:val="00B26782"/>
    <w:rsid w:val="00B26FBF"/>
    <w:rsid w:val="00B27F25"/>
    <w:rsid w:val="00B30BBB"/>
    <w:rsid w:val="00B319F7"/>
    <w:rsid w:val="00B31E53"/>
    <w:rsid w:val="00B321AE"/>
    <w:rsid w:val="00B33B42"/>
    <w:rsid w:val="00B33B43"/>
    <w:rsid w:val="00B33B9D"/>
    <w:rsid w:val="00B34318"/>
    <w:rsid w:val="00B3438D"/>
    <w:rsid w:val="00B34AF8"/>
    <w:rsid w:val="00B34CF2"/>
    <w:rsid w:val="00B35258"/>
    <w:rsid w:val="00B36B5D"/>
    <w:rsid w:val="00B37741"/>
    <w:rsid w:val="00B40140"/>
    <w:rsid w:val="00B40549"/>
    <w:rsid w:val="00B40601"/>
    <w:rsid w:val="00B40972"/>
    <w:rsid w:val="00B409A7"/>
    <w:rsid w:val="00B40B77"/>
    <w:rsid w:val="00B40CF7"/>
    <w:rsid w:val="00B40D36"/>
    <w:rsid w:val="00B40D8D"/>
    <w:rsid w:val="00B40F4F"/>
    <w:rsid w:val="00B40FDA"/>
    <w:rsid w:val="00B410C9"/>
    <w:rsid w:val="00B41254"/>
    <w:rsid w:val="00B414CB"/>
    <w:rsid w:val="00B41D0D"/>
    <w:rsid w:val="00B41D3D"/>
    <w:rsid w:val="00B41E34"/>
    <w:rsid w:val="00B420EE"/>
    <w:rsid w:val="00B42116"/>
    <w:rsid w:val="00B42239"/>
    <w:rsid w:val="00B423C1"/>
    <w:rsid w:val="00B42996"/>
    <w:rsid w:val="00B42ADF"/>
    <w:rsid w:val="00B431B4"/>
    <w:rsid w:val="00B4372A"/>
    <w:rsid w:val="00B43768"/>
    <w:rsid w:val="00B43AB3"/>
    <w:rsid w:val="00B44B78"/>
    <w:rsid w:val="00B45345"/>
    <w:rsid w:val="00B4593B"/>
    <w:rsid w:val="00B45A40"/>
    <w:rsid w:val="00B45CAD"/>
    <w:rsid w:val="00B45CD2"/>
    <w:rsid w:val="00B460A6"/>
    <w:rsid w:val="00B464CB"/>
    <w:rsid w:val="00B46715"/>
    <w:rsid w:val="00B46BDC"/>
    <w:rsid w:val="00B46FCF"/>
    <w:rsid w:val="00B47646"/>
    <w:rsid w:val="00B47767"/>
    <w:rsid w:val="00B4797B"/>
    <w:rsid w:val="00B50258"/>
    <w:rsid w:val="00B50408"/>
    <w:rsid w:val="00B50B7A"/>
    <w:rsid w:val="00B50DBF"/>
    <w:rsid w:val="00B51404"/>
    <w:rsid w:val="00B51DBF"/>
    <w:rsid w:val="00B51F78"/>
    <w:rsid w:val="00B52502"/>
    <w:rsid w:val="00B525BE"/>
    <w:rsid w:val="00B52F9B"/>
    <w:rsid w:val="00B54280"/>
    <w:rsid w:val="00B5446C"/>
    <w:rsid w:val="00B546D3"/>
    <w:rsid w:val="00B54CFE"/>
    <w:rsid w:val="00B54DD9"/>
    <w:rsid w:val="00B54E45"/>
    <w:rsid w:val="00B55494"/>
    <w:rsid w:val="00B55636"/>
    <w:rsid w:val="00B55AD2"/>
    <w:rsid w:val="00B56467"/>
    <w:rsid w:val="00B56B9E"/>
    <w:rsid w:val="00B56C67"/>
    <w:rsid w:val="00B56FDB"/>
    <w:rsid w:val="00B57174"/>
    <w:rsid w:val="00B575B5"/>
    <w:rsid w:val="00B57BBE"/>
    <w:rsid w:val="00B57CC7"/>
    <w:rsid w:val="00B57D15"/>
    <w:rsid w:val="00B60583"/>
    <w:rsid w:val="00B60638"/>
    <w:rsid w:val="00B606E7"/>
    <w:rsid w:val="00B60841"/>
    <w:rsid w:val="00B60A00"/>
    <w:rsid w:val="00B60E0D"/>
    <w:rsid w:val="00B622DE"/>
    <w:rsid w:val="00B634E6"/>
    <w:rsid w:val="00B63585"/>
    <w:rsid w:val="00B6371F"/>
    <w:rsid w:val="00B6398C"/>
    <w:rsid w:val="00B639B8"/>
    <w:rsid w:val="00B63A96"/>
    <w:rsid w:val="00B643C9"/>
    <w:rsid w:val="00B64431"/>
    <w:rsid w:val="00B64AF1"/>
    <w:rsid w:val="00B64C8C"/>
    <w:rsid w:val="00B64DA7"/>
    <w:rsid w:val="00B64F27"/>
    <w:rsid w:val="00B65359"/>
    <w:rsid w:val="00B65686"/>
    <w:rsid w:val="00B6624A"/>
    <w:rsid w:val="00B663D2"/>
    <w:rsid w:val="00B66447"/>
    <w:rsid w:val="00B666C2"/>
    <w:rsid w:val="00B6708C"/>
    <w:rsid w:val="00B675BB"/>
    <w:rsid w:val="00B676E3"/>
    <w:rsid w:val="00B67703"/>
    <w:rsid w:val="00B70AA8"/>
    <w:rsid w:val="00B718F8"/>
    <w:rsid w:val="00B71BF9"/>
    <w:rsid w:val="00B71C13"/>
    <w:rsid w:val="00B7263A"/>
    <w:rsid w:val="00B72734"/>
    <w:rsid w:val="00B72ACA"/>
    <w:rsid w:val="00B72DB8"/>
    <w:rsid w:val="00B73ABC"/>
    <w:rsid w:val="00B741A5"/>
    <w:rsid w:val="00B742D1"/>
    <w:rsid w:val="00B74FA6"/>
    <w:rsid w:val="00B75D53"/>
    <w:rsid w:val="00B7681B"/>
    <w:rsid w:val="00B76BBE"/>
    <w:rsid w:val="00B76DFF"/>
    <w:rsid w:val="00B770A9"/>
    <w:rsid w:val="00B77472"/>
    <w:rsid w:val="00B77793"/>
    <w:rsid w:val="00B77C41"/>
    <w:rsid w:val="00B804A0"/>
    <w:rsid w:val="00B80E9F"/>
    <w:rsid w:val="00B814D6"/>
    <w:rsid w:val="00B82D08"/>
    <w:rsid w:val="00B83560"/>
    <w:rsid w:val="00B8376C"/>
    <w:rsid w:val="00B83B21"/>
    <w:rsid w:val="00B83C42"/>
    <w:rsid w:val="00B840C3"/>
    <w:rsid w:val="00B840E1"/>
    <w:rsid w:val="00B841D6"/>
    <w:rsid w:val="00B84234"/>
    <w:rsid w:val="00B84468"/>
    <w:rsid w:val="00B844D6"/>
    <w:rsid w:val="00B84800"/>
    <w:rsid w:val="00B8514D"/>
    <w:rsid w:val="00B85158"/>
    <w:rsid w:val="00B85423"/>
    <w:rsid w:val="00B85738"/>
    <w:rsid w:val="00B85788"/>
    <w:rsid w:val="00B859FC"/>
    <w:rsid w:val="00B864DD"/>
    <w:rsid w:val="00B86628"/>
    <w:rsid w:val="00B86DE0"/>
    <w:rsid w:val="00B8723C"/>
    <w:rsid w:val="00B87A08"/>
    <w:rsid w:val="00B90019"/>
    <w:rsid w:val="00B90167"/>
    <w:rsid w:val="00B91218"/>
    <w:rsid w:val="00B913F2"/>
    <w:rsid w:val="00B914BD"/>
    <w:rsid w:val="00B91ED4"/>
    <w:rsid w:val="00B92ACD"/>
    <w:rsid w:val="00B92B90"/>
    <w:rsid w:val="00B92F2B"/>
    <w:rsid w:val="00B93C85"/>
    <w:rsid w:val="00B94629"/>
    <w:rsid w:val="00B94703"/>
    <w:rsid w:val="00B94835"/>
    <w:rsid w:val="00B95745"/>
    <w:rsid w:val="00B95A0C"/>
    <w:rsid w:val="00B95BC0"/>
    <w:rsid w:val="00B95DA7"/>
    <w:rsid w:val="00B95E01"/>
    <w:rsid w:val="00B95EF5"/>
    <w:rsid w:val="00B95F0A"/>
    <w:rsid w:val="00B96218"/>
    <w:rsid w:val="00B96409"/>
    <w:rsid w:val="00B96A54"/>
    <w:rsid w:val="00B970CC"/>
    <w:rsid w:val="00B971E3"/>
    <w:rsid w:val="00B974E1"/>
    <w:rsid w:val="00B97681"/>
    <w:rsid w:val="00B9779A"/>
    <w:rsid w:val="00BA02C1"/>
    <w:rsid w:val="00BA0E4E"/>
    <w:rsid w:val="00BA1C36"/>
    <w:rsid w:val="00BA1C41"/>
    <w:rsid w:val="00BA28E4"/>
    <w:rsid w:val="00BA2B16"/>
    <w:rsid w:val="00BA36E2"/>
    <w:rsid w:val="00BA4842"/>
    <w:rsid w:val="00BA4BAA"/>
    <w:rsid w:val="00BA4D82"/>
    <w:rsid w:val="00BA5271"/>
    <w:rsid w:val="00BA5623"/>
    <w:rsid w:val="00BA5AB4"/>
    <w:rsid w:val="00BA5C30"/>
    <w:rsid w:val="00BA6A0A"/>
    <w:rsid w:val="00BA6A80"/>
    <w:rsid w:val="00BA6E61"/>
    <w:rsid w:val="00BA6EB2"/>
    <w:rsid w:val="00BA74E5"/>
    <w:rsid w:val="00BA7866"/>
    <w:rsid w:val="00BA7AF6"/>
    <w:rsid w:val="00BA7DA0"/>
    <w:rsid w:val="00BB01AE"/>
    <w:rsid w:val="00BB028E"/>
    <w:rsid w:val="00BB1C43"/>
    <w:rsid w:val="00BB2513"/>
    <w:rsid w:val="00BB2CD9"/>
    <w:rsid w:val="00BB357F"/>
    <w:rsid w:val="00BB3B97"/>
    <w:rsid w:val="00BB3FD3"/>
    <w:rsid w:val="00BB412A"/>
    <w:rsid w:val="00BB45C0"/>
    <w:rsid w:val="00BB4D91"/>
    <w:rsid w:val="00BB58AD"/>
    <w:rsid w:val="00BB5A17"/>
    <w:rsid w:val="00BB6634"/>
    <w:rsid w:val="00BB66AF"/>
    <w:rsid w:val="00BB6857"/>
    <w:rsid w:val="00BB6C31"/>
    <w:rsid w:val="00BB6C78"/>
    <w:rsid w:val="00BB6D78"/>
    <w:rsid w:val="00BB7BA7"/>
    <w:rsid w:val="00BB7F99"/>
    <w:rsid w:val="00BC02EC"/>
    <w:rsid w:val="00BC032C"/>
    <w:rsid w:val="00BC044D"/>
    <w:rsid w:val="00BC131B"/>
    <w:rsid w:val="00BC1C55"/>
    <w:rsid w:val="00BC2A54"/>
    <w:rsid w:val="00BC2F54"/>
    <w:rsid w:val="00BC3343"/>
    <w:rsid w:val="00BC367E"/>
    <w:rsid w:val="00BC3CD1"/>
    <w:rsid w:val="00BC3D1C"/>
    <w:rsid w:val="00BC41A2"/>
    <w:rsid w:val="00BC4814"/>
    <w:rsid w:val="00BC5172"/>
    <w:rsid w:val="00BC5185"/>
    <w:rsid w:val="00BC52E1"/>
    <w:rsid w:val="00BC54F5"/>
    <w:rsid w:val="00BC5505"/>
    <w:rsid w:val="00BC5E0F"/>
    <w:rsid w:val="00BC6115"/>
    <w:rsid w:val="00BC6862"/>
    <w:rsid w:val="00BC69C2"/>
    <w:rsid w:val="00BC708C"/>
    <w:rsid w:val="00BC70AD"/>
    <w:rsid w:val="00BC7377"/>
    <w:rsid w:val="00BC76F0"/>
    <w:rsid w:val="00BD0199"/>
    <w:rsid w:val="00BD05B3"/>
    <w:rsid w:val="00BD0752"/>
    <w:rsid w:val="00BD07DF"/>
    <w:rsid w:val="00BD0A73"/>
    <w:rsid w:val="00BD0ADA"/>
    <w:rsid w:val="00BD0C4A"/>
    <w:rsid w:val="00BD0D4A"/>
    <w:rsid w:val="00BD11EA"/>
    <w:rsid w:val="00BD1559"/>
    <w:rsid w:val="00BD17FA"/>
    <w:rsid w:val="00BD1B24"/>
    <w:rsid w:val="00BD1D03"/>
    <w:rsid w:val="00BD1D8F"/>
    <w:rsid w:val="00BD20B6"/>
    <w:rsid w:val="00BD248C"/>
    <w:rsid w:val="00BD26B2"/>
    <w:rsid w:val="00BD274F"/>
    <w:rsid w:val="00BD299A"/>
    <w:rsid w:val="00BD2BD6"/>
    <w:rsid w:val="00BD33A0"/>
    <w:rsid w:val="00BD3423"/>
    <w:rsid w:val="00BD348D"/>
    <w:rsid w:val="00BD351D"/>
    <w:rsid w:val="00BD375E"/>
    <w:rsid w:val="00BD4131"/>
    <w:rsid w:val="00BD50F8"/>
    <w:rsid w:val="00BD572E"/>
    <w:rsid w:val="00BD5A77"/>
    <w:rsid w:val="00BD5F06"/>
    <w:rsid w:val="00BD66E5"/>
    <w:rsid w:val="00BD6B21"/>
    <w:rsid w:val="00BD7447"/>
    <w:rsid w:val="00BD7629"/>
    <w:rsid w:val="00BD7D48"/>
    <w:rsid w:val="00BD7EB7"/>
    <w:rsid w:val="00BE10EC"/>
    <w:rsid w:val="00BE1204"/>
    <w:rsid w:val="00BE1E3B"/>
    <w:rsid w:val="00BE1ED0"/>
    <w:rsid w:val="00BE2577"/>
    <w:rsid w:val="00BE3003"/>
    <w:rsid w:val="00BE31ED"/>
    <w:rsid w:val="00BE39B9"/>
    <w:rsid w:val="00BE3C28"/>
    <w:rsid w:val="00BE44AE"/>
    <w:rsid w:val="00BE47DB"/>
    <w:rsid w:val="00BE4DE5"/>
    <w:rsid w:val="00BE53A7"/>
    <w:rsid w:val="00BE556C"/>
    <w:rsid w:val="00BE572F"/>
    <w:rsid w:val="00BE5D4C"/>
    <w:rsid w:val="00BE63DE"/>
    <w:rsid w:val="00BE65E6"/>
    <w:rsid w:val="00BE67CB"/>
    <w:rsid w:val="00BE6C96"/>
    <w:rsid w:val="00BE711A"/>
    <w:rsid w:val="00BE742D"/>
    <w:rsid w:val="00BE7C94"/>
    <w:rsid w:val="00BF029B"/>
    <w:rsid w:val="00BF083D"/>
    <w:rsid w:val="00BF0AB3"/>
    <w:rsid w:val="00BF0E95"/>
    <w:rsid w:val="00BF0FEF"/>
    <w:rsid w:val="00BF1139"/>
    <w:rsid w:val="00BF1313"/>
    <w:rsid w:val="00BF15F7"/>
    <w:rsid w:val="00BF2711"/>
    <w:rsid w:val="00BF2726"/>
    <w:rsid w:val="00BF292A"/>
    <w:rsid w:val="00BF2C80"/>
    <w:rsid w:val="00BF2EF9"/>
    <w:rsid w:val="00BF423C"/>
    <w:rsid w:val="00BF455A"/>
    <w:rsid w:val="00BF595A"/>
    <w:rsid w:val="00BF5B77"/>
    <w:rsid w:val="00BF623C"/>
    <w:rsid w:val="00BF69DB"/>
    <w:rsid w:val="00BF71ED"/>
    <w:rsid w:val="00BF78E1"/>
    <w:rsid w:val="00BF7D02"/>
    <w:rsid w:val="00C01528"/>
    <w:rsid w:val="00C01691"/>
    <w:rsid w:val="00C01A92"/>
    <w:rsid w:val="00C021F9"/>
    <w:rsid w:val="00C022D9"/>
    <w:rsid w:val="00C023EF"/>
    <w:rsid w:val="00C02597"/>
    <w:rsid w:val="00C0259D"/>
    <w:rsid w:val="00C026F1"/>
    <w:rsid w:val="00C02D1B"/>
    <w:rsid w:val="00C02EEA"/>
    <w:rsid w:val="00C033E4"/>
    <w:rsid w:val="00C04011"/>
    <w:rsid w:val="00C041C8"/>
    <w:rsid w:val="00C0435F"/>
    <w:rsid w:val="00C04AEB"/>
    <w:rsid w:val="00C04D6D"/>
    <w:rsid w:val="00C05117"/>
    <w:rsid w:val="00C05DA7"/>
    <w:rsid w:val="00C05FF4"/>
    <w:rsid w:val="00C062A8"/>
    <w:rsid w:val="00C06427"/>
    <w:rsid w:val="00C0661C"/>
    <w:rsid w:val="00C074D8"/>
    <w:rsid w:val="00C07782"/>
    <w:rsid w:val="00C07D3F"/>
    <w:rsid w:val="00C105B2"/>
    <w:rsid w:val="00C10881"/>
    <w:rsid w:val="00C10A83"/>
    <w:rsid w:val="00C10B7B"/>
    <w:rsid w:val="00C10E52"/>
    <w:rsid w:val="00C11675"/>
    <w:rsid w:val="00C11699"/>
    <w:rsid w:val="00C11C95"/>
    <w:rsid w:val="00C126E9"/>
    <w:rsid w:val="00C134BB"/>
    <w:rsid w:val="00C13BF9"/>
    <w:rsid w:val="00C13D2F"/>
    <w:rsid w:val="00C143E7"/>
    <w:rsid w:val="00C145C0"/>
    <w:rsid w:val="00C14767"/>
    <w:rsid w:val="00C1497C"/>
    <w:rsid w:val="00C15216"/>
    <w:rsid w:val="00C1580A"/>
    <w:rsid w:val="00C15EBA"/>
    <w:rsid w:val="00C1633A"/>
    <w:rsid w:val="00C1663D"/>
    <w:rsid w:val="00C16E56"/>
    <w:rsid w:val="00C172B2"/>
    <w:rsid w:val="00C1743F"/>
    <w:rsid w:val="00C179D1"/>
    <w:rsid w:val="00C17BF1"/>
    <w:rsid w:val="00C17FB2"/>
    <w:rsid w:val="00C20AC3"/>
    <w:rsid w:val="00C212E1"/>
    <w:rsid w:val="00C2133E"/>
    <w:rsid w:val="00C2139A"/>
    <w:rsid w:val="00C21C55"/>
    <w:rsid w:val="00C21D91"/>
    <w:rsid w:val="00C21EFB"/>
    <w:rsid w:val="00C22319"/>
    <w:rsid w:val="00C2293F"/>
    <w:rsid w:val="00C237F1"/>
    <w:rsid w:val="00C23FEB"/>
    <w:rsid w:val="00C243B8"/>
    <w:rsid w:val="00C244E2"/>
    <w:rsid w:val="00C249B6"/>
    <w:rsid w:val="00C2575D"/>
    <w:rsid w:val="00C25BFB"/>
    <w:rsid w:val="00C25C80"/>
    <w:rsid w:val="00C26037"/>
    <w:rsid w:val="00C2704B"/>
    <w:rsid w:val="00C27422"/>
    <w:rsid w:val="00C27B56"/>
    <w:rsid w:val="00C3002A"/>
    <w:rsid w:val="00C30316"/>
    <w:rsid w:val="00C3065E"/>
    <w:rsid w:val="00C30A5D"/>
    <w:rsid w:val="00C30BFE"/>
    <w:rsid w:val="00C31D34"/>
    <w:rsid w:val="00C31E1C"/>
    <w:rsid w:val="00C32341"/>
    <w:rsid w:val="00C3241A"/>
    <w:rsid w:val="00C3245F"/>
    <w:rsid w:val="00C328CF"/>
    <w:rsid w:val="00C32CBD"/>
    <w:rsid w:val="00C337EB"/>
    <w:rsid w:val="00C33B1B"/>
    <w:rsid w:val="00C34193"/>
    <w:rsid w:val="00C344BE"/>
    <w:rsid w:val="00C345B4"/>
    <w:rsid w:val="00C346B7"/>
    <w:rsid w:val="00C35669"/>
    <w:rsid w:val="00C35AB9"/>
    <w:rsid w:val="00C35D73"/>
    <w:rsid w:val="00C363FC"/>
    <w:rsid w:val="00C36DEF"/>
    <w:rsid w:val="00C373C4"/>
    <w:rsid w:val="00C37A8C"/>
    <w:rsid w:val="00C37D37"/>
    <w:rsid w:val="00C37E74"/>
    <w:rsid w:val="00C40048"/>
    <w:rsid w:val="00C40068"/>
    <w:rsid w:val="00C4039C"/>
    <w:rsid w:val="00C4082B"/>
    <w:rsid w:val="00C408F3"/>
    <w:rsid w:val="00C417F0"/>
    <w:rsid w:val="00C41C7D"/>
    <w:rsid w:val="00C41D51"/>
    <w:rsid w:val="00C42098"/>
    <w:rsid w:val="00C4235E"/>
    <w:rsid w:val="00C4250E"/>
    <w:rsid w:val="00C42776"/>
    <w:rsid w:val="00C42A28"/>
    <w:rsid w:val="00C4320A"/>
    <w:rsid w:val="00C436E8"/>
    <w:rsid w:val="00C43E3C"/>
    <w:rsid w:val="00C44914"/>
    <w:rsid w:val="00C44D24"/>
    <w:rsid w:val="00C4550B"/>
    <w:rsid w:val="00C4596D"/>
    <w:rsid w:val="00C4610D"/>
    <w:rsid w:val="00C47835"/>
    <w:rsid w:val="00C506A1"/>
    <w:rsid w:val="00C5078F"/>
    <w:rsid w:val="00C50B37"/>
    <w:rsid w:val="00C50BBF"/>
    <w:rsid w:val="00C50FB6"/>
    <w:rsid w:val="00C521DE"/>
    <w:rsid w:val="00C523F4"/>
    <w:rsid w:val="00C52769"/>
    <w:rsid w:val="00C52805"/>
    <w:rsid w:val="00C52A7F"/>
    <w:rsid w:val="00C5374A"/>
    <w:rsid w:val="00C53C0D"/>
    <w:rsid w:val="00C53F84"/>
    <w:rsid w:val="00C54297"/>
    <w:rsid w:val="00C5454A"/>
    <w:rsid w:val="00C5502F"/>
    <w:rsid w:val="00C5505A"/>
    <w:rsid w:val="00C559E0"/>
    <w:rsid w:val="00C55A4E"/>
    <w:rsid w:val="00C563FC"/>
    <w:rsid w:val="00C56408"/>
    <w:rsid w:val="00C56485"/>
    <w:rsid w:val="00C568FE"/>
    <w:rsid w:val="00C5702C"/>
    <w:rsid w:val="00C572BC"/>
    <w:rsid w:val="00C573C2"/>
    <w:rsid w:val="00C574F6"/>
    <w:rsid w:val="00C602F0"/>
    <w:rsid w:val="00C60461"/>
    <w:rsid w:val="00C60F5F"/>
    <w:rsid w:val="00C610E0"/>
    <w:rsid w:val="00C61344"/>
    <w:rsid w:val="00C613B7"/>
    <w:rsid w:val="00C61429"/>
    <w:rsid w:val="00C6153E"/>
    <w:rsid w:val="00C61605"/>
    <w:rsid w:val="00C618FD"/>
    <w:rsid w:val="00C619AA"/>
    <w:rsid w:val="00C61A78"/>
    <w:rsid w:val="00C62B3A"/>
    <w:rsid w:val="00C62E02"/>
    <w:rsid w:val="00C63282"/>
    <w:rsid w:val="00C634F5"/>
    <w:rsid w:val="00C63D86"/>
    <w:rsid w:val="00C6400A"/>
    <w:rsid w:val="00C6432C"/>
    <w:rsid w:val="00C647B9"/>
    <w:rsid w:val="00C64AE0"/>
    <w:rsid w:val="00C65033"/>
    <w:rsid w:val="00C650B8"/>
    <w:rsid w:val="00C6549C"/>
    <w:rsid w:val="00C65839"/>
    <w:rsid w:val="00C65BD2"/>
    <w:rsid w:val="00C668FB"/>
    <w:rsid w:val="00C675D6"/>
    <w:rsid w:val="00C70051"/>
    <w:rsid w:val="00C70599"/>
    <w:rsid w:val="00C71012"/>
    <w:rsid w:val="00C71455"/>
    <w:rsid w:val="00C71470"/>
    <w:rsid w:val="00C71C97"/>
    <w:rsid w:val="00C72473"/>
    <w:rsid w:val="00C72475"/>
    <w:rsid w:val="00C72D02"/>
    <w:rsid w:val="00C72D59"/>
    <w:rsid w:val="00C72DF5"/>
    <w:rsid w:val="00C72EE4"/>
    <w:rsid w:val="00C73202"/>
    <w:rsid w:val="00C73531"/>
    <w:rsid w:val="00C73547"/>
    <w:rsid w:val="00C735AC"/>
    <w:rsid w:val="00C73638"/>
    <w:rsid w:val="00C73CD5"/>
    <w:rsid w:val="00C74820"/>
    <w:rsid w:val="00C74BC8"/>
    <w:rsid w:val="00C74EFC"/>
    <w:rsid w:val="00C750B5"/>
    <w:rsid w:val="00C7573B"/>
    <w:rsid w:val="00C759B3"/>
    <w:rsid w:val="00C759FF"/>
    <w:rsid w:val="00C75B03"/>
    <w:rsid w:val="00C768F5"/>
    <w:rsid w:val="00C76FE4"/>
    <w:rsid w:val="00C77849"/>
    <w:rsid w:val="00C77E44"/>
    <w:rsid w:val="00C8008F"/>
    <w:rsid w:val="00C812D7"/>
    <w:rsid w:val="00C819EB"/>
    <w:rsid w:val="00C81C24"/>
    <w:rsid w:val="00C81C79"/>
    <w:rsid w:val="00C81D37"/>
    <w:rsid w:val="00C82F4B"/>
    <w:rsid w:val="00C83553"/>
    <w:rsid w:val="00C840AD"/>
    <w:rsid w:val="00C84179"/>
    <w:rsid w:val="00C841B0"/>
    <w:rsid w:val="00C84C93"/>
    <w:rsid w:val="00C85E19"/>
    <w:rsid w:val="00C86BC9"/>
    <w:rsid w:val="00C870C4"/>
    <w:rsid w:val="00C8762E"/>
    <w:rsid w:val="00C9018E"/>
    <w:rsid w:val="00C90231"/>
    <w:rsid w:val="00C9057F"/>
    <w:rsid w:val="00C90C28"/>
    <w:rsid w:val="00C912A4"/>
    <w:rsid w:val="00C92502"/>
    <w:rsid w:val="00C925A9"/>
    <w:rsid w:val="00C9291B"/>
    <w:rsid w:val="00C92C2E"/>
    <w:rsid w:val="00C92E42"/>
    <w:rsid w:val="00C92F42"/>
    <w:rsid w:val="00C93278"/>
    <w:rsid w:val="00C9373A"/>
    <w:rsid w:val="00C93C36"/>
    <w:rsid w:val="00C93D19"/>
    <w:rsid w:val="00C94040"/>
    <w:rsid w:val="00C94F2C"/>
    <w:rsid w:val="00C95117"/>
    <w:rsid w:val="00C951E2"/>
    <w:rsid w:val="00C9522E"/>
    <w:rsid w:val="00C952DD"/>
    <w:rsid w:val="00C9536B"/>
    <w:rsid w:val="00C95566"/>
    <w:rsid w:val="00C95995"/>
    <w:rsid w:val="00C965A2"/>
    <w:rsid w:val="00C973F9"/>
    <w:rsid w:val="00C97E21"/>
    <w:rsid w:val="00CA01A1"/>
    <w:rsid w:val="00CA074D"/>
    <w:rsid w:val="00CA0799"/>
    <w:rsid w:val="00CA0917"/>
    <w:rsid w:val="00CA0ACA"/>
    <w:rsid w:val="00CA13CB"/>
    <w:rsid w:val="00CA1470"/>
    <w:rsid w:val="00CA1B3D"/>
    <w:rsid w:val="00CA1F87"/>
    <w:rsid w:val="00CA1F9E"/>
    <w:rsid w:val="00CA283A"/>
    <w:rsid w:val="00CA3736"/>
    <w:rsid w:val="00CA3877"/>
    <w:rsid w:val="00CA3AEF"/>
    <w:rsid w:val="00CA449E"/>
    <w:rsid w:val="00CA4797"/>
    <w:rsid w:val="00CA47E0"/>
    <w:rsid w:val="00CA493A"/>
    <w:rsid w:val="00CA4A51"/>
    <w:rsid w:val="00CA4FC7"/>
    <w:rsid w:val="00CA5279"/>
    <w:rsid w:val="00CA56F9"/>
    <w:rsid w:val="00CA5B68"/>
    <w:rsid w:val="00CA603F"/>
    <w:rsid w:val="00CA610E"/>
    <w:rsid w:val="00CA6721"/>
    <w:rsid w:val="00CA67B6"/>
    <w:rsid w:val="00CA6B69"/>
    <w:rsid w:val="00CA6EBD"/>
    <w:rsid w:val="00CA7B8E"/>
    <w:rsid w:val="00CA7F92"/>
    <w:rsid w:val="00CB0D97"/>
    <w:rsid w:val="00CB11B6"/>
    <w:rsid w:val="00CB15B0"/>
    <w:rsid w:val="00CB1C1A"/>
    <w:rsid w:val="00CB24C0"/>
    <w:rsid w:val="00CB2506"/>
    <w:rsid w:val="00CB2A69"/>
    <w:rsid w:val="00CB30F1"/>
    <w:rsid w:val="00CB34FA"/>
    <w:rsid w:val="00CB4863"/>
    <w:rsid w:val="00CB4A7C"/>
    <w:rsid w:val="00CB50F0"/>
    <w:rsid w:val="00CB532B"/>
    <w:rsid w:val="00CB54F4"/>
    <w:rsid w:val="00CB55BC"/>
    <w:rsid w:val="00CB6044"/>
    <w:rsid w:val="00CB7271"/>
    <w:rsid w:val="00CB75B0"/>
    <w:rsid w:val="00CB773B"/>
    <w:rsid w:val="00CB7799"/>
    <w:rsid w:val="00CC0683"/>
    <w:rsid w:val="00CC14B7"/>
    <w:rsid w:val="00CC20ED"/>
    <w:rsid w:val="00CC2189"/>
    <w:rsid w:val="00CC254A"/>
    <w:rsid w:val="00CC288B"/>
    <w:rsid w:val="00CC3613"/>
    <w:rsid w:val="00CC3701"/>
    <w:rsid w:val="00CC3CFB"/>
    <w:rsid w:val="00CC3DC0"/>
    <w:rsid w:val="00CC3E63"/>
    <w:rsid w:val="00CC4090"/>
    <w:rsid w:val="00CC41FF"/>
    <w:rsid w:val="00CC4412"/>
    <w:rsid w:val="00CC4AAC"/>
    <w:rsid w:val="00CC5019"/>
    <w:rsid w:val="00CC51C2"/>
    <w:rsid w:val="00CC5851"/>
    <w:rsid w:val="00CC59F3"/>
    <w:rsid w:val="00CC5D29"/>
    <w:rsid w:val="00CC6361"/>
    <w:rsid w:val="00CC641B"/>
    <w:rsid w:val="00CC6745"/>
    <w:rsid w:val="00CC6857"/>
    <w:rsid w:val="00CC6F6E"/>
    <w:rsid w:val="00CC742C"/>
    <w:rsid w:val="00CC7604"/>
    <w:rsid w:val="00CC7CD0"/>
    <w:rsid w:val="00CC7EC9"/>
    <w:rsid w:val="00CD00FD"/>
    <w:rsid w:val="00CD03DF"/>
    <w:rsid w:val="00CD0744"/>
    <w:rsid w:val="00CD1202"/>
    <w:rsid w:val="00CD17CA"/>
    <w:rsid w:val="00CD1FA0"/>
    <w:rsid w:val="00CD26B3"/>
    <w:rsid w:val="00CD26BF"/>
    <w:rsid w:val="00CD2A49"/>
    <w:rsid w:val="00CD2EC1"/>
    <w:rsid w:val="00CD31CF"/>
    <w:rsid w:val="00CD3A2F"/>
    <w:rsid w:val="00CD4779"/>
    <w:rsid w:val="00CD478E"/>
    <w:rsid w:val="00CD47F7"/>
    <w:rsid w:val="00CD48CE"/>
    <w:rsid w:val="00CD4AFC"/>
    <w:rsid w:val="00CD4FB4"/>
    <w:rsid w:val="00CD53E6"/>
    <w:rsid w:val="00CD6DB1"/>
    <w:rsid w:val="00CD6E8F"/>
    <w:rsid w:val="00CD6EA9"/>
    <w:rsid w:val="00CD7077"/>
    <w:rsid w:val="00CD749B"/>
    <w:rsid w:val="00CD7BB3"/>
    <w:rsid w:val="00CE0277"/>
    <w:rsid w:val="00CE06B3"/>
    <w:rsid w:val="00CE0F93"/>
    <w:rsid w:val="00CE178D"/>
    <w:rsid w:val="00CE2199"/>
    <w:rsid w:val="00CE2355"/>
    <w:rsid w:val="00CE2B95"/>
    <w:rsid w:val="00CE30D2"/>
    <w:rsid w:val="00CE3A77"/>
    <w:rsid w:val="00CE3B9A"/>
    <w:rsid w:val="00CE3C5F"/>
    <w:rsid w:val="00CE3F71"/>
    <w:rsid w:val="00CE453F"/>
    <w:rsid w:val="00CE47FF"/>
    <w:rsid w:val="00CE4AB6"/>
    <w:rsid w:val="00CE4D7A"/>
    <w:rsid w:val="00CE6BCE"/>
    <w:rsid w:val="00CE6F8C"/>
    <w:rsid w:val="00CE739C"/>
    <w:rsid w:val="00CE772E"/>
    <w:rsid w:val="00CE7F04"/>
    <w:rsid w:val="00CF05EA"/>
    <w:rsid w:val="00CF06AF"/>
    <w:rsid w:val="00CF149E"/>
    <w:rsid w:val="00CF1767"/>
    <w:rsid w:val="00CF17D1"/>
    <w:rsid w:val="00CF1CCA"/>
    <w:rsid w:val="00CF1D68"/>
    <w:rsid w:val="00CF2262"/>
    <w:rsid w:val="00CF29BB"/>
    <w:rsid w:val="00CF2A39"/>
    <w:rsid w:val="00CF2AC7"/>
    <w:rsid w:val="00CF2C8A"/>
    <w:rsid w:val="00CF2CB0"/>
    <w:rsid w:val="00CF2E34"/>
    <w:rsid w:val="00CF3C94"/>
    <w:rsid w:val="00CF44C3"/>
    <w:rsid w:val="00CF4755"/>
    <w:rsid w:val="00CF4828"/>
    <w:rsid w:val="00CF4A92"/>
    <w:rsid w:val="00CF6080"/>
    <w:rsid w:val="00CF608B"/>
    <w:rsid w:val="00CF60BA"/>
    <w:rsid w:val="00CF61F3"/>
    <w:rsid w:val="00CF6464"/>
    <w:rsid w:val="00CF6B6C"/>
    <w:rsid w:val="00CF7F46"/>
    <w:rsid w:val="00D00988"/>
    <w:rsid w:val="00D00B07"/>
    <w:rsid w:val="00D00E98"/>
    <w:rsid w:val="00D0165F"/>
    <w:rsid w:val="00D0194D"/>
    <w:rsid w:val="00D01AA6"/>
    <w:rsid w:val="00D01BEC"/>
    <w:rsid w:val="00D01E86"/>
    <w:rsid w:val="00D02EB8"/>
    <w:rsid w:val="00D0369F"/>
    <w:rsid w:val="00D03A8C"/>
    <w:rsid w:val="00D03AAA"/>
    <w:rsid w:val="00D057E0"/>
    <w:rsid w:val="00D066E4"/>
    <w:rsid w:val="00D06ABC"/>
    <w:rsid w:val="00D06D96"/>
    <w:rsid w:val="00D077D2"/>
    <w:rsid w:val="00D07859"/>
    <w:rsid w:val="00D079BC"/>
    <w:rsid w:val="00D07B9D"/>
    <w:rsid w:val="00D101D0"/>
    <w:rsid w:val="00D10510"/>
    <w:rsid w:val="00D10A23"/>
    <w:rsid w:val="00D11428"/>
    <w:rsid w:val="00D11E79"/>
    <w:rsid w:val="00D11FFF"/>
    <w:rsid w:val="00D13697"/>
    <w:rsid w:val="00D137FC"/>
    <w:rsid w:val="00D144DC"/>
    <w:rsid w:val="00D152C8"/>
    <w:rsid w:val="00D157AB"/>
    <w:rsid w:val="00D15963"/>
    <w:rsid w:val="00D15C24"/>
    <w:rsid w:val="00D16462"/>
    <w:rsid w:val="00D1664C"/>
    <w:rsid w:val="00D166FD"/>
    <w:rsid w:val="00D1754D"/>
    <w:rsid w:val="00D1793D"/>
    <w:rsid w:val="00D20820"/>
    <w:rsid w:val="00D20947"/>
    <w:rsid w:val="00D20A1F"/>
    <w:rsid w:val="00D20BC5"/>
    <w:rsid w:val="00D20FA3"/>
    <w:rsid w:val="00D214F1"/>
    <w:rsid w:val="00D21CAF"/>
    <w:rsid w:val="00D21E3A"/>
    <w:rsid w:val="00D221FA"/>
    <w:rsid w:val="00D2245A"/>
    <w:rsid w:val="00D2289D"/>
    <w:rsid w:val="00D2298E"/>
    <w:rsid w:val="00D22AC7"/>
    <w:rsid w:val="00D23094"/>
    <w:rsid w:val="00D23380"/>
    <w:rsid w:val="00D236FA"/>
    <w:rsid w:val="00D23AD2"/>
    <w:rsid w:val="00D23BE5"/>
    <w:rsid w:val="00D2414E"/>
    <w:rsid w:val="00D2480C"/>
    <w:rsid w:val="00D24AF4"/>
    <w:rsid w:val="00D24B7B"/>
    <w:rsid w:val="00D25161"/>
    <w:rsid w:val="00D2519F"/>
    <w:rsid w:val="00D2527A"/>
    <w:rsid w:val="00D2568D"/>
    <w:rsid w:val="00D25945"/>
    <w:rsid w:val="00D25D32"/>
    <w:rsid w:val="00D26CFB"/>
    <w:rsid w:val="00D27099"/>
    <w:rsid w:val="00D2715F"/>
    <w:rsid w:val="00D2761C"/>
    <w:rsid w:val="00D277C6"/>
    <w:rsid w:val="00D3040A"/>
    <w:rsid w:val="00D306FB"/>
    <w:rsid w:val="00D30953"/>
    <w:rsid w:val="00D30ADE"/>
    <w:rsid w:val="00D3113B"/>
    <w:rsid w:val="00D3141C"/>
    <w:rsid w:val="00D318A8"/>
    <w:rsid w:val="00D326CE"/>
    <w:rsid w:val="00D329A7"/>
    <w:rsid w:val="00D33D5D"/>
    <w:rsid w:val="00D33DD1"/>
    <w:rsid w:val="00D345EA"/>
    <w:rsid w:val="00D35809"/>
    <w:rsid w:val="00D3597A"/>
    <w:rsid w:val="00D35BFD"/>
    <w:rsid w:val="00D35F6C"/>
    <w:rsid w:val="00D36318"/>
    <w:rsid w:val="00D368AB"/>
    <w:rsid w:val="00D36B99"/>
    <w:rsid w:val="00D3703E"/>
    <w:rsid w:val="00D37375"/>
    <w:rsid w:val="00D3754A"/>
    <w:rsid w:val="00D37697"/>
    <w:rsid w:val="00D376CF"/>
    <w:rsid w:val="00D377EB"/>
    <w:rsid w:val="00D37F25"/>
    <w:rsid w:val="00D401C7"/>
    <w:rsid w:val="00D40662"/>
    <w:rsid w:val="00D40AFD"/>
    <w:rsid w:val="00D40BE2"/>
    <w:rsid w:val="00D415F8"/>
    <w:rsid w:val="00D41E32"/>
    <w:rsid w:val="00D422E9"/>
    <w:rsid w:val="00D43F14"/>
    <w:rsid w:val="00D44139"/>
    <w:rsid w:val="00D45216"/>
    <w:rsid w:val="00D454CE"/>
    <w:rsid w:val="00D45B4D"/>
    <w:rsid w:val="00D45D22"/>
    <w:rsid w:val="00D46EEF"/>
    <w:rsid w:val="00D501B4"/>
    <w:rsid w:val="00D501C4"/>
    <w:rsid w:val="00D508FC"/>
    <w:rsid w:val="00D509B5"/>
    <w:rsid w:val="00D50B59"/>
    <w:rsid w:val="00D51378"/>
    <w:rsid w:val="00D523AE"/>
    <w:rsid w:val="00D52645"/>
    <w:rsid w:val="00D527D7"/>
    <w:rsid w:val="00D5286B"/>
    <w:rsid w:val="00D53151"/>
    <w:rsid w:val="00D5335C"/>
    <w:rsid w:val="00D53595"/>
    <w:rsid w:val="00D535AD"/>
    <w:rsid w:val="00D548FA"/>
    <w:rsid w:val="00D54BF1"/>
    <w:rsid w:val="00D54E99"/>
    <w:rsid w:val="00D556F5"/>
    <w:rsid w:val="00D55949"/>
    <w:rsid w:val="00D55C6B"/>
    <w:rsid w:val="00D5652A"/>
    <w:rsid w:val="00D566DB"/>
    <w:rsid w:val="00D56852"/>
    <w:rsid w:val="00D5780E"/>
    <w:rsid w:val="00D6044A"/>
    <w:rsid w:val="00D6072E"/>
    <w:rsid w:val="00D608D1"/>
    <w:rsid w:val="00D609CB"/>
    <w:rsid w:val="00D60D33"/>
    <w:rsid w:val="00D611FD"/>
    <w:rsid w:val="00D61850"/>
    <w:rsid w:val="00D61AB2"/>
    <w:rsid w:val="00D61E85"/>
    <w:rsid w:val="00D61FED"/>
    <w:rsid w:val="00D62081"/>
    <w:rsid w:val="00D6232A"/>
    <w:rsid w:val="00D62458"/>
    <w:rsid w:val="00D6335A"/>
    <w:rsid w:val="00D63385"/>
    <w:rsid w:val="00D643CB"/>
    <w:rsid w:val="00D643FB"/>
    <w:rsid w:val="00D64EE5"/>
    <w:rsid w:val="00D654AB"/>
    <w:rsid w:val="00D6612B"/>
    <w:rsid w:val="00D663F1"/>
    <w:rsid w:val="00D667B6"/>
    <w:rsid w:val="00D667F3"/>
    <w:rsid w:val="00D66F55"/>
    <w:rsid w:val="00D671AC"/>
    <w:rsid w:val="00D679B2"/>
    <w:rsid w:val="00D67F33"/>
    <w:rsid w:val="00D703E1"/>
    <w:rsid w:val="00D70E20"/>
    <w:rsid w:val="00D7116D"/>
    <w:rsid w:val="00D71755"/>
    <w:rsid w:val="00D71F1A"/>
    <w:rsid w:val="00D723C7"/>
    <w:rsid w:val="00D72432"/>
    <w:rsid w:val="00D72597"/>
    <w:rsid w:val="00D72C97"/>
    <w:rsid w:val="00D72D6A"/>
    <w:rsid w:val="00D72FAB"/>
    <w:rsid w:val="00D73633"/>
    <w:rsid w:val="00D73E16"/>
    <w:rsid w:val="00D73FDB"/>
    <w:rsid w:val="00D74488"/>
    <w:rsid w:val="00D74BE4"/>
    <w:rsid w:val="00D74F9B"/>
    <w:rsid w:val="00D75092"/>
    <w:rsid w:val="00D75C35"/>
    <w:rsid w:val="00D763B9"/>
    <w:rsid w:val="00D77582"/>
    <w:rsid w:val="00D77BD0"/>
    <w:rsid w:val="00D77E31"/>
    <w:rsid w:val="00D77F27"/>
    <w:rsid w:val="00D8005E"/>
    <w:rsid w:val="00D80184"/>
    <w:rsid w:val="00D80216"/>
    <w:rsid w:val="00D8039D"/>
    <w:rsid w:val="00D80C5E"/>
    <w:rsid w:val="00D80FF5"/>
    <w:rsid w:val="00D810F1"/>
    <w:rsid w:val="00D81DA2"/>
    <w:rsid w:val="00D81F28"/>
    <w:rsid w:val="00D821CE"/>
    <w:rsid w:val="00D821D2"/>
    <w:rsid w:val="00D82ED0"/>
    <w:rsid w:val="00D83890"/>
    <w:rsid w:val="00D840BA"/>
    <w:rsid w:val="00D84531"/>
    <w:rsid w:val="00D84856"/>
    <w:rsid w:val="00D84EAC"/>
    <w:rsid w:val="00D860DC"/>
    <w:rsid w:val="00D8617D"/>
    <w:rsid w:val="00D867E5"/>
    <w:rsid w:val="00D868E2"/>
    <w:rsid w:val="00D87155"/>
    <w:rsid w:val="00D8799A"/>
    <w:rsid w:val="00D90139"/>
    <w:rsid w:val="00D901FF"/>
    <w:rsid w:val="00D90506"/>
    <w:rsid w:val="00D90D99"/>
    <w:rsid w:val="00D90DCF"/>
    <w:rsid w:val="00D9118F"/>
    <w:rsid w:val="00D91228"/>
    <w:rsid w:val="00D913C6"/>
    <w:rsid w:val="00D914AF"/>
    <w:rsid w:val="00D92218"/>
    <w:rsid w:val="00D9248D"/>
    <w:rsid w:val="00D92C5B"/>
    <w:rsid w:val="00D937DA"/>
    <w:rsid w:val="00D94079"/>
    <w:rsid w:val="00D94496"/>
    <w:rsid w:val="00D946C6"/>
    <w:rsid w:val="00D949C4"/>
    <w:rsid w:val="00D94BE6"/>
    <w:rsid w:val="00D94E10"/>
    <w:rsid w:val="00D94F58"/>
    <w:rsid w:val="00D95089"/>
    <w:rsid w:val="00D954D4"/>
    <w:rsid w:val="00D958F3"/>
    <w:rsid w:val="00D959D9"/>
    <w:rsid w:val="00D96C52"/>
    <w:rsid w:val="00D97564"/>
    <w:rsid w:val="00D97647"/>
    <w:rsid w:val="00DA12B9"/>
    <w:rsid w:val="00DA36AF"/>
    <w:rsid w:val="00DA4205"/>
    <w:rsid w:val="00DA4B83"/>
    <w:rsid w:val="00DA4CED"/>
    <w:rsid w:val="00DA560F"/>
    <w:rsid w:val="00DA5615"/>
    <w:rsid w:val="00DA5DE9"/>
    <w:rsid w:val="00DA5FAB"/>
    <w:rsid w:val="00DA619A"/>
    <w:rsid w:val="00DA6274"/>
    <w:rsid w:val="00DA666D"/>
    <w:rsid w:val="00DA690D"/>
    <w:rsid w:val="00DA69AF"/>
    <w:rsid w:val="00DA7C84"/>
    <w:rsid w:val="00DB0119"/>
    <w:rsid w:val="00DB0253"/>
    <w:rsid w:val="00DB0331"/>
    <w:rsid w:val="00DB0469"/>
    <w:rsid w:val="00DB0974"/>
    <w:rsid w:val="00DB0B60"/>
    <w:rsid w:val="00DB0CBE"/>
    <w:rsid w:val="00DB17CE"/>
    <w:rsid w:val="00DB236D"/>
    <w:rsid w:val="00DB2461"/>
    <w:rsid w:val="00DB255D"/>
    <w:rsid w:val="00DB2E75"/>
    <w:rsid w:val="00DB2FA5"/>
    <w:rsid w:val="00DB3D36"/>
    <w:rsid w:val="00DB3DAC"/>
    <w:rsid w:val="00DB3E01"/>
    <w:rsid w:val="00DB3FBE"/>
    <w:rsid w:val="00DB4C1E"/>
    <w:rsid w:val="00DB5125"/>
    <w:rsid w:val="00DB579C"/>
    <w:rsid w:val="00DB5B2F"/>
    <w:rsid w:val="00DB659A"/>
    <w:rsid w:val="00DB6879"/>
    <w:rsid w:val="00DB6A55"/>
    <w:rsid w:val="00DB6DE8"/>
    <w:rsid w:val="00DB6EC1"/>
    <w:rsid w:val="00DB71F1"/>
    <w:rsid w:val="00DC04EE"/>
    <w:rsid w:val="00DC1B1A"/>
    <w:rsid w:val="00DC1DDB"/>
    <w:rsid w:val="00DC2291"/>
    <w:rsid w:val="00DC2472"/>
    <w:rsid w:val="00DC306D"/>
    <w:rsid w:val="00DC30DB"/>
    <w:rsid w:val="00DC3AE4"/>
    <w:rsid w:val="00DC4081"/>
    <w:rsid w:val="00DC489B"/>
    <w:rsid w:val="00DC4ACB"/>
    <w:rsid w:val="00DC557D"/>
    <w:rsid w:val="00DC5678"/>
    <w:rsid w:val="00DC5A52"/>
    <w:rsid w:val="00DC61B9"/>
    <w:rsid w:val="00DC659A"/>
    <w:rsid w:val="00DC6942"/>
    <w:rsid w:val="00DC6F34"/>
    <w:rsid w:val="00DC7487"/>
    <w:rsid w:val="00DC7D4F"/>
    <w:rsid w:val="00DD0A96"/>
    <w:rsid w:val="00DD0E16"/>
    <w:rsid w:val="00DD0E55"/>
    <w:rsid w:val="00DD1382"/>
    <w:rsid w:val="00DD1DFD"/>
    <w:rsid w:val="00DD27A4"/>
    <w:rsid w:val="00DD4398"/>
    <w:rsid w:val="00DD4C5B"/>
    <w:rsid w:val="00DD542E"/>
    <w:rsid w:val="00DD5748"/>
    <w:rsid w:val="00DD5BDA"/>
    <w:rsid w:val="00DD64C5"/>
    <w:rsid w:val="00DD65E9"/>
    <w:rsid w:val="00DD666B"/>
    <w:rsid w:val="00DD739D"/>
    <w:rsid w:val="00DD7530"/>
    <w:rsid w:val="00DD78E6"/>
    <w:rsid w:val="00DD7DCC"/>
    <w:rsid w:val="00DE0126"/>
    <w:rsid w:val="00DE02B8"/>
    <w:rsid w:val="00DE0504"/>
    <w:rsid w:val="00DE0AC3"/>
    <w:rsid w:val="00DE123D"/>
    <w:rsid w:val="00DE1596"/>
    <w:rsid w:val="00DE199A"/>
    <w:rsid w:val="00DE27E1"/>
    <w:rsid w:val="00DE2C17"/>
    <w:rsid w:val="00DE418D"/>
    <w:rsid w:val="00DE423A"/>
    <w:rsid w:val="00DE462D"/>
    <w:rsid w:val="00DE4759"/>
    <w:rsid w:val="00DE4A6A"/>
    <w:rsid w:val="00DE4EF8"/>
    <w:rsid w:val="00DE5947"/>
    <w:rsid w:val="00DE5949"/>
    <w:rsid w:val="00DE5B25"/>
    <w:rsid w:val="00DE65AB"/>
    <w:rsid w:val="00DE6B98"/>
    <w:rsid w:val="00DE74A3"/>
    <w:rsid w:val="00DE7541"/>
    <w:rsid w:val="00DE7590"/>
    <w:rsid w:val="00DE7DEC"/>
    <w:rsid w:val="00DF0236"/>
    <w:rsid w:val="00DF0FBE"/>
    <w:rsid w:val="00DF1163"/>
    <w:rsid w:val="00DF1429"/>
    <w:rsid w:val="00DF1567"/>
    <w:rsid w:val="00DF1629"/>
    <w:rsid w:val="00DF2262"/>
    <w:rsid w:val="00DF2443"/>
    <w:rsid w:val="00DF2472"/>
    <w:rsid w:val="00DF2671"/>
    <w:rsid w:val="00DF2959"/>
    <w:rsid w:val="00DF3665"/>
    <w:rsid w:val="00DF383D"/>
    <w:rsid w:val="00DF41F9"/>
    <w:rsid w:val="00DF46D3"/>
    <w:rsid w:val="00DF4766"/>
    <w:rsid w:val="00DF47E2"/>
    <w:rsid w:val="00DF517B"/>
    <w:rsid w:val="00DF553A"/>
    <w:rsid w:val="00DF6A45"/>
    <w:rsid w:val="00DF7411"/>
    <w:rsid w:val="00E004F8"/>
    <w:rsid w:val="00E00726"/>
    <w:rsid w:val="00E007B1"/>
    <w:rsid w:val="00E00C2A"/>
    <w:rsid w:val="00E00F91"/>
    <w:rsid w:val="00E01178"/>
    <w:rsid w:val="00E01521"/>
    <w:rsid w:val="00E0191B"/>
    <w:rsid w:val="00E019AC"/>
    <w:rsid w:val="00E01DCB"/>
    <w:rsid w:val="00E022B3"/>
    <w:rsid w:val="00E03047"/>
    <w:rsid w:val="00E03530"/>
    <w:rsid w:val="00E04E08"/>
    <w:rsid w:val="00E04F8D"/>
    <w:rsid w:val="00E04FBF"/>
    <w:rsid w:val="00E0502D"/>
    <w:rsid w:val="00E054FE"/>
    <w:rsid w:val="00E056B3"/>
    <w:rsid w:val="00E05B60"/>
    <w:rsid w:val="00E05C50"/>
    <w:rsid w:val="00E06D68"/>
    <w:rsid w:val="00E077CC"/>
    <w:rsid w:val="00E078AD"/>
    <w:rsid w:val="00E07BD4"/>
    <w:rsid w:val="00E07CF4"/>
    <w:rsid w:val="00E07F88"/>
    <w:rsid w:val="00E100A7"/>
    <w:rsid w:val="00E106C1"/>
    <w:rsid w:val="00E122CC"/>
    <w:rsid w:val="00E12A87"/>
    <w:rsid w:val="00E12B20"/>
    <w:rsid w:val="00E1336A"/>
    <w:rsid w:val="00E13629"/>
    <w:rsid w:val="00E13876"/>
    <w:rsid w:val="00E1418D"/>
    <w:rsid w:val="00E1425B"/>
    <w:rsid w:val="00E14F50"/>
    <w:rsid w:val="00E15095"/>
    <w:rsid w:val="00E151BD"/>
    <w:rsid w:val="00E15DB1"/>
    <w:rsid w:val="00E165C9"/>
    <w:rsid w:val="00E1662B"/>
    <w:rsid w:val="00E16728"/>
    <w:rsid w:val="00E16D77"/>
    <w:rsid w:val="00E174CE"/>
    <w:rsid w:val="00E174D0"/>
    <w:rsid w:val="00E17E91"/>
    <w:rsid w:val="00E17EE4"/>
    <w:rsid w:val="00E20070"/>
    <w:rsid w:val="00E203E5"/>
    <w:rsid w:val="00E2078C"/>
    <w:rsid w:val="00E214A9"/>
    <w:rsid w:val="00E21A33"/>
    <w:rsid w:val="00E21C18"/>
    <w:rsid w:val="00E21E57"/>
    <w:rsid w:val="00E222E3"/>
    <w:rsid w:val="00E2254D"/>
    <w:rsid w:val="00E225B6"/>
    <w:rsid w:val="00E228D1"/>
    <w:rsid w:val="00E23185"/>
    <w:rsid w:val="00E2340B"/>
    <w:rsid w:val="00E24227"/>
    <w:rsid w:val="00E24282"/>
    <w:rsid w:val="00E24907"/>
    <w:rsid w:val="00E2525F"/>
    <w:rsid w:val="00E2564E"/>
    <w:rsid w:val="00E25D20"/>
    <w:rsid w:val="00E2600F"/>
    <w:rsid w:val="00E264A4"/>
    <w:rsid w:val="00E267C8"/>
    <w:rsid w:val="00E26CA5"/>
    <w:rsid w:val="00E26CE9"/>
    <w:rsid w:val="00E26D1C"/>
    <w:rsid w:val="00E26EB6"/>
    <w:rsid w:val="00E27195"/>
    <w:rsid w:val="00E27708"/>
    <w:rsid w:val="00E27BC5"/>
    <w:rsid w:val="00E27DB9"/>
    <w:rsid w:val="00E27ED6"/>
    <w:rsid w:val="00E30127"/>
    <w:rsid w:val="00E30B56"/>
    <w:rsid w:val="00E30C45"/>
    <w:rsid w:val="00E30E8A"/>
    <w:rsid w:val="00E31464"/>
    <w:rsid w:val="00E32017"/>
    <w:rsid w:val="00E32A58"/>
    <w:rsid w:val="00E32C8B"/>
    <w:rsid w:val="00E33102"/>
    <w:rsid w:val="00E33C3E"/>
    <w:rsid w:val="00E33EA4"/>
    <w:rsid w:val="00E345EF"/>
    <w:rsid w:val="00E358BD"/>
    <w:rsid w:val="00E35C94"/>
    <w:rsid w:val="00E35CAF"/>
    <w:rsid w:val="00E3637F"/>
    <w:rsid w:val="00E363E4"/>
    <w:rsid w:val="00E3691F"/>
    <w:rsid w:val="00E37561"/>
    <w:rsid w:val="00E377ED"/>
    <w:rsid w:val="00E4010C"/>
    <w:rsid w:val="00E40166"/>
    <w:rsid w:val="00E410CB"/>
    <w:rsid w:val="00E412C9"/>
    <w:rsid w:val="00E4159F"/>
    <w:rsid w:val="00E416AE"/>
    <w:rsid w:val="00E41A96"/>
    <w:rsid w:val="00E421FE"/>
    <w:rsid w:val="00E428AA"/>
    <w:rsid w:val="00E433D2"/>
    <w:rsid w:val="00E43A0B"/>
    <w:rsid w:val="00E43C69"/>
    <w:rsid w:val="00E44046"/>
    <w:rsid w:val="00E44951"/>
    <w:rsid w:val="00E449B7"/>
    <w:rsid w:val="00E44FBC"/>
    <w:rsid w:val="00E45107"/>
    <w:rsid w:val="00E4555E"/>
    <w:rsid w:val="00E45CEF"/>
    <w:rsid w:val="00E45DED"/>
    <w:rsid w:val="00E462AF"/>
    <w:rsid w:val="00E467D4"/>
    <w:rsid w:val="00E51565"/>
    <w:rsid w:val="00E5186A"/>
    <w:rsid w:val="00E518D0"/>
    <w:rsid w:val="00E51D9E"/>
    <w:rsid w:val="00E51E0D"/>
    <w:rsid w:val="00E521FD"/>
    <w:rsid w:val="00E5244C"/>
    <w:rsid w:val="00E52D8D"/>
    <w:rsid w:val="00E52E43"/>
    <w:rsid w:val="00E52F53"/>
    <w:rsid w:val="00E53749"/>
    <w:rsid w:val="00E53CEF"/>
    <w:rsid w:val="00E54241"/>
    <w:rsid w:val="00E542A5"/>
    <w:rsid w:val="00E54800"/>
    <w:rsid w:val="00E54F10"/>
    <w:rsid w:val="00E552FA"/>
    <w:rsid w:val="00E556C8"/>
    <w:rsid w:val="00E55F6E"/>
    <w:rsid w:val="00E56127"/>
    <w:rsid w:val="00E5699A"/>
    <w:rsid w:val="00E57107"/>
    <w:rsid w:val="00E5721B"/>
    <w:rsid w:val="00E57A8F"/>
    <w:rsid w:val="00E601DA"/>
    <w:rsid w:val="00E601F7"/>
    <w:rsid w:val="00E6032E"/>
    <w:rsid w:val="00E60546"/>
    <w:rsid w:val="00E60E40"/>
    <w:rsid w:val="00E61845"/>
    <w:rsid w:val="00E61A5E"/>
    <w:rsid w:val="00E62064"/>
    <w:rsid w:val="00E62A17"/>
    <w:rsid w:val="00E62AFF"/>
    <w:rsid w:val="00E62B92"/>
    <w:rsid w:val="00E62E7A"/>
    <w:rsid w:val="00E632FA"/>
    <w:rsid w:val="00E63385"/>
    <w:rsid w:val="00E63396"/>
    <w:rsid w:val="00E64516"/>
    <w:rsid w:val="00E64724"/>
    <w:rsid w:val="00E648B2"/>
    <w:rsid w:val="00E648D8"/>
    <w:rsid w:val="00E648F8"/>
    <w:rsid w:val="00E64B79"/>
    <w:rsid w:val="00E64D2F"/>
    <w:rsid w:val="00E64EC7"/>
    <w:rsid w:val="00E656F1"/>
    <w:rsid w:val="00E65C4E"/>
    <w:rsid w:val="00E65EB4"/>
    <w:rsid w:val="00E66108"/>
    <w:rsid w:val="00E66493"/>
    <w:rsid w:val="00E664BC"/>
    <w:rsid w:val="00E66678"/>
    <w:rsid w:val="00E666F3"/>
    <w:rsid w:val="00E66710"/>
    <w:rsid w:val="00E67C99"/>
    <w:rsid w:val="00E67CC9"/>
    <w:rsid w:val="00E70048"/>
    <w:rsid w:val="00E70187"/>
    <w:rsid w:val="00E70208"/>
    <w:rsid w:val="00E70C40"/>
    <w:rsid w:val="00E71104"/>
    <w:rsid w:val="00E71702"/>
    <w:rsid w:val="00E72932"/>
    <w:rsid w:val="00E72CF5"/>
    <w:rsid w:val="00E737EE"/>
    <w:rsid w:val="00E73816"/>
    <w:rsid w:val="00E73C9E"/>
    <w:rsid w:val="00E74B9E"/>
    <w:rsid w:val="00E74E11"/>
    <w:rsid w:val="00E753A0"/>
    <w:rsid w:val="00E757A5"/>
    <w:rsid w:val="00E75B1D"/>
    <w:rsid w:val="00E768AA"/>
    <w:rsid w:val="00E769A6"/>
    <w:rsid w:val="00E76A8D"/>
    <w:rsid w:val="00E770F8"/>
    <w:rsid w:val="00E8068D"/>
    <w:rsid w:val="00E80824"/>
    <w:rsid w:val="00E809A3"/>
    <w:rsid w:val="00E80BE3"/>
    <w:rsid w:val="00E811EB"/>
    <w:rsid w:val="00E8155C"/>
    <w:rsid w:val="00E81E1A"/>
    <w:rsid w:val="00E8284D"/>
    <w:rsid w:val="00E83E0E"/>
    <w:rsid w:val="00E8425B"/>
    <w:rsid w:val="00E84A30"/>
    <w:rsid w:val="00E84D58"/>
    <w:rsid w:val="00E84F42"/>
    <w:rsid w:val="00E8657B"/>
    <w:rsid w:val="00E90258"/>
    <w:rsid w:val="00E9027E"/>
    <w:rsid w:val="00E90332"/>
    <w:rsid w:val="00E9090B"/>
    <w:rsid w:val="00E90C1D"/>
    <w:rsid w:val="00E91E7D"/>
    <w:rsid w:val="00E92AC0"/>
    <w:rsid w:val="00E92C70"/>
    <w:rsid w:val="00E94CDC"/>
    <w:rsid w:val="00E95793"/>
    <w:rsid w:val="00E9587D"/>
    <w:rsid w:val="00E95D69"/>
    <w:rsid w:val="00E967CD"/>
    <w:rsid w:val="00E96CCE"/>
    <w:rsid w:val="00E96ED8"/>
    <w:rsid w:val="00E96EDA"/>
    <w:rsid w:val="00E97288"/>
    <w:rsid w:val="00E97430"/>
    <w:rsid w:val="00E976CC"/>
    <w:rsid w:val="00EA079A"/>
    <w:rsid w:val="00EA0923"/>
    <w:rsid w:val="00EA1E80"/>
    <w:rsid w:val="00EA285A"/>
    <w:rsid w:val="00EA2A4A"/>
    <w:rsid w:val="00EA2C72"/>
    <w:rsid w:val="00EA2D86"/>
    <w:rsid w:val="00EA31CE"/>
    <w:rsid w:val="00EA3AAB"/>
    <w:rsid w:val="00EA4149"/>
    <w:rsid w:val="00EA44AF"/>
    <w:rsid w:val="00EA45F9"/>
    <w:rsid w:val="00EA45FC"/>
    <w:rsid w:val="00EA4725"/>
    <w:rsid w:val="00EA4976"/>
    <w:rsid w:val="00EA4E9A"/>
    <w:rsid w:val="00EA511B"/>
    <w:rsid w:val="00EA5331"/>
    <w:rsid w:val="00EA573E"/>
    <w:rsid w:val="00EA5827"/>
    <w:rsid w:val="00EA5A5C"/>
    <w:rsid w:val="00EA6709"/>
    <w:rsid w:val="00EA6862"/>
    <w:rsid w:val="00EA6A96"/>
    <w:rsid w:val="00EA7109"/>
    <w:rsid w:val="00EA793A"/>
    <w:rsid w:val="00EA7AB0"/>
    <w:rsid w:val="00EA7C84"/>
    <w:rsid w:val="00EB00CB"/>
    <w:rsid w:val="00EB0566"/>
    <w:rsid w:val="00EB13D4"/>
    <w:rsid w:val="00EB153C"/>
    <w:rsid w:val="00EB1746"/>
    <w:rsid w:val="00EB23FA"/>
    <w:rsid w:val="00EB26E2"/>
    <w:rsid w:val="00EB2BC5"/>
    <w:rsid w:val="00EB2F4C"/>
    <w:rsid w:val="00EB2FBE"/>
    <w:rsid w:val="00EB318E"/>
    <w:rsid w:val="00EB3592"/>
    <w:rsid w:val="00EB3837"/>
    <w:rsid w:val="00EB3907"/>
    <w:rsid w:val="00EB3ABF"/>
    <w:rsid w:val="00EB407C"/>
    <w:rsid w:val="00EB40C5"/>
    <w:rsid w:val="00EB42FE"/>
    <w:rsid w:val="00EB4B63"/>
    <w:rsid w:val="00EB4F9B"/>
    <w:rsid w:val="00EB5064"/>
    <w:rsid w:val="00EB50A8"/>
    <w:rsid w:val="00EB553F"/>
    <w:rsid w:val="00EB562E"/>
    <w:rsid w:val="00EB5792"/>
    <w:rsid w:val="00EB5819"/>
    <w:rsid w:val="00EB590B"/>
    <w:rsid w:val="00EB5BCC"/>
    <w:rsid w:val="00EB65CF"/>
    <w:rsid w:val="00EB6C68"/>
    <w:rsid w:val="00EB7140"/>
    <w:rsid w:val="00EC0ED1"/>
    <w:rsid w:val="00EC148C"/>
    <w:rsid w:val="00EC1742"/>
    <w:rsid w:val="00EC199B"/>
    <w:rsid w:val="00EC1E15"/>
    <w:rsid w:val="00EC1EDE"/>
    <w:rsid w:val="00EC282D"/>
    <w:rsid w:val="00EC2B32"/>
    <w:rsid w:val="00EC2FDA"/>
    <w:rsid w:val="00EC3935"/>
    <w:rsid w:val="00EC3BFC"/>
    <w:rsid w:val="00EC3E6A"/>
    <w:rsid w:val="00EC46DF"/>
    <w:rsid w:val="00EC4A85"/>
    <w:rsid w:val="00EC4CDA"/>
    <w:rsid w:val="00EC534E"/>
    <w:rsid w:val="00EC54BC"/>
    <w:rsid w:val="00EC5736"/>
    <w:rsid w:val="00EC61EE"/>
    <w:rsid w:val="00EC6774"/>
    <w:rsid w:val="00ED0801"/>
    <w:rsid w:val="00ED09D6"/>
    <w:rsid w:val="00ED0AB7"/>
    <w:rsid w:val="00ED0F60"/>
    <w:rsid w:val="00ED16F0"/>
    <w:rsid w:val="00ED1B84"/>
    <w:rsid w:val="00ED1CDC"/>
    <w:rsid w:val="00ED21BD"/>
    <w:rsid w:val="00ED287D"/>
    <w:rsid w:val="00ED28E5"/>
    <w:rsid w:val="00ED2DD4"/>
    <w:rsid w:val="00ED3243"/>
    <w:rsid w:val="00ED32DD"/>
    <w:rsid w:val="00ED39CC"/>
    <w:rsid w:val="00ED4316"/>
    <w:rsid w:val="00ED4ED4"/>
    <w:rsid w:val="00ED5093"/>
    <w:rsid w:val="00ED5125"/>
    <w:rsid w:val="00ED5464"/>
    <w:rsid w:val="00ED5734"/>
    <w:rsid w:val="00ED5924"/>
    <w:rsid w:val="00ED5E9E"/>
    <w:rsid w:val="00ED5F70"/>
    <w:rsid w:val="00ED6CCC"/>
    <w:rsid w:val="00ED7D06"/>
    <w:rsid w:val="00EE047D"/>
    <w:rsid w:val="00EE08D8"/>
    <w:rsid w:val="00EE0BBB"/>
    <w:rsid w:val="00EE0FC2"/>
    <w:rsid w:val="00EE11C3"/>
    <w:rsid w:val="00EE11D7"/>
    <w:rsid w:val="00EE1524"/>
    <w:rsid w:val="00EE15A6"/>
    <w:rsid w:val="00EE1C53"/>
    <w:rsid w:val="00EE1C9E"/>
    <w:rsid w:val="00EE1DD5"/>
    <w:rsid w:val="00EE1DE5"/>
    <w:rsid w:val="00EE1DFA"/>
    <w:rsid w:val="00EE30D8"/>
    <w:rsid w:val="00EE318D"/>
    <w:rsid w:val="00EE32C4"/>
    <w:rsid w:val="00EE32E3"/>
    <w:rsid w:val="00EE5052"/>
    <w:rsid w:val="00EE540F"/>
    <w:rsid w:val="00EE554D"/>
    <w:rsid w:val="00EE5610"/>
    <w:rsid w:val="00EE56D4"/>
    <w:rsid w:val="00EE5840"/>
    <w:rsid w:val="00EE5BCC"/>
    <w:rsid w:val="00EE5CA5"/>
    <w:rsid w:val="00EE61CB"/>
    <w:rsid w:val="00EE6843"/>
    <w:rsid w:val="00EE70BE"/>
    <w:rsid w:val="00EE7228"/>
    <w:rsid w:val="00EE72C8"/>
    <w:rsid w:val="00EE740B"/>
    <w:rsid w:val="00EE786B"/>
    <w:rsid w:val="00EE7E18"/>
    <w:rsid w:val="00EF0075"/>
    <w:rsid w:val="00EF0795"/>
    <w:rsid w:val="00EF0973"/>
    <w:rsid w:val="00EF1006"/>
    <w:rsid w:val="00EF12AD"/>
    <w:rsid w:val="00EF1A7B"/>
    <w:rsid w:val="00EF2288"/>
    <w:rsid w:val="00EF23F4"/>
    <w:rsid w:val="00EF35CE"/>
    <w:rsid w:val="00EF4638"/>
    <w:rsid w:val="00EF4FC7"/>
    <w:rsid w:val="00EF5015"/>
    <w:rsid w:val="00EF527F"/>
    <w:rsid w:val="00EF5509"/>
    <w:rsid w:val="00EF5C31"/>
    <w:rsid w:val="00EF615D"/>
    <w:rsid w:val="00EF6A60"/>
    <w:rsid w:val="00EF6BC0"/>
    <w:rsid w:val="00EF6BF8"/>
    <w:rsid w:val="00EF714E"/>
    <w:rsid w:val="00EF72A7"/>
    <w:rsid w:val="00EF740E"/>
    <w:rsid w:val="00EF751B"/>
    <w:rsid w:val="00EF75D6"/>
    <w:rsid w:val="00EF7FB1"/>
    <w:rsid w:val="00F00171"/>
    <w:rsid w:val="00F00324"/>
    <w:rsid w:val="00F0076E"/>
    <w:rsid w:val="00F0081D"/>
    <w:rsid w:val="00F00C13"/>
    <w:rsid w:val="00F00C50"/>
    <w:rsid w:val="00F0120B"/>
    <w:rsid w:val="00F0131C"/>
    <w:rsid w:val="00F014F4"/>
    <w:rsid w:val="00F01551"/>
    <w:rsid w:val="00F01725"/>
    <w:rsid w:val="00F017BB"/>
    <w:rsid w:val="00F01CE8"/>
    <w:rsid w:val="00F01D50"/>
    <w:rsid w:val="00F01FBE"/>
    <w:rsid w:val="00F02470"/>
    <w:rsid w:val="00F025E9"/>
    <w:rsid w:val="00F02D1B"/>
    <w:rsid w:val="00F032E7"/>
    <w:rsid w:val="00F03727"/>
    <w:rsid w:val="00F03DAF"/>
    <w:rsid w:val="00F0402C"/>
    <w:rsid w:val="00F04458"/>
    <w:rsid w:val="00F04647"/>
    <w:rsid w:val="00F04AEF"/>
    <w:rsid w:val="00F0533C"/>
    <w:rsid w:val="00F055D3"/>
    <w:rsid w:val="00F05A3E"/>
    <w:rsid w:val="00F05B41"/>
    <w:rsid w:val="00F060B4"/>
    <w:rsid w:val="00F0614B"/>
    <w:rsid w:val="00F06449"/>
    <w:rsid w:val="00F06A1C"/>
    <w:rsid w:val="00F07ADA"/>
    <w:rsid w:val="00F10A7F"/>
    <w:rsid w:val="00F119CF"/>
    <w:rsid w:val="00F11CDE"/>
    <w:rsid w:val="00F11F10"/>
    <w:rsid w:val="00F11FEE"/>
    <w:rsid w:val="00F12002"/>
    <w:rsid w:val="00F12212"/>
    <w:rsid w:val="00F12B84"/>
    <w:rsid w:val="00F12F73"/>
    <w:rsid w:val="00F13456"/>
    <w:rsid w:val="00F139EC"/>
    <w:rsid w:val="00F139F8"/>
    <w:rsid w:val="00F13C93"/>
    <w:rsid w:val="00F146E7"/>
    <w:rsid w:val="00F16BE7"/>
    <w:rsid w:val="00F16FD0"/>
    <w:rsid w:val="00F17366"/>
    <w:rsid w:val="00F20322"/>
    <w:rsid w:val="00F2064D"/>
    <w:rsid w:val="00F209C9"/>
    <w:rsid w:val="00F230BD"/>
    <w:rsid w:val="00F236B9"/>
    <w:rsid w:val="00F23800"/>
    <w:rsid w:val="00F238B6"/>
    <w:rsid w:val="00F23F44"/>
    <w:rsid w:val="00F24050"/>
    <w:rsid w:val="00F24426"/>
    <w:rsid w:val="00F244FF"/>
    <w:rsid w:val="00F248AA"/>
    <w:rsid w:val="00F24BAB"/>
    <w:rsid w:val="00F24BE0"/>
    <w:rsid w:val="00F2507B"/>
    <w:rsid w:val="00F251EB"/>
    <w:rsid w:val="00F2674B"/>
    <w:rsid w:val="00F26CF0"/>
    <w:rsid w:val="00F26EF5"/>
    <w:rsid w:val="00F27381"/>
    <w:rsid w:val="00F279CE"/>
    <w:rsid w:val="00F30253"/>
    <w:rsid w:val="00F303E2"/>
    <w:rsid w:val="00F3076B"/>
    <w:rsid w:val="00F30C5D"/>
    <w:rsid w:val="00F30DEB"/>
    <w:rsid w:val="00F31375"/>
    <w:rsid w:val="00F31444"/>
    <w:rsid w:val="00F31903"/>
    <w:rsid w:val="00F32150"/>
    <w:rsid w:val="00F32260"/>
    <w:rsid w:val="00F3274B"/>
    <w:rsid w:val="00F329F3"/>
    <w:rsid w:val="00F33012"/>
    <w:rsid w:val="00F3483E"/>
    <w:rsid w:val="00F34AF8"/>
    <w:rsid w:val="00F34FD3"/>
    <w:rsid w:val="00F3528F"/>
    <w:rsid w:val="00F352C4"/>
    <w:rsid w:val="00F35A63"/>
    <w:rsid w:val="00F35C9B"/>
    <w:rsid w:val="00F36BC0"/>
    <w:rsid w:val="00F3711E"/>
    <w:rsid w:val="00F37D13"/>
    <w:rsid w:val="00F409E2"/>
    <w:rsid w:val="00F412C6"/>
    <w:rsid w:val="00F413F6"/>
    <w:rsid w:val="00F414D8"/>
    <w:rsid w:val="00F415AB"/>
    <w:rsid w:val="00F41C0D"/>
    <w:rsid w:val="00F42319"/>
    <w:rsid w:val="00F4274B"/>
    <w:rsid w:val="00F42771"/>
    <w:rsid w:val="00F432E8"/>
    <w:rsid w:val="00F43378"/>
    <w:rsid w:val="00F43F67"/>
    <w:rsid w:val="00F44B8F"/>
    <w:rsid w:val="00F44C52"/>
    <w:rsid w:val="00F44DB0"/>
    <w:rsid w:val="00F450A2"/>
    <w:rsid w:val="00F45929"/>
    <w:rsid w:val="00F45CD3"/>
    <w:rsid w:val="00F45FEB"/>
    <w:rsid w:val="00F4631D"/>
    <w:rsid w:val="00F469C9"/>
    <w:rsid w:val="00F46AF3"/>
    <w:rsid w:val="00F46B9F"/>
    <w:rsid w:val="00F47891"/>
    <w:rsid w:val="00F47A93"/>
    <w:rsid w:val="00F47D54"/>
    <w:rsid w:val="00F47D95"/>
    <w:rsid w:val="00F50233"/>
    <w:rsid w:val="00F50900"/>
    <w:rsid w:val="00F512D1"/>
    <w:rsid w:val="00F513DD"/>
    <w:rsid w:val="00F5157B"/>
    <w:rsid w:val="00F515A3"/>
    <w:rsid w:val="00F51773"/>
    <w:rsid w:val="00F52022"/>
    <w:rsid w:val="00F524A8"/>
    <w:rsid w:val="00F5299E"/>
    <w:rsid w:val="00F53982"/>
    <w:rsid w:val="00F53C8B"/>
    <w:rsid w:val="00F5465A"/>
    <w:rsid w:val="00F54972"/>
    <w:rsid w:val="00F55648"/>
    <w:rsid w:val="00F55D5C"/>
    <w:rsid w:val="00F561B5"/>
    <w:rsid w:val="00F5624B"/>
    <w:rsid w:val="00F56358"/>
    <w:rsid w:val="00F56D9A"/>
    <w:rsid w:val="00F574DE"/>
    <w:rsid w:val="00F5759D"/>
    <w:rsid w:val="00F5797D"/>
    <w:rsid w:val="00F57E35"/>
    <w:rsid w:val="00F60F87"/>
    <w:rsid w:val="00F6101B"/>
    <w:rsid w:val="00F61318"/>
    <w:rsid w:val="00F614A3"/>
    <w:rsid w:val="00F6153F"/>
    <w:rsid w:val="00F618E1"/>
    <w:rsid w:val="00F6191B"/>
    <w:rsid w:val="00F61B82"/>
    <w:rsid w:val="00F62A4D"/>
    <w:rsid w:val="00F63262"/>
    <w:rsid w:val="00F635CD"/>
    <w:rsid w:val="00F638D4"/>
    <w:rsid w:val="00F63D9A"/>
    <w:rsid w:val="00F63FCD"/>
    <w:rsid w:val="00F64BAC"/>
    <w:rsid w:val="00F65499"/>
    <w:rsid w:val="00F65AB4"/>
    <w:rsid w:val="00F65BC9"/>
    <w:rsid w:val="00F65C6E"/>
    <w:rsid w:val="00F66212"/>
    <w:rsid w:val="00F66C35"/>
    <w:rsid w:val="00F66DD8"/>
    <w:rsid w:val="00F66F02"/>
    <w:rsid w:val="00F6753D"/>
    <w:rsid w:val="00F700AB"/>
    <w:rsid w:val="00F70650"/>
    <w:rsid w:val="00F709E4"/>
    <w:rsid w:val="00F70D0B"/>
    <w:rsid w:val="00F70D3C"/>
    <w:rsid w:val="00F7110F"/>
    <w:rsid w:val="00F7124F"/>
    <w:rsid w:val="00F71C7F"/>
    <w:rsid w:val="00F71CAB"/>
    <w:rsid w:val="00F72807"/>
    <w:rsid w:val="00F7291A"/>
    <w:rsid w:val="00F72D73"/>
    <w:rsid w:val="00F736CB"/>
    <w:rsid w:val="00F73926"/>
    <w:rsid w:val="00F7397E"/>
    <w:rsid w:val="00F73A56"/>
    <w:rsid w:val="00F744DE"/>
    <w:rsid w:val="00F74C35"/>
    <w:rsid w:val="00F74D19"/>
    <w:rsid w:val="00F74F0D"/>
    <w:rsid w:val="00F7500E"/>
    <w:rsid w:val="00F75536"/>
    <w:rsid w:val="00F75676"/>
    <w:rsid w:val="00F7612C"/>
    <w:rsid w:val="00F77723"/>
    <w:rsid w:val="00F779DF"/>
    <w:rsid w:val="00F77FD0"/>
    <w:rsid w:val="00F80798"/>
    <w:rsid w:val="00F807C1"/>
    <w:rsid w:val="00F80A69"/>
    <w:rsid w:val="00F80AFE"/>
    <w:rsid w:val="00F81373"/>
    <w:rsid w:val="00F813A9"/>
    <w:rsid w:val="00F814C1"/>
    <w:rsid w:val="00F81545"/>
    <w:rsid w:val="00F81B8E"/>
    <w:rsid w:val="00F831C7"/>
    <w:rsid w:val="00F83664"/>
    <w:rsid w:val="00F839E1"/>
    <w:rsid w:val="00F83A9F"/>
    <w:rsid w:val="00F83D71"/>
    <w:rsid w:val="00F83E92"/>
    <w:rsid w:val="00F83EB0"/>
    <w:rsid w:val="00F84215"/>
    <w:rsid w:val="00F84346"/>
    <w:rsid w:val="00F8438B"/>
    <w:rsid w:val="00F84669"/>
    <w:rsid w:val="00F85151"/>
    <w:rsid w:val="00F85340"/>
    <w:rsid w:val="00F85EAD"/>
    <w:rsid w:val="00F861E3"/>
    <w:rsid w:val="00F864B0"/>
    <w:rsid w:val="00F86DA9"/>
    <w:rsid w:val="00F86E1E"/>
    <w:rsid w:val="00F87971"/>
    <w:rsid w:val="00F87F3D"/>
    <w:rsid w:val="00F87FB5"/>
    <w:rsid w:val="00F900CF"/>
    <w:rsid w:val="00F9114E"/>
    <w:rsid w:val="00F911B5"/>
    <w:rsid w:val="00F91935"/>
    <w:rsid w:val="00F91D3B"/>
    <w:rsid w:val="00F91E48"/>
    <w:rsid w:val="00F91FBD"/>
    <w:rsid w:val="00F92090"/>
    <w:rsid w:val="00F92170"/>
    <w:rsid w:val="00F922B8"/>
    <w:rsid w:val="00F9242D"/>
    <w:rsid w:val="00F9245F"/>
    <w:rsid w:val="00F93198"/>
    <w:rsid w:val="00F931F0"/>
    <w:rsid w:val="00F93951"/>
    <w:rsid w:val="00F93DD2"/>
    <w:rsid w:val="00F9409B"/>
    <w:rsid w:val="00F9426D"/>
    <w:rsid w:val="00F94515"/>
    <w:rsid w:val="00F94685"/>
    <w:rsid w:val="00F94D37"/>
    <w:rsid w:val="00F94F6B"/>
    <w:rsid w:val="00F95562"/>
    <w:rsid w:val="00F96190"/>
    <w:rsid w:val="00F96526"/>
    <w:rsid w:val="00F967FB"/>
    <w:rsid w:val="00F968AD"/>
    <w:rsid w:val="00F968ED"/>
    <w:rsid w:val="00F969AD"/>
    <w:rsid w:val="00F96ABD"/>
    <w:rsid w:val="00F96B20"/>
    <w:rsid w:val="00F97486"/>
    <w:rsid w:val="00F97FED"/>
    <w:rsid w:val="00FA0D97"/>
    <w:rsid w:val="00FA1381"/>
    <w:rsid w:val="00FA1710"/>
    <w:rsid w:val="00FA1AA2"/>
    <w:rsid w:val="00FA1CEA"/>
    <w:rsid w:val="00FA1E9B"/>
    <w:rsid w:val="00FA24B0"/>
    <w:rsid w:val="00FA26D8"/>
    <w:rsid w:val="00FA31B0"/>
    <w:rsid w:val="00FA393C"/>
    <w:rsid w:val="00FA4252"/>
    <w:rsid w:val="00FA4520"/>
    <w:rsid w:val="00FA4904"/>
    <w:rsid w:val="00FA4BC8"/>
    <w:rsid w:val="00FA4C54"/>
    <w:rsid w:val="00FA5088"/>
    <w:rsid w:val="00FA5318"/>
    <w:rsid w:val="00FA55FA"/>
    <w:rsid w:val="00FA56FE"/>
    <w:rsid w:val="00FA638F"/>
    <w:rsid w:val="00FA645A"/>
    <w:rsid w:val="00FA68A1"/>
    <w:rsid w:val="00FA6FF0"/>
    <w:rsid w:val="00FA7057"/>
    <w:rsid w:val="00FA710E"/>
    <w:rsid w:val="00FA743E"/>
    <w:rsid w:val="00FA7D0B"/>
    <w:rsid w:val="00FA7E99"/>
    <w:rsid w:val="00FB002D"/>
    <w:rsid w:val="00FB054C"/>
    <w:rsid w:val="00FB0AC2"/>
    <w:rsid w:val="00FB0BDD"/>
    <w:rsid w:val="00FB0CE2"/>
    <w:rsid w:val="00FB0D29"/>
    <w:rsid w:val="00FB0E74"/>
    <w:rsid w:val="00FB106A"/>
    <w:rsid w:val="00FB149F"/>
    <w:rsid w:val="00FB1A1C"/>
    <w:rsid w:val="00FB1CD3"/>
    <w:rsid w:val="00FB1ECA"/>
    <w:rsid w:val="00FB1F22"/>
    <w:rsid w:val="00FB1F43"/>
    <w:rsid w:val="00FB23C8"/>
    <w:rsid w:val="00FB24EB"/>
    <w:rsid w:val="00FB25C2"/>
    <w:rsid w:val="00FB27EF"/>
    <w:rsid w:val="00FB2BA1"/>
    <w:rsid w:val="00FB3327"/>
    <w:rsid w:val="00FB35BA"/>
    <w:rsid w:val="00FB4545"/>
    <w:rsid w:val="00FB45CE"/>
    <w:rsid w:val="00FB45CF"/>
    <w:rsid w:val="00FB5251"/>
    <w:rsid w:val="00FB542B"/>
    <w:rsid w:val="00FB5894"/>
    <w:rsid w:val="00FB589B"/>
    <w:rsid w:val="00FB59A6"/>
    <w:rsid w:val="00FB5BFC"/>
    <w:rsid w:val="00FB648E"/>
    <w:rsid w:val="00FB659D"/>
    <w:rsid w:val="00FB6616"/>
    <w:rsid w:val="00FB6881"/>
    <w:rsid w:val="00FB69AA"/>
    <w:rsid w:val="00FB72CE"/>
    <w:rsid w:val="00FB79F8"/>
    <w:rsid w:val="00FB7B26"/>
    <w:rsid w:val="00FC00E4"/>
    <w:rsid w:val="00FC0189"/>
    <w:rsid w:val="00FC05F4"/>
    <w:rsid w:val="00FC0731"/>
    <w:rsid w:val="00FC084D"/>
    <w:rsid w:val="00FC119C"/>
    <w:rsid w:val="00FC1383"/>
    <w:rsid w:val="00FC2692"/>
    <w:rsid w:val="00FC300B"/>
    <w:rsid w:val="00FC3826"/>
    <w:rsid w:val="00FC42B0"/>
    <w:rsid w:val="00FC5154"/>
    <w:rsid w:val="00FC531A"/>
    <w:rsid w:val="00FC55A5"/>
    <w:rsid w:val="00FC636B"/>
    <w:rsid w:val="00FC6415"/>
    <w:rsid w:val="00FC6F39"/>
    <w:rsid w:val="00FC7043"/>
    <w:rsid w:val="00FC7406"/>
    <w:rsid w:val="00FD069B"/>
    <w:rsid w:val="00FD1194"/>
    <w:rsid w:val="00FD1B06"/>
    <w:rsid w:val="00FD1EFB"/>
    <w:rsid w:val="00FD250E"/>
    <w:rsid w:val="00FD2554"/>
    <w:rsid w:val="00FD28D1"/>
    <w:rsid w:val="00FD33DA"/>
    <w:rsid w:val="00FD3778"/>
    <w:rsid w:val="00FD3DAA"/>
    <w:rsid w:val="00FD3EAF"/>
    <w:rsid w:val="00FD4246"/>
    <w:rsid w:val="00FD4705"/>
    <w:rsid w:val="00FD5CEA"/>
    <w:rsid w:val="00FD5DB4"/>
    <w:rsid w:val="00FD6E36"/>
    <w:rsid w:val="00FD761B"/>
    <w:rsid w:val="00FE13C2"/>
    <w:rsid w:val="00FE1524"/>
    <w:rsid w:val="00FE1B34"/>
    <w:rsid w:val="00FE1D5D"/>
    <w:rsid w:val="00FE1F47"/>
    <w:rsid w:val="00FE217D"/>
    <w:rsid w:val="00FE259C"/>
    <w:rsid w:val="00FE2F43"/>
    <w:rsid w:val="00FE37BC"/>
    <w:rsid w:val="00FE38E4"/>
    <w:rsid w:val="00FE3A85"/>
    <w:rsid w:val="00FE4106"/>
    <w:rsid w:val="00FE4229"/>
    <w:rsid w:val="00FE446D"/>
    <w:rsid w:val="00FE4BE0"/>
    <w:rsid w:val="00FE4C63"/>
    <w:rsid w:val="00FE4F9B"/>
    <w:rsid w:val="00FE502A"/>
    <w:rsid w:val="00FE54BA"/>
    <w:rsid w:val="00FE5667"/>
    <w:rsid w:val="00FE5EFA"/>
    <w:rsid w:val="00FF0EA5"/>
    <w:rsid w:val="00FF13C6"/>
    <w:rsid w:val="00FF1667"/>
    <w:rsid w:val="00FF1710"/>
    <w:rsid w:val="00FF1735"/>
    <w:rsid w:val="00FF1822"/>
    <w:rsid w:val="00FF1BCF"/>
    <w:rsid w:val="00FF24D5"/>
    <w:rsid w:val="00FF2777"/>
    <w:rsid w:val="00FF2F45"/>
    <w:rsid w:val="00FF31AD"/>
    <w:rsid w:val="00FF37E6"/>
    <w:rsid w:val="00FF3BA6"/>
    <w:rsid w:val="00FF3F10"/>
    <w:rsid w:val="00FF4206"/>
    <w:rsid w:val="00FF4645"/>
    <w:rsid w:val="00FF46FD"/>
    <w:rsid w:val="00FF4A0D"/>
    <w:rsid w:val="00FF4F21"/>
    <w:rsid w:val="00FF5152"/>
    <w:rsid w:val="00FF5A80"/>
    <w:rsid w:val="00FF6C54"/>
    <w:rsid w:val="00FF6EEB"/>
    <w:rsid w:val="00FF71CA"/>
    <w:rsid w:val="00FF7A11"/>
    <w:rsid w:val="00FF7BA6"/>
    <w:rsid w:val="00FF7CC7"/>
    <w:rsid w:val="00FF7F1D"/>
    <w:rsid w:val="00FF7FA6"/>
    <w:rsid w:val="0334F3C5"/>
    <w:rsid w:val="08F203F8"/>
    <w:rsid w:val="3B54606D"/>
    <w:rsid w:val="5CE6C0E8"/>
    <w:rsid w:val="748EBACF"/>
    <w:rsid w:val="7B7B663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0A2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34" w:qFormat="1"/>
    <w:lsdException w:name="heading 6" w:uiPriority="34" w:qFormat="1"/>
    <w:lsdException w:name="heading 7" w:uiPriority="34" w:qFormat="1"/>
    <w:lsdException w:name="heading 8" w:uiPriority="34" w:qFormat="1"/>
    <w:lsdException w:name="heading 9" w:uiPriority="3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36"/>
    <w:lsdException w:name="caption" w:uiPriority="7" w:qFormat="1"/>
    <w:lsdException w:name="footnote reference" w:qFormat="1"/>
    <w:lsdException w:name="Title" w:semiHidden="0" w:uiPriority="39" w:unhideWhenUsed="0" w:qFormat="1"/>
    <w:lsdException w:name="Default Paragraph Font" w:uiPriority="1"/>
    <w:lsdException w:name="Subtitle" w:semiHidden="0" w:uiPriority="39" w:unhideWhenUsed="0" w:qFormat="1"/>
    <w:lsdException w:name="FollowedHyperlink" w:uiPriority="37"/>
    <w:lsdException w:name="Strong" w:semiHidden="0" w:uiPriority="39" w:unhideWhenUsed="0" w:qFormat="1"/>
    <w:lsdException w:name="Emphasis" w:semiHidden="0" w:uiPriority="39"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39" w:unhideWhenUsed="0" w:qFormat="1"/>
    <w:lsdException w:name="Intense Emphasis" w:semiHidden="0" w:uiPriority="39" w:unhideWhenUsed="0" w:qFormat="1"/>
    <w:lsdException w:name="Subtle Reference" w:semiHidden="0" w:uiPriority="39" w:unhideWhenUsed="0" w:qFormat="1"/>
    <w:lsdException w:name="Intense Reference" w:semiHidden="0" w:uiPriority="39" w:unhideWhenUsed="0" w:qFormat="1"/>
    <w:lsdException w:name="Book Title" w:semiHidden="0" w:uiPriority="39" w:unhideWhenUsed="0" w:qFormat="1"/>
    <w:lsdException w:name="Bibliography" w:uiPriority="39"/>
    <w:lsdException w:name="TOC Heading" w:uiPriority="38" w:qFormat="1"/>
  </w:latentStyles>
  <w:style w:type="paragraph" w:default="1" w:styleId="Normal">
    <w:name w:val="Normal"/>
    <w:aliases w:val="~BodyText"/>
    <w:qFormat/>
    <w:rsid w:val="002F26E6"/>
    <w:pPr>
      <w:spacing w:before="120" w:line="264" w:lineRule="auto"/>
    </w:pPr>
    <w:rPr>
      <w:rFonts w:eastAsiaTheme="minorEastAsia"/>
    </w:rPr>
  </w:style>
  <w:style w:type="paragraph" w:styleId="Heading1">
    <w:name w:val="heading 1"/>
    <w:aliases w:val="~SectionHeading"/>
    <w:basedOn w:val="SecHeadNonToc"/>
    <w:next w:val="Normal"/>
    <w:link w:val="Heading1Char"/>
    <w:uiPriority w:val="2"/>
    <w:qFormat/>
    <w:rsid w:val="00530427"/>
    <w:pPr>
      <w:numPr>
        <w:numId w:val="40"/>
      </w:numPr>
      <w:tabs>
        <w:tab w:val="num" w:pos="567"/>
      </w:tabs>
      <w:outlineLvl w:val="0"/>
    </w:pPr>
    <w:rPr>
      <w:rFonts w:ascii="Arial" w:hAnsi="Arial" w:cs="Arial"/>
      <w:color w:val="000000" w:themeColor="text1"/>
    </w:rPr>
  </w:style>
  <w:style w:type="paragraph" w:styleId="Heading2">
    <w:name w:val="heading 2"/>
    <w:aliases w:val="~SubHeading"/>
    <w:basedOn w:val="ExecSumSubHead"/>
    <w:next w:val="Normal"/>
    <w:link w:val="Heading2Char"/>
    <w:uiPriority w:val="2"/>
    <w:qFormat/>
    <w:rsid w:val="006F7936"/>
    <w:pPr>
      <w:numPr>
        <w:ilvl w:val="1"/>
        <w:numId w:val="40"/>
      </w:numPr>
      <w:tabs>
        <w:tab w:val="left" w:pos="652"/>
      </w:tabs>
      <w:outlineLvl w:val="1"/>
    </w:pPr>
    <w:rPr>
      <w:rFonts w:ascii="Arial" w:hAnsi="Arial" w:cs="Arial"/>
      <w:bCs/>
    </w:rPr>
  </w:style>
  <w:style w:type="paragraph" w:styleId="Heading3">
    <w:name w:val="heading 3"/>
    <w:aliases w:val="~MinorSubHeading"/>
    <w:basedOn w:val="ExecSumSubHead"/>
    <w:next w:val="Normal"/>
    <w:link w:val="Heading3Char"/>
    <w:uiPriority w:val="2"/>
    <w:qFormat/>
    <w:rsid w:val="006F7936"/>
    <w:pPr>
      <w:numPr>
        <w:ilvl w:val="2"/>
        <w:numId w:val="40"/>
      </w:numPr>
      <w:tabs>
        <w:tab w:val="num" w:pos="822"/>
        <w:tab w:val="left" w:pos="936"/>
      </w:tabs>
      <w:outlineLvl w:val="2"/>
    </w:pPr>
    <w:rPr>
      <w:rFonts w:ascii="Arial" w:hAnsi="Arial" w:cs="Arial"/>
      <w:bCs/>
      <w:sz w:val="20"/>
      <w:szCs w:val="20"/>
    </w:rPr>
  </w:style>
  <w:style w:type="paragraph" w:styleId="Heading4">
    <w:name w:val="heading 4"/>
    <w:aliases w:val="~Level4Heading"/>
    <w:basedOn w:val="ExecSumSubHead"/>
    <w:next w:val="Normal"/>
    <w:link w:val="Heading4Char"/>
    <w:uiPriority w:val="2"/>
    <w:qFormat/>
    <w:rsid w:val="006E7AB6"/>
    <w:pPr>
      <w:numPr>
        <w:ilvl w:val="3"/>
        <w:numId w:val="40"/>
      </w:numPr>
      <w:tabs>
        <w:tab w:val="num" w:pos="1106"/>
        <w:tab w:val="left" w:pos="1162"/>
      </w:tabs>
      <w:spacing w:after="0"/>
      <w:outlineLvl w:val="3"/>
    </w:pPr>
    <w:rPr>
      <w:rFonts w:ascii="Arial" w:hAnsi="Arial" w:cs="Arial"/>
      <w:b w:val="0"/>
      <w:sz w:val="20"/>
      <w:szCs w:val="20"/>
    </w:rPr>
  </w:style>
  <w:style w:type="paragraph" w:styleId="Heading5">
    <w:name w:val="heading 5"/>
    <w:basedOn w:val="ExecSumSubHead"/>
    <w:next w:val="Normal"/>
    <w:link w:val="Heading5Char"/>
    <w:uiPriority w:val="34"/>
    <w:semiHidden/>
    <w:rsid w:val="003075F9"/>
    <w:pPr>
      <w:keepLines/>
      <w:numPr>
        <w:ilvl w:val="4"/>
        <w:numId w:val="40"/>
      </w:numPr>
      <w:spacing w:after="0"/>
      <w:outlineLvl w:val="4"/>
    </w:pPr>
    <w:rPr>
      <w:rFonts w:eastAsiaTheme="majorEastAsia" w:cstheme="majorBidi"/>
      <w:b w:val="0"/>
    </w:rPr>
  </w:style>
  <w:style w:type="paragraph" w:styleId="Heading6">
    <w:name w:val="heading 6"/>
    <w:basedOn w:val="ExecSumSubHead"/>
    <w:next w:val="Normal"/>
    <w:link w:val="Heading6Char"/>
    <w:uiPriority w:val="34"/>
    <w:semiHidden/>
    <w:rsid w:val="003075F9"/>
    <w:pPr>
      <w:keepLines/>
      <w:numPr>
        <w:ilvl w:val="5"/>
        <w:numId w:val="40"/>
      </w:numPr>
      <w:spacing w:after="0"/>
      <w:outlineLvl w:val="5"/>
    </w:pPr>
    <w:rPr>
      <w:rFonts w:eastAsiaTheme="majorEastAsia" w:cstheme="majorBidi"/>
      <w:b w:val="0"/>
      <w:i/>
      <w:iCs/>
    </w:rPr>
  </w:style>
  <w:style w:type="paragraph" w:styleId="Heading7">
    <w:name w:val="heading 7"/>
    <w:basedOn w:val="ExecSumSubHead"/>
    <w:next w:val="Normal"/>
    <w:link w:val="Heading7Char"/>
    <w:uiPriority w:val="34"/>
    <w:semiHidden/>
    <w:rsid w:val="003075F9"/>
    <w:pPr>
      <w:keepLines/>
      <w:numPr>
        <w:ilvl w:val="6"/>
        <w:numId w:val="40"/>
      </w:numPr>
      <w:spacing w:after="0"/>
      <w:outlineLvl w:val="6"/>
    </w:pPr>
    <w:rPr>
      <w:rFonts w:eastAsiaTheme="majorEastAsia" w:cstheme="majorBidi"/>
      <w:b w:val="0"/>
      <w:iCs/>
    </w:rPr>
  </w:style>
  <w:style w:type="paragraph" w:styleId="Heading8">
    <w:name w:val="heading 8"/>
    <w:basedOn w:val="Normal"/>
    <w:next w:val="Normal"/>
    <w:link w:val="Heading8Char"/>
    <w:uiPriority w:val="34"/>
    <w:semiHidden/>
    <w:rsid w:val="003075F9"/>
    <w:pPr>
      <w:keepNext/>
      <w:keepLines/>
      <w:numPr>
        <w:ilvl w:val="7"/>
        <w:numId w:val="40"/>
      </w:numPr>
      <w:spacing w:before="240" w:after="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34"/>
    <w:semiHidden/>
    <w:rsid w:val="003075F9"/>
    <w:pPr>
      <w:keepNext/>
      <w:keepLines/>
      <w:numPr>
        <w:ilvl w:val="8"/>
        <w:numId w:val="40"/>
      </w:numPr>
      <w:spacing w:before="240" w:after="0"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uiPriority w:val="2"/>
    <w:rsid w:val="00530427"/>
    <w:rPr>
      <w:rFonts w:ascii="Arial" w:eastAsiaTheme="minorEastAsia" w:hAnsi="Arial" w:cs="Arial"/>
      <w:b/>
      <w:bCs/>
      <w:color w:val="000000" w:themeColor="text1"/>
      <w:sz w:val="40"/>
      <w:szCs w:val="40"/>
    </w:rPr>
  </w:style>
  <w:style w:type="paragraph" w:customStyle="1" w:styleId="Address">
    <w:name w:val="~Address"/>
    <w:basedOn w:val="Normal"/>
    <w:uiPriority w:val="34"/>
    <w:rsid w:val="003075F9"/>
    <w:pPr>
      <w:spacing w:before="0" w:after="0" w:line="240" w:lineRule="auto"/>
    </w:pPr>
    <w:rPr>
      <w:sz w:val="18"/>
      <w:szCs w:val="18"/>
    </w:rPr>
  </w:style>
  <w:style w:type="paragraph" w:customStyle="1" w:styleId="AppBodyTextNum">
    <w:name w:val="~AppBodyTextNum"/>
    <w:basedOn w:val="Normal"/>
    <w:uiPriority w:val="34"/>
    <w:semiHidden/>
    <w:qFormat/>
    <w:rsid w:val="003075F9"/>
  </w:style>
  <w:style w:type="paragraph" w:customStyle="1" w:styleId="SecHeadNonToc">
    <w:name w:val="~SecHeadNonToc"/>
    <w:basedOn w:val="Normal"/>
    <w:next w:val="Normal"/>
    <w:uiPriority w:val="7"/>
    <w:qFormat/>
    <w:rsid w:val="003075F9"/>
    <w:pPr>
      <w:keepNext/>
      <w:pageBreakBefore/>
      <w:spacing w:before="0" w:after="600"/>
    </w:pPr>
    <w:rPr>
      <w:b/>
      <w:bCs/>
      <w:sz w:val="40"/>
      <w:szCs w:val="40"/>
    </w:rPr>
  </w:style>
  <w:style w:type="paragraph" w:customStyle="1" w:styleId="AppendixDivider">
    <w:name w:val="~AppendixDivider"/>
    <w:basedOn w:val="SecHeadNonToc"/>
    <w:next w:val="Normal"/>
    <w:uiPriority w:val="4"/>
    <w:rsid w:val="003075F9"/>
    <w:pPr>
      <w:outlineLvl w:val="0"/>
    </w:pPr>
    <w:rPr>
      <w:bCs w:val="0"/>
    </w:rPr>
  </w:style>
  <w:style w:type="paragraph" w:customStyle="1" w:styleId="AppHead">
    <w:name w:val="~AppHead"/>
    <w:basedOn w:val="SecHeadNonToc"/>
    <w:next w:val="Normal"/>
    <w:uiPriority w:val="4"/>
    <w:qFormat/>
    <w:rsid w:val="00693B8F"/>
    <w:pPr>
      <w:tabs>
        <w:tab w:val="num" w:pos="567"/>
      </w:tabs>
      <w:outlineLvl w:val="0"/>
    </w:pPr>
    <w:rPr>
      <w:rFonts w:ascii="Arial" w:hAnsi="Arial" w:cs="Arial"/>
      <w:bCs w:val="0"/>
      <w:color w:val="000000" w:themeColor="text1"/>
    </w:rPr>
  </w:style>
  <w:style w:type="paragraph" w:customStyle="1" w:styleId="AppHead4">
    <w:name w:val="~AppHead4"/>
    <w:basedOn w:val="SecHeadNonToc"/>
    <w:qFormat/>
    <w:rsid w:val="006F7936"/>
    <w:pPr>
      <w:pageBreakBefore w:val="0"/>
      <w:tabs>
        <w:tab w:val="num" w:pos="1077"/>
      </w:tabs>
      <w:spacing w:before="240" w:after="0"/>
      <w:outlineLvl w:val="3"/>
    </w:pPr>
    <w:rPr>
      <w:b w:val="0"/>
      <w:color w:val="2FB6BC" w:themeColor="accent1"/>
      <w:sz w:val="20"/>
    </w:rPr>
  </w:style>
  <w:style w:type="numbering" w:customStyle="1" w:styleId="AppListStyle">
    <w:name w:val="~AppListStyle"/>
    <w:uiPriority w:val="99"/>
    <w:rsid w:val="006F7936"/>
    <w:pPr>
      <w:numPr>
        <w:numId w:val="2"/>
      </w:numPr>
    </w:pPr>
  </w:style>
  <w:style w:type="paragraph" w:customStyle="1" w:styleId="AppMinorSubHead">
    <w:name w:val="~AppMinorSubHead"/>
    <w:basedOn w:val="SecHeadNonToc"/>
    <w:next w:val="Normal"/>
    <w:uiPriority w:val="4"/>
    <w:qFormat/>
    <w:rsid w:val="006F7936"/>
    <w:pPr>
      <w:pageBreakBefore w:val="0"/>
      <w:tabs>
        <w:tab w:val="num" w:pos="907"/>
      </w:tabs>
      <w:spacing w:before="240" w:after="120"/>
      <w:outlineLvl w:val="2"/>
    </w:pPr>
    <w:rPr>
      <w:rFonts w:ascii="Arial" w:hAnsi="Arial" w:cs="Arial"/>
      <w:bCs w:val="0"/>
      <w:color w:val="2FB6BC" w:themeColor="accent1"/>
      <w:sz w:val="20"/>
      <w:szCs w:val="20"/>
    </w:rPr>
  </w:style>
  <w:style w:type="paragraph" w:customStyle="1" w:styleId="AppNumBullet1">
    <w:name w:val="~AppNumBullet1"/>
    <w:basedOn w:val="AppBodyTextNum"/>
    <w:uiPriority w:val="34"/>
    <w:semiHidden/>
    <w:qFormat/>
    <w:rsid w:val="003075F9"/>
  </w:style>
  <w:style w:type="paragraph" w:customStyle="1" w:styleId="AppNumBullet2">
    <w:name w:val="~AppNumBullet2"/>
    <w:basedOn w:val="AppBodyTextNum"/>
    <w:uiPriority w:val="34"/>
    <w:semiHidden/>
    <w:qFormat/>
    <w:rsid w:val="003075F9"/>
  </w:style>
  <w:style w:type="paragraph" w:customStyle="1" w:styleId="AppNumBullet3">
    <w:name w:val="~AppNumBullet3"/>
    <w:basedOn w:val="AppBodyTextNum"/>
    <w:uiPriority w:val="34"/>
    <w:semiHidden/>
    <w:qFormat/>
    <w:rsid w:val="003075F9"/>
  </w:style>
  <w:style w:type="paragraph" w:customStyle="1" w:styleId="AppSubHead">
    <w:name w:val="~AppSubHead"/>
    <w:basedOn w:val="SecHeadNonToc"/>
    <w:next w:val="Normal"/>
    <w:uiPriority w:val="4"/>
    <w:qFormat/>
    <w:rsid w:val="006F7936"/>
    <w:pPr>
      <w:pageBreakBefore w:val="0"/>
      <w:tabs>
        <w:tab w:val="num" w:pos="652"/>
      </w:tabs>
      <w:spacing w:before="240" w:after="120"/>
      <w:outlineLvl w:val="1"/>
    </w:pPr>
    <w:rPr>
      <w:rFonts w:ascii="Arial" w:hAnsi="Arial" w:cs="Arial"/>
      <w:bCs w:val="0"/>
      <w:color w:val="2FB6BC" w:themeColor="accent1"/>
      <w:sz w:val="22"/>
      <w:szCs w:val="22"/>
    </w:rPr>
  </w:style>
  <w:style w:type="paragraph" w:styleId="NoSpacing">
    <w:name w:val="No Spacing"/>
    <w:aliases w:val="~BaseStyle"/>
    <w:rsid w:val="003075F9"/>
    <w:pPr>
      <w:spacing w:after="0" w:line="240" w:lineRule="auto"/>
    </w:pPr>
    <w:rPr>
      <w:rFonts w:eastAsiaTheme="minorEastAsia"/>
    </w:rPr>
  </w:style>
  <w:style w:type="paragraph" w:customStyle="1" w:styleId="BlankPage">
    <w:name w:val="~BlankPage"/>
    <w:basedOn w:val="NoSpacing"/>
    <w:next w:val="Normal"/>
    <w:uiPriority w:val="8"/>
    <w:qFormat/>
    <w:rsid w:val="003075F9"/>
    <w:pPr>
      <w:pageBreakBefore/>
    </w:pPr>
  </w:style>
  <w:style w:type="paragraph" w:customStyle="1" w:styleId="BodyHeading">
    <w:name w:val="~BodyHeading"/>
    <w:basedOn w:val="Normal"/>
    <w:next w:val="Normal"/>
    <w:uiPriority w:val="1"/>
    <w:qFormat/>
    <w:rsid w:val="003075F9"/>
    <w:pPr>
      <w:keepNext/>
      <w:spacing w:after="0" w:line="240" w:lineRule="auto"/>
    </w:pPr>
    <w:rPr>
      <w:b/>
      <w:bCs/>
    </w:rPr>
  </w:style>
  <w:style w:type="paragraph" w:customStyle="1" w:styleId="BodyTextNum">
    <w:name w:val="~BodyTextNum"/>
    <w:basedOn w:val="Normal"/>
    <w:uiPriority w:val="34"/>
    <w:semiHidden/>
    <w:rsid w:val="003075F9"/>
  </w:style>
  <w:style w:type="paragraph" w:customStyle="1" w:styleId="Bullet1">
    <w:name w:val="~Bullet1"/>
    <w:basedOn w:val="Normal"/>
    <w:link w:val="Bullet1Char"/>
    <w:qFormat/>
    <w:rsid w:val="003075F9"/>
    <w:pPr>
      <w:numPr>
        <w:numId w:val="4"/>
      </w:numPr>
      <w:spacing w:before="60" w:after="60"/>
    </w:pPr>
    <w:rPr>
      <w:rFonts w:eastAsia="Calibri"/>
    </w:rPr>
  </w:style>
  <w:style w:type="paragraph" w:customStyle="1" w:styleId="Bullet2">
    <w:name w:val="~Bullet2"/>
    <w:basedOn w:val="Normal"/>
    <w:qFormat/>
    <w:rsid w:val="003075F9"/>
    <w:pPr>
      <w:numPr>
        <w:ilvl w:val="1"/>
        <w:numId w:val="4"/>
      </w:numPr>
      <w:spacing w:before="60" w:after="60"/>
    </w:pPr>
  </w:style>
  <w:style w:type="paragraph" w:customStyle="1" w:styleId="Bullet3">
    <w:name w:val="~Bullet3"/>
    <w:basedOn w:val="Normal"/>
    <w:qFormat/>
    <w:rsid w:val="003075F9"/>
    <w:pPr>
      <w:numPr>
        <w:ilvl w:val="2"/>
        <w:numId w:val="4"/>
      </w:numPr>
      <w:spacing w:before="60" w:after="60"/>
    </w:pPr>
  </w:style>
  <w:style w:type="paragraph" w:styleId="Caption">
    <w:name w:val="caption"/>
    <w:aliases w:val="~Caption"/>
    <w:basedOn w:val="BodyHeading"/>
    <w:next w:val="Normal"/>
    <w:link w:val="CaptionChar"/>
    <w:uiPriority w:val="7"/>
    <w:qFormat/>
    <w:rsid w:val="00EF75D6"/>
    <w:pPr>
      <w:spacing w:before="240" w:after="60"/>
    </w:pPr>
    <w:rPr>
      <w:rFonts w:eastAsia="Calibri"/>
    </w:rPr>
  </w:style>
  <w:style w:type="character" w:customStyle="1" w:styleId="CaptionChar">
    <w:name w:val="Caption Char"/>
    <w:aliases w:val="~Caption Char"/>
    <w:basedOn w:val="DefaultParagraphFont"/>
    <w:link w:val="Caption"/>
    <w:uiPriority w:val="7"/>
    <w:rsid w:val="00EF75D6"/>
    <w:rPr>
      <w:rFonts w:eastAsia="Calibri"/>
      <w:b/>
      <w:bCs/>
      <w:lang w:val="en-GB"/>
    </w:rPr>
  </w:style>
  <w:style w:type="paragraph" w:customStyle="1" w:styleId="CaptionWide">
    <w:name w:val="~CaptionWide"/>
    <w:basedOn w:val="Caption"/>
    <w:next w:val="Normal"/>
    <w:uiPriority w:val="34"/>
    <w:qFormat/>
    <w:rsid w:val="003075F9"/>
  </w:style>
  <w:style w:type="paragraph" w:customStyle="1" w:styleId="ClientName">
    <w:name w:val="~ClientName"/>
    <w:basedOn w:val="Address"/>
    <w:uiPriority w:val="34"/>
    <w:rsid w:val="00F47891"/>
  </w:style>
  <w:style w:type="paragraph" w:customStyle="1" w:styleId="Confidential">
    <w:name w:val="~Confidential"/>
    <w:basedOn w:val="NoSpacing"/>
    <w:uiPriority w:val="34"/>
    <w:rsid w:val="003075F9"/>
    <w:rPr>
      <w:sz w:val="24"/>
      <w:szCs w:val="24"/>
    </w:rPr>
  </w:style>
  <w:style w:type="character" w:customStyle="1" w:styleId="ConfiHeader">
    <w:name w:val="~ConfiHeader"/>
    <w:basedOn w:val="DefaultParagraphFont"/>
    <w:uiPriority w:val="34"/>
    <w:semiHidden/>
    <w:rsid w:val="003075F9"/>
    <w:rPr>
      <w:bCs w:val="0"/>
      <w:color w:val="2FB6BC" w:themeColor="accent1"/>
      <w:sz w:val="14"/>
      <w:szCs w:val="14"/>
      <w:lang w:val="en-GB"/>
    </w:rPr>
  </w:style>
  <w:style w:type="paragraph" w:customStyle="1" w:styleId="CSBodyText">
    <w:name w:val="~CSBodyText"/>
    <w:basedOn w:val="Normal"/>
    <w:uiPriority w:val="19"/>
    <w:qFormat/>
    <w:rsid w:val="00DE4EF8"/>
    <w:pPr>
      <w:spacing w:before="60" w:after="0"/>
    </w:pPr>
  </w:style>
  <w:style w:type="paragraph" w:customStyle="1" w:styleId="CSBodyHeading">
    <w:name w:val="~CSBodyHeading"/>
    <w:basedOn w:val="CSBodyText"/>
    <w:next w:val="CSBodyText"/>
    <w:uiPriority w:val="19"/>
    <w:qFormat/>
    <w:rsid w:val="00DE4EF8"/>
    <w:pPr>
      <w:keepNext/>
      <w:spacing w:before="120"/>
    </w:pPr>
    <w:rPr>
      <w:b/>
      <w:bCs/>
    </w:rPr>
  </w:style>
  <w:style w:type="paragraph" w:customStyle="1" w:styleId="CSHead">
    <w:name w:val="~CSHead"/>
    <w:basedOn w:val="Normal"/>
    <w:next w:val="Normal"/>
    <w:uiPriority w:val="19"/>
    <w:rsid w:val="00FB69AA"/>
    <w:pPr>
      <w:pBdr>
        <w:top w:val="single" w:sz="4" w:space="15" w:color="FFFFFF" w:themeColor="background1"/>
      </w:pBdr>
      <w:tabs>
        <w:tab w:val="left" w:pos="1581"/>
      </w:tabs>
      <w:spacing w:before="0"/>
    </w:pPr>
    <w:rPr>
      <w:b/>
      <w:bCs/>
      <w:color w:val="2FB6BC" w:themeColor="accent1"/>
      <w:sz w:val="28"/>
      <w:szCs w:val="28"/>
    </w:rPr>
  </w:style>
  <w:style w:type="paragraph" w:customStyle="1" w:styleId="CSIntro">
    <w:name w:val="~CSIntro"/>
    <w:basedOn w:val="Normal"/>
    <w:next w:val="Normal"/>
    <w:uiPriority w:val="19"/>
    <w:qFormat/>
    <w:rsid w:val="00DE4EF8"/>
    <w:pPr>
      <w:spacing w:before="0" w:after="120"/>
    </w:pPr>
    <w:rPr>
      <w:color w:val="2FB6BC" w:themeColor="accent1"/>
      <w:sz w:val="24"/>
      <w:szCs w:val="24"/>
    </w:rPr>
  </w:style>
  <w:style w:type="paragraph" w:customStyle="1" w:styleId="CSSubhead">
    <w:name w:val="~CSSubhead"/>
    <w:basedOn w:val="Normal"/>
    <w:next w:val="Normal"/>
    <w:uiPriority w:val="19"/>
    <w:qFormat/>
    <w:rsid w:val="00DE4EF8"/>
    <w:pPr>
      <w:keepNext/>
      <w:spacing w:after="60" w:line="240" w:lineRule="auto"/>
    </w:pPr>
    <w:rPr>
      <w:b/>
      <w:bCs/>
      <w:color w:val="2FB6BC" w:themeColor="accent1"/>
    </w:rPr>
  </w:style>
  <w:style w:type="paragraph" w:customStyle="1" w:styleId="CVBodyText">
    <w:name w:val="~CVBodyText"/>
    <w:basedOn w:val="Normal"/>
    <w:uiPriority w:val="19"/>
    <w:qFormat/>
    <w:rsid w:val="00DE4EF8"/>
    <w:pPr>
      <w:spacing w:before="60" w:after="0"/>
    </w:pPr>
    <w:rPr>
      <w:sz w:val="17"/>
      <w:szCs w:val="17"/>
    </w:rPr>
  </w:style>
  <w:style w:type="paragraph" w:customStyle="1" w:styleId="CVBodyHeading">
    <w:name w:val="~CVBodyHeading"/>
    <w:basedOn w:val="CVBodyText"/>
    <w:next w:val="CVBodyText"/>
    <w:uiPriority w:val="19"/>
    <w:qFormat/>
    <w:rsid w:val="00DE4EF8"/>
    <w:pPr>
      <w:keepNext/>
      <w:spacing w:before="120"/>
    </w:pPr>
    <w:rPr>
      <w:b/>
      <w:bCs/>
    </w:rPr>
  </w:style>
  <w:style w:type="paragraph" w:customStyle="1" w:styleId="CVBullet">
    <w:name w:val="~CVBullet"/>
    <w:basedOn w:val="Normal"/>
    <w:uiPriority w:val="19"/>
    <w:qFormat/>
    <w:rsid w:val="00DE4EF8"/>
    <w:pPr>
      <w:numPr>
        <w:numId w:val="1"/>
      </w:numPr>
      <w:spacing w:before="60" w:after="60"/>
    </w:pPr>
    <w:rPr>
      <w:rFonts w:eastAsia="Calibri"/>
      <w:sz w:val="17"/>
      <w:szCs w:val="17"/>
    </w:rPr>
  </w:style>
  <w:style w:type="paragraph" w:customStyle="1" w:styleId="CVIntro">
    <w:name w:val="~CVIntro"/>
    <w:basedOn w:val="Normal"/>
    <w:next w:val="CVBodyText"/>
    <w:uiPriority w:val="19"/>
    <w:qFormat/>
    <w:rsid w:val="00FB69AA"/>
    <w:pPr>
      <w:spacing w:before="0" w:after="120"/>
    </w:pPr>
    <w:rPr>
      <w:color w:val="2FB6BC" w:themeColor="accent1"/>
    </w:rPr>
  </w:style>
  <w:style w:type="paragraph" w:customStyle="1" w:styleId="CVSubhead">
    <w:name w:val="~CVSubhead"/>
    <w:basedOn w:val="Normal"/>
    <w:next w:val="CVBodyText"/>
    <w:uiPriority w:val="19"/>
    <w:qFormat/>
    <w:rsid w:val="00E521FD"/>
    <w:pPr>
      <w:keepNext/>
      <w:spacing w:after="0" w:line="240" w:lineRule="auto"/>
    </w:pPr>
    <w:rPr>
      <w:b/>
      <w:bCs/>
      <w:color w:val="2FB6BC" w:themeColor="accent1"/>
      <w:sz w:val="18"/>
      <w:szCs w:val="18"/>
    </w:rPr>
  </w:style>
  <w:style w:type="paragraph" w:customStyle="1" w:styleId="Disclaimer">
    <w:name w:val="~Disclaimer"/>
    <w:basedOn w:val="Normal"/>
    <w:uiPriority w:val="34"/>
    <w:rsid w:val="003075F9"/>
    <w:pPr>
      <w:spacing w:before="200" w:after="200"/>
    </w:pPr>
    <w:rPr>
      <w:rFonts w:ascii="Arial" w:hAnsi="Arial"/>
      <w:sz w:val="16"/>
      <w:szCs w:val="16"/>
    </w:rPr>
  </w:style>
  <w:style w:type="paragraph" w:customStyle="1" w:styleId="DocClient">
    <w:name w:val="~DocClient"/>
    <w:basedOn w:val="NoSpacing"/>
    <w:uiPriority w:val="34"/>
    <w:rsid w:val="003075F9"/>
  </w:style>
  <w:style w:type="paragraph" w:customStyle="1" w:styleId="DocDate">
    <w:name w:val="~DocDate"/>
    <w:basedOn w:val="NoSpacing"/>
    <w:uiPriority w:val="34"/>
    <w:rsid w:val="003075F9"/>
    <w:rPr>
      <w:sz w:val="24"/>
      <w:szCs w:val="24"/>
    </w:rPr>
  </w:style>
  <w:style w:type="paragraph" w:customStyle="1" w:styleId="DocFileRef">
    <w:name w:val="~DocFileRef"/>
    <w:basedOn w:val="Address"/>
    <w:uiPriority w:val="34"/>
    <w:rsid w:val="00FE13C2"/>
    <w:rPr>
      <w:noProof/>
    </w:rPr>
  </w:style>
  <w:style w:type="paragraph" w:customStyle="1" w:styleId="DocSubTitle">
    <w:name w:val="~DocSubTitle"/>
    <w:basedOn w:val="NoSpacing"/>
    <w:uiPriority w:val="34"/>
    <w:rsid w:val="003075F9"/>
    <w:rPr>
      <w:sz w:val="32"/>
      <w:szCs w:val="32"/>
    </w:rPr>
  </w:style>
  <w:style w:type="paragraph" w:customStyle="1" w:styleId="DocTitle">
    <w:name w:val="~DocTitle"/>
    <w:basedOn w:val="NoSpacing"/>
    <w:uiPriority w:val="34"/>
    <w:rsid w:val="003075F9"/>
    <w:rPr>
      <w:b/>
      <w:bCs/>
      <w:sz w:val="48"/>
      <w:szCs w:val="48"/>
    </w:rPr>
  </w:style>
  <w:style w:type="paragraph" w:customStyle="1" w:styleId="DocType">
    <w:name w:val="~DocType"/>
    <w:basedOn w:val="NoSpacing"/>
    <w:uiPriority w:val="34"/>
    <w:semiHidden/>
    <w:rsid w:val="003075F9"/>
  </w:style>
  <w:style w:type="paragraph" w:customStyle="1" w:styleId="Draft">
    <w:name w:val="~Draft"/>
    <w:basedOn w:val="NoSpacing"/>
    <w:uiPriority w:val="34"/>
    <w:rsid w:val="003075F9"/>
  </w:style>
  <w:style w:type="paragraph" w:customStyle="1" w:styleId="ExecSumHead">
    <w:name w:val="~ExecSumHead"/>
    <w:basedOn w:val="SecHeadNonToc"/>
    <w:next w:val="Normal"/>
    <w:uiPriority w:val="3"/>
    <w:qFormat/>
    <w:rsid w:val="00530427"/>
    <w:pPr>
      <w:outlineLvl w:val="0"/>
    </w:pPr>
    <w:rPr>
      <w:bCs w:val="0"/>
    </w:rPr>
  </w:style>
  <w:style w:type="paragraph" w:customStyle="1" w:styleId="ExecSumSubHead">
    <w:name w:val="~ExecSumSubHead"/>
    <w:basedOn w:val="ExecSumHead"/>
    <w:next w:val="Normal"/>
    <w:uiPriority w:val="3"/>
    <w:qFormat/>
    <w:rsid w:val="00A403D9"/>
    <w:pPr>
      <w:pageBreakBefore w:val="0"/>
      <w:spacing w:before="240" w:after="120"/>
    </w:pPr>
    <w:rPr>
      <w:color w:val="2FB6BC" w:themeColor="accent1"/>
      <w:sz w:val="22"/>
      <w:szCs w:val="22"/>
    </w:rPr>
  </w:style>
  <w:style w:type="paragraph" w:styleId="Footer">
    <w:name w:val="footer"/>
    <w:aliases w:val="~Footer"/>
    <w:basedOn w:val="NoSpacing"/>
    <w:link w:val="FooterChar"/>
    <w:uiPriority w:val="99"/>
    <w:rsid w:val="006C1876"/>
    <w:rPr>
      <w:noProof/>
      <w:sz w:val="14"/>
      <w:szCs w:val="14"/>
    </w:rPr>
  </w:style>
  <w:style w:type="character" w:customStyle="1" w:styleId="FooterChar">
    <w:name w:val="Footer Char"/>
    <w:aliases w:val="~Footer Char"/>
    <w:basedOn w:val="DefaultParagraphFont"/>
    <w:link w:val="Footer"/>
    <w:uiPriority w:val="99"/>
    <w:rsid w:val="006C1876"/>
    <w:rPr>
      <w:rFonts w:eastAsiaTheme="minorEastAsia"/>
      <w:noProof/>
      <w:sz w:val="14"/>
      <w:szCs w:val="14"/>
      <w:lang w:val="en-GB"/>
    </w:rPr>
  </w:style>
  <w:style w:type="paragraph" w:customStyle="1" w:styleId="FooterBS1192">
    <w:name w:val="~FooterBS1192"/>
    <w:basedOn w:val="Footer"/>
    <w:uiPriority w:val="34"/>
    <w:rsid w:val="003075F9"/>
  </w:style>
  <w:style w:type="paragraph" w:customStyle="1" w:styleId="FooterFilepath">
    <w:name w:val="~FooterFilepath"/>
    <w:basedOn w:val="Footer"/>
    <w:uiPriority w:val="34"/>
    <w:rsid w:val="003075F9"/>
  </w:style>
  <w:style w:type="paragraph" w:customStyle="1" w:styleId="FooterJobRef">
    <w:name w:val="~FooterJobRef"/>
    <w:basedOn w:val="Footer"/>
    <w:uiPriority w:val="34"/>
    <w:rsid w:val="003075F9"/>
  </w:style>
  <w:style w:type="paragraph" w:customStyle="1" w:styleId="FooterRepNo">
    <w:name w:val="~FooterRepNo"/>
    <w:basedOn w:val="Footer"/>
    <w:uiPriority w:val="34"/>
    <w:rsid w:val="003075F9"/>
  </w:style>
  <w:style w:type="paragraph" w:customStyle="1" w:styleId="FooterRevNo">
    <w:name w:val="~FooterRevNo"/>
    <w:basedOn w:val="Footer"/>
    <w:uiPriority w:val="34"/>
    <w:rsid w:val="003075F9"/>
  </w:style>
  <w:style w:type="paragraph" w:customStyle="1" w:styleId="FooterSubDivRef">
    <w:name w:val="~FooterSubDivRef"/>
    <w:basedOn w:val="Footer"/>
    <w:uiPriority w:val="34"/>
    <w:rsid w:val="003075F9"/>
  </w:style>
  <w:style w:type="paragraph" w:customStyle="1" w:styleId="GlossaryHeading">
    <w:name w:val="~GlossaryHeading"/>
    <w:basedOn w:val="SecHeadNonToc"/>
    <w:next w:val="Normal"/>
    <w:uiPriority w:val="4"/>
    <w:qFormat/>
    <w:rsid w:val="003075F9"/>
    <w:rPr>
      <w:bCs w:val="0"/>
    </w:rPr>
  </w:style>
  <w:style w:type="paragraph" w:customStyle="1" w:styleId="GraphicLeft">
    <w:name w:val="~GraphicLeft"/>
    <w:basedOn w:val="NoSpacing"/>
    <w:uiPriority w:val="9"/>
    <w:rsid w:val="003075F9"/>
  </w:style>
  <w:style w:type="paragraph" w:customStyle="1" w:styleId="GraphicCentre">
    <w:name w:val="~GraphicCentre"/>
    <w:basedOn w:val="GraphicLeft"/>
    <w:uiPriority w:val="9"/>
    <w:rsid w:val="003075F9"/>
    <w:pPr>
      <w:jc w:val="center"/>
    </w:pPr>
  </w:style>
  <w:style w:type="paragraph" w:customStyle="1" w:styleId="GraphicRight">
    <w:name w:val="~GraphicRight"/>
    <w:basedOn w:val="GraphicLeft"/>
    <w:uiPriority w:val="9"/>
    <w:rsid w:val="003075F9"/>
    <w:pPr>
      <w:jc w:val="right"/>
    </w:pPr>
  </w:style>
  <w:style w:type="paragraph" w:customStyle="1" w:styleId="Hidden">
    <w:name w:val="~Hidden"/>
    <w:basedOn w:val="NoSpacing"/>
    <w:uiPriority w:val="34"/>
    <w:semiHidden/>
    <w:rsid w:val="003075F9"/>
    <w:pPr>
      <w:framePr w:wrap="around" w:vAnchor="page" w:hAnchor="page" w:xAlign="right" w:yAlign="bottom"/>
    </w:pPr>
    <w:rPr>
      <w:color w:val="C00000"/>
    </w:rPr>
  </w:style>
  <w:style w:type="paragraph" w:customStyle="1" w:styleId="IntroText">
    <w:name w:val="~IntroText"/>
    <w:basedOn w:val="Normal"/>
    <w:next w:val="Normal"/>
    <w:uiPriority w:val="2"/>
    <w:qFormat/>
    <w:rsid w:val="003075F9"/>
    <w:pPr>
      <w:spacing w:after="120"/>
    </w:pPr>
    <w:rPr>
      <w:color w:val="2FB6BC" w:themeColor="accent1"/>
    </w:rPr>
  </w:style>
  <w:style w:type="paragraph" w:customStyle="1" w:styleId="KeyFactsHead">
    <w:name w:val="~KeyFactsHead"/>
    <w:basedOn w:val="Normal"/>
    <w:next w:val="Normal"/>
    <w:uiPriority w:val="7"/>
    <w:qFormat/>
    <w:rsid w:val="00FB69AA"/>
    <w:pPr>
      <w:keepNext/>
      <w:spacing w:after="0" w:line="240" w:lineRule="auto"/>
    </w:pPr>
    <w:rPr>
      <w:color w:val="009695" w:themeColor="accent2"/>
      <w:sz w:val="72"/>
      <w:szCs w:val="72"/>
    </w:rPr>
  </w:style>
  <w:style w:type="paragraph" w:customStyle="1" w:styleId="KeyFactsText">
    <w:name w:val="~KeyFactsText"/>
    <w:basedOn w:val="Normal"/>
    <w:uiPriority w:val="7"/>
    <w:qFormat/>
    <w:rsid w:val="00DE4EF8"/>
    <w:pPr>
      <w:spacing w:before="0"/>
    </w:pPr>
    <w:rPr>
      <w:noProof/>
      <w:sz w:val="18"/>
      <w:szCs w:val="18"/>
    </w:rPr>
  </w:style>
  <w:style w:type="paragraph" w:customStyle="1" w:styleId="KeyMsgText">
    <w:name w:val="~KeyMsgText"/>
    <w:basedOn w:val="Normal"/>
    <w:uiPriority w:val="6"/>
    <w:rsid w:val="003075F9"/>
    <w:pPr>
      <w:spacing w:before="0" w:after="0"/>
      <w:ind w:right="2835"/>
    </w:pPr>
    <w:rPr>
      <w:sz w:val="24"/>
      <w:szCs w:val="24"/>
    </w:rPr>
  </w:style>
  <w:style w:type="paragraph" w:customStyle="1" w:styleId="KeyMsgBullet">
    <w:name w:val="~KeyMsgBullet"/>
    <w:basedOn w:val="KeyMsgText"/>
    <w:uiPriority w:val="6"/>
    <w:rsid w:val="003075F9"/>
    <w:pPr>
      <w:numPr>
        <w:numId w:val="5"/>
      </w:numPr>
      <w:spacing w:before="60" w:after="60"/>
    </w:pPr>
  </w:style>
  <w:style w:type="paragraph" w:customStyle="1" w:styleId="KeyMsgHeading">
    <w:name w:val="~KeyMsgHeading"/>
    <w:basedOn w:val="Normal"/>
    <w:next w:val="KeyMsgText"/>
    <w:uiPriority w:val="6"/>
    <w:rsid w:val="003075F9"/>
    <w:pPr>
      <w:spacing w:before="240" w:after="0"/>
      <w:ind w:right="2835"/>
    </w:pPr>
    <w:rPr>
      <w:b/>
      <w:bCs/>
      <w:color w:val="009695" w:themeColor="accent2"/>
      <w:sz w:val="24"/>
      <w:szCs w:val="24"/>
    </w:rPr>
  </w:style>
  <w:style w:type="paragraph" w:customStyle="1" w:styleId="LegalFooter">
    <w:name w:val="~LegalFooter"/>
    <w:basedOn w:val="Footer"/>
    <w:uiPriority w:val="19"/>
    <w:qFormat/>
    <w:rsid w:val="003075F9"/>
    <w:rPr>
      <w:sz w:val="12"/>
    </w:rPr>
  </w:style>
  <w:style w:type="paragraph" w:customStyle="1" w:styleId="LogoName">
    <w:name w:val="~LogoName"/>
    <w:basedOn w:val="Footer"/>
    <w:uiPriority w:val="34"/>
    <w:rsid w:val="003075F9"/>
  </w:style>
  <w:style w:type="table" w:customStyle="1" w:styleId="MMTable">
    <w:name w:val="~MMTable"/>
    <w:basedOn w:val="TableNormal"/>
    <w:uiPriority w:val="99"/>
    <w:rsid w:val="003075F9"/>
    <w:pPr>
      <w:spacing w:before="40" w:after="40" w:line="240" w:lineRule="auto"/>
    </w:pPr>
    <w:rPr>
      <w:rFonts w:ascii="Arial" w:eastAsiaTheme="minorEastAsia" w:hAnsi="Arial"/>
      <w:sz w:val="16"/>
      <w:szCs w:val="16"/>
    </w:rPr>
    <w:tblPr>
      <w:tblStyleRowBandSize w:val="1"/>
      <w:tblBorders>
        <w:top w:val="single" w:sz="8" w:space="0" w:color="auto"/>
        <w:bottom w:val="single" w:sz="8" w:space="0" w:color="auto"/>
        <w:insideH w:val="single" w:sz="2" w:space="0" w:color="2FB6BC" w:themeColor="accent1"/>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DDDDC" w:themeFill="text2" w:themeFillTint="33"/>
      </w:tcPr>
    </w:tblStylePr>
  </w:style>
  <w:style w:type="paragraph" w:customStyle="1" w:styleId="NumBullet1">
    <w:name w:val="~NumBullet1"/>
    <w:basedOn w:val="Normal"/>
    <w:uiPriority w:val="1"/>
    <w:qFormat/>
    <w:rsid w:val="003075F9"/>
    <w:pPr>
      <w:numPr>
        <w:numId w:val="6"/>
      </w:numPr>
      <w:spacing w:before="60" w:after="60"/>
    </w:pPr>
  </w:style>
  <w:style w:type="paragraph" w:customStyle="1" w:styleId="NumBullet2">
    <w:name w:val="~NumBullet2"/>
    <w:basedOn w:val="Normal"/>
    <w:uiPriority w:val="1"/>
    <w:qFormat/>
    <w:rsid w:val="003075F9"/>
    <w:pPr>
      <w:numPr>
        <w:ilvl w:val="1"/>
        <w:numId w:val="6"/>
      </w:numPr>
      <w:spacing w:before="60" w:after="60"/>
    </w:pPr>
  </w:style>
  <w:style w:type="paragraph" w:customStyle="1" w:styleId="NumBullet3">
    <w:name w:val="~NumBullet3"/>
    <w:basedOn w:val="Normal"/>
    <w:uiPriority w:val="1"/>
    <w:qFormat/>
    <w:rsid w:val="003075F9"/>
    <w:pPr>
      <w:numPr>
        <w:ilvl w:val="2"/>
        <w:numId w:val="6"/>
      </w:numPr>
      <w:spacing w:before="60" w:after="60"/>
    </w:pPr>
  </w:style>
  <w:style w:type="character" w:customStyle="1" w:styleId="Pagenumber">
    <w:name w:val="~Pagenumber"/>
    <w:basedOn w:val="DefaultParagraphFont"/>
    <w:uiPriority w:val="19"/>
    <w:qFormat/>
    <w:rsid w:val="00ED39CC"/>
    <w:rPr>
      <w:b/>
      <w:bCs/>
      <w:sz w:val="14"/>
      <w:szCs w:val="20"/>
      <w:lang w:val="en-GB"/>
    </w:rPr>
  </w:style>
  <w:style w:type="paragraph" w:customStyle="1" w:styleId="Source">
    <w:name w:val="~Source"/>
    <w:basedOn w:val="Normal"/>
    <w:next w:val="Normal"/>
    <w:uiPriority w:val="7"/>
    <w:qFormat/>
    <w:rsid w:val="003075F9"/>
    <w:pPr>
      <w:tabs>
        <w:tab w:val="left" w:pos="680"/>
      </w:tabs>
      <w:spacing w:before="0" w:after="240" w:line="240" w:lineRule="auto"/>
      <w:ind w:left="680" w:hanging="680"/>
    </w:pPr>
    <w:rPr>
      <w:rFonts w:eastAsia="Calibri"/>
      <w:sz w:val="16"/>
      <w:szCs w:val="16"/>
    </w:rPr>
  </w:style>
  <w:style w:type="paragraph" w:customStyle="1" w:styleId="QuoteSource">
    <w:name w:val="~QuoteSource"/>
    <w:basedOn w:val="Source"/>
    <w:next w:val="Normal"/>
    <w:uiPriority w:val="7"/>
    <w:qFormat/>
    <w:rsid w:val="003075F9"/>
    <w:pPr>
      <w:tabs>
        <w:tab w:val="clear" w:pos="680"/>
      </w:tabs>
      <w:ind w:left="0" w:right="2835" w:firstLine="0"/>
    </w:pPr>
    <w:rPr>
      <w:sz w:val="18"/>
      <w:szCs w:val="18"/>
    </w:rPr>
  </w:style>
  <w:style w:type="paragraph" w:customStyle="1" w:styleId="RefClientName">
    <w:name w:val="~RefClientName"/>
    <w:basedOn w:val="ClientName"/>
    <w:uiPriority w:val="34"/>
    <w:semiHidden/>
    <w:rsid w:val="00CC4AAC"/>
  </w:style>
  <w:style w:type="paragraph" w:customStyle="1" w:styleId="RefConfidential">
    <w:name w:val="~RefConfidential"/>
    <w:basedOn w:val="Confidential"/>
    <w:uiPriority w:val="34"/>
    <w:semiHidden/>
    <w:rsid w:val="003075F9"/>
  </w:style>
  <w:style w:type="paragraph" w:customStyle="1" w:styleId="RefDocDate">
    <w:name w:val="~RefDocDate"/>
    <w:basedOn w:val="DocDate"/>
    <w:uiPriority w:val="34"/>
    <w:semiHidden/>
    <w:rsid w:val="003075F9"/>
  </w:style>
  <w:style w:type="paragraph" w:customStyle="1" w:styleId="RefDocFileRef">
    <w:name w:val="~RefDocFileRef"/>
    <w:basedOn w:val="DocFileRef"/>
    <w:uiPriority w:val="34"/>
    <w:semiHidden/>
    <w:rsid w:val="003075F9"/>
  </w:style>
  <w:style w:type="paragraph" w:customStyle="1" w:styleId="RefDocSubTitle">
    <w:name w:val="~RefDocSubTitle"/>
    <w:basedOn w:val="DocSubTitle"/>
    <w:uiPriority w:val="34"/>
    <w:semiHidden/>
    <w:rsid w:val="003075F9"/>
  </w:style>
  <w:style w:type="paragraph" w:customStyle="1" w:styleId="RefDocTitle">
    <w:name w:val="~RefDocTitle"/>
    <w:basedOn w:val="DocTitle"/>
    <w:uiPriority w:val="34"/>
    <w:semiHidden/>
    <w:rsid w:val="003075F9"/>
  </w:style>
  <w:style w:type="paragraph" w:customStyle="1" w:styleId="SecDivTitle">
    <w:name w:val="~SecDivTitle"/>
    <w:basedOn w:val="NoSpacing"/>
    <w:uiPriority w:val="19"/>
    <w:qFormat/>
    <w:rsid w:val="00DE4EF8"/>
    <w:pPr>
      <w:spacing w:line="264" w:lineRule="auto"/>
    </w:pPr>
    <w:rPr>
      <w:b/>
      <w:bCs/>
      <w:sz w:val="56"/>
      <w:szCs w:val="56"/>
    </w:rPr>
  </w:style>
  <w:style w:type="numbering" w:customStyle="1" w:styleId="SecListStyle">
    <w:name w:val="~SecListStyle"/>
    <w:uiPriority w:val="99"/>
    <w:rsid w:val="006F7936"/>
    <w:pPr>
      <w:numPr>
        <w:numId w:val="7"/>
      </w:numPr>
    </w:pPr>
  </w:style>
  <w:style w:type="paragraph" w:customStyle="1" w:styleId="SourceWide">
    <w:name w:val="~SourceWide"/>
    <w:basedOn w:val="Source"/>
    <w:next w:val="Normal"/>
    <w:uiPriority w:val="34"/>
    <w:semiHidden/>
    <w:qFormat/>
    <w:rsid w:val="003075F9"/>
  </w:style>
  <w:style w:type="paragraph" w:customStyle="1" w:styleId="Spacer">
    <w:name w:val="~Spacer"/>
    <w:basedOn w:val="NoSpacing"/>
    <w:uiPriority w:val="34"/>
    <w:semiHidden/>
    <w:rsid w:val="003075F9"/>
    <w:rPr>
      <w:rFonts w:ascii="Arial" w:hAnsi="Arial"/>
      <w:sz w:val="2"/>
      <w:szCs w:val="2"/>
    </w:rPr>
  </w:style>
  <w:style w:type="paragraph" w:customStyle="1" w:styleId="TableTextLeft">
    <w:name w:val="~TableTextLeft"/>
    <w:basedOn w:val="Normal"/>
    <w:uiPriority w:val="8"/>
    <w:qFormat/>
    <w:rsid w:val="00C52769"/>
    <w:pPr>
      <w:spacing w:before="40" w:after="40" w:line="240" w:lineRule="auto"/>
      <w:ind w:left="108" w:right="108"/>
    </w:pPr>
    <w:rPr>
      <w:sz w:val="16"/>
      <w:szCs w:val="16"/>
    </w:rPr>
  </w:style>
  <w:style w:type="paragraph" w:customStyle="1" w:styleId="TableBullet1">
    <w:name w:val="~TableBullet1"/>
    <w:basedOn w:val="TableTextLeft"/>
    <w:uiPriority w:val="8"/>
    <w:qFormat/>
    <w:rsid w:val="002D3C8D"/>
    <w:pPr>
      <w:numPr>
        <w:numId w:val="27"/>
      </w:numPr>
    </w:pPr>
    <w:rPr>
      <w:rFonts w:eastAsia="Calibri"/>
    </w:rPr>
  </w:style>
  <w:style w:type="paragraph" w:customStyle="1" w:styleId="TableBullet2">
    <w:name w:val="~TableBullet2"/>
    <w:basedOn w:val="TableTextLeft"/>
    <w:uiPriority w:val="8"/>
    <w:qFormat/>
    <w:rsid w:val="002D3C8D"/>
    <w:pPr>
      <w:numPr>
        <w:ilvl w:val="1"/>
        <w:numId w:val="27"/>
      </w:numPr>
    </w:pPr>
  </w:style>
  <w:style w:type="paragraph" w:customStyle="1" w:styleId="TableBullet3">
    <w:name w:val="~TableBullet3"/>
    <w:basedOn w:val="TableTextLeft"/>
    <w:uiPriority w:val="8"/>
    <w:qFormat/>
    <w:rsid w:val="002D3C8D"/>
    <w:pPr>
      <w:numPr>
        <w:ilvl w:val="2"/>
        <w:numId w:val="27"/>
      </w:numPr>
    </w:pPr>
  </w:style>
  <w:style w:type="table" w:customStyle="1" w:styleId="TableClear">
    <w:name w:val="~TableClear"/>
    <w:basedOn w:val="TableNormal"/>
    <w:uiPriority w:val="99"/>
    <w:rsid w:val="003075F9"/>
    <w:rPr>
      <w:rFonts w:eastAsiaTheme="minorEastAsia"/>
    </w:rPr>
    <w:tblPr>
      <w:tblCellMar>
        <w:left w:w="0" w:type="dxa"/>
        <w:right w:w="0" w:type="dxa"/>
      </w:tblCellMar>
    </w:tblPr>
  </w:style>
  <w:style w:type="paragraph" w:customStyle="1" w:styleId="TableHeadingLeft">
    <w:name w:val="~TableHeadingLeft"/>
    <w:basedOn w:val="TableTextLeft"/>
    <w:uiPriority w:val="8"/>
    <w:qFormat/>
    <w:rsid w:val="00C52769"/>
    <w:pPr>
      <w:keepNext/>
    </w:pPr>
    <w:rPr>
      <w:b/>
      <w:bCs/>
      <w:color w:val="2FB6BC" w:themeColor="accent1"/>
      <w:sz w:val="18"/>
      <w:szCs w:val="18"/>
    </w:rPr>
  </w:style>
  <w:style w:type="paragraph" w:customStyle="1" w:styleId="TableHeadingCentre">
    <w:name w:val="~TableHeadingCentre"/>
    <w:basedOn w:val="TableHeadingLeft"/>
    <w:uiPriority w:val="8"/>
    <w:qFormat/>
    <w:rsid w:val="00C52769"/>
    <w:pPr>
      <w:jc w:val="center"/>
    </w:pPr>
    <w:rPr>
      <w:bCs w:val="0"/>
    </w:rPr>
  </w:style>
  <w:style w:type="paragraph" w:customStyle="1" w:styleId="TableHeadingRight">
    <w:name w:val="~TableHeadingRight"/>
    <w:basedOn w:val="TableHeadingLeft"/>
    <w:uiPriority w:val="8"/>
    <w:qFormat/>
    <w:rsid w:val="00C52769"/>
    <w:pPr>
      <w:jc w:val="right"/>
    </w:pPr>
  </w:style>
  <w:style w:type="table" w:customStyle="1" w:styleId="TableNormal0">
    <w:name w:val="~TableNormal"/>
    <w:basedOn w:val="TableNormal"/>
    <w:semiHidden/>
    <w:rsid w:val="003075F9"/>
    <w:pPr>
      <w:spacing w:before="120" w:after="0" w:line="240" w:lineRule="auto"/>
    </w:pPr>
    <w:rPr>
      <w:rFonts w:eastAsiaTheme="minorEastAsia"/>
    </w:rPr>
    <w:tblPr/>
  </w:style>
  <w:style w:type="paragraph" w:customStyle="1" w:styleId="TableTextCentre">
    <w:name w:val="~TableTextCentre"/>
    <w:basedOn w:val="TableTextLeft"/>
    <w:uiPriority w:val="8"/>
    <w:qFormat/>
    <w:rsid w:val="00C52769"/>
    <w:pPr>
      <w:jc w:val="center"/>
    </w:pPr>
  </w:style>
  <w:style w:type="paragraph" w:customStyle="1" w:styleId="TableTextRight">
    <w:name w:val="~TableTextRight"/>
    <w:basedOn w:val="TableTextLeft"/>
    <w:uiPriority w:val="8"/>
    <w:qFormat/>
    <w:rsid w:val="00C52769"/>
    <w:pPr>
      <w:jc w:val="right"/>
    </w:pPr>
  </w:style>
  <w:style w:type="paragraph" w:customStyle="1" w:styleId="TableTotalLeft">
    <w:name w:val="~TableTotalLeft"/>
    <w:basedOn w:val="TableTextLeft"/>
    <w:uiPriority w:val="8"/>
    <w:qFormat/>
    <w:rsid w:val="00C52769"/>
    <w:rPr>
      <w:b/>
      <w:bCs/>
    </w:rPr>
  </w:style>
  <w:style w:type="paragraph" w:customStyle="1" w:styleId="TableTotalCentre">
    <w:name w:val="~TableTotalCentre"/>
    <w:basedOn w:val="TableTotalLeft"/>
    <w:uiPriority w:val="8"/>
    <w:qFormat/>
    <w:rsid w:val="00C52769"/>
    <w:pPr>
      <w:jc w:val="center"/>
    </w:pPr>
    <w:rPr>
      <w:bCs w:val="0"/>
    </w:rPr>
  </w:style>
  <w:style w:type="paragraph" w:customStyle="1" w:styleId="TableTotalRight">
    <w:name w:val="~TableTotalRight"/>
    <w:basedOn w:val="TableTotalLeft"/>
    <w:uiPriority w:val="8"/>
    <w:qFormat/>
    <w:rsid w:val="00C52769"/>
    <w:pPr>
      <w:jc w:val="right"/>
    </w:pPr>
  </w:style>
  <w:style w:type="paragraph" w:customStyle="1" w:styleId="WebAddress">
    <w:name w:val="~WebAddress"/>
    <w:basedOn w:val="NoSpacing"/>
    <w:uiPriority w:val="19"/>
    <w:qFormat/>
    <w:rsid w:val="003075F9"/>
    <w:rPr>
      <w:b/>
      <w:bCs/>
    </w:rPr>
  </w:style>
  <w:style w:type="paragraph" w:styleId="BalloonText">
    <w:name w:val="Balloon Text"/>
    <w:basedOn w:val="Normal"/>
    <w:link w:val="BalloonTextChar"/>
    <w:uiPriority w:val="99"/>
    <w:semiHidden/>
    <w:unhideWhenUsed/>
    <w:rsid w:val="003075F9"/>
    <w:pPr>
      <w:spacing w:after="0"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3075F9"/>
    <w:rPr>
      <w:rFonts w:ascii="Tahoma" w:eastAsiaTheme="minorEastAsia" w:hAnsi="Tahoma" w:cs="Tahoma"/>
      <w:color w:val="808080" w:themeColor="background1" w:themeShade="80"/>
      <w:sz w:val="16"/>
      <w:szCs w:val="16"/>
      <w:lang w:val="en-GB"/>
    </w:rPr>
  </w:style>
  <w:style w:type="paragraph" w:styleId="Bibliography">
    <w:name w:val="Bibliography"/>
    <w:basedOn w:val="Normal"/>
    <w:next w:val="Normal"/>
    <w:uiPriority w:val="39"/>
    <w:semiHidden/>
    <w:rsid w:val="003075F9"/>
  </w:style>
  <w:style w:type="paragraph" w:styleId="BlockText">
    <w:name w:val="Block Text"/>
    <w:basedOn w:val="Normal"/>
    <w:uiPriority w:val="99"/>
    <w:semiHidden/>
    <w:unhideWhenUsed/>
    <w:rsid w:val="003075F9"/>
    <w:pPr>
      <w:pBdr>
        <w:top w:val="single" w:sz="2" w:space="10" w:color="2FB6BC" w:themeColor="accent1" w:frame="1"/>
        <w:left w:val="single" w:sz="2" w:space="10" w:color="2FB6BC" w:themeColor="accent1" w:frame="1"/>
        <w:bottom w:val="single" w:sz="2" w:space="10" w:color="2FB6BC" w:themeColor="accent1" w:frame="1"/>
        <w:right w:val="single" w:sz="2" w:space="10" w:color="2FB6BC" w:themeColor="accent1" w:frame="1"/>
      </w:pBdr>
      <w:ind w:left="1152" w:right="1152"/>
    </w:pPr>
    <w:rPr>
      <w:i/>
      <w:iCs/>
      <w:color w:val="2FB6BC" w:themeColor="accent1"/>
    </w:rPr>
  </w:style>
  <w:style w:type="paragraph" w:styleId="BodyText">
    <w:name w:val="Body Text"/>
    <w:basedOn w:val="Normal"/>
    <w:link w:val="BodyTextChar"/>
    <w:uiPriority w:val="99"/>
    <w:semiHidden/>
    <w:unhideWhenUsed/>
    <w:rsid w:val="003075F9"/>
    <w:pPr>
      <w:spacing w:after="120"/>
    </w:pPr>
  </w:style>
  <w:style w:type="character" w:customStyle="1" w:styleId="BodyTextChar">
    <w:name w:val="Body Text Char"/>
    <w:basedOn w:val="DefaultParagraphFont"/>
    <w:link w:val="BodyText"/>
    <w:uiPriority w:val="99"/>
    <w:semiHidden/>
    <w:rsid w:val="003075F9"/>
    <w:rPr>
      <w:rFonts w:eastAsiaTheme="minorEastAsia"/>
      <w:lang w:val="en-GB"/>
    </w:rPr>
  </w:style>
  <w:style w:type="paragraph" w:styleId="BodyText2">
    <w:name w:val="Body Text 2"/>
    <w:basedOn w:val="Normal"/>
    <w:link w:val="BodyText2Char"/>
    <w:uiPriority w:val="99"/>
    <w:semiHidden/>
    <w:unhideWhenUsed/>
    <w:rsid w:val="003075F9"/>
    <w:pPr>
      <w:spacing w:after="120" w:line="480" w:lineRule="auto"/>
    </w:pPr>
  </w:style>
  <w:style w:type="character" w:customStyle="1" w:styleId="BodyText2Char">
    <w:name w:val="Body Text 2 Char"/>
    <w:basedOn w:val="DefaultParagraphFont"/>
    <w:link w:val="BodyText2"/>
    <w:uiPriority w:val="99"/>
    <w:semiHidden/>
    <w:rsid w:val="003075F9"/>
    <w:rPr>
      <w:rFonts w:eastAsiaTheme="minorEastAsia"/>
      <w:lang w:val="en-GB"/>
    </w:rPr>
  </w:style>
  <w:style w:type="paragraph" w:styleId="BodyText3">
    <w:name w:val="Body Text 3"/>
    <w:basedOn w:val="Normal"/>
    <w:link w:val="BodyText3Char"/>
    <w:uiPriority w:val="99"/>
    <w:semiHidden/>
    <w:unhideWhenUsed/>
    <w:rsid w:val="003075F9"/>
    <w:pPr>
      <w:spacing w:after="120"/>
    </w:pPr>
    <w:rPr>
      <w:sz w:val="16"/>
      <w:szCs w:val="16"/>
    </w:rPr>
  </w:style>
  <w:style w:type="character" w:customStyle="1" w:styleId="BodyText3Char">
    <w:name w:val="Body Text 3 Char"/>
    <w:basedOn w:val="DefaultParagraphFont"/>
    <w:link w:val="BodyText3"/>
    <w:uiPriority w:val="99"/>
    <w:semiHidden/>
    <w:rsid w:val="003075F9"/>
    <w:rPr>
      <w:rFonts w:eastAsiaTheme="minorEastAsia"/>
      <w:sz w:val="16"/>
      <w:szCs w:val="16"/>
      <w:lang w:val="en-GB"/>
    </w:rPr>
  </w:style>
  <w:style w:type="paragraph" w:styleId="BodyTextFirstIndent">
    <w:name w:val="Body Text First Indent"/>
    <w:basedOn w:val="BodyText"/>
    <w:link w:val="BodyTextFirstIndentChar"/>
    <w:uiPriority w:val="99"/>
    <w:semiHidden/>
    <w:unhideWhenUsed/>
    <w:rsid w:val="003075F9"/>
    <w:pPr>
      <w:spacing w:after="160"/>
      <w:ind w:firstLine="360"/>
    </w:pPr>
  </w:style>
  <w:style w:type="character" w:customStyle="1" w:styleId="BodyTextFirstIndentChar">
    <w:name w:val="Body Text First Indent Char"/>
    <w:basedOn w:val="BodyTextChar"/>
    <w:link w:val="BodyTextFirstIndent"/>
    <w:uiPriority w:val="99"/>
    <w:semiHidden/>
    <w:rsid w:val="003075F9"/>
    <w:rPr>
      <w:rFonts w:eastAsiaTheme="minorEastAsia"/>
      <w:lang w:val="en-GB"/>
    </w:rPr>
  </w:style>
  <w:style w:type="paragraph" w:styleId="BodyTextIndent">
    <w:name w:val="Body Text Indent"/>
    <w:basedOn w:val="Normal"/>
    <w:link w:val="BodyTextIndentChar"/>
    <w:uiPriority w:val="99"/>
    <w:semiHidden/>
    <w:unhideWhenUsed/>
    <w:rsid w:val="003075F9"/>
    <w:pPr>
      <w:spacing w:after="120"/>
      <w:ind w:left="283"/>
    </w:pPr>
  </w:style>
  <w:style w:type="character" w:customStyle="1" w:styleId="BodyTextIndentChar">
    <w:name w:val="Body Text Indent Char"/>
    <w:basedOn w:val="DefaultParagraphFont"/>
    <w:link w:val="BodyTextIndent"/>
    <w:uiPriority w:val="99"/>
    <w:semiHidden/>
    <w:rsid w:val="003075F9"/>
    <w:rPr>
      <w:rFonts w:eastAsiaTheme="minorEastAsia"/>
      <w:lang w:val="en-GB"/>
    </w:rPr>
  </w:style>
  <w:style w:type="paragraph" w:styleId="BodyTextFirstIndent2">
    <w:name w:val="Body Text First Indent 2"/>
    <w:basedOn w:val="BodyTextIndent"/>
    <w:link w:val="BodyTextFirstIndent2Char"/>
    <w:uiPriority w:val="99"/>
    <w:semiHidden/>
    <w:unhideWhenUsed/>
    <w:rsid w:val="003075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075F9"/>
    <w:rPr>
      <w:rFonts w:eastAsiaTheme="minorEastAsia"/>
      <w:lang w:val="en-GB"/>
    </w:rPr>
  </w:style>
  <w:style w:type="paragraph" w:styleId="BodyTextIndent2">
    <w:name w:val="Body Text Indent 2"/>
    <w:basedOn w:val="Normal"/>
    <w:link w:val="BodyTextIndent2Char"/>
    <w:uiPriority w:val="99"/>
    <w:semiHidden/>
    <w:unhideWhenUsed/>
    <w:rsid w:val="003075F9"/>
    <w:pPr>
      <w:spacing w:after="120" w:line="480" w:lineRule="auto"/>
      <w:ind w:left="283"/>
    </w:pPr>
  </w:style>
  <w:style w:type="character" w:customStyle="1" w:styleId="BodyTextIndent2Char">
    <w:name w:val="Body Text Indent 2 Char"/>
    <w:basedOn w:val="DefaultParagraphFont"/>
    <w:link w:val="BodyTextIndent2"/>
    <w:uiPriority w:val="99"/>
    <w:semiHidden/>
    <w:rsid w:val="003075F9"/>
    <w:rPr>
      <w:rFonts w:eastAsiaTheme="minorEastAsia"/>
      <w:lang w:val="en-GB"/>
    </w:rPr>
  </w:style>
  <w:style w:type="paragraph" w:styleId="BodyTextIndent3">
    <w:name w:val="Body Text Indent 3"/>
    <w:basedOn w:val="Normal"/>
    <w:link w:val="BodyTextIndent3Char"/>
    <w:uiPriority w:val="99"/>
    <w:semiHidden/>
    <w:unhideWhenUsed/>
    <w:rsid w:val="003075F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75F9"/>
    <w:rPr>
      <w:rFonts w:eastAsiaTheme="minorEastAsia"/>
      <w:sz w:val="16"/>
      <w:szCs w:val="16"/>
      <w:lang w:val="en-GB"/>
    </w:rPr>
  </w:style>
  <w:style w:type="character" w:styleId="BookTitle">
    <w:name w:val="Book Title"/>
    <w:basedOn w:val="DefaultParagraphFont"/>
    <w:uiPriority w:val="39"/>
    <w:semiHidden/>
    <w:qFormat/>
    <w:rsid w:val="003075F9"/>
    <w:rPr>
      <w:b/>
      <w:bCs/>
      <w:i/>
      <w:iCs/>
      <w:spacing w:val="5"/>
      <w:szCs w:val="20"/>
      <w:lang w:val="en-GB"/>
    </w:rPr>
  </w:style>
  <w:style w:type="paragraph" w:styleId="Closing">
    <w:name w:val="Closing"/>
    <w:basedOn w:val="Normal"/>
    <w:link w:val="ClosingChar"/>
    <w:uiPriority w:val="99"/>
    <w:semiHidden/>
    <w:unhideWhenUsed/>
    <w:rsid w:val="003075F9"/>
    <w:pPr>
      <w:spacing w:before="0" w:after="0" w:line="240" w:lineRule="auto"/>
      <w:ind w:left="4252"/>
    </w:pPr>
  </w:style>
  <w:style w:type="character" w:customStyle="1" w:styleId="ClosingChar">
    <w:name w:val="Closing Char"/>
    <w:basedOn w:val="DefaultParagraphFont"/>
    <w:link w:val="Closing"/>
    <w:uiPriority w:val="99"/>
    <w:semiHidden/>
    <w:rsid w:val="003075F9"/>
    <w:rPr>
      <w:rFonts w:eastAsiaTheme="minorEastAsia"/>
      <w:lang w:val="en-GB"/>
    </w:rPr>
  </w:style>
  <w:style w:type="table" w:styleId="ColorfulGrid">
    <w:name w:val="Colorful Grid"/>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3F2F4" w:themeFill="accent1" w:themeFillTint="33"/>
    </w:tcPr>
    <w:tblStylePr w:type="firstRow">
      <w:rPr>
        <w:b/>
        <w:bCs/>
      </w:rPr>
      <w:tblPr/>
      <w:tcPr>
        <w:shd w:val="clear" w:color="auto" w:fill="A7E6E9" w:themeFill="accent1" w:themeFillTint="66"/>
      </w:tcPr>
    </w:tblStylePr>
    <w:tblStylePr w:type="lastRow">
      <w:rPr>
        <w:b/>
        <w:bCs/>
        <w:color w:val="000000" w:themeColor="text1"/>
      </w:rPr>
      <w:tblPr/>
      <w:tcPr>
        <w:shd w:val="clear" w:color="auto" w:fill="A7E6E9" w:themeFill="accent1" w:themeFillTint="66"/>
      </w:tcPr>
    </w:tblStylePr>
    <w:tblStylePr w:type="firstCol">
      <w:rPr>
        <w:color w:val="FFFFFF" w:themeColor="background1"/>
      </w:rPr>
      <w:tblPr/>
      <w:tcPr>
        <w:shd w:val="clear" w:color="auto" w:fill="23888C" w:themeFill="accent1" w:themeFillShade="BF"/>
      </w:tcPr>
    </w:tblStylePr>
    <w:tblStylePr w:type="lastCol">
      <w:rPr>
        <w:color w:val="FFFFFF" w:themeColor="background1"/>
      </w:rPr>
      <w:tblPr/>
      <w:tcPr>
        <w:shd w:val="clear" w:color="auto" w:fill="23888C" w:themeFill="accent1" w:themeFillShade="BF"/>
      </w:tcPr>
    </w:tblStylePr>
    <w:tblStylePr w:type="band1Vert">
      <w:tblPr/>
      <w:tcPr>
        <w:shd w:val="clear" w:color="auto" w:fill="91E0E3" w:themeFill="accent1" w:themeFillTint="7F"/>
      </w:tcPr>
    </w:tblStylePr>
    <w:tblStylePr w:type="band1Horz">
      <w:tblPr/>
      <w:tcPr>
        <w:shd w:val="clear" w:color="auto" w:fill="91E0E3" w:themeFill="accent1" w:themeFillTint="7F"/>
      </w:tcPr>
    </w:tblStylePr>
  </w:style>
  <w:style w:type="table" w:styleId="ColorfulGrid-Accent2">
    <w:name w:val="Colorful Grid Accent 2"/>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B7FFFE" w:themeFill="accent2" w:themeFillTint="33"/>
    </w:tcPr>
    <w:tblStylePr w:type="firstRow">
      <w:rPr>
        <w:b/>
        <w:bCs/>
      </w:rPr>
      <w:tblPr/>
      <w:tcPr>
        <w:shd w:val="clear" w:color="auto" w:fill="6FFFFD" w:themeFill="accent2" w:themeFillTint="66"/>
      </w:tcPr>
    </w:tblStylePr>
    <w:tblStylePr w:type="lastRow">
      <w:rPr>
        <w:b/>
        <w:bCs/>
        <w:color w:val="000000" w:themeColor="text1"/>
      </w:rPr>
      <w:tblPr/>
      <w:tcPr>
        <w:shd w:val="clear" w:color="auto" w:fill="6FFFFD" w:themeFill="accent2" w:themeFillTint="66"/>
      </w:tcPr>
    </w:tblStylePr>
    <w:tblStylePr w:type="firstCol">
      <w:rPr>
        <w:color w:val="FFFFFF" w:themeColor="background1"/>
      </w:rPr>
      <w:tblPr/>
      <w:tcPr>
        <w:shd w:val="clear" w:color="auto" w:fill="00706F" w:themeFill="accent2" w:themeFillShade="BF"/>
      </w:tcPr>
    </w:tblStylePr>
    <w:tblStylePr w:type="lastCol">
      <w:rPr>
        <w:color w:val="FFFFFF" w:themeColor="background1"/>
      </w:rPr>
      <w:tblPr/>
      <w:tcPr>
        <w:shd w:val="clear" w:color="auto" w:fill="00706F" w:themeFill="accent2" w:themeFillShade="BF"/>
      </w:tcPr>
    </w:tblStylePr>
    <w:tblStylePr w:type="band1Vert">
      <w:tblPr/>
      <w:tcPr>
        <w:shd w:val="clear" w:color="auto" w:fill="4BFFFD" w:themeFill="accent2" w:themeFillTint="7F"/>
      </w:tcPr>
    </w:tblStylePr>
    <w:tblStylePr w:type="band1Horz">
      <w:tblPr/>
      <w:tcPr>
        <w:shd w:val="clear" w:color="auto" w:fill="4BFFFD" w:themeFill="accent2" w:themeFillTint="7F"/>
      </w:tcPr>
    </w:tblStylePr>
  </w:style>
  <w:style w:type="table" w:styleId="ColorfulGrid-Accent3">
    <w:name w:val="Colorful Grid Accent 3"/>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2E6F5" w:themeFill="accent3" w:themeFillTint="33"/>
    </w:tcPr>
    <w:tblStylePr w:type="firstRow">
      <w:rPr>
        <w:b/>
        <w:bCs/>
      </w:rPr>
      <w:tblPr/>
      <w:tcPr>
        <w:shd w:val="clear" w:color="auto" w:fill="A6CEEC" w:themeFill="accent3" w:themeFillTint="66"/>
      </w:tcPr>
    </w:tblStylePr>
    <w:tblStylePr w:type="lastRow">
      <w:rPr>
        <w:b/>
        <w:bCs/>
        <w:color w:val="000000" w:themeColor="text1"/>
      </w:rPr>
      <w:tblPr/>
      <w:tcPr>
        <w:shd w:val="clear" w:color="auto" w:fill="A6CEEC" w:themeFill="accent3" w:themeFillTint="66"/>
      </w:tcPr>
    </w:tblStylePr>
    <w:tblStylePr w:type="firstCol">
      <w:rPr>
        <w:color w:val="FFFFFF" w:themeColor="background1"/>
      </w:rPr>
      <w:tblPr/>
      <w:tcPr>
        <w:shd w:val="clear" w:color="auto" w:fill="206394" w:themeFill="accent3" w:themeFillShade="BF"/>
      </w:tcPr>
    </w:tblStylePr>
    <w:tblStylePr w:type="lastCol">
      <w:rPr>
        <w:color w:val="FFFFFF" w:themeColor="background1"/>
      </w:rPr>
      <w:tblPr/>
      <w:tcPr>
        <w:shd w:val="clear" w:color="auto" w:fill="206394" w:themeFill="accent3" w:themeFillShade="BF"/>
      </w:tcPr>
    </w:tblStylePr>
    <w:tblStylePr w:type="band1Vert">
      <w:tblPr/>
      <w:tcPr>
        <w:shd w:val="clear" w:color="auto" w:fill="91C3E7" w:themeFill="accent3" w:themeFillTint="7F"/>
      </w:tcPr>
    </w:tblStylePr>
    <w:tblStylePr w:type="band1Horz">
      <w:tblPr/>
      <w:tcPr>
        <w:shd w:val="clear" w:color="auto" w:fill="91C3E7" w:themeFill="accent3" w:themeFillTint="7F"/>
      </w:tcPr>
    </w:tblStylePr>
  </w:style>
  <w:style w:type="table" w:styleId="ColorfulGrid-Accent4">
    <w:name w:val="Colorful Grid Accent 4"/>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9E3F3" w:themeFill="accent4" w:themeFillTint="33"/>
    </w:tcPr>
    <w:tblStylePr w:type="firstRow">
      <w:rPr>
        <w:b/>
        <w:bCs/>
      </w:rPr>
      <w:tblPr/>
      <w:tcPr>
        <w:shd w:val="clear" w:color="auto" w:fill="94C7E8" w:themeFill="accent4" w:themeFillTint="66"/>
      </w:tcPr>
    </w:tblStylePr>
    <w:tblStylePr w:type="lastRow">
      <w:rPr>
        <w:b/>
        <w:bCs/>
        <w:color w:val="000000" w:themeColor="text1"/>
      </w:rPr>
      <w:tblPr/>
      <w:tcPr>
        <w:shd w:val="clear" w:color="auto" w:fill="94C7E8" w:themeFill="accent4" w:themeFillTint="66"/>
      </w:tcPr>
    </w:tblStylePr>
    <w:tblStylePr w:type="firstCol">
      <w:rPr>
        <w:color w:val="FFFFFF" w:themeColor="background1"/>
      </w:rPr>
      <w:tblPr/>
      <w:tcPr>
        <w:shd w:val="clear" w:color="auto" w:fill="184F72" w:themeFill="accent4" w:themeFillShade="BF"/>
      </w:tcPr>
    </w:tblStylePr>
    <w:tblStylePr w:type="lastCol">
      <w:rPr>
        <w:color w:val="FFFFFF" w:themeColor="background1"/>
      </w:rPr>
      <w:tblPr/>
      <w:tcPr>
        <w:shd w:val="clear" w:color="auto" w:fill="184F72" w:themeFill="accent4" w:themeFillShade="BF"/>
      </w:tcPr>
    </w:tblStylePr>
    <w:tblStylePr w:type="band1Vert">
      <w:tblPr/>
      <w:tcPr>
        <w:shd w:val="clear" w:color="auto" w:fill="7ABAE2" w:themeFill="accent4" w:themeFillTint="7F"/>
      </w:tcPr>
    </w:tblStylePr>
    <w:tblStylePr w:type="band1Horz">
      <w:tblPr/>
      <w:tcPr>
        <w:shd w:val="clear" w:color="auto" w:fill="7ABAE2" w:themeFill="accent4" w:themeFillTint="7F"/>
      </w:tcPr>
    </w:tblStylePr>
  </w:style>
  <w:style w:type="table" w:styleId="ColorfulGrid-Accent5">
    <w:name w:val="Colorful Grid Accent 5"/>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7F0D9" w:themeFill="accent5" w:themeFillTint="33"/>
    </w:tcPr>
    <w:tblStylePr w:type="firstRow">
      <w:rPr>
        <w:b/>
        <w:bCs/>
      </w:rPr>
      <w:tblPr/>
      <w:tcPr>
        <w:shd w:val="clear" w:color="auto" w:fill="AFE1B4" w:themeFill="accent5" w:themeFillTint="66"/>
      </w:tcPr>
    </w:tblStylePr>
    <w:tblStylePr w:type="lastRow">
      <w:rPr>
        <w:b/>
        <w:bCs/>
        <w:color w:val="000000" w:themeColor="text1"/>
      </w:rPr>
      <w:tblPr/>
      <w:tcPr>
        <w:shd w:val="clear" w:color="auto" w:fill="AFE1B4" w:themeFill="accent5" w:themeFillTint="66"/>
      </w:tcPr>
    </w:tblStylePr>
    <w:tblStylePr w:type="firstCol">
      <w:rPr>
        <w:color w:val="FFFFFF" w:themeColor="background1"/>
      </w:rPr>
      <w:tblPr/>
      <w:tcPr>
        <w:shd w:val="clear" w:color="auto" w:fill="308038" w:themeFill="accent5" w:themeFillShade="BF"/>
      </w:tcPr>
    </w:tblStylePr>
    <w:tblStylePr w:type="lastCol">
      <w:rPr>
        <w:color w:val="FFFFFF" w:themeColor="background1"/>
      </w:rPr>
      <w:tblPr/>
      <w:tcPr>
        <w:shd w:val="clear" w:color="auto" w:fill="308038" w:themeFill="accent5" w:themeFillShade="BF"/>
      </w:tcPr>
    </w:tblStylePr>
    <w:tblStylePr w:type="band1Vert">
      <w:tblPr/>
      <w:tcPr>
        <w:shd w:val="clear" w:color="auto" w:fill="9CD9A2" w:themeFill="accent5" w:themeFillTint="7F"/>
      </w:tcPr>
    </w:tblStylePr>
    <w:tblStylePr w:type="band1Horz">
      <w:tblPr/>
      <w:tcPr>
        <w:shd w:val="clear" w:color="auto" w:fill="9CD9A2" w:themeFill="accent5" w:themeFillTint="7F"/>
      </w:tcPr>
    </w:tblStylePr>
  </w:style>
  <w:style w:type="table" w:styleId="ColorfulGrid-Accent6">
    <w:name w:val="Colorful Grid Accent 6"/>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BD4EC" w:themeFill="accent6" w:themeFillTint="33"/>
    </w:tcPr>
    <w:tblStylePr w:type="firstRow">
      <w:rPr>
        <w:b/>
        <w:bCs/>
      </w:rPr>
      <w:tblPr/>
      <w:tcPr>
        <w:shd w:val="clear" w:color="auto" w:fill="D8AADA" w:themeFill="accent6" w:themeFillTint="66"/>
      </w:tcPr>
    </w:tblStylePr>
    <w:tblStylePr w:type="lastRow">
      <w:rPr>
        <w:b/>
        <w:bCs/>
        <w:color w:val="000000" w:themeColor="text1"/>
      </w:rPr>
      <w:tblPr/>
      <w:tcPr>
        <w:shd w:val="clear" w:color="auto" w:fill="D8AADA" w:themeFill="accent6" w:themeFillTint="66"/>
      </w:tcPr>
    </w:tblStylePr>
    <w:tblStylePr w:type="firstCol">
      <w:rPr>
        <w:color w:val="FFFFFF" w:themeColor="background1"/>
      </w:rPr>
      <w:tblPr/>
      <w:tcPr>
        <w:shd w:val="clear" w:color="auto" w:fill="6A2F6C" w:themeFill="accent6" w:themeFillShade="BF"/>
      </w:tcPr>
    </w:tblStylePr>
    <w:tblStylePr w:type="lastCol">
      <w:rPr>
        <w:color w:val="FFFFFF" w:themeColor="background1"/>
      </w:rPr>
      <w:tblPr/>
      <w:tcPr>
        <w:shd w:val="clear" w:color="auto" w:fill="6A2F6C" w:themeFill="accent6" w:themeFillShade="BF"/>
      </w:tcPr>
    </w:tblStylePr>
    <w:tblStylePr w:type="band1Vert">
      <w:tblPr/>
      <w:tcPr>
        <w:shd w:val="clear" w:color="auto" w:fill="CF95D1" w:themeFill="accent6" w:themeFillTint="7F"/>
      </w:tcPr>
    </w:tblStylePr>
    <w:tblStylePr w:type="band1Horz">
      <w:tblPr/>
      <w:tcPr>
        <w:shd w:val="clear" w:color="auto" w:fill="CF95D1" w:themeFill="accent6" w:themeFillTint="7F"/>
      </w:tcPr>
    </w:tblStylePr>
  </w:style>
  <w:style w:type="table" w:styleId="ColorfulList">
    <w:name w:val="Colorful List"/>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877" w:themeFill="accent2" w:themeFillShade="CC"/>
      </w:tcPr>
    </w:tblStylePr>
    <w:tblStylePr w:type="lastRow">
      <w:rPr>
        <w:b/>
        <w:bCs/>
        <w:color w:val="0078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9F8F9" w:themeFill="accent1" w:themeFillTint="19"/>
    </w:tcPr>
    <w:tblStylePr w:type="firstRow">
      <w:rPr>
        <w:b/>
        <w:bCs/>
        <w:color w:val="FFFFFF" w:themeColor="background1"/>
      </w:rPr>
      <w:tblPr/>
      <w:tcPr>
        <w:tcBorders>
          <w:bottom w:val="single" w:sz="12" w:space="0" w:color="FFFFFF" w:themeColor="background1"/>
        </w:tcBorders>
        <w:shd w:val="clear" w:color="auto" w:fill="007877" w:themeFill="accent2" w:themeFillShade="CC"/>
      </w:tcPr>
    </w:tblStylePr>
    <w:tblStylePr w:type="lastRow">
      <w:rPr>
        <w:b/>
        <w:bCs/>
        <w:color w:val="0078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FF1" w:themeFill="accent1" w:themeFillTint="3F"/>
      </w:tcPr>
    </w:tblStylePr>
    <w:tblStylePr w:type="band1Horz">
      <w:tblPr/>
      <w:tcPr>
        <w:shd w:val="clear" w:color="auto" w:fill="D3F2F4" w:themeFill="accent1" w:themeFillTint="33"/>
      </w:tcPr>
    </w:tblStylePr>
  </w:style>
  <w:style w:type="table" w:styleId="ColorfulList-Accent2">
    <w:name w:val="Colorful List Accent 2"/>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DBFFFE" w:themeFill="accent2" w:themeFillTint="19"/>
    </w:tcPr>
    <w:tblStylePr w:type="firstRow">
      <w:rPr>
        <w:b/>
        <w:bCs/>
        <w:color w:val="FFFFFF" w:themeColor="background1"/>
      </w:rPr>
      <w:tblPr/>
      <w:tcPr>
        <w:tcBorders>
          <w:bottom w:val="single" w:sz="12" w:space="0" w:color="FFFFFF" w:themeColor="background1"/>
        </w:tcBorders>
        <w:shd w:val="clear" w:color="auto" w:fill="007877" w:themeFill="accent2" w:themeFillShade="CC"/>
      </w:tcPr>
    </w:tblStylePr>
    <w:tblStylePr w:type="lastRow">
      <w:rPr>
        <w:b/>
        <w:bCs/>
        <w:color w:val="0078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FE" w:themeFill="accent2" w:themeFillTint="3F"/>
      </w:tcPr>
    </w:tblStylePr>
    <w:tblStylePr w:type="band1Horz">
      <w:tblPr/>
      <w:tcPr>
        <w:shd w:val="clear" w:color="auto" w:fill="B7FFFE" w:themeFill="accent2" w:themeFillTint="33"/>
      </w:tcPr>
    </w:tblStylePr>
  </w:style>
  <w:style w:type="table" w:styleId="ColorfulList-Accent3">
    <w:name w:val="Colorful List Accent 3"/>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9F3FA" w:themeFill="accent3" w:themeFillTint="19"/>
    </w:tcPr>
    <w:tblStylePr w:type="firstRow">
      <w:rPr>
        <w:b/>
        <w:bCs/>
        <w:color w:val="FFFFFF" w:themeColor="background1"/>
      </w:rPr>
      <w:tblPr/>
      <w:tcPr>
        <w:tcBorders>
          <w:bottom w:val="single" w:sz="12" w:space="0" w:color="FFFFFF" w:themeColor="background1"/>
        </w:tcBorders>
        <w:shd w:val="clear" w:color="auto" w:fill="1A557A" w:themeFill="accent4" w:themeFillShade="CC"/>
      </w:tcPr>
    </w:tblStylePr>
    <w:tblStylePr w:type="lastRow">
      <w:rPr>
        <w:b/>
        <w:bCs/>
        <w:color w:val="1A557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1F3" w:themeFill="accent3" w:themeFillTint="3F"/>
      </w:tcPr>
    </w:tblStylePr>
    <w:tblStylePr w:type="band1Horz">
      <w:tblPr/>
      <w:tcPr>
        <w:shd w:val="clear" w:color="auto" w:fill="D2E6F5" w:themeFill="accent3" w:themeFillTint="33"/>
      </w:tcPr>
    </w:tblStylePr>
  </w:style>
  <w:style w:type="table" w:styleId="ColorfulList-Accent4">
    <w:name w:val="Colorful List Accent 4"/>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4F1F9" w:themeFill="accent4" w:themeFillTint="19"/>
    </w:tcPr>
    <w:tblStylePr w:type="firstRow">
      <w:rPr>
        <w:b/>
        <w:bCs/>
        <w:color w:val="FFFFFF" w:themeColor="background1"/>
      </w:rPr>
      <w:tblPr/>
      <w:tcPr>
        <w:tcBorders>
          <w:bottom w:val="single" w:sz="12" w:space="0" w:color="FFFFFF" w:themeColor="background1"/>
        </w:tcBorders>
        <w:shd w:val="clear" w:color="auto" w:fill="226A9E" w:themeFill="accent3" w:themeFillShade="CC"/>
      </w:tcPr>
    </w:tblStylePr>
    <w:tblStylePr w:type="lastRow">
      <w:rPr>
        <w:b/>
        <w:bCs/>
        <w:color w:val="226A9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DCF0" w:themeFill="accent4" w:themeFillTint="3F"/>
      </w:tcPr>
    </w:tblStylePr>
    <w:tblStylePr w:type="band1Horz">
      <w:tblPr/>
      <w:tcPr>
        <w:shd w:val="clear" w:color="auto" w:fill="C9E3F3" w:themeFill="accent4" w:themeFillTint="33"/>
      </w:tcPr>
    </w:tblStylePr>
  </w:style>
  <w:style w:type="table" w:styleId="ColorfulList-Accent5">
    <w:name w:val="Colorful List Accent 5"/>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BF7EC" w:themeFill="accent5" w:themeFillTint="19"/>
    </w:tcPr>
    <w:tblStylePr w:type="firstRow">
      <w:rPr>
        <w:b/>
        <w:bCs/>
        <w:color w:val="FFFFFF" w:themeColor="background1"/>
      </w:rPr>
      <w:tblPr/>
      <w:tcPr>
        <w:tcBorders>
          <w:bottom w:val="single" w:sz="12" w:space="0" w:color="FFFFFF" w:themeColor="background1"/>
        </w:tcBorders>
        <w:shd w:val="clear" w:color="auto" w:fill="713273" w:themeFill="accent6" w:themeFillShade="CC"/>
      </w:tcPr>
    </w:tblStylePr>
    <w:tblStylePr w:type="lastRow">
      <w:rPr>
        <w:b/>
        <w:bCs/>
        <w:color w:val="7132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CD0" w:themeFill="accent5" w:themeFillTint="3F"/>
      </w:tcPr>
    </w:tblStylePr>
    <w:tblStylePr w:type="band1Horz">
      <w:tblPr/>
      <w:tcPr>
        <w:shd w:val="clear" w:color="auto" w:fill="D7F0D9" w:themeFill="accent5" w:themeFillTint="33"/>
      </w:tcPr>
    </w:tblStylePr>
  </w:style>
  <w:style w:type="table" w:styleId="ColorfulList-Accent6">
    <w:name w:val="Colorful List Accent 6"/>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F5EAF6" w:themeFill="accent6" w:themeFillTint="19"/>
    </w:tcPr>
    <w:tblStylePr w:type="firstRow">
      <w:rPr>
        <w:b/>
        <w:bCs/>
        <w:color w:val="FFFFFF" w:themeColor="background1"/>
      </w:rPr>
      <w:tblPr/>
      <w:tcPr>
        <w:tcBorders>
          <w:bottom w:val="single" w:sz="12" w:space="0" w:color="FFFFFF" w:themeColor="background1"/>
        </w:tcBorders>
        <w:shd w:val="clear" w:color="auto" w:fill="34893C" w:themeFill="accent5" w:themeFillShade="CC"/>
      </w:tcPr>
    </w:tblStylePr>
    <w:tblStylePr w:type="lastRow">
      <w:rPr>
        <w:b/>
        <w:bCs/>
        <w:color w:val="3489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AE8" w:themeFill="accent6" w:themeFillTint="3F"/>
      </w:tcPr>
    </w:tblStylePr>
    <w:tblStylePr w:type="band1Horz">
      <w:tblPr/>
      <w:tcPr>
        <w:shd w:val="clear" w:color="auto" w:fill="EBD4EC" w:themeFill="accent6" w:themeFillTint="33"/>
      </w:tcPr>
    </w:tblStylePr>
  </w:style>
  <w:style w:type="table" w:styleId="ColorfulShading">
    <w:name w:val="Colorful Shading"/>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00969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009695" w:themeColor="accent2"/>
        <w:left w:val="single" w:sz="4" w:space="0" w:color="2FB6BC" w:themeColor="accent1"/>
        <w:bottom w:val="single" w:sz="4" w:space="0" w:color="2FB6BC" w:themeColor="accent1"/>
        <w:right w:val="single" w:sz="4" w:space="0" w:color="2FB6BC" w:themeColor="accent1"/>
        <w:insideH w:val="single" w:sz="4" w:space="0" w:color="FFFFFF" w:themeColor="background1"/>
        <w:insideV w:val="single" w:sz="4" w:space="0" w:color="FFFFFF" w:themeColor="background1"/>
      </w:tblBorders>
    </w:tblPr>
    <w:tcPr>
      <w:shd w:val="clear" w:color="auto" w:fill="E9F8F9" w:themeFill="accent1" w:themeFillTint="19"/>
    </w:tcPr>
    <w:tblStylePr w:type="firstRow">
      <w:rPr>
        <w:b/>
        <w:bCs/>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6D70" w:themeFill="accent1" w:themeFillShade="99"/>
      </w:tcPr>
    </w:tblStylePr>
    <w:tblStylePr w:type="firstCol">
      <w:rPr>
        <w:color w:val="FFFFFF" w:themeColor="background1"/>
      </w:rPr>
      <w:tblPr/>
      <w:tcPr>
        <w:tcBorders>
          <w:top w:val="nil"/>
          <w:left w:val="nil"/>
          <w:bottom w:val="nil"/>
          <w:right w:val="nil"/>
          <w:insideH w:val="single" w:sz="4" w:space="0" w:color="1C6D70" w:themeColor="accent1" w:themeShade="99"/>
          <w:insideV w:val="nil"/>
        </w:tcBorders>
        <w:shd w:val="clear" w:color="auto" w:fill="1C6D7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6D70" w:themeFill="accent1" w:themeFillShade="99"/>
      </w:tcPr>
    </w:tblStylePr>
    <w:tblStylePr w:type="band1Vert">
      <w:tblPr/>
      <w:tcPr>
        <w:shd w:val="clear" w:color="auto" w:fill="A7E6E9" w:themeFill="accent1" w:themeFillTint="66"/>
      </w:tcPr>
    </w:tblStylePr>
    <w:tblStylePr w:type="band1Horz">
      <w:tblPr/>
      <w:tcPr>
        <w:shd w:val="clear" w:color="auto" w:fill="91E0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009695" w:themeColor="accent2"/>
        <w:left w:val="single" w:sz="4" w:space="0" w:color="009695" w:themeColor="accent2"/>
        <w:bottom w:val="single" w:sz="4" w:space="0" w:color="009695" w:themeColor="accent2"/>
        <w:right w:val="single" w:sz="4" w:space="0" w:color="009695" w:themeColor="accent2"/>
        <w:insideH w:val="single" w:sz="4" w:space="0" w:color="FFFFFF" w:themeColor="background1"/>
        <w:insideV w:val="single" w:sz="4" w:space="0" w:color="FFFFFF" w:themeColor="background1"/>
      </w:tblBorders>
    </w:tblPr>
    <w:tcPr>
      <w:shd w:val="clear" w:color="auto" w:fill="DBFFFE" w:themeFill="accent2" w:themeFillTint="19"/>
    </w:tcPr>
    <w:tblStylePr w:type="firstRow">
      <w:rPr>
        <w:b/>
        <w:bCs/>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59" w:themeFill="accent2" w:themeFillShade="99"/>
      </w:tcPr>
    </w:tblStylePr>
    <w:tblStylePr w:type="firstCol">
      <w:rPr>
        <w:color w:val="FFFFFF" w:themeColor="background1"/>
      </w:rPr>
      <w:tblPr/>
      <w:tcPr>
        <w:tcBorders>
          <w:top w:val="nil"/>
          <w:left w:val="nil"/>
          <w:bottom w:val="nil"/>
          <w:right w:val="nil"/>
          <w:insideH w:val="single" w:sz="4" w:space="0" w:color="005A59" w:themeColor="accent2" w:themeShade="99"/>
          <w:insideV w:val="nil"/>
        </w:tcBorders>
        <w:shd w:val="clear" w:color="auto" w:fill="005A5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A59" w:themeFill="accent2" w:themeFillShade="99"/>
      </w:tcPr>
    </w:tblStylePr>
    <w:tblStylePr w:type="band1Vert">
      <w:tblPr/>
      <w:tcPr>
        <w:shd w:val="clear" w:color="auto" w:fill="6FFFFD" w:themeFill="accent2" w:themeFillTint="66"/>
      </w:tcPr>
    </w:tblStylePr>
    <w:tblStylePr w:type="band1Horz">
      <w:tblPr/>
      <w:tcPr>
        <w:shd w:val="clear" w:color="auto" w:fill="4BFFF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216B99" w:themeColor="accent4"/>
        <w:left w:val="single" w:sz="4" w:space="0" w:color="2B86C7" w:themeColor="accent3"/>
        <w:bottom w:val="single" w:sz="4" w:space="0" w:color="2B86C7" w:themeColor="accent3"/>
        <w:right w:val="single" w:sz="4" w:space="0" w:color="2B86C7" w:themeColor="accent3"/>
        <w:insideH w:val="single" w:sz="4" w:space="0" w:color="FFFFFF" w:themeColor="background1"/>
        <w:insideV w:val="single" w:sz="4" w:space="0" w:color="FFFFFF" w:themeColor="background1"/>
      </w:tblBorders>
    </w:tblPr>
    <w:tcPr>
      <w:shd w:val="clear" w:color="auto" w:fill="E9F3FA" w:themeFill="accent3" w:themeFillTint="19"/>
    </w:tcPr>
    <w:tblStylePr w:type="firstRow">
      <w:rPr>
        <w:b/>
        <w:bCs/>
      </w:rPr>
      <w:tblPr/>
      <w:tcPr>
        <w:tcBorders>
          <w:top w:val="nil"/>
          <w:left w:val="nil"/>
          <w:bottom w:val="single" w:sz="24" w:space="0" w:color="216B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077" w:themeFill="accent3" w:themeFillShade="99"/>
      </w:tcPr>
    </w:tblStylePr>
    <w:tblStylePr w:type="firstCol">
      <w:rPr>
        <w:color w:val="FFFFFF" w:themeColor="background1"/>
      </w:rPr>
      <w:tblPr/>
      <w:tcPr>
        <w:tcBorders>
          <w:top w:val="nil"/>
          <w:left w:val="nil"/>
          <w:bottom w:val="nil"/>
          <w:right w:val="nil"/>
          <w:insideH w:val="single" w:sz="4" w:space="0" w:color="195077" w:themeColor="accent3" w:themeShade="99"/>
          <w:insideV w:val="nil"/>
        </w:tcBorders>
        <w:shd w:val="clear" w:color="auto" w:fill="19507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5077" w:themeFill="accent3" w:themeFillShade="99"/>
      </w:tcPr>
    </w:tblStylePr>
    <w:tblStylePr w:type="band1Vert">
      <w:tblPr/>
      <w:tcPr>
        <w:shd w:val="clear" w:color="auto" w:fill="A6CEEC" w:themeFill="accent3" w:themeFillTint="66"/>
      </w:tcPr>
    </w:tblStylePr>
    <w:tblStylePr w:type="band1Horz">
      <w:tblPr/>
      <w:tcPr>
        <w:shd w:val="clear" w:color="auto" w:fill="91C3E7" w:themeFill="accent3" w:themeFillTint="7F"/>
      </w:tcPr>
    </w:tblStylePr>
  </w:style>
  <w:style w:type="table" w:styleId="ColorfulShading-Accent4">
    <w:name w:val="Colorful Shading Accent 4"/>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2B86C7" w:themeColor="accent3"/>
        <w:left w:val="single" w:sz="4" w:space="0" w:color="216B99" w:themeColor="accent4"/>
        <w:bottom w:val="single" w:sz="4" w:space="0" w:color="216B99" w:themeColor="accent4"/>
        <w:right w:val="single" w:sz="4" w:space="0" w:color="216B99" w:themeColor="accent4"/>
        <w:insideH w:val="single" w:sz="4" w:space="0" w:color="FFFFFF" w:themeColor="background1"/>
        <w:insideV w:val="single" w:sz="4" w:space="0" w:color="FFFFFF" w:themeColor="background1"/>
      </w:tblBorders>
    </w:tblPr>
    <w:tcPr>
      <w:shd w:val="clear" w:color="auto" w:fill="E4F1F9" w:themeFill="accent4" w:themeFillTint="19"/>
    </w:tcPr>
    <w:tblStylePr w:type="firstRow">
      <w:rPr>
        <w:b/>
        <w:bCs/>
      </w:rPr>
      <w:tblPr/>
      <w:tcPr>
        <w:tcBorders>
          <w:top w:val="nil"/>
          <w:left w:val="nil"/>
          <w:bottom w:val="single" w:sz="24" w:space="0" w:color="2B86C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3F5B" w:themeFill="accent4" w:themeFillShade="99"/>
      </w:tcPr>
    </w:tblStylePr>
    <w:tblStylePr w:type="firstCol">
      <w:rPr>
        <w:color w:val="FFFFFF" w:themeColor="background1"/>
      </w:rPr>
      <w:tblPr/>
      <w:tcPr>
        <w:tcBorders>
          <w:top w:val="nil"/>
          <w:left w:val="nil"/>
          <w:bottom w:val="nil"/>
          <w:right w:val="nil"/>
          <w:insideH w:val="single" w:sz="4" w:space="0" w:color="133F5B" w:themeColor="accent4" w:themeShade="99"/>
          <w:insideV w:val="nil"/>
        </w:tcBorders>
        <w:shd w:val="clear" w:color="auto" w:fill="133F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3F5B" w:themeFill="accent4" w:themeFillShade="99"/>
      </w:tcPr>
    </w:tblStylePr>
    <w:tblStylePr w:type="band1Vert">
      <w:tblPr/>
      <w:tcPr>
        <w:shd w:val="clear" w:color="auto" w:fill="94C7E8" w:themeFill="accent4" w:themeFillTint="66"/>
      </w:tcPr>
    </w:tblStylePr>
    <w:tblStylePr w:type="band1Horz">
      <w:tblPr/>
      <w:tcPr>
        <w:shd w:val="clear" w:color="auto" w:fill="7ABA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8E3F91" w:themeColor="accent6"/>
        <w:left w:val="single" w:sz="4" w:space="0" w:color="41AC4C" w:themeColor="accent5"/>
        <w:bottom w:val="single" w:sz="4" w:space="0" w:color="41AC4C" w:themeColor="accent5"/>
        <w:right w:val="single" w:sz="4" w:space="0" w:color="41AC4C" w:themeColor="accent5"/>
        <w:insideH w:val="single" w:sz="4" w:space="0" w:color="FFFFFF" w:themeColor="background1"/>
        <w:insideV w:val="single" w:sz="4" w:space="0" w:color="FFFFFF" w:themeColor="background1"/>
      </w:tblBorders>
    </w:tblPr>
    <w:tcPr>
      <w:shd w:val="clear" w:color="auto" w:fill="EBF7EC" w:themeFill="accent5" w:themeFillTint="19"/>
    </w:tcPr>
    <w:tblStylePr w:type="firstRow">
      <w:rPr>
        <w:b/>
        <w:bCs/>
      </w:rPr>
      <w:tblPr/>
      <w:tcPr>
        <w:tcBorders>
          <w:top w:val="nil"/>
          <w:left w:val="nil"/>
          <w:bottom w:val="single" w:sz="24" w:space="0" w:color="8E3F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72D" w:themeFill="accent5" w:themeFillShade="99"/>
      </w:tcPr>
    </w:tblStylePr>
    <w:tblStylePr w:type="firstCol">
      <w:rPr>
        <w:color w:val="FFFFFF" w:themeColor="background1"/>
      </w:rPr>
      <w:tblPr/>
      <w:tcPr>
        <w:tcBorders>
          <w:top w:val="nil"/>
          <w:left w:val="nil"/>
          <w:bottom w:val="nil"/>
          <w:right w:val="nil"/>
          <w:insideH w:val="single" w:sz="4" w:space="0" w:color="27672D" w:themeColor="accent5" w:themeShade="99"/>
          <w:insideV w:val="nil"/>
        </w:tcBorders>
        <w:shd w:val="clear" w:color="auto" w:fill="2767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72D" w:themeFill="accent5" w:themeFillShade="99"/>
      </w:tcPr>
    </w:tblStylePr>
    <w:tblStylePr w:type="band1Vert">
      <w:tblPr/>
      <w:tcPr>
        <w:shd w:val="clear" w:color="auto" w:fill="AFE1B4" w:themeFill="accent5" w:themeFillTint="66"/>
      </w:tcPr>
    </w:tblStylePr>
    <w:tblStylePr w:type="band1Horz">
      <w:tblPr/>
      <w:tcPr>
        <w:shd w:val="clear" w:color="auto" w:fill="9CD9A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41AC4C" w:themeColor="accent5"/>
        <w:left w:val="single" w:sz="4" w:space="0" w:color="8E3F91" w:themeColor="accent6"/>
        <w:bottom w:val="single" w:sz="4" w:space="0" w:color="8E3F91" w:themeColor="accent6"/>
        <w:right w:val="single" w:sz="4" w:space="0" w:color="8E3F91" w:themeColor="accent6"/>
        <w:insideH w:val="single" w:sz="4" w:space="0" w:color="FFFFFF" w:themeColor="background1"/>
        <w:insideV w:val="single" w:sz="4" w:space="0" w:color="FFFFFF" w:themeColor="background1"/>
      </w:tblBorders>
    </w:tblPr>
    <w:tcPr>
      <w:shd w:val="clear" w:color="auto" w:fill="F5EAF6" w:themeFill="accent6" w:themeFillTint="19"/>
    </w:tcPr>
    <w:tblStylePr w:type="firstRow">
      <w:rPr>
        <w:b/>
        <w:bCs/>
      </w:rPr>
      <w:tblPr/>
      <w:tcPr>
        <w:tcBorders>
          <w:top w:val="nil"/>
          <w:left w:val="nil"/>
          <w:bottom w:val="single" w:sz="24" w:space="0" w:color="41AC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556" w:themeFill="accent6" w:themeFillShade="99"/>
      </w:tcPr>
    </w:tblStylePr>
    <w:tblStylePr w:type="firstCol">
      <w:rPr>
        <w:color w:val="FFFFFF" w:themeColor="background1"/>
      </w:rPr>
      <w:tblPr/>
      <w:tcPr>
        <w:tcBorders>
          <w:top w:val="nil"/>
          <w:left w:val="nil"/>
          <w:bottom w:val="nil"/>
          <w:right w:val="nil"/>
          <w:insideH w:val="single" w:sz="4" w:space="0" w:color="542556" w:themeColor="accent6" w:themeShade="99"/>
          <w:insideV w:val="nil"/>
        </w:tcBorders>
        <w:shd w:val="clear" w:color="auto" w:fill="5425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2556" w:themeFill="accent6" w:themeFillShade="99"/>
      </w:tcPr>
    </w:tblStylePr>
    <w:tblStylePr w:type="band1Vert">
      <w:tblPr/>
      <w:tcPr>
        <w:shd w:val="clear" w:color="auto" w:fill="D8AADA" w:themeFill="accent6" w:themeFillTint="66"/>
      </w:tcPr>
    </w:tblStylePr>
    <w:tblStylePr w:type="band1Horz">
      <w:tblPr/>
      <w:tcPr>
        <w:shd w:val="clear" w:color="auto" w:fill="CF95D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075F9"/>
    <w:rPr>
      <w:bCs w:val="0"/>
      <w:sz w:val="16"/>
      <w:szCs w:val="16"/>
      <w:lang w:val="en-GB"/>
    </w:rPr>
  </w:style>
  <w:style w:type="paragraph" w:styleId="CommentText">
    <w:name w:val="annotation text"/>
    <w:basedOn w:val="Normal"/>
    <w:link w:val="CommentTextChar"/>
    <w:uiPriority w:val="99"/>
    <w:unhideWhenUsed/>
    <w:rsid w:val="003075F9"/>
    <w:pPr>
      <w:spacing w:after="0" w:line="240" w:lineRule="auto"/>
    </w:pPr>
    <w:rPr>
      <w:rFonts w:ascii="Arial" w:hAnsi="Arial"/>
    </w:rPr>
  </w:style>
  <w:style w:type="character" w:customStyle="1" w:styleId="CommentTextChar">
    <w:name w:val="Comment Text Char"/>
    <w:basedOn w:val="DefaultParagraphFont"/>
    <w:link w:val="CommentText"/>
    <w:uiPriority w:val="99"/>
    <w:rsid w:val="003075F9"/>
    <w:rPr>
      <w:rFonts w:ascii="Arial" w:eastAsiaTheme="minorEastAsia" w:hAnsi="Arial"/>
      <w:lang w:val="en-GB"/>
    </w:rPr>
  </w:style>
  <w:style w:type="paragraph" w:styleId="CommentSubject">
    <w:name w:val="annotation subject"/>
    <w:basedOn w:val="CommentText"/>
    <w:next w:val="CommentText"/>
    <w:link w:val="CommentSubjectChar"/>
    <w:uiPriority w:val="99"/>
    <w:semiHidden/>
    <w:unhideWhenUsed/>
    <w:rsid w:val="003075F9"/>
    <w:rPr>
      <w:b/>
      <w:bCs/>
    </w:rPr>
  </w:style>
  <w:style w:type="character" w:customStyle="1" w:styleId="CommentSubjectChar">
    <w:name w:val="Comment Subject Char"/>
    <w:basedOn w:val="CommentTextChar"/>
    <w:link w:val="CommentSubject"/>
    <w:uiPriority w:val="99"/>
    <w:semiHidden/>
    <w:rsid w:val="003075F9"/>
    <w:rPr>
      <w:rFonts w:ascii="Arial" w:eastAsiaTheme="minorEastAsia" w:hAnsi="Arial"/>
      <w:b/>
      <w:bCs/>
      <w:lang w:val="en-GB"/>
    </w:rPr>
  </w:style>
  <w:style w:type="table" w:styleId="DarkList">
    <w:name w:val="Dark List"/>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2FB6B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5A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888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888C" w:themeFill="accent1" w:themeFillShade="BF"/>
      </w:tcPr>
    </w:tblStylePr>
    <w:tblStylePr w:type="band1Vert">
      <w:tblPr/>
      <w:tcPr>
        <w:tcBorders>
          <w:top w:val="nil"/>
          <w:left w:val="nil"/>
          <w:bottom w:val="nil"/>
          <w:right w:val="nil"/>
          <w:insideH w:val="nil"/>
          <w:insideV w:val="nil"/>
        </w:tcBorders>
        <w:shd w:val="clear" w:color="auto" w:fill="23888C" w:themeFill="accent1" w:themeFillShade="BF"/>
      </w:tcPr>
    </w:tblStylePr>
    <w:tblStylePr w:type="band1Horz">
      <w:tblPr/>
      <w:tcPr>
        <w:tcBorders>
          <w:top w:val="nil"/>
          <w:left w:val="nil"/>
          <w:bottom w:val="nil"/>
          <w:right w:val="nil"/>
          <w:insideH w:val="nil"/>
          <w:insideV w:val="nil"/>
        </w:tcBorders>
        <w:shd w:val="clear" w:color="auto" w:fill="23888C" w:themeFill="accent1" w:themeFillShade="BF"/>
      </w:tcPr>
    </w:tblStylePr>
  </w:style>
  <w:style w:type="table" w:styleId="DarkList-Accent2">
    <w:name w:val="Dark List Accent 2"/>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00969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4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06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06F" w:themeFill="accent2" w:themeFillShade="BF"/>
      </w:tcPr>
    </w:tblStylePr>
    <w:tblStylePr w:type="band1Vert">
      <w:tblPr/>
      <w:tcPr>
        <w:tcBorders>
          <w:top w:val="nil"/>
          <w:left w:val="nil"/>
          <w:bottom w:val="nil"/>
          <w:right w:val="nil"/>
          <w:insideH w:val="nil"/>
          <w:insideV w:val="nil"/>
        </w:tcBorders>
        <w:shd w:val="clear" w:color="auto" w:fill="00706F" w:themeFill="accent2" w:themeFillShade="BF"/>
      </w:tcPr>
    </w:tblStylePr>
    <w:tblStylePr w:type="band1Horz">
      <w:tblPr/>
      <w:tcPr>
        <w:tcBorders>
          <w:top w:val="nil"/>
          <w:left w:val="nil"/>
          <w:bottom w:val="nil"/>
          <w:right w:val="nil"/>
          <w:insideH w:val="nil"/>
          <w:insideV w:val="nil"/>
        </w:tcBorders>
        <w:shd w:val="clear" w:color="auto" w:fill="00706F" w:themeFill="accent2" w:themeFillShade="BF"/>
      </w:tcPr>
    </w:tblStylePr>
  </w:style>
  <w:style w:type="table" w:styleId="DarkList-Accent3">
    <w:name w:val="Dark List Accent 3"/>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2B86C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26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639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6394" w:themeFill="accent3" w:themeFillShade="BF"/>
      </w:tcPr>
    </w:tblStylePr>
    <w:tblStylePr w:type="band1Vert">
      <w:tblPr/>
      <w:tcPr>
        <w:tcBorders>
          <w:top w:val="nil"/>
          <w:left w:val="nil"/>
          <w:bottom w:val="nil"/>
          <w:right w:val="nil"/>
          <w:insideH w:val="nil"/>
          <w:insideV w:val="nil"/>
        </w:tcBorders>
        <w:shd w:val="clear" w:color="auto" w:fill="206394" w:themeFill="accent3" w:themeFillShade="BF"/>
      </w:tcPr>
    </w:tblStylePr>
    <w:tblStylePr w:type="band1Horz">
      <w:tblPr/>
      <w:tcPr>
        <w:tcBorders>
          <w:top w:val="nil"/>
          <w:left w:val="nil"/>
          <w:bottom w:val="nil"/>
          <w:right w:val="nil"/>
          <w:insideH w:val="nil"/>
          <w:insideV w:val="nil"/>
        </w:tcBorders>
        <w:shd w:val="clear" w:color="auto" w:fill="206394" w:themeFill="accent3" w:themeFillShade="BF"/>
      </w:tcPr>
    </w:tblStylePr>
  </w:style>
  <w:style w:type="table" w:styleId="DarkList-Accent4">
    <w:name w:val="Dark List Accent 4"/>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216B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3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84F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84F72" w:themeFill="accent4" w:themeFillShade="BF"/>
      </w:tcPr>
    </w:tblStylePr>
    <w:tblStylePr w:type="band1Vert">
      <w:tblPr/>
      <w:tcPr>
        <w:tcBorders>
          <w:top w:val="nil"/>
          <w:left w:val="nil"/>
          <w:bottom w:val="nil"/>
          <w:right w:val="nil"/>
          <w:insideH w:val="nil"/>
          <w:insideV w:val="nil"/>
        </w:tcBorders>
        <w:shd w:val="clear" w:color="auto" w:fill="184F72" w:themeFill="accent4" w:themeFillShade="BF"/>
      </w:tcPr>
    </w:tblStylePr>
    <w:tblStylePr w:type="band1Horz">
      <w:tblPr/>
      <w:tcPr>
        <w:tcBorders>
          <w:top w:val="nil"/>
          <w:left w:val="nil"/>
          <w:bottom w:val="nil"/>
          <w:right w:val="nil"/>
          <w:insideH w:val="nil"/>
          <w:insideV w:val="nil"/>
        </w:tcBorders>
        <w:shd w:val="clear" w:color="auto" w:fill="184F72" w:themeFill="accent4" w:themeFillShade="BF"/>
      </w:tcPr>
    </w:tblStylePr>
  </w:style>
  <w:style w:type="table" w:styleId="DarkList-Accent5">
    <w:name w:val="Dark List Accent 5"/>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41AC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5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080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08038" w:themeFill="accent5" w:themeFillShade="BF"/>
      </w:tcPr>
    </w:tblStylePr>
    <w:tblStylePr w:type="band1Vert">
      <w:tblPr/>
      <w:tcPr>
        <w:tcBorders>
          <w:top w:val="nil"/>
          <w:left w:val="nil"/>
          <w:bottom w:val="nil"/>
          <w:right w:val="nil"/>
          <w:insideH w:val="nil"/>
          <w:insideV w:val="nil"/>
        </w:tcBorders>
        <w:shd w:val="clear" w:color="auto" w:fill="308038" w:themeFill="accent5" w:themeFillShade="BF"/>
      </w:tcPr>
    </w:tblStylePr>
    <w:tblStylePr w:type="band1Horz">
      <w:tblPr/>
      <w:tcPr>
        <w:tcBorders>
          <w:top w:val="nil"/>
          <w:left w:val="nil"/>
          <w:bottom w:val="nil"/>
          <w:right w:val="nil"/>
          <w:insideH w:val="nil"/>
          <w:insideV w:val="nil"/>
        </w:tcBorders>
        <w:shd w:val="clear" w:color="auto" w:fill="308038" w:themeFill="accent5" w:themeFillShade="BF"/>
      </w:tcPr>
    </w:tblStylePr>
  </w:style>
  <w:style w:type="table" w:styleId="DarkList-Accent6">
    <w:name w:val="Dark List Accent 6"/>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8E3F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1F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A2F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A2F6C" w:themeFill="accent6" w:themeFillShade="BF"/>
      </w:tcPr>
    </w:tblStylePr>
    <w:tblStylePr w:type="band1Vert">
      <w:tblPr/>
      <w:tcPr>
        <w:tcBorders>
          <w:top w:val="nil"/>
          <w:left w:val="nil"/>
          <w:bottom w:val="nil"/>
          <w:right w:val="nil"/>
          <w:insideH w:val="nil"/>
          <w:insideV w:val="nil"/>
        </w:tcBorders>
        <w:shd w:val="clear" w:color="auto" w:fill="6A2F6C" w:themeFill="accent6" w:themeFillShade="BF"/>
      </w:tcPr>
    </w:tblStylePr>
    <w:tblStylePr w:type="band1Horz">
      <w:tblPr/>
      <w:tcPr>
        <w:tcBorders>
          <w:top w:val="nil"/>
          <w:left w:val="nil"/>
          <w:bottom w:val="nil"/>
          <w:right w:val="nil"/>
          <w:insideH w:val="nil"/>
          <w:insideV w:val="nil"/>
        </w:tcBorders>
        <w:shd w:val="clear" w:color="auto" w:fill="6A2F6C" w:themeFill="accent6" w:themeFillShade="BF"/>
      </w:tcPr>
    </w:tblStylePr>
  </w:style>
  <w:style w:type="paragraph" w:styleId="Date">
    <w:name w:val="Date"/>
    <w:basedOn w:val="Normal"/>
    <w:next w:val="Normal"/>
    <w:link w:val="DateChar"/>
    <w:uiPriority w:val="99"/>
    <w:semiHidden/>
    <w:rsid w:val="003075F9"/>
  </w:style>
  <w:style w:type="character" w:customStyle="1" w:styleId="DateChar">
    <w:name w:val="Date Char"/>
    <w:basedOn w:val="DefaultParagraphFont"/>
    <w:link w:val="Date"/>
    <w:uiPriority w:val="99"/>
    <w:semiHidden/>
    <w:rsid w:val="003075F9"/>
    <w:rPr>
      <w:rFonts w:eastAsiaTheme="minorEastAsia"/>
      <w:lang w:val="en-GB"/>
    </w:rPr>
  </w:style>
  <w:style w:type="paragraph" w:styleId="DocumentMap">
    <w:name w:val="Document Map"/>
    <w:basedOn w:val="Normal"/>
    <w:link w:val="DocumentMapChar"/>
    <w:uiPriority w:val="99"/>
    <w:semiHidden/>
    <w:unhideWhenUsed/>
    <w:rsid w:val="003075F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075F9"/>
    <w:rPr>
      <w:rFonts w:ascii="Segoe UI" w:eastAsiaTheme="minorEastAsia" w:hAnsi="Segoe UI" w:cs="Segoe UI"/>
      <w:sz w:val="16"/>
      <w:szCs w:val="16"/>
      <w:lang w:val="en-GB"/>
    </w:rPr>
  </w:style>
  <w:style w:type="paragraph" w:styleId="E-mailSignature">
    <w:name w:val="E-mail Signature"/>
    <w:basedOn w:val="Normal"/>
    <w:link w:val="E-mailSignatureChar"/>
    <w:uiPriority w:val="99"/>
    <w:semiHidden/>
    <w:unhideWhenUsed/>
    <w:rsid w:val="003075F9"/>
    <w:pPr>
      <w:spacing w:before="0" w:after="0" w:line="240" w:lineRule="auto"/>
    </w:pPr>
  </w:style>
  <w:style w:type="character" w:customStyle="1" w:styleId="E-mailSignatureChar">
    <w:name w:val="E-mail Signature Char"/>
    <w:basedOn w:val="DefaultParagraphFont"/>
    <w:link w:val="E-mailSignature"/>
    <w:uiPriority w:val="99"/>
    <w:semiHidden/>
    <w:rsid w:val="003075F9"/>
    <w:rPr>
      <w:rFonts w:eastAsiaTheme="minorEastAsia"/>
      <w:lang w:val="en-GB"/>
    </w:rPr>
  </w:style>
  <w:style w:type="character" w:styleId="Emphasis">
    <w:name w:val="Emphasis"/>
    <w:basedOn w:val="DefaultParagraphFont"/>
    <w:uiPriority w:val="39"/>
    <w:semiHidden/>
    <w:qFormat/>
    <w:rsid w:val="003075F9"/>
    <w:rPr>
      <w:bCs w:val="0"/>
      <w:i/>
      <w:iCs/>
      <w:szCs w:val="20"/>
      <w:lang w:val="en-GB"/>
    </w:rPr>
  </w:style>
  <w:style w:type="character" w:styleId="EndnoteReference">
    <w:name w:val="endnote reference"/>
    <w:basedOn w:val="DefaultParagraphFont"/>
    <w:uiPriority w:val="99"/>
    <w:semiHidden/>
    <w:unhideWhenUsed/>
    <w:rsid w:val="003075F9"/>
    <w:rPr>
      <w:bCs w:val="0"/>
      <w:szCs w:val="20"/>
      <w:vertAlign w:val="superscript"/>
      <w:lang w:val="en-GB"/>
    </w:rPr>
  </w:style>
  <w:style w:type="paragraph" w:styleId="EndnoteText">
    <w:name w:val="endnote text"/>
    <w:basedOn w:val="Normal"/>
    <w:link w:val="EndnoteTextChar"/>
    <w:uiPriority w:val="99"/>
    <w:semiHidden/>
    <w:unhideWhenUsed/>
    <w:rsid w:val="003075F9"/>
    <w:pPr>
      <w:spacing w:before="0" w:after="0" w:line="240" w:lineRule="auto"/>
    </w:pPr>
  </w:style>
  <w:style w:type="character" w:customStyle="1" w:styleId="EndnoteTextChar">
    <w:name w:val="Endnote Text Char"/>
    <w:basedOn w:val="DefaultParagraphFont"/>
    <w:link w:val="EndnoteText"/>
    <w:uiPriority w:val="99"/>
    <w:semiHidden/>
    <w:rsid w:val="003075F9"/>
    <w:rPr>
      <w:rFonts w:eastAsiaTheme="minorEastAsia"/>
      <w:lang w:val="en-GB"/>
    </w:rPr>
  </w:style>
  <w:style w:type="paragraph" w:styleId="EnvelopeAddress">
    <w:name w:val="envelope address"/>
    <w:basedOn w:val="Normal"/>
    <w:uiPriority w:val="99"/>
    <w:semiHidden/>
    <w:unhideWhenUsed/>
    <w:rsid w:val="003075F9"/>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075F9"/>
    <w:pPr>
      <w:spacing w:before="0" w:after="0" w:line="240" w:lineRule="auto"/>
    </w:pPr>
    <w:rPr>
      <w:rFonts w:asciiTheme="majorHAnsi" w:eastAsiaTheme="majorEastAsia" w:hAnsiTheme="majorHAnsi" w:cstheme="majorBidi"/>
    </w:rPr>
  </w:style>
  <w:style w:type="character" w:styleId="FollowedHyperlink">
    <w:name w:val="FollowedHyperlink"/>
    <w:aliases w:val="~FollowedHyperlink"/>
    <w:basedOn w:val="DefaultParagraphFont"/>
    <w:uiPriority w:val="37"/>
    <w:semiHidden/>
    <w:rsid w:val="003075F9"/>
    <w:rPr>
      <w:bCs w:val="0"/>
      <w:color w:val="2FB6BC" w:themeColor="followedHyperlink"/>
      <w:szCs w:val="20"/>
      <w:u w:val="single"/>
      <w:lang w:val="en-GB"/>
    </w:rPr>
  </w:style>
  <w:style w:type="character" w:styleId="FootnoteReference">
    <w:name w:val="footnote reference"/>
    <w:aliases w:val="EN Footnote Reference,SUPERS,ftref,Footnotes refss,Fussnota,Footnote symbol,Footnote reference number,Times 10 Point,Exposant 3 Point,note TESI,Footnote Reference Superscript,Zchn Zchn,Footnote number,Footnote Reference Number,BVI fnr"/>
    <w:basedOn w:val="DefaultParagraphFont"/>
    <w:uiPriority w:val="99"/>
    <w:qFormat/>
    <w:rsid w:val="003075F9"/>
    <w:rPr>
      <w:rFonts w:asciiTheme="minorHAnsi" w:hAnsiTheme="minorHAnsi"/>
      <w:bCs w:val="0"/>
      <w:color w:val="2FB6BC" w:themeColor="accent1"/>
      <w:szCs w:val="20"/>
      <w:vertAlign w:val="superscript"/>
      <w:lang w:val="en-GB"/>
    </w:rPr>
  </w:style>
  <w:style w:type="paragraph" w:styleId="FootnoteText">
    <w:name w:val="footnote text"/>
    <w:aliases w:val="~FootnoteText,RSK-FT Char,RSK-FT1 Char,RSK-FT2 Char,RSK-FT,RSK-FT1,RSK-FT2,Harestanes Ref,Char1,single space,footnote text,FOOTNOTES,fn,Schriftart: 9 pt,Schriftart: 10 pt,Schriftart: 8 pt,Fußnotentextf,Fuﬂnotentex,Fuﬂnotentextf,ft, Char1,1"/>
    <w:basedOn w:val="NoSpacing"/>
    <w:link w:val="FootnoteTextChar"/>
    <w:uiPriority w:val="99"/>
    <w:qFormat/>
    <w:rsid w:val="003075F9"/>
    <w:pPr>
      <w:spacing w:before="60"/>
      <w:ind w:left="284" w:hanging="284"/>
    </w:pPr>
    <w:rPr>
      <w:sz w:val="14"/>
      <w:szCs w:val="14"/>
    </w:rPr>
  </w:style>
  <w:style w:type="character" w:customStyle="1" w:styleId="FootnoteTextChar">
    <w:name w:val="Footnote Text Char"/>
    <w:aliases w:val="~FootnoteText Char,RSK-FT Char Char,RSK-FT1 Char Char,RSK-FT2 Char Char,RSK-FT Char1,RSK-FT1 Char1,RSK-FT2 Char1,Harestanes Ref Char,Char1 Char,single space Char,footnote text Char,FOOTNOTES Char,fn Char,Schriftart: 9 pt Char,ft Char"/>
    <w:basedOn w:val="DefaultParagraphFont"/>
    <w:link w:val="FootnoteText"/>
    <w:uiPriority w:val="99"/>
    <w:rsid w:val="003075F9"/>
    <w:rPr>
      <w:rFonts w:eastAsiaTheme="minorEastAsia"/>
      <w:sz w:val="14"/>
      <w:szCs w:val="14"/>
      <w:lang w:val="en-GB"/>
    </w:rPr>
  </w:style>
  <w:style w:type="table" w:customStyle="1" w:styleId="GridTable1Light1">
    <w:name w:val="Grid Table 1 Light1"/>
    <w:basedOn w:val="TableNormal"/>
    <w:uiPriority w:val="46"/>
    <w:rsid w:val="003075F9"/>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075F9"/>
    <w:pPr>
      <w:spacing w:after="0" w:line="240" w:lineRule="auto"/>
    </w:pPr>
    <w:rPr>
      <w:rFonts w:eastAsiaTheme="minorEastAsia"/>
    </w:rPr>
    <w:tblPr>
      <w:tblStyleRowBandSize w:val="1"/>
      <w:tblStyleColBandSize w:val="1"/>
      <w:tblBorders>
        <w:top w:val="single" w:sz="4" w:space="0" w:color="A7E6E9" w:themeColor="accent1" w:themeTint="66"/>
        <w:left w:val="single" w:sz="4" w:space="0" w:color="A7E6E9" w:themeColor="accent1" w:themeTint="66"/>
        <w:bottom w:val="single" w:sz="4" w:space="0" w:color="A7E6E9" w:themeColor="accent1" w:themeTint="66"/>
        <w:right w:val="single" w:sz="4" w:space="0" w:color="A7E6E9" w:themeColor="accent1" w:themeTint="66"/>
        <w:insideH w:val="single" w:sz="4" w:space="0" w:color="A7E6E9" w:themeColor="accent1" w:themeTint="66"/>
        <w:insideV w:val="single" w:sz="4" w:space="0" w:color="A7E6E9" w:themeColor="accent1" w:themeTint="66"/>
      </w:tblBorders>
    </w:tblPr>
    <w:tblStylePr w:type="firstRow">
      <w:rPr>
        <w:b/>
        <w:bCs/>
      </w:rPr>
      <w:tblPr/>
      <w:tcPr>
        <w:tcBorders>
          <w:bottom w:val="single" w:sz="12" w:space="0" w:color="7BD9DE" w:themeColor="accent1" w:themeTint="99"/>
        </w:tcBorders>
      </w:tcPr>
    </w:tblStylePr>
    <w:tblStylePr w:type="lastRow">
      <w:rPr>
        <w:b/>
        <w:bCs/>
      </w:rPr>
      <w:tblPr/>
      <w:tcPr>
        <w:tcBorders>
          <w:top w:val="double" w:sz="2" w:space="0" w:color="7BD9DE"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3075F9"/>
    <w:pPr>
      <w:spacing w:after="0" w:line="240" w:lineRule="auto"/>
    </w:pPr>
    <w:rPr>
      <w:rFonts w:eastAsiaTheme="minorEastAsia"/>
    </w:rPr>
    <w:tblPr>
      <w:tblStyleRowBandSize w:val="1"/>
      <w:tblStyleColBandSize w:val="1"/>
      <w:tblBorders>
        <w:top w:val="single" w:sz="4" w:space="0" w:color="6FFFFD" w:themeColor="accent2" w:themeTint="66"/>
        <w:left w:val="single" w:sz="4" w:space="0" w:color="6FFFFD" w:themeColor="accent2" w:themeTint="66"/>
        <w:bottom w:val="single" w:sz="4" w:space="0" w:color="6FFFFD" w:themeColor="accent2" w:themeTint="66"/>
        <w:right w:val="single" w:sz="4" w:space="0" w:color="6FFFFD" w:themeColor="accent2" w:themeTint="66"/>
        <w:insideH w:val="single" w:sz="4" w:space="0" w:color="6FFFFD" w:themeColor="accent2" w:themeTint="66"/>
        <w:insideV w:val="single" w:sz="4" w:space="0" w:color="6FFFFD" w:themeColor="accent2" w:themeTint="66"/>
      </w:tblBorders>
    </w:tblPr>
    <w:tblStylePr w:type="firstRow">
      <w:rPr>
        <w:b/>
        <w:bCs/>
      </w:rPr>
      <w:tblPr/>
      <w:tcPr>
        <w:tcBorders>
          <w:bottom w:val="single" w:sz="12" w:space="0" w:color="27FFFD" w:themeColor="accent2" w:themeTint="99"/>
        </w:tcBorders>
      </w:tcPr>
    </w:tblStylePr>
    <w:tblStylePr w:type="lastRow">
      <w:rPr>
        <w:b/>
        <w:bCs/>
      </w:rPr>
      <w:tblPr/>
      <w:tcPr>
        <w:tcBorders>
          <w:top w:val="double" w:sz="2" w:space="0" w:color="27FFFD"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3075F9"/>
    <w:pPr>
      <w:spacing w:after="0" w:line="240" w:lineRule="auto"/>
    </w:pPr>
    <w:rPr>
      <w:rFonts w:eastAsiaTheme="minorEastAsia"/>
    </w:rPr>
    <w:tblPr>
      <w:tblStyleRowBandSize w:val="1"/>
      <w:tblStyleColBandSize w:val="1"/>
      <w:tblBorders>
        <w:top w:val="single" w:sz="4" w:space="0" w:color="A6CEEC" w:themeColor="accent3" w:themeTint="66"/>
        <w:left w:val="single" w:sz="4" w:space="0" w:color="A6CEEC" w:themeColor="accent3" w:themeTint="66"/>
        <w:bottom w:val="single" w:sz="4" w:space="0" w:color="A6CEEC" w:themeColor="accent3" w:themeTint="66"/>
        <w:right w:val="single" w:sz="4" w:space="0" w:color="A6CEEC" w:themeColor="accent3" w:themeTint="66"/>
        <w:insideH w:val="single" w:sz="4" w:space="0" w:color="A6CEEC" w:themeColor="accent3" w:themeTint="66"/>
        <w:insideV w:val="single" w:sz="4" w:space="0" w:color="A6CEEC" w:themeColor="accent3" w:themeTint="66"/>
      </w:tblBorders>
    </w:tblPr>
    <w:tblStylePr w:type="firstRow">
      <w:rPr>
        <w:b/>
        <w:bCs/>
      </w:rPr>
      <w:tblPr/>
      <w:tcPr>
        <w:tcBorders>
          <w:bottom w:val="single" w:sz="12" w:space="0" w:color="7AB6E2" w:themeColor="accent3" w:themeTint="99"/>
        </w:tcBorders>
      </w:tcPr>
    </w:tblStylePr>
    <w:tblStylePr w:type="lastRow">
      <w:rPr>
        <w:b/>
        <w:bCs/>
      </w:rPr>
      <w:tblPr/>
      <w:tcPr>
        <w:tcBorders>
          <w:top w:val="double" w:sz="2" w:space="0" w:color="7AB6E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3075F9"/>
    <w:pPr>
      <w:spacing w:after="0" w:line="240" w:lineRule="auto"/>
    </w:pPr>
    <w:rPr>
      <w:rFonts w:eastAsiaTheme="minorEastAsia"/>
    </w:rPr>
    <w:tblPr>
      <w:tblStyleRowBandSize w:val="1"/>
      <w:tblStyleColBandSize w:val="1"/>
      <w:tblBorders>
        <w:top w:val="single" w:sz="4" w:space="0" w:color="94C7E8" w:themeColor="accent4" w:themeTint="66"/>
        <w:left w:val="single" w:sz="4" w:space="0" w:color="94C7E8" w:themeColor="accent4" w:themeTint="66"/>
        <w:bottom w:val="single" w:sz="4" w:space="0" w:color="94C7E8" w:themeColor="accent4" w:themeTint="66"/>
        <w:right w:val="single" w:sz="4" w:space="0" w:color="94C7E8" w:themeColor="accent4" w:themeTint="66"/>
        <w:insideH w:val="single" w:sz="4" w:space="0" w:color="94C7E8" w:themeColor="accent4" w:themeTint="66"/>
        <w:insideV w:val="single" w:sz="4" w:space="0" w:color="94C7E8" w:themeColor="accent4" w:themeTint="66"/>
      </w:tblBorders>
    </w:tblPr>
    <w:tblStylePr w:type="firstRow">
      <w:rPr>
        <w:b/>
        <w:bCs/>
      </w:rPr>
      <w:tblPr/>
      <w:tcPr>
        <w:tcBorders>
          <w:bottom w:val="single" w:sz="12" w:space="0" w:color="5EACDC" w:themeColor="accent4" w:themeTint="99"/>
        </w:tcBorders>
      </w:tcPr>
    </w:tblStylePr>
    <w:tblStylePr w:type="lastRow">
      <w:rPr>
        <w:b/>
        <w:bCs/>
      </w:rPr>
      <w:tblPr/>
      <w:tcPr>
        <w:tcBorders>
          <w:top w:val="double" w:sz="2" w:space="0" w:color="5EA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3075F9"/>
    <w:pPr>
      <w:spacing w:after="0" w:line="240" w:lineRule="auto"/>
    </w:pPr>
    <w:rPr>
      <w:rFonts w:eastAsiaTheme="minorEastAsia"/>
    </w:rPr>
    <w:tblPr>
      <w:tblStyleRowBandSize w:val="1"/>
      <w:tblStyleColBandSize w:val="1"/>
      <w:tblBorders>
        <w:top w:val="single" w:sz="4" w:space="0" w:color="AFE1B4" w:themeColor="accent5" w:themeTint="66"/>
        <w:left w:val="single" w:sz="4" w:space="0" w:color="AFE1B4" w:themeColor="accent5" w:themeTint="66"/>
        <w:bottom w:val="single" w:sz="4" w:space="0" w:color="AFE1B4" w:themeColor="accent5" w:themeTint="66"/>
        <w:right w:val="single" w:sz="4" w:space="0" w:color="AFE1B4" w:themeColor="accent5" w:themeTint="66"/>
        <w:insideH w:val="single" w:sz="4" w:space="0" w:color="AFE1B4" w:themeColor="accent5" w:themeTint="66"/>
        <w:insideV w:val="single" w:sz="4" w:space="0" w:color="AFE1B4" w:themeColor="accent5" w:themeTint="66"/>
      </w:tblBorders>
    </w:tblPr>
    <w:tblStylePr w:type="firstRow">
      <w:rPr>
        <w:b/>
        <w:bCs/>
      </w:rPr>
      <w:tblPr/>
      <w:tcPr>
        <w:tcBorders>
          <w:bottom w:val="single" w:sz="12" w:space="0" w:color="88D28F" w:themeColor="accent5" w:themeTint="99"/>
        </w:tcBorders>
      </w:tcPr>
    </w:tblStylePr>
    <w:tblStylePr w:type="lastRow">
      <w:rPr>
        <w:b/>
        <w:bCs/>
      </w:rPr>
      <w:tblPr/>
      <w:tcPr>
        <w:tcBorders>
          <w:top w:val="double" w:sz="2" w:space="0" w:color="88D28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3075F9"/>
    <w:pPr>
      <w:spacing w:after="0" w:line="240" w:lineRule="auto"/>
    </w:pPr>
    <w:rPr>
      <w:rFonts w:eastAsiaTheme="minorEastAsia"/>
    </w:rPr>
    <w:tblPr>
      <w:tblStyleRowBandSize w:val="1"/>
      <w:tblStyleColBandSize w:val="1"/>
      <w:tblBorders>
        <w:top w:val="single" w:sz="4" w:space="0" w:color="D8AADA" w:themeColor="accent6" w:themeTint="66"/>
        <w:left w:val="single" w:sz="4" w:space="0" w:color="D8AADA" w:themeColor="accent6" w:themeTint="66"/>
        <w:bottom w:val="single" w:sz="4" w:space="0" w:color="D8AADA" w:themeColor="accent6" w:themeTint="66"/>
        <w:right w:val="single" w:sz="4" w:space="0" w:color="D8AADA" w:themeColor="accent6" w:themeTint="66"/>
        <w:insideH w:val="single" w:sz="4" w:space="0" w:color="D8AADA" w:themeColor="accent6" w:themeTint="66"/>
        <w:insideV w:val="single" w:sz="4" w:space="0" w:color="D8AADA" w:themeColor="accent6" w:themeTint="66"/>
      </w:tblBorders>
    </w:tblPr>
    <w:tblStylePr w:type="firstRow">
      <w:rPr>
        <w:b/>
        <w:bCs/>
      </w:rPr>
      <w:tblPr/>
      <w:tcPr>
        <w:tcBorders>
          <w:bottom w:val="single" w:sz="12" w:space="0" w:color="C580C8" w:themeColor="accent6" w:themeTint="99"/>
        </w:tcBorders>
      </w:tcPr>
    </w:tblStylePr>
    <w:tblStylePr w:type="lastRow">
      <w:rPr>
        <w:b/>
        <w:bCs/>
      </w:rPr>
      <w:tblPr/>
      <w:tcPr>
        <w:tcBorders>
          <w:top w:val="double" w:sz="2" w:space="0" w:color="C580C8"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3075F9"/>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3075F9"/>
    <w:pPr>
      <w:spacing w:after="0" w:line="240" w:lineRule="auto"/>
    </w:pPr>
    <w:rPr>
      <w:rFonts w:eastAsiaTheme="minorEastAsia"/>
    </w:rPr>
    <w:tblPr>
      <w:tblStyleRowBandSize w:val="1"/>
      <w:tblStyleColBandSize w:val="1"/>
      <w:tblBorders>
        <w:top w:val="single" w:sz="2" w:space="0" w:color="7BD9DE" w:themeColor="accent1" w:themeTint="99"/>
        <w:bottom w:val="single" w:sz="2" w:space="0" w:color="7BD9DE" w:themeColor="accent1" w:themeTint="99"/>
        <w:insideH w:val="single" w:sz="2" w:space="0" w:color="7BD9DE" w:themeColor="accent1" w:themeTint="99"/>
        <w:insideV w:val="single" w:sz="2" w:space="0" w:color="7BD9DE" w:themeColor="accent1" w:themeTint="99"/>
      </w:tblBorders>
    </w:tblPr>
    <w:tblStylePr w:type="firstRow">
      <w:rPr>
        <w:b/>
        <w:bCs/>
      </w:rPr>
      <w:tblPr/>
      <w:tcPr>
        <w:tcBorders>
          <w:top w:val="nil"/>
          <w:bottom w:val="single" w:sz="12" w:space="0" w:color="7BD9DE" w:themeColor="accent1" w:themeTint="99"/>
          <w:insideH w:val="nil"/>
          <w:insideV w:val="nil"/>
        </w:tcBorders>
        <w:shd w:val="clear" w:color="auto" w:fill="FFFFFF" w:themeFill="background1"/>
      </w:tcPr>
    </w:tblStylePr>
    <w:tblStylePr w:type="lastRow">
      <w:rPr>
        <w:b/>
        <w:bCs/>
      </w:rPr>
      <w:tblPr/>
      <w:tcPr>
        <w:tcBorders>
          <w:top w:val="double" w:sz="2" w:space="0" w:color="7BD9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GridTable2-Accent21">
    <w:name w:val="Grid Table 2 - Accent 21"/>
    <w:basedOn w:val="TableNormal"/>
    <w:uiPriority w:val="47"/>
    <w:rsid w:val="003075F9"/>
    <w:pPr>
      <w:spacing w:after="0" w:line="240" w:lineRule="auto"/>
    </w:pPr>
    <w:rPr>
      <w:rFonts w:eastAsiaTheme="minorEastAsia"/>
    </w:rPr>
    <w:tblPr>
      <w:tblStyleRowBandSize w:val="1"/>
      <w:tblStyleColBandSize w:val="1"/>
      <w:tblBorders>
        <w:top w:val="single" w:sz="2" w:space="0" w:color="27FFFD" w:themeColor="accent2" w:themeTint="99"/>
        <w:bottom w:val="single" w:sz="2" w:space="0" w:color="27FFFD" w:themeColor="accent2" w:themeTint="99"/>
        <w:insideH w:val="single" w:sz="2" w:space="0" w:color="27FFFD" w:themeColor="accent2" w:themeTint="99"/>
        <w:insideV w:val="single" w:sz="2" w:space="0" w:color="27FFFD" w:themeColor="accent2" w:themeTint="99"/>
      </w:tblBorders>
    </w:tblPr>
    <w:tblStylePr w:type="firstRow">
      <w:rPr>
        <w:b/>
        <w:bCs/>
      </w:rPr>
      <w:tblPr/>
      <w:tcPr>
        <w:tcBorders>
          <w:top w:val="nil"/>
          <w:bottom w:val="single" w:sz="12" w:space="0" w:color="27FFFD" w:themeColor="accent2" w:themeTint="99"/>
          <w:insideH w:val="nil"/>
          <w:insideV w:val="nil"/>
        </w:tcBorders>
        <w:shd w:val="clear" w:color="auto" w:fill="FFFFFF" w:themeFill="background1"/>
      </w:tcPr>
    </w:tblStylePr>
    <w:tblStylePr w:type="lastRow">
      <w:rPr>
        <w:b/>
        <w:bCs/>
      </w:rPr>
      <w:tblPr/>
      <w:tcPr>
        <w:tcBorders>
          <w:top w:val="double" w:sz="2" w:space="0" w:color="27FFF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GridTable2-Accent31">
    <w:name w:val="Grid Table 2 - Accent 31"/>
    <w:basedOn w:val="TableNormal"/>
    <w:uiPriority w:val="47"/>
    <w:rsid w:val="003075F9"/>
    <w:pPr>
      <w:spacing w:after="0" w:line="240" w:lineRule="auto"/>
    </w:pPr>
    <w:rPr>
      <w:rFonts w:eastAsiaTheme="minorEastAsia"/>
    </w:rPr>
    <w:tblPr>
      <w:tblStyleRowBandSize w:val="1"/>
      <w:tblStyleColBandSize w:val="1"/>
      <w:tblBorders>
        <w:top w:val="single" w:sz="2" w:space="0" w:color="7AB6E2" w:themeColor="accent3" w:themeTint="99"/>
        <w:bottom w:val="single" w:sz="2" w:space="0" w:color="7AB6E2" w:themeColor="accent3" w:themeTint="99"/>
        <w:insideH w:val="single" w:sz="2" w:space="0" w:color="7AB6E2" w:themeColor="accent3" w:themeTint="99"/>
        <w:insideV w:val="single" w:sz="2" w:space="0" w:color="7AB6E2" w:themeColor="accent3" w:themeTint="99"/>
      </w:tblBorders>
    </w:tblPr>
    <w:tblStylePr w:type="firstRow">
      <w:rPr>
        <w:b/>
        <w:bCs/>
      </w:rPr>
      <w:tblPr/>
      <w:tcPr>
        <w:tcBorders>
          <w:top w:val="nil"/>
          <w:bottom w:val="single" w:sz="12" w:space="0" w:color="7AB6E2" w:themeColor="accent3" w:themeTint="99"/>
          <w:insideH w:val="nil"/>
          <w:insideV w:val="nil"/>
        </w:tcBorders>
        <w:shd w:val="clear" w:color="auto" w:fill="FFFFFF" w:themeFill="background1"/>
      </w:tcPr>
    </w:tblStylePr>
    <w:tblStylePr w:type="lastRow">
      <w:rPr>
        <w:b/>
        <w:bCs/>
      </w:rPr>
      <w:tblPr/>
      <w:tcPr>
        <w:tcBorders>
          <w:top w:val="double" w:sz="2" w:space="0" w:color="7AB6E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GridTable2-Accent41">
    <w:name w:val="Grid Table 2 - Accent 41"/>
    <w:basedOn w:val="TableNormal"/>
    <w:uiPriority w:val="47"/>
    <w:rsid w:val="003075F9"/>
    <w:pPr>
      <w:spacing w:after="0" w:line="240" w:lineRule="auto"/>
    </w:pPr>
    <w:rPr>
      <w:rFonts w:eastAsiaTheme="minorEastAsia"/>
    </w:rPr>
    <w:tblPr>
      <w:tblStyleRowBandSize w:val="1"/>
      <w:tblStyleColBandSize w:val="1"/>
      <w:tblBorders>
        <w:top w:val="single" w:sz="2" w:space="0" w:color="5EACDC" w:themeColor="accent4" w:themeTint="99"/>
        <w:bottom w:val="single" w:sz="2" w:space="0" w:color="5EACDC" w:themeColor="accent4" w:themeTint="99"/>
        <w:insideH w:val="single" w:sz="2" w:space="0" w:color="5EACDC" w:themeColor="accent4" w:themeTint="99"/>
        <w:insideV w:val="single" w:sz="2" w:space="0" w:color="5EACDC" w:themeColor="accent4" w:themeTint="99"/>
      </w:tblBorders>
    </w:tblPr>
    <w:tblStylePr w:type="firstRow">
      <w:rPr>
        <w:b/>
        <w:bCs/>
      </w:rPr>
      <w:tblPr/>
      <w:tcPr>
        <w:tcBorders>
          <w:top w:val="nil"/>
          <w:bottom w:val="single" w:sz="12" w:space="0" w:color="5EACDC" w:themeColor="accent4" w:themeTint="99"/>
          <w:insideH w:val="nil"/>
          <w:insideV w:val="nil"/>
        </w:tcBorders>
        <w:shd w:val="clear" w:color="auto" w:fill="FFFFFF" w:themeFill="background1"/>
      </w:tcPr>
    </w:tblStylePr>
    <w:tblStylePr w:type="lastRow">
      <w:rPr>
        <w:b/>
        <w:bCs/>
      </w:rPr>
      <w:tblPr/>
      <w:tcPr>
        <w:tcBorders>
          <w:top w:val="double" w:sz="2" w:space="0" w:color="5EA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GridTable2-Accent51">
    <w:name w:val="Grid Table 2 - Accent 51"/>
    <w:basedOn w:val="TableNormal"/>
    <w:uiPriority w:val="47"/>
    <w:rsid w:val="003075F9"/>
    <w:pPr>
      <w:spacing w:after="0" w:line="240" w:lineRule="auto"/>
    </w:pPr>
    <w:rPr>
      <w:rFonts w:eastAsiaTheme="minorEastAsia"/>
    </w:rPr>
    <w:tblPr>
      <w:tblStyleRowBandSize w:val="1"/>
      <w:tblStyleColBandSize w:val="1"/>
      <w:tblBorders>
        <w:top w:val="single" w:sz="2" w:space="0" w:color="88D28F" w:themeColor="accent5" w:themeTint="99"/>
        <w:bottom w:val="single" w:sz="2" w:space="0" w:color="88D28F" w:themeColor="accent5" w:themeTint="99"/>
        <w:insideH w:val="single" w:sz="2" w:space="0" w:color="88D28F" w:themeColor="accent5" w:themeTint="99"/>
        <w:insideV w:val="single" w:sz="2" w:space="0" w:color="88D28F" w:themeColor="accent5" w:themeTint="99"/>
      </w:tblBorders>
    </w:tblPr>
    <w:tblStylePr w:type="firstRow">
      <w:rPr>
        <w:b/>
        <w:bCs/>
      </w:rPr>
      <w:tblPr/>
      <w:tcPr>
        <w:tcBorders>
          <w:top w:val="nil"/>
          <w:bottom w:val="single" w:sz="12" w:space="0" w:color="88D28F" w:themeColor="accent5" w:themeTint="99"/>
          <w:insideH w:val="nil"/>
          <w:insideV w:val="nil"/>
        </w:tcBorders>
        <w:shd w:val="clear" w:color="auto" w:fill="FFFFFF" w:themeFill="background1"/>
      </w:tcPr>
    </w:tblStylePr>
    <w:tblStylePr w:type="lastRow">
      <w:rPr>
        <w:b/>
        <w:bCs/>
      </w:rPr>
      <w:tblPr/>
      <w:tcPr>
        <w:tcBorders>
          <w:top w:val="double" w:sz="2" w:space="0" w:color="88D2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GridTable2-Accent61">
    <w:name w:val="Grid Table 2 - Accent 61"/>
    <w:basedOn w:val="TableNormal"/>
    <w:uiPriority w:val="47"/>
    <w:rsid w:val="003075F9"/>
    <w:pPr>
      <w:spacing w:after="0" w:line="240" w:lineRule="auto"/>
    </w:pPr>
    <w:rPr>
      <w:rFonts w:eastAsiaTheme="minorEastAsia"/>
    </w:rPr>
    <w:tblPr>
      <w:tblStyleRowBandSize w:val="1"/>
      <w:tblStyleColBandSize w:val="1"/>
      <w:tblBorders>
        <w:top w:val="single" w:sz="2" w:space="0" w:color="C580C8" w:themeColor="accent6" w:themeTint="99"/>
        <w:bottom w:val="single" w:sz="2" w:space="0" w:color="C580C8" w:themeColor="accent6" w:themeTint="99"/>
        <w:insideH w:val="single" w:sz="2" w:space="0" w:color="C580C8" w:themeColor="accent6" w:themeTint="99"/>
        <w:insideV w:val="single" w:sz="2" w:space="0" w:color="C580C8" w:themeColor="accent6" w:themeTint="99"/>
      </w:tblBorders>
    </w:tblPr>
    <w:tblStylePr w:type="firstRow">
      <w:rPr>
        <w:b/>
        <w:bCs/>
      </w:rPr>
      <w:tblPr/>
      <w:tcPr>
        <w:tcBorders>
          <w:top w:val="nil"/>
          <w:bottom w:val="single" w:sz="12" w:space="0" w:color="C580C8" w:themeColor="accent6" w:themeTint="99"/>
          <w:insideH w:val="nil"/>
          <w:insideV w:val="nil"/>
        </w:tcBorders>
        <w:shd w:val="clear" w:color="auto" w:fill="FFFFFF" w:themeFill="background1"/>
      </w:tcPr>
    </w:tblStylePr>
    <w:tblStylePr w:type="lastRow">
      <w:rPr>
        <w:b/>
        <w:bCs/>
      </w:rPr>
      <w:tblPr/>
      <w:tcPr>
        <w:tcBorders>
          <w:top w:val="double" w:sz="2" w:space="0" w:color="C580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GridTable31">
    <w:name w:val="Grid Table 31"/>
    <w:basedOn w:val="TableNormal"/>
    <w:uiPriority w:val="48"/>
    <w:rsid w:val="003075F9"/>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3075F9"/>
    <w:pPr>
      <w:spacing w:after="0" w:line="240" w:lineRule="auto"/>
    </w:pPr>
    <w:rPr>
      <w:rFonts w:eastAsiaTheme="minorEastAsia"/>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2F4" w:themeFill="accent1" w:themeFillTint="33"/>
      </w:tcPr>
    </w:tblStylePr>
    <w:tblStylePr w:type="band1Horz">
      <w:tblPr/>
      <w:tcPr>
        <w:shd w:val="clear" w:color="auto" w:fill="D3F2F4" w:themeFill="accent1" w:themeFillTint="33"/>
      </w:tcPr>
    </w:tblStylePr>
    <w:tblStylePr w:type="neCell">
      <w:tblPr/>
      <w:tcPr>
        <w:tcBorders>
          <w:bottom w:val="single" w:sz="4" w:space="0" w:color="7BD9DE" w:themeColor="accent1" w:themeTint="99"/>
        </w:tcBorders>
      </w:tcPr>
    </w:tblStylePr>
    <w:tblStylePr w:type="nwCell">
      <w:tblPr/>
      <w:tcPr>
        <w:tcBorders>
          <w:bottom w:val="single" w:sz="4" w:space="0" w:color="7BD9DE" w:themeColor="accent1" w:themeTint="99"/>
        </w:tcBorders>
      </w:tcPr>
    </w:tblStylePr>
    <w:tblStylePr w:type="seCell">
      <w:tblPr/>
      <w:tcPr>
        <w:tcBorders>
          <w:top w:val="single" w:sz="4" w:space="0" w:color="7BD9DE" w:themeColor="accent1" w:themeTint="99"/>
        </w:tcBorders>
      </w:tcPr>
    </w:tblStylePr>
    <w:tblStylePr w:type="swCell">
      <w:tblPr/>
      <w:tcPr>
        <w:tcBorders>
          <w:top w:val="single" w:sz="4" w:space="0" w:color="7BD9DE" w:themeColor="accent1" w:themeTint="99"/>
        </w:tcBorders>
      </w:tcPr>
    </w:tblStylePr>
  </w:style>
  <w:style w:type="table" w:customStyle="1" w:styleId="GridTable3-Accent21">
    <w:name w:val="Grid Table 3 - Accent 21"/>
    <w:basedOn w:val="TableNormal"/>
    <w:uiPriority w:val="48"/>
    <w:rsid w:val="003075F9"/>
    <w:pPr>
      <w:spacing w:after="0" w:line="240" w:lineRule="auto"/>
    </w:pPr>
    <w:rPr>
      <w:rFonts w:eastAsiaTheme="minorEastAsia"/>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FE" w:themeFill="accent2" w:themeFillTint="33"/>
      </w:tcPr>
    </w:tblStylePr>
    <w:tblStylePr w:type="band1Horz">
      <w:tblPr/>
      <w:tcPr>
        <w:shd w:val="clear" w:color="auto" w:fill="B7FFFE" w:themeFill="accent2" w:themeFillTint="33"/>
      </w:tcPr>
    </w:tblStylePr>
    <w:tblStylePr w:type="neCell">
      <w:tblPr/>
      <w:tcPr>
        <w:tcBorders>
          <w:bottom w:val="single" w:sz="4" w:space="0" w:color="27FFFD" w:themeColor="accent2" w:themeTint="99"/>
        </w:tcBorders>
      </w:tcPr>
    </w:tblStylePr>
    <w:tblStylePr w:type="nwCell">
      <w:tblPr/>
      <w:tcPr>
        <w:tcBorders>
          <w:bottom w:val="single" w:sz="4" w:space="0" w:color="27FFFD" w:themeColor="accent2" w:themeTint="99"/>
        </w:tcBorders>
      </w:tcPr>
    </w:tblStylePr>
    <w:tblStylePr w:type="seCell">
      <w:tblPr/>
      <w:tcPr>
        <w:tcBorders>
          <w:top w:val="single" w:sz="4" w:space="0" w:color="27FFFD" w:themeColor="accent2" w:themeTint="99"/>
        </w:tcBorders>
      </w:tcPr>
    </w:tblStylePr>
    <w:tblStylePr w:type="swCell">
      <w:tblPr/>
      <w:tcPr>
        <w:tcBorders>
          <w:top w:val="single" w:sz="4" w:space="0" w:color="27FFFD" w:themeColor="accent2" w:themeTint="99"/>
        </w:tcBorders>
      </w:tcPr>
    </w:tblStylePr>
  </w:style>
  <w:style w:type="table" w:customStyle="1" w:styleId="GridTable3-Accent31">
    <w:name w:val="Grid Table 3 - Accent 31"/>
    <w:basedOn w:val="TableNormal"/>
    <w:uiPriority w:val="48"/>
    <w:rsid w:val="003075F9"/>
    <w:pPr>
      <w:spacing w:after="0" w:line="240" w:lineRule="auto"/>
    </w:pPr>
    <w:rPr>
      <w:rFonts w:eastAsiaTheme="minorEastAsia"/>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6F5" w:themeFill="accent3" w:themeFillTint="33"/>
      </w:tcPr>
    </w:tblStylePr>
    <w:tblStylePr w:type="band1Horz">
      <w:tblPr/>
      <w:tcPr>
        <w:shd w:val="clear" w:color="auto" w:fill="D2E6F5" w:themeFill="accent3" w:themeFillTint="33"/>
      </w:tcPr>
    </w:tblStylePr>
    <w:tblStylePr w:type="neCell">
      <w:tblPr/>
      <w:tcPr>
        <w:tcBorders>
          <w:bottom w:val="single" w:sz="4" w:space="0" w:color="7AB6E2" w:themeColor="accent3" w:themeTint="99"/>
        </w:tcBorders>
      </w:tcPr>
    </w:tblStylePr>
    <w:tblStylePr w:type="nwCell">
      <w:tblPr/>
      <w:tcPr>
        <w:tcBorders>
          <w:bottom w:val="single" w:sz="4" w:space="0" w:color="7AB6E2" w:themeColor="accent3" w:themeTint="99"/>
        </w:tcBorders>
      </w:tcPr>
    </w:tblStylePr>
    <w:tblStylePr w:type="seCell">
      <w:tblPr/>
      <w:tcPr>
        <w:tcBorders>
          <w:top w:val="single" w:sz="4" w:space="0" w:color="7AB6E2" w:themeColor="accent3" w:themeTint="99"/>
        </w:tcBorders>
      </w:tcPr>
    </w:tblStylePr>
    <w:tblStylePr w:type="swCell">
      <w:tblPr/>
      <w:tcPr>
        <w:tcBorders>
          <w:top w:val="single" w:sz="4" w:space="0" w:color="7AB6E2" w:themeColor="accent3" w:themeTint="99"/>
        </w:tcBorders>
      </w:tcPr>
    </w:tblStylePr>
  </w:style>
  <w:style w:type="table" w:customStyle="1" w:styleId="GridTable3-Accent41">
    <w:name w:val="Grid Table 3 - Accent 41"/>
    <w:basedOn w:val="TableNormal"/>
    <w:uiPriority w:val="48"/>
    <w:rsid w:val="003075F9"/>
    <w:pPr>
      <w:spacing w:after="0" w:line="240" w:lineRule="auto"/>
    </w:pPr>
    <w:rPr>
      <w:rFonts w:eastAsiaTheme="minorEastAsia"/>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bottom w:val="single" w:sz="4" w:space="0" w:color="5EACDC" w:themeColor="accent4" w:themeTint="99"/>
        </w:tcBorders>
      </w:tcPr>
    </w:tblStylePr>
    <w:tblStylePr w:type="nwCell">
      <w:tblPr/>
      <w:tcPr>
        <w:tcBorders>
          <w:bottom w:val="single" w:sz="4" w:space="0" w:color="5EACDC" w:themeColor="accent4" w:themeTint="99"/>
        </w:tcBorders>
      </w:tcPr>
    </w:tblStylePr>
    <w:tblStylePr w:type="seCell">
      <w:tblPr/>
      <w:tcPr>
        <w:tcBorders>
          <w:top w:val="single" w:sz="4" w:space="0" w:color="5EACDC" w:themeColor="accent4" w:themeTint="99"/>
        </w:tcBorders>
      </w:tcPr>
    </w:tblStylePr>
    <w:tblStylePr w:type="swCell">
      <w:tblPr/>
      <w:tcPr>
        <w:tcBorders>
          <w:top w:val="single" w:sz="4" w:space="0" w:color="5EACDC" w:themeColor="accent4" w:themeTint="99"/>
        </w:tcBorders>
      </w:tcPr>
    </w:tblStylePr>
  </w:style>
  <w:style w:type="table" w:customStyle="1" w:styleId="GridTable3-Accent51">
    <w:name w:val="Grid Table 3 - Accent 51"/>
    <w:basedOn w:val="TableNormal"/>
    <w:uiPriority w:val="48"/>
    <w:rsid w:val="003075F9"/>
    <w:pPr>
      <w:spacing w:after="0" w:line="240" w:lineRule="auto"/>
    </w:pPr>
    <w:rPr>
      <w:rFonts w:eastAsiaTheme="minorEastAsia"/>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bottom w:val="single" w:sz="4" w:space="0" w:color="88D28F" w:themeColor="accent5" w:themeTint="99"/>
        </w:tcBorders>
      </w:tcPr>
    </w:tblStylePr>
    <w:tblStylePr w:type="nwCell">
      <w:tblPr/>
      <w:tcPr>
        <w:tcBorders>
          <w:bottom w:val="single" w:sz="4" w:space="0" w:color="88D28F" w:themeColor="accent5" w:themeTint="99"/>
        </w:tcBorders>
      </w:tcPr>
    </w:tblStylePr>
    <w:tblStylePr w:type="seCell">
      <w:tblPr/>
      <w:tcPr>
        <w:tcBorders>
          <w:top w:val="single" w:sz="4" w:space="0" w:color="88D28F" w:themeColor="accent5" w:themeTint="99"/>
        </w:tcBorders>
      </w:tcPr>
    </w:tblStylePr>
    <w:tblStylePr w:type="swCell">
      <w:tblPr/>
      <w:tcPr>
        <w:tcBorders>
          <w:top w:val="single" w:sz="4" w:space="0" w:color="88D28F" w:themeColor="accent5" w:themeTint="99"/>
        </w:tcBorders>
      </w:tcPr>
    </w:tblStylePr>
  </w:style>
  <w:style w:type="table" w:customStyle="1" w:styleId="GridTable3-Accent61">
    <w:name w:val="Grid Table 3 - Accent 61"/>
    <w:basedOn w:val="TableNormal"/>
    <w:uiPriority w:val="48"/>
    <w:rsid w:val="003075F9"/>
    <w:pPr>
      <w:spacing w:after="0" w:line="240" w:lineRule="auto"/>
    </w:pPr>
    <w:rPr>
      <w:rFonts w:eastAsiaTheme="minorEastAsia"/>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bottom w:val="single" w:sz="4" w:space="0" w:color="C580C8" w:themeColor="accent6" w:themeTint="99"/>
        </w:tcBorders>
      </w:tcPr>
    </w:tblStylePr>
    <w:tblStylePr w:type="nwCell">
      <w:tblPr/>
      <w:tcPr>
        <w:tcBorders>
          <w:bottom w:val="single" w:sz="4" w:space="0" w:color="C580C8" w:themeColor="accent6" w:themeTint="99"/>
        </w:tcBorders>
      </w:tcPr>
    </w:tblStylePr>
    <w:tblStylePr w:type="seCell">
      <w:tblPr/>
      <w:tcPr>
        <w:tcBorders>
          <w:top w:val="single" w:sz="4" w:space="0" w:color="C580C8" w:themeColor="accent6" w:themeTint="99"/>
        </w:tcBorders>
      </w:tcPr>
    </w:tblStylePr>
    <w:tblStylePr w:type="swCell">
      <w:tblPr/>
      <w:tcPr>
        <w:tcBorders>
          <w:top w:val="single" w:sz="4" w:space="0" w:color="C580C8" w:themeColor="accent6" w:themeTint="99"/>
        </w:tcBorders>
      </w:tcPr>
    </w:tblStylePr>
  </w:style>
  <w:style w:type="table" w:customStyle="1" w:styleId="GridTable41">
    <w:name w:val="Grid Table 41"/>
    <w:basedOn w:val="TableNormal"/>
    <w:uiPriority w:val="49"/>
    <w:rsid w:val="003075F9"/>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3075F9"/>
    <w:pPr>
      <w:spacing w:after="0" w:line="240" w:lineRule="auto"/>
    </w:pPr>
    <w:rPr>
      <w:rFonts w:eastAsiaTheme="minorEastAsia"/>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Pr>
    <w:tblStylePr w:type="firstRow">
      <w:rPr>
        <w:b/>
        <w:bCs/>
        <w:color w:val="FFFFFF" w:themeColor="background1"/>
      </w:rPr>
      <w:tblPr/>
      <w:tcPr>
        <w:tcBorders>
          <w:top w:val="single" w:sz="4" w:space="0" w:color="2FB6BC" w:themeColor="accent1"/>
          <w:left w:val="single" w:sz="4" w:space="0" w:color="2FB6BC" w:themeColor="accent1"/>
          <w:bottom w:val="single" w:sz="4" w:space="0" w:color="2FB6BC" w:themeColor="accent1"/>
          <w:right w:val="single" w:sz="4" w:space="0" w:color="2FB6BC" w:themeColor="accent1"/>
          <w:insideH w:val="nil"/>
          <w:insideV w:val="nil"/>
        </w:tcBorders>
        <w:shd w:val="clear" w:color="auto" w:fill="2FB6BC" w:themeFill="accent1"/>
      </w:tcPr>
    </w:tblStylePr>
    <w:tblStylePr w:type="lastRow">
      <w:rPr>
        <w:b/>
        <w:bCs/>
      </w:rPr>
      <w:tblPr/>
      <w:tcPr>
        <w:tcBorders>
          <w:top w:val="double" w:sz="4" w:space="0" w:color="2FB6BC" w:themeColor="accent1"/>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GridTable4-Accent21">
    <w:name w:val="Grid Table 4 - Accent 21"/>
    <w:basedOn w:val="TableNormal"/>
    <w:uiPriority w:val="49"/>
    <w:rsid w:val="003075F9"/>
    <w:pPr>
      <w:spacing w:after="0" w:line="240" w:lineRule="auto"/>
    </w:pPr>
    <w:rPr>
      <w:rFonts w:eastAsiaTheme="minorEastAsia"/>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Pr>
    <w:tblStylePr w:type="firstRow">
      <w:rPr>
        <w:b/>
        <w:bCs/>
        <w:color w:val="FFFFFF" w:themeColor="background1"/>
      </w:rPr>
      <w:tblPr/>
      <w:tcPr>
        <w:tcBorders>
          <w:top w:val="single" w:sz="4" w:space="0" w:color="009695" w:themeColor="accent2"/>
          <w:left w:val="single" w:sz="4" w:space="0" w:color="009695" w:themeColor="accent2"/>
          <w:bottom w:val="single" w:sz="4" w:space="0" w:color="009695" w:themeColor="accent2"/>
          <w:right w:val="single" w:sz="4" w:space="0" w:color="009695" w:themeColor="accent2"/>
          <w:insideH w:val="nil"/>
          <w:insideV w:val="nil"/>
        </w:tcBorders>
        <w:shd w:val="clear" w:color="auto" w:fill="009695" w:themeFill="accent2"/>
      </w:tcPr>
    </w:tblStylePr>
    <w:tblStylePr w:type="lastRow">
      <w:rPr>
        <w:b/>
        <w:bCs/>
      </w:rPr>
      <w:tblPr/>
      <w:tcPr>
        <w:tcBorders>
          <w:top w:val="double" w:sz="4" w:space="0" w:color="009695" w:themeColor="accent2"/>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GridTable4-Accent31">
    <w:name w:val="Grid Table 4 - Accent 31"/>
    <w:basedOn w:val="TableNormal"/>
    <w:uiPriority w:val="49"/>
    <w:rsid w:val="003075F9"/>
    <w:pPr>
      <w:spacing w:after="0" w:line="240" w:lineRule="auto"/>
    </w:pPr>
    <w:rPr>
      <w:rFonts w:eastAsiaTheme="minorEastAsia"/>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Pr>
    <w:tblStylePr w:type="firstRow">
      <w:rPr>
        <w:b/>
        <w:bCs/>
        <w:color w:val="FFFFFF" w:themeColor="background1"/>
      </w:rPr>
      <w:tblPr/>
      <w:tcPr>
        <w:tcBorders>
          <w:top w:val="single" w:sz="4" w:space="0" w:color="2B86C7" w:themeColor="accent3"/>
          <w:left w:val="single" w:sz="4" w:space="0" w:color="2B86C7" w:themeColor="accent3"/>
          <w:bottom w:val="single" w:sz="4" w:space="0" w:color="2B86C7" w:themeColor="accent3"/>
          <w:right w:val="single" w:sz="4" w:space="0" w:color="2B86C7" w:themeColor="accent3"/>
          <w:insideH w:val="nil"/>
          <w:insideV w:val="nil"/>
        </w:tcBorders>
        <w:shd w:val="clear" w:color="auto" w:fill="2B86C7" w:themeFill="accent3"/>
      </w:tcPr>
    </w:tblStylePr>
    <w:tblStylePr w:type="lastRow">
      <w:rPr>
        <w:b/>
        <w:bCs/>
      </w:rPr>
      <w:tblPr/>
      <w:tcPr>
        <w:tcBorders>
          <w:top w:val="double" w:sz="4" w:space="0" w:color="2B86C7" w:themeColor="accent3"/>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GridTable4-Accent41">
    <w:name w:val="Grid Table 4 - Accent 41"/>
    <w:basedOn w:val="TableNormal"/>
    <w:uiPriority w:val="49"/>
    <w:rsid w:val="003075F9"/>
    <w:pPr>
      <w:spacing w:after="0" w:line="240" w:lineRule="auto"/>
    </w:pPr>
    <w:rPr>
      <w:rFonts w:eastAsiaTheme="minorEastAsia"/>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color w:val="FFFFFF" w:themeColor="background1"/>
      </w:rPr>
      <w:tblPr/>
      <w:tcPr>
        <w:tcBorders>
          <w:top w:val="single" w:sz="4" w:space="0" w:color="216B99" w:themeColor="accent4"/>
          <w:left w:val="single" w:sz="4" w:space="0" w:color="216B99" w:themeColor="accent4"/>
          <w:bottom w:val="single" w:sz="4" w:space="0" w:color="216B99" w:themeColor="accent4"/>
          <w:right w:val="single" w:sz="4" w:space="0" w:color="216B99" w:themeColor="accent4"/>
          <w:insideH w:val="nil"/>
          <w:insideV w:val="nil"/>
        </w:tcBorders>
        <w:shd w:val="clear" w:color="auto" w:fill="216B99" w:themeFill="accent4"/>
      </w:tcPr>
    </w:tblStylePr>
    <w:tblStylePr w:type="lastRow">
      <w:rPr>
        <w:b/>
        <w:bCs/>
      </w:rPr>
      <w:tblPr/>
      <w:tcPr>
        <w:tcBorders>
          <w:top w:val="double" w:sz="4" w:space="0" w:color="216B99" w:themeColor="accent4"/>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GridTable4-Accent51">
    <w:name w:val="Grid Table 4 - Accent 51"/>
    <w:basedOn w:val="TableNormal"/>
    <w:uiPriority w:val="49"/>
    <w:rsid w:val="003075F9"/>
    <w:pPr>
      <w:spacing w:after="0" w:line="240" w:lineRule="auto"/>
    </w:pPr>
    <w:rPr>
      <w:rFonts w:eastAsiaTheme="minorEastAsia"/>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color w:val="FFFFFF" w:themeColor="background1"/>
      </w:rPr>
      <w:tblPr/>
      <w:tcPr>
        <w:tcBorders>
          <w:top w:val="single" w:sz="4" w:space="0" w:color="41AC4C" w:themeColor="accent5"/>
          <w:left w:val="single" w:sz="4" w:space="0" w:color="41AC4C" w:themeColor="accent5"/>
          <w:bottom w:val="single" w:sz="4" w:space="0" w:color="41AC4C" w:themeColor="accent5"/>
          <w:right w:val="single" w:sz="4" w:space="0" w:color="41AC4C" w:themeColor="accent5"/>
          <w:insideH w:val="nil"/>
          <w:insideV w:val="nil"/>
        </w:tcBorders>
        <w:shd w:val="clear" w:color="auto" w:fill="41AC4C" w:themeFill="accent5"/>
      </w:tcPr>
    </w:tblStylePr>
    <w:tblStylePr w:type="lastRow">
      <w:rPr>
        <w:b/>
        <w:bCs/>
      </w:rPr>
      <w:tblPr/>
      <w:tcPr>
        <w:tcBorders>
          <w:top w:val="double" w:sz="4" w:space="0" w:color="41AC4C" w:themeColor="accent5"/>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GridTable4-Accent61">
    <w:name w:val="Grid Table 4 - Accent 61"/>
    <w:basedOn w:val="TableNormal"/>
    <w:uiPriority w:val="49"/>
    <w:rsid w:val="003075F9"/>
    <w:pPr>
      <w:spacing w:after="0" w:line="240" w:lineRule="auto"/>
    </w:pPr>
    <w:rPr>
      <w:rFonts w:eastAsiaTheme="minorEastAsia"/>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color w:val="FFFFFF" w:themeColor="background1"/>
      </w:rPr>
      <w:tblPr/>
      <w:tcPr>
        <w:tcBorders>
          <w:top w:val="single" w:sz="4" w:space="0" w:color="8E3F91" w:themeColor="accent6"/>
          <w:left w:val="single" w:sz="4" w:space="0" w:color="8E3F91" w:themeColor="accent6"/>
          <w:bottom w:val="single" w:sz="4" w:space="0" w:color="8E3F91" w:themeColor="accent6"/>
          <w:right w:val="single" w:sz="4" w:space="0" w:color="8E3F91" w:themeColor="accent6"/>
          <w:insideH w:val="nil"/>
          <w:insideV w:val="nil"/>
        </w:tcBorders>
        <w:shd w:val="clear" w:color="auto" w:fill="8E3F91" w:themeFill="accent6"/>
      </w:tcPr>
    </w:tblStylePr>
    <w:tblStylePr w:type="lastRow">
      <w:rPr>
        <w:b/>
        <w:bCs/>
      </w:rPr>
      <w:tblPr/>
      <w:tcPr>
        <w:tcBorders>
          <w:top w:val="double" w:sz="4" w:space="0" w:color="8E3F91" w:themeColor="accent6"/>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GridTable5Dark1">
    <w:name w:val="Grid Table 5 Dark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2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B6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B6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B6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B6BC" w:themeFill="accent1"/>
      </w:tcPr>
    </w:tblStylePr>
    <w:tblStylePr w:type="band1Vert">
      <w:tblPr/>
      <w:tcPr>
        <w:shd w:val="clear" w:color="auto" w:fill="A7E6E9" w:themeFill="accent1" w:themeFillTint="66"/>
      </w:tcPr>
    </w:tblStylePr>
    <w:tblStylePr w:type="band1Horz">
      <w:tblPr/>
      <w:tcPr>
        <w:shd w:val="clear" w:color="auto" w:fill="A7E6E9" w:themeFill="accent1" w:themeFillTint="66"/>
      </w:tcPr>
    </w:tblStylePr>
  </w:style>
  <w:style w:type="table" w:customStyle="1" w:styleId="GridTable5Dark-Accent21">
    <w:name w:val="Grid Table 5 Dark - Accent 2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9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9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9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95" w:themeFill="accent2"/>
      </w:tcPr>
    </w:tblStylePr>
    <w:tblStylePr w:type="band1Vert">
      <w:tblPr/>
      <w:tcPr>
        <w:shd w:val="clear" w:color="auto" w:fill="6FFFFD" w:themeFill="accent2" w:themeFillTint="66"/>
      </w:tcPr>
    </w:tblStylePr>
    <w:tblStylePr w:type="band1Horz">
      <w:tblPr/>
      <w:tcPr>
        <w:shd w:val="clear" w:color="auto" w:fill="6FFFFD" w:themeFill="accent2" w:themeFillTint="66"/>
      </w:tcPr>
    </w:tblStylePr>
  </w:style>
  <w:style w:type="table" w:customStyle="1" w:styleId="GridTable5Dark-Accent31">
    <w:name w:val="Grid Table 5 Dark - Accent 3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6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6C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6C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6C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6C7" w:themeFill="accent3"/>
      </w:tcPr>
    </w:tblStylePr>
    <w:tblStylePr w:type="band1Vert">
      <w:tblPr/>
      <w:tcPr>
        <w:shd w:val="clear" w:color="auto" w:fill="A6CEEC" w:themeFill="accent3" w:themeFillTint="66"/>
      </w:tcPr>
    </w:tblStylePr>
    <w:tblStylePr w:type="band1Horz">
      <w:tblPr/>
      <w:tcPr>
        <w:shd w:val="clear" w:color="auto" w:fill="A6CEEC" w:themeFill="accent3" w:themeFillTint="66"/>
      </w:tcPr>
    </w:tblStylePr>
  </w:style>
  <w:style w:type="table" w:customStyle="1" w:styleId="GridTable5Dark-Accent41">
    <w:name w:val="Grid Table 5 Dark - Accent 4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3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6B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6B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6B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6B99" w:themeFill="accent4"/>
      </w:tcPr>
    </w:tblStylePr>
    <w:tblStylePr w:type="band1Vert">
      <w:tblPr/>
      <w:tcPr>
        <w:shd w:val="clear" w:color="auto" w:fill="94C7E8" w:themeFill="accent4" w:themeFillTint="66"/>
      </w:tcPr>
    </w:tblStylePr>
    <w:tblStylePr w:type="band1Horz">
      <w:tblPr/>
      <w:tcPr>
        <w:shd w:val="clear" w:color="auto" w:fill="94C7E8" w:themeFill="accent4" w:themeFillTint="66"/>
      </w:tcPr>
    </w:tblStylePr>
  </w:style>
  <w:style w:type="table" w:customStyle="1" w:styleId="GridTable5Dark-Accent51">
    <w:name w:val="Grid Table 5 Dark - Accent 5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5"/>
      </w:tcPr>
    </w:tblStylePr>
    <w:tblStylePr w:type="band1Vert">
      <w:tblPr/>
      <w:tcPr>
        <w:shd w:val="clear" w:color="auto" w:fill="AFE1B4" w:themeFill="accent5" w:themeFillTint="66"/>
      </w:tcPr>
    </w:tblStylePr>
    <w:tblStylePr w:type="band1Horz">
      <w:tblPr/>
      <w:tcPr>
        <w:shd w:val="clear" w:color="auto" w:fill="AFE1B4" w:themeFill="accent5" w:themeFillTint="66"/>
      </w:tcPr>
    </w:tblStylePr>
  </w:style>
  <w:style w:type="table" w:customStyle="1" w:styleId="GridTable5Dark-Accent61">
    <w:name w:val="Grid Table 5 Dark - Accent 6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4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3F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3F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3F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3F91" w:themeFill="accent6"/>
      </w:tcPr>
    </w:tblStylePr>
    <w:tblStylePr w:type="band1Vert">
      <w:tblPr/>
      <w:tcPr>
        <w:shd w:val="clear" w:color="auto" w:fill="D8AADA" w:themeFill="accent6" w:themeFillTint="66"/>
      </w:tcPr>
    </w:tblStylePr>
    <w:tblStylePr w:type="band1Horz">
      <w:tblPr/>
      <w:tcPr>
        <w:shd w:val="clear" w:color="auto" w:fill="D8AADA" w:themeFill="accent6" w:themeFillTint="66"/>
      </w:tcPr>
    </w:tblStylePr>
  </w:style>
  <w:style w:type="table" w:customStyle="1" w:styleId="GridTable6Colorful1">
    <w:name w:val="Grid Table 6 Colorful1"/>
    <w:basedOn w:val="TableNormal"/>
    <w:uiPriority w:val="51"/>
    <w:rsid w:val="003075F9"/>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3075F9"/>
    <w:pPr>
      <w:spacing w:after="0" w:line="240" w:lineRule="auto"/>
    </w:pPr>
    <w:rPr>
      <w:rFonts w:eastAsiaTheme="minorEastAsia"/>
      <w:color w:val="23888C" w:themeColor="accent1" w:themeShade="BF"/>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Pr>
    <w:tblStylePr w:type="firstRow">
      <w:rPr>
        <w:b/>
        <w:bCs/>
      </w:rPr>
      <w:tblPr/>
      <w:tcPr>
        <w:tcBorders>
          <w:bottom w:val="single" w:sz="12" w:space="0" w:color="7BD9DE" w:themeColor="accent1" w:themeTint="99"/>
        </w:tcBorders>
      </w:tcPr>
    </w:tblStylePr>
    <w:tblStylePr w:type="lastRow">
      <w:rPr>
        <w:b/>
        <w:bCs/>
      </w:rPr>
      <w:tblPr/>
      <w:tcPr>
        <w:tcBorders>
          <w:top w:val="double" w:sz="4" w:space="0" w:color="7BD9DE" w:themeColor="accent1" w:themeTint="99"/>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GridTable6Colorful-Accent21">
    <w:name w:val="Grid Table 6 Colorful - Accent 21"/>
    <w:basedOn w:val="TableNormal"/>
    <w:uiPriority w:val="51"/>
    <w:rsid w:val="003075F9"/>
    <w:pPr>
      <w:spacing w:after="0" w:line="240" w:lineRule="auto"/>
    </w:pPr>
    <w:rPr>
      <w:rFonts w:eastAsiaTheme="minorEastAsia"/>
      <w:color w:val="00706F" w:themeColor="accent2" w:themeShade="BF"/>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Pr>
    <w:tblStylePr w:type="firstRow">
      <w:rPr>
        <w:b/>
        <w:bCs/>
      </w:rPr>
      <w:tblPr/>
      <w:tcPr>
        <w:tcBorders>
          <w:bottom w:val="single" w:sz="12" w:space="0" w:color="27FFFD" w:themeColor="accent2" w:themeTint="99"/>
        </w:tcBorders>
      </w:tcPr>
    </w:tblStylePr>
    <w:tblStylePr w:type="lastRow">
      <w:rPr>
        <w:b/>
        <w:bCs/>
      </w:rPr>
      <w:tblPr/>
      <w:tcPr>
        <w:tcBorders>
          <w:top w:val="double" w:sz="4" w:space="0" w:color="27FFFD" w:themeColor="accent2" w:themeTint="99"/>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GridTable6Colorful-Accent31">
    <w:name w:val="Grid Table 6 Colorful - Accent 31"/>
    <w:basedOn w:val="TableNormal"/>
    <w:uiPriority w:val="51"/>
    <w:rsid w:val="003075F9"/>
    <w:pPr>
      <w:spacing w:after="0" w:line="240" w:lineRule="auto"/>
    </w:pPr>
    <w:rPr>
      <w:rFonts w:eastAsiaTheme="minorEastAsia"/>
      <w:color w:val="206394" w:themeColor="accent3" w:themeShade="BF"/>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Pr>
    <w:tblStylePr w:type="firstRow">
      <w:rPr>
        <w:b/>
        <w:bCs/>
      </w:rPr>
      <w:tblPr/>
      <w:tcPr>
        <w:tcBorders>
          <w:bottom w:val="single" w:sz="12" w:space="0" w:color="7AB6E2" w:themeColor="accent3" w:themeTint="99"/>
        </w:tcBorders>
      </w:tcPr>
    </w:tblStylePr>
    <w:tblStylePr w:type="lastRow">
      <w:rPr>
        <w:b/>
        <w:bCs/>
      </w:rPr>
      <w:tblPr/>
      <w:tcPr>
        <w:tcBorders>
          <w:top w:val="double" w:sz="4" w:space="0" w:color="7AB6E2" w:themeColor="accent3" w:themeTint="99"/>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GridTable6Colorful-Accent41">
    <w:name w:val="Grid Table 6 Colorful - Accent 41"/>
    <w:basedOn w:val="TableNormal"/>
    <w:uiPriority w:val="51"/>
    <w:rsid w:val="003075F9"/>
    <w:pPr>
      <w:spacing w:after="0" w:line="240" w:lineRule="auto"/>
    </w:pPr>
    <w:rPr>
      <w:rFonts w:eastAsiaTheme="minorEastAsia"/>
      <w:color w:val="184F72" w:themeColor="accent4" w:themeShade="BF"/>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rPr>
      <w:tblPr/>
      <w:tcPr>
        <w:tcBorders>
          <w:bottom w:val="single" w:sz="12" w:space="0" w:color="5EACDC" w:themeColor="accent4" w:themeTint="99"/>
        </w:tcBorders>
      </w:tcPr>
    </w:tblStylePr>
    <w:tblStylePr w:type="lastRow">
      <w:rPr>
        <w:b/>
        <w:bCs/>
      </w:rPr>
      <w:tblPr/>
      <w:tcPr>
        <w:tcBorders>
          <w:top w:val="doub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GridTable6Colorful-Accent51">
    <w:name w:val="Grid Table 6 Colorful - Accent 51"/>
    <w:basedOn w:val="TableNormal"/>
    <w:uiPriority w:val="51"/>
    <w:rsid w:val="003075F9"/>
    <w:pPr>
      <w:spacing w:after="0" w:line="240" w:lineRule="auto"/>
    </w:pPr>
    <w:rPr>
      <w:rFonts w:eastAsiaTheme="minorEastAsia"/>
      <w:color w:val="308038" w:themeColor="accent5" w:themeShade="BF"/>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rPr>
      <w:tblPr/>
      <w:tcPr>
        <w:tcBorders>
          <w:bottom w:val="single" w:sz="12" w:space="0" w:color="88D28F" w:themeColor="accent5" w:themeTint="99"/>
        </w:tcBorders>
      </w:tcPr>
    </w:tblStylePr>
    <w:tblStylePr w:type="lastRow">
      <w:rPr>
        <w:b/>
        <w:bCs/>
      </w:rPr>
      <w:tblPr/>
      <w:tcPr>
        <w:tcBorders>
          <w:top w:val="doub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GridTable6Colorful-Accent61">
    <w:name w:val="Grid Table 6 Colorful - Accent 61"/>
    <w:basedOn w:val="TableNormal"/>
    <w:uiPriority w:val="51"/>
    <w:rsid w:val="003075F9"/>
    <w:pPr>
      <w:spacing w:after="0" w:line="240" w:lineRule="auto"/>
    </w:pPr>
    <w:rPr>
      <w:rFonts w:eastAsiaTheme="minorEastAsia"/>
      <w:color w:val="6A2F6C" w:themeColor="accent6" w:themeShade="BF"/>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rPr>
      <w:tblPr/>
      <w:tcPr>
        <w:tcBorders>
          <w:bottom w:val="single" w:sz="12" w:space="0" w:color="C580C8" w:themeColor="accent6" w:themeTint="99"/>
        </w:tcBorders>
      </w:tcPr>
    </w:tblStylePr>
    <w:tblStylePr w:type="lastRow">
      <w:rPr>
        <w:b/>
        <w:bCs/>
      </w:rPr>
      <w:tblPr/>
      <w:tcPr>
        <w:tcBorders>
          <w:top w:val="doub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GridTable7Colorful1">
    <w:name w:val="Grid Table 7 Colorful1"/>
    <w:basedOn w:val="TableNormal"/>
    <w:uiPriority w:val="52"/>
    <w:rsid w:val="003075F9"/>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3075F9"/>
    <w:pPr>
      <w:spacing w:after="0" w:line="240" w:lineRule="auto"/>
    </w:pPr>
    <w:rPr>
      <w:rFonts w:eastAsiaTheme="minorEastAsia"/>
      <w:color w:val="23888C" w:themeColor="accent1" w:themeShade="BF"/>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2F4" w:themeFill="accent1" w:themeFillTint="33"/>
      </w:tcPr>
    </w:tblStylePr>
    <w:tblStylePr w:type="band1Horz">
      <w:tblPr/>
      <w:tcPr>
        <w:shd w:val="clear" w:color="auto" w:fill="D3F2F4" w:themeFill="accent1" w:themeFillTint="33"/>
      </w:tcPr>
    </w:tblStylePr>
    <w:tblStylePr w:type="neCell">
      <w:tblPr/>
      <w:tcPr>
        <w:tcBorders>
          <w:bottom w:val="single" w:sz="4" w:space="0" w:color="7BD9DE" w:themeColor="accent1" w:themeTint="99"/>
        </w:tcBorders>
      </w:tcPr>
    </w:tblStylePr>
    <w:tblStylePr w:type="nwCell">
      <w:tblPr/>
      <w:tcPr>
        <w:tcBorders>
          <w:bottom w:val="single" w:sz="4" w:space="0" w:color="7BD9DE" w:themeColor="accent1" w:themeTint="99"/>
        </w:tcBorders>
      </w:tcPr>
    </w:tblStylePr>
    <w:tblStylePr w:type="seCell">
      <w:tblPr/>
      <w:tcPr>
        <w:tcBorders>
          <w:top w:val="single" w:sz="4" w:space="0" w:color="7BD9DE" w:themeColor="accent1" w:themeTint="99"/>
        </w:tcBorders>
      </w:tcPr>
    </w:tblStylePr>
    <w:tblStylePr w:type="swCell">
      <w:tblPr/>
      <w:tcPr>
        <w:tcBorders>
          <w:top w:val="single" w:sz="4" w:space="0" w:color="7BD9DE" w:themeColor="accent1" w:themeTint="99"/>
        </w:tcBorders>
      </w:tcPr>
    </w:tblStylePr>
  </w:style>
  <w:style w:type="table" w:customStyle="1" w:styleId="GridTable7Colorful-Accent21">
    <w:name w:val="Grid Table 7 Colorful - Accent 21"/>
    <w:basedOn w:val="TableNormal"/>
    <w:uiPriority w:val="52"/>
    <w:rsid w:val="003075F9"/>
    <w:pPr>
      <w:spacing w:after="0" w:line="240" w:lineRule="auto"/>
    </w:pPr>
    <w:rPr>
      <w:rFonts w:eastAsiaTheme="minorEastAsia"/>
      <w:color w:val="00706F" w:themeColor="accent2" w:themeShade="BF"/>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FE" w:themeFill="accent2" w:themeFillTint="33"/>
      </w:tcPr>
    </w:tblStylePr>
    <w:tblStylePr w:type="band1Horz">
      <w:tblPr/>
      <w:tcPr>
        <w:shd w:val="clear" w:color="auto" w:fill="B7FFFE" w:themeFill="accent2" w:themeFillTint="33"/>
      </w:tcPr>
    </w:tblStylePr>
    <w:tblStylePr w:type="neCell">
      <w:tblPr/>
      <w:tcPr>
        <w:tcBorders>
          <w:bottom w:val="single" w:sz="4" w:space="0" w:color="27FFFD" w:themeColor="accent2" w:themeTint="99"/>
        </w:tcBorders>
      </w:tcPr>
    </w:tblStylePr>
    <w:tblStylePr w:type="nwCell">
      <w:tblPr/>
      <w:tcPr>
        <w:tcBorders>
          <w:bottom w:val="single" w:sz="4" w:space="0" w:color="27FFFD" w:themeColor="accent2" w:themeTint="99"/>
        </w:tcBorders>
      </w:tcPr>
    </w:tblStylePr>
    <w:tblStylePr w:type="seCell">
      <w:tblPr/>
      <w:tcPr>
        <w:tcBorders>
          <w:top w:val="single" w:sz="4" w:space="0" w:color="27FFFD" w:themeColor="accent2" w:themeTint="99"/>
        </w:tcBorders>
      </w:tcPr>
    </w:tblStylePr>
    <w:tblStylePr w:type="swCell">
      <w:tblPr/>
      <w:tcPr>
        <w:tcBorders>
          <w:top w:val="single" w:sz="4" w:space="0" w:color="27FFFD" w:themeColor="accent2" w:themeTint="99"/>
        </w:tcBorders>
      </w:tcPr>
    </w:tblStylePr>
  </w:style>
  <w:style w:type="table" w:customStyle="1" w:styleId="GridTable7Colorful-Accent31">
    <w:name w:val="Grid Table 7 Colorful - Accent 31"/>
    <w:basedOn w:val="TableNormal"/>
    <w:uiPriority w:val="52"/>
    <w:rsid w:val="003075F9"/>
    <w:pPr>
      <w:spacing w:after="0" w:line="240" w:lineRule="auto"/>
    </w:pPr>
    <w:rPr>
      <w:rFonts w:eastAsiaTheme="minorEastAsia"/>
      <w:color w:val="206394" w:themeColor="accent3" w:themeShade="BF"/>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6F5" w:themeFill="accent3" w:themeFillTint="33"/>
      </w:tcPr>
    </w:tblStylePr>
    <w:tblStylePr w:type="band1Horz">
      <w:tblPr/>
      <w:tcPr>
        <w:shd w:val="clear" w:color="auto" w:fill="D2E6F5" w:themeFill="accent3" w:themeFillTint="33"/>
      </w:tcPr>
    </w:tblStylePr>
    <w:tblStylePr w:type="neCell">
      <w:tblPr/>
      <w:tcPr>
        <w:tcBorders>
          <w:bottom w:val="single" w:sz="4" w:space="0" w:color="7AB6E2" w:themeColor="accent3" w:themeTint="99"/>
        </w:tcBorders>
      </w:tcPr>
    </w:tblStylePr>
    <w:tblStylePr w:type="nwCell">
      <w:tblPr/>
      <w:tcPr>
        <w:tcBorders>
          <w:bottom w:val="single" w:sz="4" w:space="0" w:color="7AB6E2" w:themeColor="accent3" w:themeTint="99"/>
        </w:tcBorders>
      </w:tcPr>
    </w:tblStylePr>
    <w:tblStylePr w:type="seCell">
      <w:tblPr/>
      <w:tcPr>
        <w:tcBorders>
          <w:top w:val="single" w:sz="4" w:space="0" w:color="7AB6E2" w:themeColor="accent3" w:themeTint="99"/>
        </w:tcBorders>
      </w:tcPr>
    </w:tblStylePr>
    <w:tblStylePr w:type="swCell">
      <w:tblPr/>
      <w:tcPr>
        <w:tcBorders>
          <w:top w:val="single" w:sz="4" w:space="0" w:color="7AB6E2" w:themeColor="accent3" w:themeTint="99"/>
        </w:tcBorders>
      </w:tcPr>
    </w:tblStylePr>
  </w:style>
  <w:style w:type="table" w:customStyle="1" w:styleId="GridTable7Colorful-Accent41">
    <w:name w:val="Grid Table 7 Colorful - Accent 41"/>
    <w:basedOn w:val="TableNormal"/>
    <w:uiPriority w:val="52"/>
    <w:rsid w:val="003075F9"/>
    <w:pPr>
      <w:spacing w:after="0" w:line="240" w:lineRule="auto"/>
    </w:pPr>
    <w:rPr>
      <w:rFonts w:eastAsiaTheme="minorEastAsia"/>
      <w:color w:val="184F72" w:themeColor="accent4" w:themeShade="BF"/>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bottom w:val="single" w:sz="4" w:space="0" w:color="5EACDC" w:themeColor="accent4" w:themeTint="99"/>
        </w:tcBorders>
      </w:tcPr>
    </w:tblStylePr>
    <w:tblStylePr w:type="nwCell">
      <w:tblPr/>
      <w:tcPr>
        <w:tcBorders>
          <w:bottom w:val="single" w:sz="4" w:space="0" w:color="5EACDC" w:themeColor="accent4" w:themeTint="99"/>
        </w:tcBorders>
      </w:tcPr>
    </w:tblStylePr>
    <w:tblStylePr w:type="seCell">
      <w:tblPr/>
      <w:tcPr>
        <w:tcBorders>
          <w:top w:val="single" w:sz="4" w:space="0" w:color="5EACDC" w:themeColor="accent4" w:themeTint="99"/>
        </w:tcBorders>
      </w:tcPr>
    </w:tblStylePr>
    <w:tblStylePr w:type="swCell">
      <w:tblPr/>
      <w:tcPr>
        <w:tcBorders>
          <w:top w:val="single" w:sz="4" w:space="0" w:color="5EACDC" w:themeColor="accent4" w:themeTint="99"/>
        </w:tcBorders>
      </w:tcPr>
    </w:tblStylePr>
  </w:style>
  <w:style w:type="table" w:customStyle="1" w:styleId="GridTable7Colorful-Accent51">
    <w:name w:val="Grid Table 7 Colorful - Accent 51"/>
    <w:basedOn w:val="TableNormal"/>
    <w:uiPriority w:val="52"/>
    <w:rsid w:val="003075F9"/>
    <w:pPr>
      <w:spacing w:after="0" w:line="240" w:lineRule="auto"/>
    </w:pPr>
    <w:rPr>
      <w:rFonts w:eastAsiaTheme="minorEastAsia"/>
      <w:color w:val="308038" w:themeColor="accent5" w:themeShade="BF"/>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bottom w:val="single" w:sz="4" w:space="0" w:color="88D28F" w:themeColor="accent5" w:themeTint="99"/>
        </w:tcBorders>
      </w:tcPr>
    </w:tblStylePr>
    <w:tblStylePr w:type="nwCell">
      <w:tblPr/>
      <w:tcPr>
        <w:tcBorders>
          <w:bottom w:val="single" w:sz="4" w:space="0" w:color="88D28F" w:themeColor="accent5" w:themeTint="99"/>
        </w:tcBorders>
      </w:tcPr>
    </w:tblStylePr>
    <w:tblStylePr w:type="seCell">
      <w:tblPr/>
      <w:tcPr>
        <w:tcBorders>
          <w:top w:val="single" w:sz="4" w:space="0" w:color="88D28F" w:themeColor="accent5" w:themeTint="99"/>
        </w:tcBorders>
      </w:tcPr>
    </w:tblStylePr>
    <w:tblStylePr w:type="swCell">
      <w:tblPr/>
      <w:tcPr>
        <w:tcBorders>
          <w:top w:val="single" w:sz="4" w:space="0" w:color="88D28F" w:themeColor="accent5" w:themeTint="99"/>
        </w:tcBorders>
      </w:tcPr>
    </w:tblStylePr>
  </w:style>
  <w:style w:type="table" w:customStyle="1" w:styleId="GridTable7Colorful-Accent61">
    <w:name w:val="Grid Table 7 Colorful - Accent 61"/>
    <w:basedOn w:val="TableNormal"/>
    <w:uiPriority w:val="52"/>
    <w:rsid w:val="003075F9"/>
    <w:pPr>
      <w:spacing w:after="0" w:line="240" w:lineRule="auto"/>
    </w:pPr>
    <w:rPr>
      <w:rFonts w:eastAsiaTheme="minorEastAsia"/>
      <w:color w:val="6A2F6C" w:themeColor="accent6" w:themeShade="BF"/>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bottom w:val="single" w:sz="4" w:space="0" w:color="C580C8" w:themeColor="accent6" w:themeTint="99"/>
        </w:tcBorders>
      </w:tcPr>
    </w:tblStylePr>
    <w:tblStylePr w:type="nwCell">
      <w:tblPr/>
      <w:tcPr>
        <w:tcBorders>
          <w:bottom w:val="single" w:sz="4" w:space="0" w:color="C580C8" w:themeColor="accent6" w:themeTint="99"/>
        </w:tcBorders>
      </w:tcPr>
    </w:tblStylePr>
    <w:tblStylePr w:type="seCell">
      <w:tblPr/>
      <w:tcPr>
        <w:tcBorders>
          <w:top w:val="single" w:sz="4" w:space="0" w:color="C580C8" w:themeColor="accent6" w:themeTint="99"/>
        </w:tcBorders>
      </w:tcPr>
    </w:tblStylePr>
    <w:tblStylePr w:type="swCell">
      <w:tblPr/>
      <w:tcPr>
        <w:tcBorders>
          <w:top w:val="single" w:sz="4" w:space="0" w:color="C580C8" w:themeColor="accent6" w:themeTint="99"/>
        </w:tcBorders>
      </w:tcPr>
    </w:tblStylePr>
  </w:style>
  <w:style w:type="paragraph" w:styleId="Header">
    <w:name w:val="header"/>
    <w:aliases w:val="~Header"/>
    <w:basedOn w:val="NoSpacing"/>
    <w:link w:val="HeaderChar"/>
    <w:uiPriority w:val="36"/>
    <w:rsid w:val="003075F9"/>
    <w:rPr>
      <w:sz w:val="14"/>
      <w:szCs w:val="14"/>
    </w:rPr>
  </w:style>
  <w:style w:type="character" w:customStyle="1" w:styleId="HeaderChar">
    <w:name w:val="Header Char"/>
    <w:aliases w:val="~Header Char"/>
    <w:basedOn w:val="DefaultParagraphFont"/>
    <w:link w:val="Header"/>
    <w:uiPriority w:val="36"/>
    <w:rsid w:val="003075F9"/>
    <w:rPr>
      <w:rFonts w:eastAsiaTheme="minorEastAsia"/>
      <w:sz w:val="14"/>
      <w:szCs w:val="14"/>
      <w:lang w:val="en-GB"/>
    </w:rPr>
  </w:style>
  <w:style w:type="character" w:customStyle="1" w:styleId="Heading2Char">
    <w:name w:val="Heading 2 Char"/>
    <w:aliases w:val="~SubHeading Char"/>
    <w:basedOn w:val="DefaultParagraphFont"/>
    <w:link w:val="Heading2"/>
    <w:uiPriority w:val="2"/>
    <w:rsid w:val="003075F9"/>
    <w:rPr>
      <w:rFonts w:ascii="Arial" w:eastAsiaTheme="minorEastAsia" w:hAnsi="Arial" w:cs="Arial"/>
      <w:b/>
      <w:bCs/>
      <w:color w:val="2FB6BC" w:themeColor="accent1"/>
      <w:sz w:val="22"/>
      <w:szCs w:val="22"/>
    </w:rPr>
  </w:style>
  <w:style w:type="character" w:customStyle="1" w:styleId="Heading3Char">
    <w:name w:val="Heading 3 Char"/>
    <w:aliases w:val="~MinorSubHeading Char"/>
    <w:basedOn w:val="DefaultParagraphFont"/>
    <w:link w:val="Heading3"/>
    <w:uiPriority w:val="2"/>
    <w:rsid w:val="003075F9"/>
    <w:rPr>
      <w:rFonts w:ascii="Arial" w:eastAsiaTheme="minorEastAsia" w:hAnsi="Arial" w:cs="Arial"/>
      <w:b/>
      <w:bCs/>
      <w:color w:val="2FB6BC" w:themeColor="accent1"/>
    </w:rPr>
  </w:style>
  <w:style w:type="character" w:customStyle="1" w:styleId="Heading4Char">
    <w:name w:val="Heading 4 Char"/>
    <w:aliases w:val="~Level4Heading Char"/>
    <w:basedOn w:val="DefaultParagraphFont"/>
    <w:link w:val="Heading4"/>
    <w:uiPriority w:val="2"/>
    <w:rsid w:val="006E7AB6"/>
    <w:rPr>
      <w:rFonts w:ascii="Arial" w:eastAsiaTheme="minorEastAsia" w:hAnsi="Arial" w:cs="Arial"/>
      <w:color w:val="2FB6BC" w:themeColor="accent1"/>
    </w:rPr>
  </w:style>
  <w:style w:type="character" w:customStyle="1" w:styleId="Heading5Char">
    <w:name w:val="Heading 5 Char"/>
    <w:basedOn w:val="DefaultParagraphFont"/>
    <w:link w:val="Heading5"/>
    <w:uiPriority w:val="34"/>
    <w:semiHidden/>
    <w:rsid w:val="003075F9"/>
    <w:rPr>
      <w:rFonts w:eastAsiaTheme="majorEastAsia" w:cstheme="majorBidi"/>
      <w:color w:val="2FB6BC" w:themeColor="accent1"/>
      <w:sz w:val="22"/>
      <w:szCs w:val="22"/>
      <w:lang w:val="en-GB"/>
    </w:rPr>
  </w:style>
  <w:style w:type="character" w:customStyle="1" w:styleId="Heading6Char">
    <w:name w:val="Heading 6 Char"/>
    <w:basedOn w:val="DefaultParagraphFont"/>
    <w:link w:val="Heading6"/>
    <w:uiPriority w:val="34"/>
    <w:semiHidden/>
    <w:rsid w:val="003075F9"/>
    <w:rPr>
      <w:rFonts w:eastAsiaTheme="majorEastAsia" w:cstheme="majorBidi"/>
      <w:i/>
      <w:iCs/>
      <w:color w:val="2FB6BC" w:themeColor="accent1"/>
      <w:sz w:val="22"/>
      <w:szCs w:val="22"/>
      <w:lang w:val="en-GB"/>
    </w:rPr>
  </w:style>
  <w:style w:type="character" w:customStyle="1" w:styleId="Heading7Char">
    <w:name w:val="Heading 7 Char"/>
    <w:basedOn w:val="DefaultParagraphFont"/>
    <w:link w:val="Heading7"/>
    <w:uiPriority w:val="34"/>
    <w:semiHidden/>
    <w:rsid w:val="003075F9"/>
    <w:rPr>
      <w:rFonts w:eastAsiaTheme="majorEastAsia" w:cstheme="majorBidi"/>
      <w:iCs/>
      <w:color w:val="2FB6BC" w:themeColor="accent1"/>
      <w:sz w:val="22"/>
      <w:szCs w:val="22"/>
      <w:lang w:val="en-GB"/>
    </w:rPr>
  </w:style>
  <w:style w:type="character" w:customStyle="1" w:styleId="Heading8Char">
    <w:name w:val="Heading 8 Char"/>
    <w:basedOn w:val="DefaultParagraphFont"/>
    <w:link w:val="Heading8"/>
    <w:uiPriority w:val="34"/>
    <w:semiHidden/>
    <w:rsid w:val="003075F9"/>
    <w:rPr>
      <w:rFonts w:asciiTheme="majorHAnsi" w:eastAsiaTheme="majorEastAsia" w:hAnsiTheme="majorHAnsi" w:cstheme="majorBidi"/>
      <w:lang w:val="en-GB"/>
    </w:rPr>
  </w:style>
  <w:style w:type="character" w:customStyle="1" w:styleId="Heading9Char">
    <w:name w:val="Heading 9 Char"/>
    <w:basedOn w:val="DefaultParagraphFont"/>
    <w:link w:val="Heading9"/>
    <w:uiPriority w:val="34"/>
    <w:semiHidden/>
    <w:rsid w:val="003075F9"/>
    <w:rPr>
      <w:rFonts w:asciiTheme="majorHAnsi" w:eastAsiaTheme="majorEastAsia" w:hAnsiTheme="majorHAnsi" w:cstheme="majorBidi"/>
      <w:i/>
      <w:iCs/>
      <w:lang w:val="en-GB"/>
    </w:rPr>
  </w:style>
  <w:style w:type="character" w:styleId="HTMLAcronym">
    <w:name w:val="HTML Acronym"/>
    <w:basedOn w:val="DefaultParagraphFont"/>
    <w:uiPriority w:val="99"/>
    <w:semiHidden/>
    <w:unhideWhenUsed/>
    <w:rsid w:val="003075F9"/>
    <w:rPr>
      <w:bCs w:val="0"/>
      <w:szCs w:val="20"/>
      <w:lang w:val="en-GB"/>
    </w:rPr>
  </w:style>
  <w:style w:type="paragraph" w:styleId="HTMLAddress">
    <w:name w:val="HTML Address"/>
    <w:basedOn w:val="Normal"/>
    <w:link w:val="HTMLAddressChar"/>
    <w:uiPriority w:val="99"/>
    <w:semiHidden/>
    <w:unhideWhenUsed/>
    <w:rsid w:val="003075F9"/>
    <w:pPr>
      <w:spacing w:before="0" w:after="0" w:line="240" w:lineRule="auto"/>
    </w:pPr>
    <w:rPr>
      <w:i/>
      <w:iCs/>
    </w:rPr>
  </w:style>
  <w:style w:type="character" w:customStyle="1" w:styleId="HTMLAddressChar">
    <w:name w:val="HTML Address Char"/>
    <w:basedOn w:val="DefaultParagraphFont"/>
    <w:link w:val="HTMLAddress"/>
    <w:uiPriority w:val="99"/>
    <w:semiHidden/>
    <w:rsid w:val="003075F9"/>
    <w:rPr>
      <w:rFonts w:eastAsiaTheme="minorEastAsia"/>
      <w:i/>
      <w:iCs/>
      <w:lang w:val="en-GB"/>
    </w:rPr>
  </w:style>
  <w:style w:type="character" w:styleId="HTMLCite">
    <w:name w:val="HTML Cite"/>
    <w:basedOn w:val="DefaultParagraphFont"/>
    <w:uiPriority w:val="99"/>
    <w:semiHidden/>
    <w:unhideWhenUsed/>
    <w:rsid w:val="003075F9"/>
    <w:rPr>
      <w:bCs w:val="0"/>
      <w:i/>
      <w:iCs/>
      <w:szCs w:val="20"/>
      <w:lang w:val="en-GB"/>
    </w:rPr>
  </w:style>
  <w:style w:type="character" w:styleId="HTMLCode">
    <w:name w:val="HTML Code"/>
    <w:basedOn w:val="DefaultParagraphFont"/>
    <w:uiPriority w:val="99"/>
    <w:semiHidden/>
    <w:unhideWhenUsed/>
    <w:rsid w:val="003075F9"/>
    <w:rPr>
      <w:rFonts w:ascii="Consolas" w:hAnsi="Consolas"/>
      <w:bCs w:val="0"/>
      <w:sz w:val="20"/>
      <w:szCs w:val="20"/>
      <w:lang w:val="en-GB"/>
    </w:rPr>
  </w:style>
  <w:style w:type="character" w:styleId="HTMLDefinition">
    <w:name w:val="HTML Definition"/>
    <w:basedOn w:val="DefaultParagraphFont"/>
    <w:uiPriority w:val="99"/>
    <w:semiHidden/>
    <w:unhideWhenUsed/>
    <w:rsid w:val="003075F9"/>
    <w:rPr>
      <w:bCs w:val="0"/>
      <w:i/>
      <w:iCs/>
      <w:szCs w:val="20"/>
      <w:lang w:val="en-GB"/>
    </w:rPr>
  </w:style>
  <w:style w:type="character" w:styleId="HTMLKeyboard">
    <w:name w:val="HTML Keyboard"/>
    <w:basedOn w:val="DefaultParagraphFont"/>
    <w:uiPriority w:val="99"/>
    <w:semiHidden/>
    <w:unhideWhenUsed/>
    <w:rsid w:val="003075F9"/>
    <w:rPr>
      <w:rFonts w:ascii="Consolas" w:hAnsi="Consolas"/>
      <w:bCs w:val="0"/>
      <w:sz w:val="20"/>
      <w:szCs w:val="20"/>
      <w:lang w:val="en-GB"/>
    </w:rPr>
  </w:style>
  <w:style w:type="paragraph" w:styleId="HTMLPreformatted">
    <w:name w:val="HTML Preformatted"/>
    <w:basedOn w:val="Normal"/>
    <w:link w:val="HTMLPreformattedChar"/>
    <w:uiPriority w:val="99"/>
    <w:semiHidden/>
    <w:unhideWhenUsed/>
    <w:rsid w:val="003075F9"/>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3075F9"/>
    <w:rPr>
      <w:rFonts w:ascii="Consolas" w:eastAsiaTheme="minorEastAsia" w:hAnsi="Consolas"/>
      <w:lang w:val="en-GB"/>
    </w:rPr>
  </w:style>
  <w:style w:type="character" w:styleId="HTMLSample">
    <w:name w:val="HTML Sample"/>
    <w:basedOn w:val="DefaultParagraphFont"/>
    <w:uiPriority w:val="99"/>
    <w:semiHidden/>
    <w:unhideWhenUsed/>
    <w:rsid w:val="003075F9"/>
    <w:rPr>
      <w:rFonts w:ascii="Consolas" w:hAnsi="Consolas"/>
      <w:bCs w:val="0"/>
      <w:sz w:val="24"/>
      <w:szCs w:val="24"/>
      <w:lang w:val="en-GB"/>
    </w:rPr>
  </w:style>
  <w:style w:type="character" w:styleId="HTMLTypewriter">
    <w:name w:val="HTML Typewriter"/>
    <w:basedOn w:val="DefaultParagraphFont"/>
    <w:uiPriority w:val="99"/>
    <w:semiHidden/>
    <w:unhideWhenUsed/>
    <w:rsid w:val="003075F9"/>
    <w:rPr>
      <w:rFonts w:ascii="Consolas" w:hAnsi="Consolas"/>
      <w:bCs w:val="0"/>
      <w:sz w:val="20"/>
      <w:szCs w:val="20"/>
      <w:lang w:val="en-GB"/>
    </w:rPr>
  </w:style>
  <w:style w:type="character" w:styleId="HTMLVariable">
    <w:name w:val="HTML Variable"/>
    <w:basedOn w:val="DefaultParagraphFont"/>
    <w:uiPriority w:val="99"/>
    <w:semiHidden/>
    <w:unhideWhenUsed/>
    <w:rsid w:val="003075F9"/>
    <w:rPr>
      <w:bCs w:val="0"/>
      <w:i/>
      <w:iCs/>
      <w:szCs w:val="20"/>
      <w:lang w:val="en-GB"/>
    </w:rPr>
  </w:style>
  <w:style w:type="character" w:styleId="Hyperlink">
    <w:name w:val="Hyperlink"/>
    <w:aliases w:val="~HyperLink"/>
    <w:basedOn w:val="DefaultParagraphFont"/>
    <w:uiPriority w:val="99"/>
    <w:unhideWhenUsed/>
    <w:rsid w:val="003075F9"/>
    <w:rPr>
      <w:bCs w:val="0"/>
      <w:color w:val="2FB6BC" w:themeColor="accent1"/>
      <w:szCs w:val="20"/>
      <w:u w:val="single"/>
      <w:lang w:val="en-GB"/>
    </w:rPr>
  </w:style>
  <w:style w:type="paragraph" w:styleId="Index1">
    <w:name w:val="index 1"/>
    <w:basedOn w:val="Normal"/>
    <w:next w:val="Normal"/>
    <w:autoRedefine/>
    <w:uiPriority w:val="99"/>
    <w:semiHidden/>
    <w:unhideWhenUsed/>
    <w:rsid w:val="003075F9"/>
    <w:pPr>
      <w:spacing w:before="0" w:after="0" w:line="240" w:lineRule="auto"/>
      <w:ind w:left="200" w:hanging="200"/>
    </w:pPr>
  </w:style>
  <w:style w:type="paragraph" w:styleId="Index2">
    <w:name w:val="index 2"/>
    <w:basedOn w:val="Normal"/>
    <w:next w:val="Normal"/>
    <w:autoRedefine/>
    <w:uiPriority w:val="99"/>
    <w:semiHidden/>
    <w:unhideWhenUsed/>
    <w:rsid w:val="003075F9"/>
    <w:pPr>
      <w:spacing w:before="0" w:after="0" w:line="240" w:lineRule="auto"/>
      <w:ind w:left="400" w:hanging="200"/>
    </w:pPr>
  </w:style>
  <w:style w:type="paragraph" w:styleId="Index3">
    <w:name w:val="index 3"/>
    <w:basedOn w:val="Normal"/>
    <w:next w:val="Normal"/>
    <w:autoRedefine/>
    <w:uiPriority w:val="99"/>
    <w:semiHidden/>
    <w:unhideWhenUsed/>
    <w:rsid w:val="003075F9"/>
    <w:pPr>
      <w:spacing w:before="0" w:after="0" w:line="240" w:lineRule="auto"/>
      <w:ind w:left="600" w:hanging="200"/>
    </w:pPr>
  </w:style>
  <w:style w:type="paragraph" w:styleId="Index4">
    <w:name w:val="index 4"/>
    <w:basedOn w:val="Normal"/>
    <w:next w:val="Normal"/>
    <w:autoRedefine/>
    <w:uiPriority w:val="99"/>
    <w:semiHidden/>
    <w:unhideWhenUsed/>
    <w:rsid w:val="003075F9"/>
    <w:pPr>
      <w:spacing w:before="0" w:after="0" w:line="240" w:lineRule="auto"/>
      <w:ind w:left="800" w:hanging="200"/>
    </w:pPr>
  </w:style>
  <w:style w:type="paragraph" w:styleId="Index5">
    <w:name w:val="index 5"/>
    <w:basedOn w:val="Normal"/>
    <w:next w:val="Normal"/>
    <w:autoRedefine/>
    <w:uiPriority w:val="99"/>
    <w:semiHidden/>
    <w:unhideWhenUsed/>
    <w:rsid w:val="003075F9"/>
    <w:pPr>
      <w:spacing w:before="0" w:after="0" w:line="240" w:lineRule="auto"/>
      <w:ind w:left="1000" w:hanging="200"/>
    </w:pPr>
  </w:style>
  <w:style w:type="paragraph" w:styleId="Index6">
    <w:name w:val="index 6"/>
    <w:basedOn w:val="Normal"/>
    <w:next w:val="Normal"/>
    <w:autoRedefine/>
    <w:uiPriority w:val="99"/>
    <w:semiHidden/>
    <w:unhideWhenUsed/>
    <w:rsid w:val="003075F9"/>
    <w:pPr>
      <w:spacing w:before="0" w:after="0" w:line="240" w:lineRule="auto"/>
      <w:ind w:left="1200" w:hanging="200"/>
    </w:pPr>
  </w:style>
  <w:style w:type="paragraph" w:styleId="Index7">
    <w:name w:val="index 7"/>
    <w:basedOn w:val="Normal"/>
    <w:next w:val="Normal"/>
    <w:autoRedefine/>
    <w:uiPriority w:val="99"/>
    <w:semiHidden/>
    <w:unhideWhenUsed/>
    <w:rsid w:val="003075F9"/>
    <w:pPr>
      <w:spacing w:before="0" w:after="0" w:line="240" w:lineRule="auto"/>
      <w:ind w:left="1400" w:hanging="200"/>
    </w:pPr>
  </w:style>
  <w:style w:type="paragraph" w:styleId="Index8">
    <w:name w:val="index 8"/>
    <w:basedOn w:val="Normal"/>
    <w:next w:val="Normal"/>
    <w:autoRedefine/>
    <w:uiPriority w:val="99"/>
    <w:semiHidden/>
    <w:unhideWhenUsed/>
    <w:rsid w:val="003075F9"/>
    <w:pPr>
      <w:spacing w:before="0" w:after="0" w:line="240" w:lineRule="auto"/>
      <w:ind w:left="1600" w:hanging="200"/>
    </w:pPr>
  </w:style>
  <w:style w:type="paragraph" w:styleId="Index9">
    <w:name w:val="index 9"/>
    <w:basedOn w:val="Normal"/>
    <w:next w:val="Normal"/>
    <w:autoRedefine/>
    <w:uiPriority w:val="99"/>
    <w:semiHidden/>
    <w:unhideWhenUsed/>
    <w:rsid w:val="003075F9"/>
    <w:pPr>
      <w:spacing w:before="0" w:after="0" w:line="240" w:lineRule="auto"/>
      <w:ind w:left="1800" w:hanging="200"/>
    </w:pPr>
  </w:style>
  <w:style w:type="paragraph" w:styleId="IndexHeading">
    <w:name w:val="index heading"/>
    <w:basedOn w:val="Normal"/>
    <w:next w:val="Index1"/>
    <w:uiPriority w:val="99"/>
    <w:semiHidden/>
    <w:unhideWhenUsed/>
    <w:rsid w:val="003075F9"/>
    <w:rPr>
      <w:rFonts w:asciiTheme="majorHAnsi" w:eastAsiaTheme="majorEastAsia" w:hAnsiTheme="majorHAnsi" w:cstheme="majorBidi"/>
      <w:b/>
      <w:bCs/>
    </w:rPr>
  </w:style>
  <w:style w:type="character" w:styleId="IntenseEmphasis">
    <w:name w:val="Intense Emphasis"/>
    <w:basedOn w:val="DefaultParagraphFont"/>
    <w:uiPriority w:val="39"/>
    <w:semiHidden/>
    <w:qFormat/>
    <w:rsid w:val="003075F9"/>
    <w:rPr>
      <w:bCs w:val="0"/>
      <w:i/>
      <w:iCs/>
      <w:color w:val="2FB6BC" w:themeColor="accent1"/>
      <w:szCs w:val="20"/>
      <w:lang w:val="en-GB"/>
    </w:rPr>
  </w:style>
  <w:style w:type="paragraph" w:styleId="IntenseQuote">
    <w:name w:val="Intense Quote"/>
    <w:basedOn w:val="Normal"/>
    <w:next w:val="Normal"/>
    <w:link w:val="IntenseQuoteChar"/>
    <w:uiPriority w:val="39"/>
    <w:semiHidden/>
    <w:qFormat/>
    <w:rsid w:val="003075F9"/>
    <w:pPr>
      <w:pBdr>
        <w:top w:val="single" w:sz="4" w:space="10" w:color="2FB6BC" w:themeColor="accent1"/>
        <w:bottom w:val="single" w:sz="4" w:space="10" w:color="2FB6BC" w:themeColor="accent1"/>
      </w:pBdr>
      <w:spacing w:before="360" w:after="360"/>
      <w:ind w:left="864" w:right="864"/>
      <w:jc w:val="center"/>
    </w:pPr>
    <w:rPr>
      <w:i/>
      <w:iCs/>
      <w:color w:val="2FB6BC" w:themeColor="accent1"/>
    </w:rPr>
  </w:style>
  <w:style w:type="character" w:customStyle="1" w:styleId="IntenseQuoteChar">
    <w:name w:val="Intense Quote Char"/>
    <w:basedOn w:val="DefaultParagraphFont"/>
    <w:link w:val="IntenseQuote"/>
    <w:uiPriority w:val="39"/>
    <w:semiHidden/>
    <w:rsid w:val="003075F9"/>
    <w:rPr>
      <w:rFonts w:eastAsiaTheme="minorEastAsia"/>
      <w:i/>
      <w:iCs/>
      <w:color w:val="2FB6BC" w:themeColor="accent1"/>
      <w:lang w:val="en-GB"/>
    </w:rPr>
  </w:style>
  <w:style w:type="character" w:styleId="IntenseReference">
    <w:name w:val="Intense Reference"/>
    <w:basedOn w:val="DefaultParagraphFont"/>
    <w:uiPriority w:val="39"/>
    <w:semiHidden/>
    <w:qFormat/>
    <w:rsid w:val="003075F9"/>
    <w:rPr>
      <w:b/>
      <w:bCs/>
      <w:smallCaps/>
      <w:color w:val="2FB6BC" w:themeColor="accent1"/>
      <w:spacing w:val="5"/>
      <w:szCs w:val="20"/>
      <w:lang w:val="en-GB"/>
    </w:rPr>
  </w:style>
  <w:style w:type="table" w:styleId="LightGrid">
    <w:name w:val="Light Grid"/>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2FB6BC" w:themeColor="accent1"/>
        <w:left w:val="single" w:sz="8" w:space="0" w:color="2FB6BC" w:themeColor="accent1"/>
        <w:bottom w:val="single" w:sz="8" w:space="0" w:color="2FB6BC" w:themeColor="accent1"/>
        <w:right w:val="single" w:sz="8" w:space="0" w:color="2FB6BC" w:themeColor="accent1"/>
        <w:insideH w:val="single" w:sz="8" w:space="0" w:color="2FB6BC" w:themeColor="accent1"/>
        <w:insideV w:val="single" w:sz="8" w:space="0" w:color="2FB6B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B6BC" w:themeColor="accent1"/>
          <w:left w:val="single" w:sz="8" w:space="0" w:color="2FB6BC" w:themeColor="accent1"/>
          <w:bottom w:val="single" w:sz="18" w:space="0" w:color="2FB6BC" w:themeColor="accent1"/>
          <w:right w:val="single" w:sz="8" w:space="0" w:color="2FB6BC" w:themeColor="accent1"/>
          <w:insideH w:val="nil"/>
          <w:insideV w:val="single" w:sz="8" w:space="0" w:color="2FB6B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B6BC" w:themeColor="accent1"/>
          <w:left w:val="single" w:sz="8" w:space="0" w:color="2FB6BC" w:themeColor="accent1"/>
          <w:bottom w:val="single" w:sz="8" w:space="0" w:color="2FB6BC" w:themeColor="accent1"/>
          <w:right w:val="single" w:sz="8" w:space="0" w:color="2FB6BC" w:themeColor="accent1"/>
          <w:insideH w:val="nil"/>
          <w:insideV w:val="single" w:sz="8" w:space="0" w:color="2FB6B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tcPr>
    </w:tblStylePr>
    <w:tblStylePr w:type="band1Vert">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shd w:val="clear" w:color="auto" w:fill="C8EFF1" w:themeFill="accent1" w:themeFillTint="3F"/>
      </w:tcPr>
    </w:tblStylePr>
    <w:tblStylePr w:type="band1Horz">
      <w:tblPr/>
      <w:tcPr>
        <w:tcBorders>
          <w:top w:val="single" w:sz="8" w:space="0" w:color="2FB6BC" w:themeColor="accent1"/>
          <w:left w:val="single" w:sz="8" w:space="0" w:color="2FB6BC" w:themeColor="accent1"/>
          <w:bottom w:val="single" w:sz="8" w:space="0" w:color="2FB6BC" w:themeColor="accent1"/>
          <w:right w:val="single" w:sz="8" w:space="0" w:color="2FB6BC" w:themeColor="accent1"/>
          <w:insideV w:val="single" w:sz="8" w:space="0" w:color="2FB6BC" w:themeColor="accent1"/>
        </w:tcBorders>
        <w:shd w:val="clear" w:color="auto" w:fill="C8EFF1" w:themeFill="accent1" w:themeFillTint="3F"/>
      </w:tcPr>
    </w:tblStylePr>
    <w:tblStylePr w:type="band2Horz">
      <w:tblPr/>
      <w:tcPr>
        <w:tcBorders>
          <w:top w:val="single" w:sz="8" w:space="0" w:color="2FB6BC" w:themeColor="accent1"/>
          <w:left w:val="single" w:sz="8" w:space="0" w:color="2FB6BC" w:themeColor="accent1"/>
          <w:bottom w:val="single" w:sz="8" w:space="0" w:color="2FB6BC" w:themeColor="accent1"/>
          <w:right w:val="single" w:sz="8" w:space="0" w:color="2FB6BC" w:themeColor="accent1"/>
          <w:insideV w:val="single" w:sz="8" w:space="0" w:color="2FB6BC" w:themeColor="accent1"/>
        </w:tcBorders>
      </w:tcPr>
    </w:tblStylePr>
  </w:style>
  <w:style w:type="table" w:styleId="LightGrid-Accent2">
    <w:name w:val="Light Grid Accent 2"/>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009695" w:themeColor="accent2"/>
        <w:left w:val="single" w:sz="8" w:space="0" w:color="009695" w:themeColor="accent2"/>
        <w:bottom w:val="single" w:sz="8" w:space="0" w:color="009695" w:themeColor="accent2"/>
        <w:right w:val="single" w:sz="8" w:space="0" w:color="009695" w:themeColor="accent2"/>
        <w:insideH w:val="single" w:sz="8" w:space="0" w:color="009695" w:themeColor="accent2"/>
        <w:insideV w:val="single" w:sz="8" w:space="0" w:color="00969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95" w:themeColor="accent2"/>
          <w:left w:val="single" w:sz="8" w:space="0" w:color="009695" w:themeColor="accent2"/>
          <w:bottom w:val="single" w:sz="18" w:space="0" w:color="009695" w:themeColor="accent2"/>
          <w:right w:val="single" w:sz="8" w:space="0" w:color="009695" w:themeColor="accent2"/>
          <w:insideH w:val="nil"/>
          <w:insideV w:val="single" w:sz="8" w:space="0" w:color="00969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95" w:themeColor="accent2"/>
          <w:left w:val="single" w:sz="8" w:space="0" w:color="009695" w:themeColor="accent2"/>
          <w:bottom w:val="single" w:sz="8" w:space="0" w:color="009695" w:themeColor="accent2"/>
          <w:right w:val="single" w:sz="8" w:space="0" w:color="009695" w:themeColor="accent2"/>
          <w:insideH w:val="nil"/>
          <w:insideV w:val="single" w:sz="8" w:space="0" w:color="00969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tcPr>
    </w:tblStylePr>
    <w:tblStylePr w:type="band1Vert">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shd w:val="clear" w:color="auto" w:fill="A6FFFE" w:themeFill="accent2" w:themeFillTint="3F"/>
      </w:tcPr>
    </w:tblStylePr>
    <w:tblStylePr w:type="band1Horz">
      <w:tblPr/>
      <w:tcPr>
        <w:tcBorders>
          <w:top w:val="single" w:sz="8" w:space="0" w:color="009695" w:themeColor="accent2"/>
          <w:left w:val="single" w:sz="8" w:space="0" w:color="009695" w:themeColor="accent2"/>
          <w:bottom w:val="single" w:sz="8" w:space="0" w:color="009695" w:themeColor="accent2"/>
          <w:right w:val="single" w:sz="8" w:space="0" w:color="009695" w:themeColor="accent2"/>
          <w:insideV w:val="single" w:sz="8" w:space="0" w:color="009695" w:themeColor="accent2"/>
        </w:tcBorders>
        <w:shd w:val="clear" w:color="auto" w:fill="A6FFFE" w:themeFill="accent2" w:themeFillTint="3F"/>
      </w:tcPr>
    </w:tblStylePr>
    <w:tblStylePr w:type="band2Horz">
      <w:tblPr/>
      <w:tcPr>
        <w:tcBorders>
          <w:top w:val="single" w:sz="8" w:space="0" w:color="009695" w:themeColor="accent2"/>
          <w:left w:val="single" w:sz="8" w:space="0" w:color="009695" w:themeColor="accent2"/>
          <w:bottom w:val="single" w:sz="8" w:space="0" w:color="009695" w:themeColor="accent2"/>
          <w:right w:val="single" w:sz="8" w:space="0" w:color="009695" w:themeColor="accent2"/>
          <w:insideV w:val="single" w:sz="8" w:space="0" w:color="009695" w:themeColor="accent2"/>
        </w:tcBorders>
      </w:tcPr>
    </w:tblStylePr>
  </w:style>
  <w:style w:type="table" w:styleId="LightGrid-Accent3">
    <w:name w:val="Light Grid Accent 3"/>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2B86C7" w:themeColor="accent3"/>
        <w:left w:val="single" w:sz="8" w:space="0" w:color="2B86C7" w:themeColor="accent3"/>
        <w:bottom w:val="single" w:sz="8" w:space="0" w:color="2B86C7" w:themeColor="accent3"/>
        <w:right w:val="single" w:sz="8" w:space="0" w:color="2B86C7" w:themeColor="accent3"/>
        <w:insideH w:val="single" w:sz="8" w:space="0" w:color="2B86C7" w:themeColor="accent3"/>
        <w:insideV w:val="single" w:sz="8" w:space="0" w:color="2B86C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86C7" w:themeColor="accent3"/>
          <w:left w:val="single" w:sz="8" w:space="0" w:color="2B86C7" w:themeColor="accent3"/>
          <w:bottom w:val="single" w:sz="18" w:space="0" w:color="2B86C7" w:themeColor="accent3"/>
          <w:right w:val="single" w:sz="8" w:space="0" w:color="2B86C7" w:themeColor="accent3"/>
          <w:insideH w:val="nil"/>
          <w:insideV w:val="single" w:sz="8" w:space="0" w:color="2B86C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86C7" w:themeColor="accent3"/>
          <w:left w:val="single" w:sz="8" w:space="0" w:color="2B86C7" w:themeColor="accent3"/>
          <w:bottom w:val="single" w:sz="8" w:space="0" w:color="2B86C7" w:themeColor="accent3"/>
          <w:right w:val="single" w:sz="8" w:space="0" w:color="2B86C7" w:themeColor="accent3"/>
          <w:insideH w:val="nil"/>
          <w:insideV w:val="single" w:sz="8" w:space="0" w:color="2B86C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tcPr>
    </w:tblStylePr>
    <w:tblStylePr w:type="band1Vert">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shd w:val="clear" w:color="auto" w:fill="C8E1F3" w:themeFill="accent3" w:themeFillTint="3F"/>
      </w:tcPr>
    </w:tblStylePr>
    <w:tblStylePr w:type="band1Horz">
      <w:tblPr/>
      <w:tcPr>
        <w:tcBorders>
          <w:top w:val="single" w:sz="8" w:space="0" w:color="2B86C7" w:themeColor="accent3"/>
          <w:left w:val="single" w:sz="8" w:space="0" w:color="2B86C7" w:themeColor="accent3"/>
          <w:bottom w:val="single" w:sz="8" w:space="0" w:color="2B86C7" w:themeColor="accent3"/>
          <w:right w:val="single" w:sz="8" w:space="0" w:color="2B86C7" w:themeColor="accent3"/>
          <w:insideV w:val="single" w:sz="8" w:space="0" w:color="2B86C7" w:themeColor="accent3"/>
        </w:tcBorders>
        <w:shd w:val="clear" w:color="auto" w:fill="C8E1F3" w:themeFill="accent3" w:themeFillTint="3F"/>
      </w:tcPr>
    </w:tblStylePr>
    <w:tblStylePr w:type="band2Horz">
      <w:tblPr/>
      <w:tcPr>
        <w:tcBorders>
          <w:top w:val="single" w:sz="8" w:space="0" w:color="2B86C7" w:themeColor="accent3"/>
          <w:left w:val="single" w:sz="8" w:space="0" w:color="2B86C7" w:themeColor="accent3"/>
          <w:bottom w:val="single" w:sz="8" w:space="0" w:color="2B86C7" w:themeColor="accent3"/>
          <w:right w:val="single" w:sz="8" w:space="0" w:color="2B86C7" w:themeColor="accent3"/>
          <w:insideV w:val="single" w:sz="8" w:space="0" w:color="2B86C7" w:themeColor="accent3"/>
        </w:tcBorders>
      </w:tcPr>
    </w:tblStylePr>
  </w:style>
  <w:style w:type="table" w:styleId="LightGrid-Accent4">
    <w:name w:val="Light Grid Accent 4"/>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insideH w:val="single" w:sz="8" w:space="0" w:color="216B99" w:themeColor="accent4"/>
        <w:insideV w:val="single" w:sz="8" w:space="0" w:color="216B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6B99" w:themeColor="accent4"/>
          <w:left w:val="single" w:sz="8" w:space="0" w:color="216B99" w:themeColor="accent4"/>
          <w:bottom w:val="single" w:sz="18" w:space="0" w:color="216B99" w:themeColor="accent4"/>
          <w:right w:val="single" w:sz="8" w:space="0" w:color="216B99" w:themeColor="accent4"/>
          <w:insideH w:val="nil"/>
          <w:insideV w:val="single" w:sz="8" w:space="0" w:color="216B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6B99" w:themeColor="accent4"/>
          <w:left w:val="single" w:sz="8" w:space="0" w:color="216B99" w:themeColor="accent4"/>
          <w:bottom w:val="single" w:sz="8" w:space="0" w:color="216B99" w:themeColor="accent4"/>
          <w:right w:val="single" w:sz="8" w:space="0" w:color="216B99" w:themeColor="accent4"/>
          <w:insideH w:val="nil"/>
          <w:insideV w:val="single" w:sz="8" w:space="0" w:color="216B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tblStylePr w:type="band1Vert">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shd w:val="clear" w:color="auto" w:fill="BCDCF0" w:themeFill="accent4" w:themeFillTint="3F"/>
      </w:tcPr>
    </w:tblStylePr>
    <w:tblStylePr w:type="band1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insideV w:val="single" w:sz="8" w:space="0" w:color="216B99" w:themeColor="accent4"/>
        </w:tcBorders>
        <w:shd w:val="clear" w:color="auto" w:fill="BCDCF0" w:themeFill="accent4" w:themeFillTint="3F"/>
      </w:tcPr>
    </w:tblStylePr>
    <w:tblStylePr w:type="band2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insideV w:val="single" w:sz="8" w:space="0" w:color="216B99" w:themeColor="accent4"/>
        </w:tcBorders>
      </w:tcPr>
    </w:tblStylePr>
  </w:style>
  <w:style w:type="table" w:styleId="LightGrid-Accent5">
    <w:name w:val="Light Grid Accent 5"/>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insideH w:val="single" w:sz="8" w:space="0" w:color="41AC4C" w:themeColor="accent5"/>
        <w:insideV w:val="single" w:sz="8" w:space="0" w:color="41AC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AC4C" w:themeColor="accent5"/>
          <w:left w:val="single" w:sz="8" w:space="0" w:color="41AC4C" w:themeColor="accent5"/>
          <w:bottom w:val="single" w:sz="18" w:space="0" w:color="41AC4C" w:themeColor="accent5"/>
          <w:right w:val="single" w:sz="8" w:space="0" w:color="41AC4C" w:themeColor="accent5"/>
          <w:insideH w:val="nil"/>
          <w:insideV w:val="single" w:sz="8" w:space="0" w:color="41AC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AC4C" w:themeColor="accent5"/>
          <w:left w:val="single" w:sz="8" w:space="0" w:color="41AC4C" w:themeColor="accent5"/>
          <w:bottom w:val="single" w:sz="8" w:space="0" w:color="41AC4C" w:themeColor="accent5"/>
          <w:right w:val="single" w:sz="8" w:space="0" w:color="41AC4C" w:themeColor="accent5"/>
          <w:insideH w:val="nil"/>
          <w:insideV w:val="single" w:sz="8" w:space="0" w:color="41AC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tblStylePr w:type="band1Vert">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shd w:val="clear" w:color="auto" w:fill="CDECD0" w:themeFill="accent5" w:themeFillTint="3F"/>
      </w:tcPr>
    </w:tblStylePr>
    <w:tblStylePr w:type="band1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insideV w:val="single" w:sz="8" w:space="0" w:color="41AC4C" w:themeColor="accent5"/>
        </w:tcBorders>
        <w:shd w:val="clear" w:color="auto" w:fill="CDECD0" w:themeFill="accent5" w:themeFillTint="3F"/>
      </w:tcPr>
    </w:tblStylePr>
    <w:tblStylePr w:type="band2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insideV w:val="single" w:sz="8" w:space="0" w:color="41AC4C" w:themeColor="accent5"/>
        </w:tcBorders>
      </w:tcPr>
    </w:tblStylePr>
  </w:style>
  <w:style w:type="table" w:styleId="LightGrid-Accent6">
    <w:name w:val="Light Grid Accent 6"/>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insideH w:val="single" w:sz="8" w:space="0" w:color="8E3F91" w:themeColor="accent6"/>
        <w:insideV w:val="single" w:sz="8" w:space="0" w:color="8E3F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3F91" w:themeColor="accent6"/>
          <w:left w:val="single" w:sz="8" w:space="0" w:color="8E3F91" w:themeColor="accent6"/>
          <w:bottom w:val="single" w:sz="18" w:space="0" w:color="8E3F91" w:themeColor="accent6"/>
          <w:right w:val="single" w:sz="8" w:space="0" w:color="8E3F91" w:themeColor="accent6"/>
          <w:insideH w:val="nil"/>
          <w:insideV w:val="single" w:sz="8" w:space="0" w:color="8E3F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3F91" w:themeColor="accent6"/>
          <w:left w:val="single" w:sz="8" w:space="0" w:color="8E3F91" w:themeColor="accent6"/>
          <w:bottom w:val="single" w:sz="8" w:space="0" w:color="8E3F91" w:themeColor="accent6"/>
          <w:right w:val="single" w:sz="8" w:space="0" w:color="8E3F91" w:themeColor="accent6"/>
          <w:insideH w:val="nil"/>
          <w:insideV w:val="single" w:sz="8" w:space="0" w:color="8E3F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tblStylePr w:type="band1Vert">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shd w:val="clear" w:color="auto" w:fill="E7CAE8" w:themeFill="accent6" w:themeFillTint="3F"/>
      </w:tcPr>
    </w:tblStylePr>
    <w:tblStylePr w:type="band1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insideV w:val="single" w:sz="8" w:space="0" w:color="8E3F91" w:themeColor="accent6"/>
        </w:tcBorders>
        <w:shd w:val="clear" w:color="auto" w:fill="E7CAE8" w:themeFill="accent6" w:themeFillTint="3F"/>
      </w:tcPr>
    </w:tblStylePr>
    <w:tblStylePr w:type="band2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insideV w:val="single" w:sz="8" w:space="0" w:color="8E3F91" w:themeColor="accent6"/>
        </w:tcBorders>
      </w:tcPr>
    </w:tblStylePr>
  </w:style>
  <w:style w:type="table" w:styleId="LightList">
    <w:name w:val="Light List"/>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2FB6BC" w:themeColor="accent1"/>
        <w:left w:val="single" w:sz="8" w:space="0" w:color="2FB6BC" w:themeColor="accent1"/>
        <w:bottom w:val="single" w:sz="8" w:space="0" w:color="2FB6BC" w:themeColor="accent1"/>
        <w:right w:val="single" w:sz="8" w:space="0" w:color="2FB6BC" w:themeColor="accent1"/>
      </w:tblBorders>
    </w:tblPr>
    <w:tblStylePr w:type="firstRow">
      <w:pPr>
        <w:spacing w:before="0" w:after="0" w:line="240" w:lineRule="auto"/>
      </w:pPr>
      <w:rPr>
        <w:b/>
        <w:bCs/>
        <w:color w:val="FFFFFF" w:themeColor="background1"/>
      </w:rPr>
      <w:tblPr/>
      <w:tcPr>
        <w:shd w:val="clear" w:color="auto" w:fill="2FB6BC" w:themeFill="accent1"/>
      </w:tcPr>
    </w:tblStylePr>
    <w:tblStylePr w:type="lastRow">
      <w:pPr>
        <w:spacing w:before="0" w:after="0" w:line="240" w:lineRule="auto"/>
      </w:pPr>
      <w:rPr>
        <w:b/>
        <w:bCs/>
      </w:rPr>
      <w:tblPr/>
      <w:tcPr>
        <w:tcBorders>
          <w:top w:val="double" w:sz="6" w:space="0" w:color="2FB6BC" w:themeColor="accent1"/>
          <w:left w:val="single" w:sz="8" w:space="0" w:color="2FB6BC" w:themeColor="accent1"/>
          <w:bottom w:val="single" w:sz="8" w:space="0" w:color="2FB6BC" w:themeColor="accent1"/>
          <w:right w:val="single" w:sz="8" w:space="0" w:color="2FB6BC" w:themeColor="accent1"/>
        </w:tcBorders>
      </w:tcPr>
    </w:tblStylePr>
    <w:tblStylePr w:type="firstCol">
      <w:rPr>
        <w:b/>
        <w:bCs/>
      </w:rPr>
    </w:tblStylePr>
    <w:tblStylePr w:type="lastCol">
      <w:rPr>
        <w:b/>
        <w:bCs/>
      </w:rPr>
    </w:tblStylePr>
    <w:tblStylePr w:type="band1Vert">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tcPr>
    </w:tblStylePr>
    <w:tblStylePr w:type="band1Horz">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tcPr>
    </w:tblStylePr>
  </w:style>
  <w:style w:type="table" w:styleId="LightList-Accent2">
    <w:name w:val="Light List Accent 2"/>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009695" w:themeColor="accent2"/>
        <w:left w:val="single" w:sz="8" w:space="0" w:color="009695" w:themeColor="accent2"/>
        <w:bottom w:val="single" w:sz="8" w:space="0" w:color="009695" w:themeColor="accent2"/>
        <w:right w:val="single" w:sz="8" w:space="0" w:color="009695" w:themeColor="accent2"/>
      </w:tblBorders>
    </w:tblPr>
    <w:tblStylePr w:type="firstRow">
      <w:pPr>
        <w:spacing w:before="0" w:after="0" w:line="240" w:lineRule="auto"/>
      </w:pPr>
      <w:rPr>
        <w:b/>
        <w:bCs/>
        <w:color w:val="FFFFFF" w:themeColor="background1"/>
      </w:rPr>
      <w:tblPr/>
      <w:tcPr>
        <w:shd w:val="clear" w:color="auto" w:fill="009695" w:themeFill="accent2"/>
      </w:tcPr>
    </w:tblStylePr>
    <w:tblStylePr w:type="lastRow">
      <w:pPr>
        <w:spacing w:before="0" w:after="0" w:line="240" w:lineRule="auto"/>
      </w:pPr>
      <w:rPr>
        <w:b/>
        <w:bCs/>
      </w:rPr>
      <w:tblPr/>
      <w:tcPr>
        <w:tcBorders>
          <w:top w:val="double" w:sz="6" w:space="0" w:color="009695" w:themeColor="accent2"/>
          <w:left w:val="single" w:sz="8" w:space="0" w:color="009695" w:themeColor="accent2"/>
          <w:bottom w:val="single" w:sz="8" w:space="0" w:color="009695" w:themeColor="accent2"/>
          <w:right w:val="single" w:sz="8" w:space="0" w:color="009695" w:themeColor="accent2"/>
        </w:tcBorders>
      </w:tcPr>
    </w:tblStylePr>
    <w:tblStylePr w:type="firstCol">
      <w:rPr>
        <w:b/>
        <w:bCs/>
      </w:rPr>
    </w:tblStylePr>
    <w:tblStylePr w:type="lastCol">
      <w:rPr>
        <w:b/>
        <w:bCs/>
      </w:rPr>
    </w:tblStylePr>
    <w:tblStylePr w:type="band1Vert">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tcPr>
    </w:tblStylePr>
    <w:tblStylePr w:type="band1Horz">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tcPr>
    </w:tblStylePr>
  </w:style>
  <w:style w:type="table" w:styleId="LightList-Accent3">
    <w:name w:val="Light List Accent 3"/>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2B86C7" w:themeColor="accent3"/>
        <w:left w:val="single" w:sz="8" w:space="0" w:color="2B86C7" w:themeColor="accent3"/>
        <w:bottom w:val="single" w:sz="8" w:space="0" w:color="2B86C7" w:themeColor="accent3"/>
        <w:right w:val="single" w:sz="8" w:space="0" w:color="2B86C7" w:themeColor="accent3"/>
      </w:tblBorders>
    </w:tblPr>
    <w:tblStylePr w:type="firstRow">
      <w:pPr>
        <w:spacing w:before="0" w:after="0" w:line="240" w:lineRule="auto"/>
      </w:pPr>
      <w:rPr>
        <w:b/>
        <w:bCs/>
        <w:color w:val="FFFFFF" w:themeColor="background1"/>
      </w:rPr>
      <w:tblPr/>
      <w:tcPr>
        <w:shd w:val="clear" w:color="auto" w:fill="2B86C7" w:themeFill="accent3"/>
      </w:tcPr>
    </w:tblStylePr>
    <w:tblStylePr w:type="lastRow">
      <w:pPr>
        <w:spacing w:before="0" w:after="0" w:line="240" w:lineRule="auto"/>
      </w:pPr>
      <w:rPr>
        <w:b/>
        <w:bCs/>
      </w:rPr>
      <w:tblPr/>
      <w:tcPr>
        <w:tcBorders>
          <w:top w:val="double" w:sz="6" w:space="0" w:color="2B86C7" w:themeColor="accent3"/>
          <w:left w:val="single" w:sz="8" w:space="0" w:color="2B86C7" w:themeColor="accent3"/>
          <w:bottom w:val="single" w:sz="8" w:space="0" w:color="2B86C7" w:themeColor="accent3"/>
          <w:right w:val="single" w:sz="8" w:space="0" w:color="2B86C7" w:themeColor="accent3"/>
        </w:tcBorders>
      </w:tcPr>
    </w:tblStylePr>
    <w:tblStylePr w:type="firstCol">
      <w:rPr>
        <w:b/>
        <w:bCs/>
      </w:rPr>
    </w:tblStylePr>
    <w:tblStylePr w:type="lastCol">
      <w:rPr>
        <w:b/>
        <w:bCs/>
      </w:rPr>
    </w:tblStylePr>
    <w:tblStylePr w:type="band1Vert">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tcPr>
    </w:tblStylePr>
    <w:tblStylePr w:type="band1Horz">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tcPr>
    </w:tblStylePr>
  </w:style>
  <w:style w:type="table" w:styleId="LightList-Accent4">
    <w:name w:val="Light List Accent 4"/>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tblBorders>
    </w:tblPr>
    <w:tblStylePr w:type="firstRow">
      <w:pPr>
        <w:spacing w:before="0" w:after="0" w:line="240" w:lineRule="auto"/>
      </w:pPr>
      <w:rPr>
        <w:b/>
        <w:bCs/>
        <w:color w:val="FFFFFF" w:themeColor="background1"/>
      </w:rPr>
      <w:tblPr/>
      <w:tcPr>
        <w:shd w:val="clear" w:color="auto" w:fill="216B99" w:themeFill="accent4"/>
      </w:tcPr>
    </w:tblStylePr>
    <w:tblStylePr w:type="lastRow">
      <w:pPr>
        <w:spacing w:before="0" w:after="0" w:line="240" w:lineRule="auto"/>
      </w:pPr>
      <w:rPr>
        <w:b/>
        <w:bCs/>
      </w:rPr>
      <w:tblPr/>
      <w:tcPr>
        <w:tcBorders>
          <w:top w:val="double" w:sz="6" w:space="0" w:color="216B99" w:themeColor="accent4"/>
          <w:left w:val="single" w:sz="8" w:space="0" w:color="216B99" w:themeColor="accent4"/>
          <w:bottom w:val="single" w:sz="8" w:space="0" w:color="216B99" w:themeColor="accent4"/>
          <w:right w:val="single" w:sz="8" w:space="0" w:color="216B99" w:themeColor="accent4"/>
        </w:tcBorders>
      </w:tcPr>
    </w:tblStylePr>
    <w:tblStylePr w:type="firstCol">
      <w:rPr>
        <w:b/>
        <w:bCs/>
      </w:rPr>
    </w:tblStylePr>
    <w:tblStylePr w:type="lastCol">
      <w:rPr>
        <w:b/>
        <w:bCs/>
      </w:rPr>
    </w:tblStylePr>
    <w:tblStylePr w:type="band1Vert">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tblStylePr w:type="band1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style>
  <w:style w:type="table" w:styleId="LightList-Accent5">
    <w:name w:val="Light List Accent 5"/>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tblBorders>
    </w:tblPr>
    <w:tblStylePr w:type="firstRow">
      <w:pPr>
        <w:spacing w:before="0" w:after="0" w:line="240" w:lineRule="auto"/>
      </w:pPr>
      <w:rPr>
        <w:b/>
        <w:bCs/>
        <w:color w:val="FFFFFF" w:themeColor="background1"/>
      </w:rPr>
      <w:tblPr/>
      <w:tcPr>
        <w:shd w:val="clear" w:color="auto" w:fill="41AC4C" w:themeFill="accent5"/>
      </w:tcPr>
    </w:tblStylePr>
    <w:tblStylePr w:type="lastRow">
      <w:pPr>
        <w:spacing w:before="0" w:after="0" w:line="240" w:lineRule="auto"/>
      </w:pPr>
      <w:rPr>
        <w:b/>
        <w:bCs/>
      </w:rPr>
      <w:tblPr/>
      <w:tcPr>
        <w:tcBorders>
          <w:top w:val="double" w:sz="6" w:space="0" w:color="41AC4C" w:themeColor="accent5"/>
          <w:left w:val="single" w:sz="8" w:space="0" w:color="41AC4C" w:themeColor="accent5"/>
          <w:bottom w:val="single" w:sz="8" w:space="0" w:color="41AC4C" w:themeColor="accent5"/>
          <w:right w:val="single" w:sz="8" w:space="0" w:color="41AC4C" w:themeColor="accent5"/>
        </w:tcBorders>
      </w:tcPr>
    </w:tblStylePr>
    <w:tblStylePr w:type="firstCol">
      <w:rPr>
        <w:b/>
        <w:bCs/>
      </w:rPr>
    </w:tblStylePr>
    <w:tblStylePr w:type="lastCol">
      <w:rPr>
        <w:b/>
        <w:bCs/>
      </w:rPr>
    </w:tblStylePr>
    <w:tblStylePr w:type="band1Vert">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tblStylePr w:type="band1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style>
  <w:style w:type="table" w:styleId="LightList-Accent6">
    <w:name w:val="Light List Accent 6"/>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tblBorders>
    </w:tblPr>
    <w:tblStylePr w:type="firstRow">
      <w:pPr>
        <w:spacing w:before="0" w:after="0" w:line="240" w:lineRule="auto"/>
      </w:pPr>
      <w:rPr>
        <w:b/>
        <w:bCs/>
        <w:color w:val="FFFFFF" w:themeColor="background1"/>
      </w:rPr>
      <w:tblPr/>
      <w:tcPr>
        <w:shd w:val="clear" w:color="auto" w:fill="8E3F91" w:themeFill="accent6"/>
      </w:tcPr>
    </w:tblStylePr>
    <w:tblStylePr w:type="lastRow">
      <w:pPr>
        <w:spacing w:before="0" w:after="0" w:line="240" w:lineRule="auto"/>
      </w:pPr>
      <w:rPr>
        <w:b/>
        <w:bCs/>
      </w:rPr>
      <w:tblPr/>
      <w:tcPr>
        <w:tcBorders>
          <w:top w:val="double" w:sz="6" w:space="0" w:color="8E3F91" w:themeColor="accent6"/>
          <w:left w:val="single" w:sz="8" w:space="0" w:color="8E3F91" w:themeColor="accent6"/>
          <w:bottom w:val="single" w:sz="8" w:space="0" w:color="8E3F91" w:themeColor="accent6"/>
          <w:right w:val="single" w:sz="8" w:space="0" w:color="8E3F91" w:themeColor="accent6"/>
        </w:tcBorders>
      </w:tcPr>
    </w:tblStylePr>
    <w:tblStylePr w:type="firstCol">
      <w:rPr>
        <w:b/>
        <w:bCs/>
      </w:rPr>
    </w:tblStylePr>
    <w:tblStylePr w:type="lastCol">
      <w:rPr>
        <w:b/>
        <w:bCs/>
      </w:rPr>
    </w:tblStylePr>
    <w:tblStylePr w:type="band1Vert">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tblStylePr w:type="band1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style>
  <w:style w:type="table" w:styleId="LightShading">
    <w:name w:val="Light Shading"/>
    <w:basedOn w:val="TableNormal"/>
    <w:uiPriority w:val="60"/>
    <w:semiHidden/>
    <w:unhideWhenUsed/>
    <w:rsid w:val="003075F9"/>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075F9"/>
    <w:pPr>
      <w:spacing w:after="0" w:line="240" w:lineRule="auto"/>
    </w:pPr>
    <w:rPr>
      <w:rFonts w:eastAsiaTheme="minorEastAsia"/>
      <w:color w:val="23888C" w:themeColor="accent1" w:themeShade="BF"/>
    </w:rPr>
    <w:tblPr>
      <w:tblStyleRowBandSize w:val="1"/>
      <w:tblStyleColBandSize w:val="1"/>
      <w:tblBorders>
        <w:top w:val="single" w:sz="8" w:space="0" w:color="2FB6BC" w:themeColor="accent1"/>
        <w:bottom w:val="single" w:sz="8" w:space="0" w:color="2FB6BC" w:themeColor="accent1"/>
      </w:tblBorders>
    </w:tblPr>
    <w:tblStylePr w:type="firstRow">
      <w:pPr>
        <w:spacing w:before="0" w:after="0" w:line="240" w:lineRule="auto"/>
      </w:pPr>
      <w:rPr>
        <w:b/>
        <w:bCs/>
      </w:rPr>
      <w:tblPr/>
      <w:tcPr>
        <w:tcBorders>
          <w:top w:val="single" w:sz="8" w:space="0" w:color="2FB6BC" w:themeColor="accent1"/>
          <w:left w:val="nil"/>
          <w:bottom w:val="single" w:sz="8" w:space="0" w:color="2FB6BC" w:themeColor="accent1"/>
          <w:right w:val="nil"/>
          <w:insideH w:val="nil"/>
          <w:insideV w:val="nil"/>
        </w:tcBorders>
      </w:tcPr>
    </w:tblStylePr>
    <w:tblStylePr w:type="lastRow">
      <w:pPr>
        <w:spacing w:before="0" w:after="0" w:line="240" w:lineRule="auto"/>
      </w:pPr>
      <w:rPr>
        <w:b/>
        <w:bCs/>
      </w:rPr>
      <w:tblPr/>
      <w:tcPr>
        <w:tcBorders>
          <w:top w:val="single" w:sz="8" w:space="0" w:color="2FB6BC" w:themeColor="accent1"/>
          <w:left w:val="nil"/>
          <w:bottom w:val="single" w:sz="8" w:space="0" w:color="2FB6B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FF1" w:themeFill="accent1" w:themeFillTint="3F"/>
      </w:tcPr>
    </w:tblStylePr>
    <w:tblStylePr w:type="band1Horz">
      <w:tblPr/>
      <w:tcPr>
        <w:tcBorders>
          <w:left w:val="nil"/>
          <w:right w:val="nil"/>
          <w:insideH w:val="nil"/>
          <w:insideV w:val="nil"/>
        </w:tcBorders>
        <w:shd w:val="clear" w:color="auto" w:fill="C8EFF1" w:themeFill="accent1" w:themeFillTint="3F"/>
      </w:tcPr>
    </w:tblStylePr>
  </w:style>
  <w:style w:type="table" w:styleId="LightShading-Accent2">
    <w:name w:val="Light Shading Accent 2"/>
    <w:basedOn w:val="TableNormal"/>
    <w:uiPriority w:val="60"/>
    <w:semiHidden/>
    <w:unhideWhenUsed/>
    <w:rsid w:val="003075F9"/>
    <w:pPr>
      <w:spacing w:after="0" w:line="240" w:lineRule="auto"/>
    </w:pPr>
    <w:rPr>
      <w:rFonts w:eastAsiaTheme="minorEastAsia"/>
      <w:color w:val="00706F" w:themeColor="accent2" w:themeShade="BF"/>
    </w:rPr>
    <w:tblPr>
      <w:tblStyleRowBandSize w:val="1"/>
      <w:tblStyleColBandSize w:val="1"/>
      <w:tblBorders>
        <w:top w:val="single" w:sz="8" w:space="0" w:color="009695" w:themeColor="accent2"/>
        <w:bottom w:val="single" w:sz="8" w:space="0" w:color="009695" w:themeColor="accent2"/>
      </w:tblBorders>
    </w:tblPr>
    <w:tblStylePr w:type="firstRow">
      <w:pPr>
        <w:spacing w:before="0" w:after="0" w:line="240" w:lineRule="auto"/>
      </w:pPr>
      <w:rPr>
        <w:b/>
        <w:bCs/>
      </w:rPr>
      <w:tblPr/>
      <w:tcPr>
        <w:tcBorders>
          <w:top w:val="single" w:sz="8" w:space="0" w:color="009695" w:themeColor="accent2"/>
          <w:left w:val="nil"/>
          <w:bottom w:val="single" w:sz="8" w:space="0" w:color="009695" w:themeColor="accent2"/>
          <w:right w:val="nil"/>
          <w:insideH w:val="nil"/>
          <w:insideV w:val="nil"/>
        </w:tcBorders>
      </w:tcPr>
    </w:tblStylePr>
    <w:tblStylePr w:type="lastRow">
      <w:pPr>
        <w:spacing w:before="0" w:after="0" w:line="240" w:lineRule="auto"/>
      </w:pPr>
      <w:rPr>
        <w:b/>
        <w:bCs/>
      </w:rPr>
      <w:tblPr/>
      <w:tcPr>
        <w:tcBorders>
          <w:top w:val="single" w:sz="8" w:space="0" w:color="009695" w:themeColor="accent2"/>
          <w:left w:val="nil"/>
          <w:bottom w:val="single" w:sz="8" w:space="0" w:color="00969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FE" w:themeFill="accent2" w:themeFillTint="3F"/>
      </w:tcPr>
    </w:tblStylePr>
    <w:tblStylePr w:type="band1Horz">
      <w:tblPr/>
      <w:tcPr>
        <w:tcBorders>
          <w:left w:val="nil"/>
          <w:right w:val="nil"/>
          <w:insideH w:val="nil"/>
          <w:insideV w:val="nil"/>
        </w:tcBorders>
        <w:shd w:val="clear" w:color="auto" w:fill="A6FFFE" w:themeFill="accent2" w:themeFillTint="3F"/>
      </w:tcPr>
    </w:tblStylePr>
  </w:style>
  <w:style w:type="table" w:styleId="LightShading-Accent3">
    <w:name w:val="Light Shading Accent 3"/>
    <w:basedOn w:val="TableNormal"/>
    <w:uiPriority w:val="60"/>
    <w:semiHidden/>
    <w:unhideWhenUsed/>
    <w:rsid w:val="003075F9"/>
    <w:pPr>
      <w:spacing w:after="0" w:line="240" w:lineRule="auto"/>
    </w:pPr>
    <w:rPr>
      <w:rFonts w:eastAsiaTheme="minorEastAsia"/>
      <w:color w:val="206394" w:themeColor="accent3" w:themeShade="BF"/>
    </w:rPr>
    <w:tblPr>
      <w:tblStyleRowBandSize w:val="1"/>
      <w:tblStyleColBandSize w:val="1"/>
      <w:tblBorders>
        <w:top w:val="single" w:sz="8" w:space="0" w:color="2B86C7" w:themeColor="accent3"/>
        <w:bottom w:val="single" w:sz="8" w:space="0" w:color="2B86C7" w:themeColor="accent3"/>
      </w:tblBorders>
    </w:tblPr>
    <w:tblStylePr w:type="firstRow">
      <w:pPr>
        <w:spacing w:before="0" w:after="0" w:line="240" w:lineRule="auto"/>
      </w:pPr>
      <w:rPr>
        <w:b/>
        <w:bCs/>
      </w:rPr>
      <w:tblPr/>
      <w:tcPr>
        <w:tcBorders>
          <w:top w:val="single" w:sz="8" w:space="0" w:color="2B86C7" w:themeColor="accent3"/>
          <w:left w:val="nil"/>
          <w:bottom w:val="single" w:sz="8" w:space="0" w:color="2B86C7" w:themeColor="accent3"/>
          <w:right w:val="nil"/>
          <w:insideH w:val="nil"/>
          <w:insideV w:val="nil"/>
        </w:tcBorders>
      </w:tcPr>
    </w:tblStylePr>
    <w:tblStylePr w:type="lastRow">
      <w:pPr>
        <w:spacing w:before="0" w:after="0" w:line="240" w:lineRule="auto"/>
      </w:pPr>
      <w:rPr>
        <w:b/>
        <w:bCs/>
      </w:rPr>
      <w:tblPr/>
      <w:tcPr>
        <w:tcBorders>
          <w:top w:val="single" w:sz="8" w:space="0" w:color="2B86C7" w:themeColor="accent3"/>
          <w:left w:val="nil"/>
          <w:bottom w:val="single" w:sz="8" w:space="0" w:color="2B86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1F3" w:themeFill="accent3" w:themeFillTint="3F"/>
      </w:tcPr>
    </w:tblStylePr>
    <w:tblStylePr w:type="band1Horz">
      <w:tblPr/>
      <w:tcPr>
        <w:tcBorders>
          <w:left w:val="nil"/>
          <w:right w:val="nil"/>
          <w:insideH w:val="nil"/>
          <w:insideV w:val="nil"/>
        </w:tcBorders>
        <w:shd w:val="clear" w:color="auto" w:fill="C8E1F3" w:themeFill="accent3" w:themeFillTint="3F"/>
      </w:tcPr>
    </w:tblStylePr>
  </w:style>
  <w:style w:type="table" w:styleId="LightShading-Accent4">
    <w:name w:val="Light Shading Accent 4"/>
    <w:basedOn w:val="TableNormal"/>
    <w:uiPriority w:val="60"/>
    <w:semiHidden/>
    <w:unhideWhenUsed/>
    <w:rsid w:val="003075F9"/>
    <w:pPr>
      <w:spacing w:after="0" w:line="240" w:lineRule="auto"/>
    </w:pPr>
    <w:rPr>
      <w:rFonts w:eastAsiaTheme="minorEastAsia"/>
      <w:color w:val="184F72" w:themeColor="accent4" w:themeShade="BF"/>
    </w:rPr>
    <w:tblPr>
      <w:tblStyleRowBandSize w:val="1"/>
      <w:tblStyleColBandSize w:val="1"/>
      <w:tblBorders>
        <w:top w:val="single" w:sz="8" w:space="0" w:color="216B99" w:themeColor="accent4"/>
        <w:bottom w:val="single" w:sz="8" w:space="0" w:color="216B99" w:themeColor="accent4"/>
      </w:tblBorders>
    </w:tblPr>
    <w:tblStylePr w:type="firstRow">
      <w:pPr>
        <w:spacing w:before="0" w:after="0" w:line="240" w:lineRule="auto"/>
      </w:pPr>
      <w:rPr>
        <w:b/>
        <w:bCs/>
      </w:rPr>
      <w:tblPr/>
      <w:tcPr>
        <w:tcBorders>
          <w:top w:val="single" w:sz="8" w:space="0" w:color="216B99" w:themeColor="accent4"/>
          <w:left w:val="nil"/>
          <w:bottom w:val="single" w:sz="8" w:space="0" w:color="216B99" w:themeColor="accent4"/>
          <w:right w:val="nil"/>
          <w:insideH w:val="nil"/>
          <w:insideV w:val="nil"/>
        </w:tcBorders>
      </w:tcPr>
    </w:tblStylePr>
    <w:tblStylePr w:type="lastRow">
      <w:pPr>
        <w:spacing w:before="0" w:after="0" w:line="240" w:lineRule="auto"/>
      </w:pPr>
      <w:rPr>
        <w:b/>
        <w:bCs/>
      </w:rPr>
      <w:tblPr/>
      <w:tcPr>
        <w:tcBorders>
          <w:top w:val="single" w:sz="8" w:space="0" w:color="216B99" w:themeColor="accent4"/>
          <w:left w:val="nil"/>
          <w:bottom w:val="single" w:sz="8" w:space="0" w:color="216B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DCF0" w:themeFill="accent4" w:themeFillTint="3F"/>
      </w:tcPr>
    </w:tblStylePr>
    <w:tblStylePr w:type="band1Horz">
      <w:tblPr/>
      <w:tcPr>
        <w:tcBorders>
          <w:left w:val="nil"/>
          <w:right w:val="nil"/>
          <w:insideH w:val="nil"/>
          <w:insideV w:val="nil"/>
        </w:tcBorders>
        <w:shd w:val="clear" w:color="auto" w:fill="BCDCF0" w:themeFill="accent4" w:themeFillTint="3F"/>
      </w:tcPr>
    </w:tblStylePr>
  </w:style>
  <w:style w:type="table" w:styleId="LightShading-Accent5">
    <w:name w:val="Light Shading Accent 5"/>
    <w:basedOn w:val="TableNormal"/>
    <w:uiPriority w:val="60"/>
    <w:semiHidden/>
    <w:unhideWhenUsed/>
    <w:rsid w:val="003075F9"/>
    <w:pPr>
      <w:spacing w:after="0" w:line="240" w:lineRule="auto"/>
    </w:pPr>
    <w:rPr>
      <w:rFonts w:eastAsiaTheme="minorEastAsia"/>
      <w:color w:val="308038" w:themeColor="accent5" w:themeShade="BF"/>
    </w:rPr>
    <w:tblPr>
      <w:tblStyleRowBandSize w:val="1"/>
      <w:tblStyleColBandSize w:val="1"/>
      <w:tblBorders>
        <w:top w:val="single" w:sz="8" w:space="0" w:color="41AC4C" w:themeColor="accent5"/>
        <w:bottom w:val="single" w:sz="8" w:space="0" w:color="41AC4C" w:themeColor="accent5"/>
      </w:tblBorders>
    </w:tblPr>
    <w:tblStylePr w:type="firstRow">
      <w:pPr>
        <w:spacing w:before="0" w:after="0" w:line="240" w:lineRule="auto"/>
      </w:pPr>
      <w:rPr>
        <w:b/>
        <w:bCs/>
      </w:rPr>
      <w:tblPr/>
      <w:tcPr>
        <w:tcBorders>
          <w:top w:val="single" w:sz="8" w:space="0" w:color="41AC4C" w:themeColor="accent5"/>
          <w:left w:val="nil"/>
          <w:bottom w:val="single" w:sz="8" w:space="0" w:color="41AC4C" w:themeColor="accent5"/>
          <w:right w:val="nil"/>
          <w:insideH w:val="nil"/>
          <w:insideV w:val="nil"/>
        </w:tcBorders>
      </w:tcPr>
    </w:tblStylePr>
    <w:tblStylePr w:type="lastRow">
      <w:pPr>
        <w:spacing w:before="0" w:after="0" w:line="240" w:lineRule="auto"/>
      </w:pPr>
      <w:rPr>
        <w:b/>
        <w:bCs/>
      </w:rPr>
      <w:tblPr/>
      <w:tcPr>
        <w:tcBorders>
          <w:top w:val="single" w:sz="8" w:space="0" w:color="41AC4C" w:themeColor="accent5"/>
          <w:left w:val="nil"/>
          <w:bottom w:val="single" w:sz="8" w:space="0" w:color="41AC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CD0" w:themeFill="accent5" w:themeFillTint="3F"/>
      </w:tcPr>
    </w:tblStylePr>
    <w:tblStylePr w:type="band1Horz">
      <w:tblPr/>
      <w:tcPr>
        <w:tcBorders>
          <w:left w:val="nil"/>
          <w:right w:val="nil"/>
          <w:insideH w:val="nil"/>
          <w:insideV w:val="nil"/>
        </w:tcBorders>
        <w:shd w:val="clear" w:color="auto" w:fill="CDECD0" w:themeFill="accent5" w:themeFillTint="3F"/>
      </w:tcPr>
    </w:tblStylePr>
  </w:style>
  <w:style w:type="table" w:styleId="LightShading-Accent6">
    <w:name w:val="Light Shading Accent 6"/>
    <w:basedOn w:val="TableNormal"/>
    <w:uiPriority w:val="60"/>
    <w:semiHidden/>
    <w:unhideWhenUsed/>
    <w:rsid w:val="003075F9"/>
    <w:pPr>
      <w:spacing w:after="0" w:line="240" w:lineRule="auto"/>
    </w:pPr>
    <w:rPr>
      <w:rFonts w:eastAsiaTheme="minorEastAsia"/>
      <w:color w:val="6A2F6C" w:themeColor="accent6" w:themeShade="BF"/>
    </w:rPr>
    <w:tblPr>
      <w:tblStyleRowBandSize w:val="1"/>
      <w:tblStyleColBandSize w:val="1"/>
      <w:tblBorders>
        <w:top w:val="single" w:sz="8" w:space="0" w:color="8E3F91" w:themeColor="accent6"/>
        <w:bottom w:val="single" w:sz="8" w:space="0" w:color="8E3F91" w:themeColor="accent6"/>
      </w:tblBorders>
    </w:tblPr>
    <w:tblStylePr w:type="firstRow">
      <w:pPr>
        <w:spacing w:before="0" w:after="0" w:line="240" w:lineRule="auto"/>
      </w:pPr>
      <w:rPr>
        <w:b/>
        <w:bCs/>
      </w:rPr>
      <w:tblPr/>
      <w:tcPr>
        <w:tcBorders>
          <w:top w:val="single" w:sz="8" w:space="0" w:color="8E3F91" w:themeColor="accent6"/>
          <w:left w:val="nil"/>
          <w:bottom w:val="single" w:sz="8" w:space="0" w:color="8E3F91" w:themeColor="accent6"/>
          <w:right w:val="nil"/>
          <w:insideH w:val="nil"/>
          <w:insideV w:val="nil"/>
        </w:tcBorders>
      </w:tcPr>
    </w:tblStylePr>
    <w:tblStylePr w:type="lastRow">
      <w:pPr>
        <w:spacing w:before="0" w:after="0" w:line="240" w:lineRule="auto"/>
      </w:pPr>
      <w:rPr>
        <w:b/>
        <w:bCs/>
      </w:rPr>
      <w:tblPr/>
      <w:tcPr>
        <w:tcBorders>
          <w:top w:val="single" w:sz="8" w:space="0" w:color="8E3F91" w:themeColor="accent6"/>
          <w:left w:val="nil"/>
          <w:bottom w:val="single" w:sz="8" w:space="0" w:color="8E3F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AE8" w:themeFill="accent6" w:themeFillTint="3F"/>
      </w:tcPr>
    </w:tblStylePr>
    <w:tblStylePr w:type="band1Horz">
      <w:tblPr/>
      <w:tcPr>
        <w:tcBorders>
          <w:left w:val="nil"/>
          <w:right w:val="nil"/>
          <w:insideH w:val="nil"/>
          <w:insideV w:val="nil"/>
        </w:tcBorders>
        <w:shd w:val="clear" w:color="auto" w:fill="E7CAE8" w:themeFill="accent6" w:themeFillTint="3F"/>
      </w:tcPr>
    </w:tblStylePr>
  </w:style>
  <w:style w:type="character" w:styleId="LineNumber">
    <w:name w:val="line number"/>
    <w:basedOn w:val="DefaultParagraphFont"/>
    <w:uiPriority w:val="99"/>
    <w:semiHidden/>
    <w:unhideWhenUsed/>
    <w:rsid w:val="003075F9"/>
    <w:rPr>
      <w:bCs w:val="0"/>
      <w:szCs w:val="20"/>
      <w:lang w:val="en-GB"/>
    </w:rPr>
  </w:style>
  <w:style w:type="paragraph" w:styleId="List">
    <w:name w:val="List"/>
    <w:basedOn w:val="Normal"/>
    <w:uiPriority w:val="99"/>
    <w:semiHidden/>
    <w:unhideWhenUsed/>
    <w:rsid w:val="003075F9"/>
    <w:pPr>
      <w:ind w:left="283" w:hanging="283"/>
      <w:contextualSpacing/>
    </w:pPr>
  </w:style>
  <w:style w:type="paragraph" w:styleId="List2">
    <w:name w:val="List 2"/>
    <w:basedOn w:val="Normal"/>
    <w:uiPriority w:val="99"/>
    <w:semiHidden/>
    <w:unhideWhenUsed/>
    <w:rsid w:val="003075F9"/>
    <w:pPr>
      <w:ind w:left="566" w:hanging="283"/>
      <w:contextualSpacing/>
    </w:pPr>
  </w:style>
  <w:style w:type="paragraph" w:styleId="List3">
    <w:name w:val="List 3"/>
    <w:basedOn w:val="Normal"/>
    <w:uiPriority w:val="99"/>
    <w:semiHidden/>
    <w:unhideWhenUsed/>
    <w:rsid w:val="003075F9"/>
    <w:pPr>
      <w:ind w:left="849" w:hanging="283"/>
      <w:contextualSpacing/>
    </w:pPr>
  </w:style>
  <w:style w:type="paragraph" w:styleId="List4">
    <w:name w:val="List 4"/>
    <w:basedOn w:val="Normal"/>
    <w:uiPriority w:val="99"/>
    <w:semiHidden/>
    <w:rsid w:val="003075F9"/>
    <w:pPr>
      <w:ind w:left="1132" w:hanging="283"/>
      <w:contextualSpacing/>
    </w:pPr>
  </w:style>
  <w:style w:type="paragraph" w:styleId="List5">
    <w:name w:val="List 5"/>
    <w:basedOn w:val="Normal"/>
    <w:uiPriority w:val="99"/>
    <w:semiHidden/>
    <w:rsid w:val="003075F9"/>
    <w:pPr>
      <w:ind w:left="1415" w:hanging="283"/>
      <w:contextualSpacing/>
    </w:pPr>
  </w:style>
  <w:style w:type="paragraph" w:styleId="ListBullet">
    <w:name w:val="List Bullet"/>
    <w:basedOn w:val="Normal"/>
    <w:uiPriority w:val="99"/>
    <w:semiHidden/>
    <w:unhideWhenUsed/>
    <w:rsid w:val="003075F9"/>
    <w:pPr>
      <w:numPr>
        <w:numId w:val="10"/>
      </w:numPr>
      <w:contextualSpacing/>
    </w:pPr>
  </w:style>
  <w:style w:type="paragraph" w:styleId="ListBullet2">
    <w:name w:val="List Bullet 2"/>
    <w:basedOn w:val="Normal"/>
    <w:uiPriority w:val="99"/>
    <w:semiHidden/>
    <w:unhideWhenUsed/>
    <w:rsid w:val="003075F9"/>
    <w:pPr>
      <w:numPr>
        <w:numId w:val="11"/>
      </w:numPr>
      <w:contextualSpacing/>
    </w:pPr>
  </w:style>
  <w:style w:type="paragraph" w:styleId="ListBullet3">
    <w:name w:val="List Bullet 3"/>
    <w:basedOn w:val="Normal"/>
    <w:uiPriority w:val="99"/>
    <w:semiHidden/>
    <w:unhideWhenUsed/>
    <w:rsid w:val="003075F9"/>
    <w:pPr>
      <w:numPr>
        <w:numId w:val="12"/>
      </w:numPr>
      <w:contextualSpacing/>
    </w:pPr>
  </w:style>
  <w:style w:type="paragraph" w:styleId="ListBullet4">
    <w:name w:val="List Bullet 4"/>
    <w:basedOn w:val="Normal"/>
    <w:uiPriority w:val="99"/>
    <w:semiHidden/>
    <w:unhideWhenUsed/>
    <w:rsid w:val="003075F9"/>
    <w:pPr>
      <w:numPr>
        <w:numId w:val="13"/>
      </w:numPr>
      <w:contextualSpacing/>
    </w:pPr>
  </w:style>
  <w:style w:type="paragraph" w:styleId="ListBullet5">
    <w:name w:val="List Bullet 5"/>
    <w:basedOn w:val="Normal"/>
    <w:uiPriority w:val="99"/>
    <w:semiHidden/>
    <w:unhideWhenUsed/>
    <w:rsid w:val="003075F9"/>
    <w:pPr>
      <w:numPr>
        <w:numId w:val="14"/>
      </w:numPr>
      <w:contextualSpacing/>
    </w:pPr>
  </w:style>
  <w:style w:type="paragraph" w:styleId="ListContinue">
    <w:name w:val="List Continue"/>
    <w:basedOn w:val="Normal"/>
    <w:uiPriority w:val="99"/>
    <w:semiHidden/>
    <w:unhideWhenUsed/>
    <w:rsid w:val="003075F9"/>
    <w:pPr>
      <w:spacing w:after="120"/>
      <w:ind w:left="283"/>
      <w:contextualSpacing/>
    </w:pPr>
  </w:style>
  <w:style w:type="paragraph" w:styleId="ListContinue2">
    <w:name w:val="List Continue 2"/>
    <w:basedOn w:val="Normal"/>
    <w:uiPriority w:val="99"/>
    <w:semiHidden/>
    <w:unhideWhenUsed/>
    <w:rsid w:val="003075F9"/>
    <w:pPr>
      <w:spacing w:after="120"/>
      <w:ind w:left="566"/>
      <w:contextualSpacing/>
    </w:pPr>
  </w:style>
  <w:style w:type="paragraph" w:styleId="ListContinue3">
    <w:name w:val="List Continue 3"/>
    <w:basedOn w:val="Normal"/>
    <w:uiPriority w:val="99"/>
    <w:semiHidden/>
    <w:unhideWhenUsed/>
    <w:rsid w:val="003075F9"/>
    <w:pPr>
      <w:spacing w:after="120"/>
      <w:ind w:left="849"/>
      <w:contextualSpacing/>
    </w:pPr>
  </w:style>
  <w:style w:type="paragraph" w:styleId="ListContinue4">
    <w:name w:val="List Continue 4"/>
    <w:basedOn w:val="Normal"/>
    <w:uiPriority w:val="99"/>
    <w:semiHidden/>
    <w:unhideWhenUsed/>
    <w:rsid w:val="003075F9"/>
    <w:pPr>
      <w:spacing w:after="120"/>
      <w:ind w:left="1132"/>
      <w:contextualSpacing/>
    </w:pPr>
  </w:style>
  <w:style w:type="paragraph" w:styleId="ListContinue5">
    <w:name w:val="List Continue 5"/>
    <w:basedOn w:val="Normal"/>
    <w:uiPriority w:val="99"/>
    <w:semiHidden/>
    <w:unhideWhenUsed/>
    <w:rsid w:val="003075F9"/>
    <w:pPr>
      <w:spacing w:after="120"/>
      <w:ind w:left="1415"/>
      <w:contextualSpacing/>
    </w:pPr>
  </w:style>
  <w:style w:type="paragraph" w:styleId="ListNumber">
    <w:name w:val="List Number"/>
    <w:basedOn w:val="Normal"/>
    <w:uiPriority w:val="99"/>
    <w:semiHidden/>
    <w:rsid w:val="003075F9"/>
    <w:pPr>
      <w:numPr>
        <w:numId w:val="15"/>
      </w:numPr>
      <w:contextualSpacing/>
    </w:pPr>
  </w:style>
  <w:style w:type="paragraph" w:styleId="ListNumber2">
    <w:name w:val="List Number 2"/>
    <w:basedOn w:val="Normal"/>
    <w:uiPriority w:val="99"/>
    <w:semiHidden/>
    <w:unhideWhenUsed/>
    <w:rsid w:val="003075F9"/>
    <w:pPr>
      <w:numPr>
        <w:numId w:val="16"/>
      </w:numPr>
      <w:contextualSpacing/>
    </w:pPr>
  </w:style>
  <w:style w:type="paragraph" w:styleId="ListNumber3">
    <w:name w:val="List Number 3"/>
    <w:basedOn w:val="Normal"/>
    <w:uiPriority w:val="99"/>
    <w:semiHidden/>
    <w:unhideWhenUsed/>
    <w:rsid w:val="003075F9"/>
    <w:pPr>
      <w:numPr>
        <w:numId w:val="17"/>
      </w:numPr>
      <w:contextualSpacing/>
    </w:pPr>
  </w:style>
  <w:style w:type="paragraph" w:styleId="ListNumber4">
    <w:name w:val="List Number 4"/>
    <w:basedOn w:val="Normal"/>
    <w:uiPriority w:val="99"/>
    <w:semiHidden/>
    <w:unhideWhenUsed/>
    <w:rsid w:val="003075F9"/>
    <w:pPr>
      <w:numPr>
        <w:numId w:val="18"/>
      </w:numPr>
      <w:contextualSpacing/>
    </w:pPr>
  </w:style>
  <w:style w:type="paragraph" w:styleId="ListNumber5">
    <w:name w:val="List Number 5"/>
    <w:basedOn w:val="Normal"/>
    <w:uiPriority w:val="99"/>
    <w:semiHidden/>
    <w:unhideWhenUsed/>
    <w:rsid w:val="003075F9"/>
    <w:pPr>
      <w:numPr>
        <w:numId w:val="19"/>
      </w:numPr>
      <w:contextualSpacing/>
    </w:pPr>
  </w:style>
  <w:style w:type="paragraph" w:styleId="ListParagraph">
    <w:name w:val="List Paragraph"/>
    <w:basedOn w:val="Normal"/>
    <w:uiPriority w:val="34"/>
    <w:qFormat/>
    <w:rsid w:val="003075F9"/>
    <w:pPr>
      <w:ind w:left="720"/>
      <w:contextualSpacing/>
    </w:pPr>
  </w:style>
  <w:style w:type="table" w:customStyle="1" w:styleId="ListTable1Light1">
    <w:name w:val="List Table 1 Light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7BD9DE" w:themeColor="accent1" w:themeTint="99"/>
        </w:tcBorders>
      </w:tcPr>
    </w:tblStylePr>
    <w:tblStylePr w:type="lastRow">
      <w:rPr>
        <w:b/>
        <w:bCs/>
      </w:rPr>
      <w:tblPr/>
      <w:tcPr>
        <w:tcBorders>
          <w:top w:val="single" w:sz="4" w:space="0" w:color="7BD9DE" w:themeColor="accent1" w:themeTint="99"/>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ListTable1Light-Accent21">
    <w:name w:val="List Table 1 Light - Accent 2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27FFFD" w:themeColor="accent2" w:themeTint="99"/>
        </w:tcBorders>
      </w:tcPr>
    </w:tblStylePr>
    <w:tblStylePr w:type="lastRow">
      <w:rPr>
        <w:b/>
        <w:bCs/>
      </w:rPr>
      <w:tblPr/>
      <w:tcPr>
        <w:tcBorders>
          <w:top w:val="single" w:sz="4" w:space="0" w:color="27FFFD" w:themeColor="accent2" w:themeTint="99"/>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ListTable1Light-Accent31">
    <w:name w:val="List Table 1 Light - Accent 3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7AB6E2" w:themeColor="accent3" w:themeTint="99"/>
        </w:tcBorders>
      </w:tcPr>
    </w:tblStylePr>
    <w:tblStylePr w:type="lastRow">
      <w:rPr>
        <w:b/>
        <w:bCs/>
      </w:rPr>
      <w:tblPr/>
      <w:tcPr>
        <w:tcBorders>
          <w:top w:val="single" w:sz="4" w:space="0" w:color="7AB6E2" w:themeColor="accent3" w:themeTint="99"/>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ListTable1Light-Accent41">
    <w:name w:val="List Table 1 Light - Accent 4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5EACDC" w:themeColor="accent4" w:themeTint="99"/>
        </w:tcBorders>
      </w:tcPr>
    </w:tblStylePr>
    <w:tblStylePr w:type="lastRow">
      <w:rPr>
        <w:b/>
        <w:bCs/>
      </w:rPr>
      <w:tblPr/>
      <w:tcPr>
        <w:tcBorders>
          <w:top w:val="sing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ListTable1Light-Accent51">
    <w:name w:val="List Table 1 Light - Accent 5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88D28F" w:themeColor="accent5" w:themeTint="99"/>
        </w:tcBorders>
      </w:tcPr>
    </w:tblStylePr>
    <w:tblStylePr w:type="lastRow">
      <w:rPr>
        <w:b/>
        <w:bCs/>
      </w:rPr>
      <w:tblPr/>
      <w:tcPr>
        <w:tcBorders>
          <w:top w:val="sing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ListTable1Light-Accent61">
    <w:name w:val="List Table 1 Light - Accent 6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C580C8" w:themeColor="accent6" w:themeTint="99"/>
        </w:tcBorders>
      </w:tcPr>
    </w:tblStylePr>
    <w:tblStylePr w:type="lastRow">
      <w:rPr>
        <w:b/>
        <w:bCs/>
      </w:rPr>
      <w:tblPr/>
      <w:tcPr>
        <w:tcBorders>
          <w:top w:val="sing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ListTable21">
    <w:name w:val="List Table 21"/>
    <w:basedOn w:val="TableNormal"/>
    <w:uiPriority w:val="47"/>
    <w:rsid w:val="003075F9"/>
    <w:pPr>
      <w:spacing w:after="0" w:line="240" w:lineRule="auto"/>
    </w:pPr>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3075F9"/>
    <w:pPr>
      <w:spacing w:after="0" w:line="240" w:lineRule="auto"/>
    </w:pPr>
    <w:rPr>
      <w:rFonts w:eastAsiaTheme="minorEastAsia"/>
    </w:rPr>
    <w:tblPr>
      <w:tblStyleRowBandSize w:val="1"/>
      <w:tblStyleColBandSize w:val="1"/>
      <w:tblBorders>
        <w:top w:val="single" w:sz="4" w:space="0" w:color="7BD9DE" w:themeColor="accent1" w:themeTint="99"/>
        <w:bottom w:val="single" w:sz="4" w:space="0" w:color="7BD9DE" w:themeColor="accent1" w:themeTint="99"/>
        <w:insideH w:val="single" w:sz="4" w:space="0" w:color="7BD9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ListTable2-Accent21">
    <w:name w:val="List Table 2 - Accent 21"/>
    <w:basedOn w:val="TableNormal"/>
    <w:uiPriority w:val="47"/>
    <w:rsid w:val="003075F9"/>
    <w:pPr>
      <w:spacing w:after="0" w:line="240" w:lineRule="auto"/>
    </w:pPr>
    <w:rPr>
      <w:rFonts w:eastAsiaTheme="minorEastAsia"/>
    </w:rPr>
    <w:tblPr>
      <w:tblStyleRowBandSize w:val="1"/>
      <w:tblStyleColBandSize w:val="1"/>
      <w:tblBorders>
        <w:top w:val="single" w:sz="4" w:space="0" w:color="27FFFD" w:themeColor="accent2" w:themeTint="99"/>
        <w:bottom w:val="single" w:sz="4" w:space="0" w:color="27FFFD" w:themeColor="accent2" w:themeTint="99"/>
        <w:insideH w:val="single" w:sz="4" w:space="0" w:color="27FFF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ListTable2-Accent31">
    <w:name w:val="List Table 2 - Accent 31"/>
    <w:basedOn w:val="TableNormal"/>
    <w:uiPriority w:val="47"/>
    <w:rsid w:val="003075F9"/>
    <w:pPr>
      <w:spacing w:after="0" w:line="240" w:lineRule="auto"/>
    </w:pPr>
    <w:rPr>
      <w:rFonts w:eastAsiaTheme="minorEastAsia"/>
    </w:rPr>
    <w:tblPr>
      <w:tblStyleRowBandSize w:val="1"/>
      <w:tblStyleColBandSize w:val="1"/>
      <w:tblBorders>
        <w:top w:val="single" w:sz="4" w:space="0" w:color="7AB6E2" w:themeColor="accent3" w:themeTint="99"/>
        <w:bottom w:val="single" w:sz="4" w:space="0" w:color="7AB6E2" w:themeColor="accent3" w:themeTint="99"/>
        <w:insideH w:val="single" w:sz="4" w:space="0" w:color="7AB6E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ListTable2-Accent41">
    <w:name w:val="List Table 2 - Accent 41"/>
    <w:basedOn w:val="TableNormal"/>
    <w:uiPriority w:val="47"/>
    <w:rsid w:val="003075F9"/>
    <w:pPr>
      <w:spacing w:after="0" w:line="240" w:lineRule="auto"/>
    </w:pPr>
    <w:rPr>
      <w:rFonts w:eastAsiaTheme="minorEastAsia"/>
    </w:rPr>
    <w:tblPr>
      <w:tblStyleRowBandSize w:val="1"/>
      <w:tblStyleColBandSize w:val="1"/>
      <w:tblBorders>
        <w:top w:val="single" w:sz="4" w:space="0" w:color="5EACDC" w:themeColor="accent4" w:themeTint="99"/>
        <w:bottom w:val="single" w:sz="4" w:space="0" w:color="5EACDC" w:themeColor="accent4" w:themeTint="99"/>
        <w:insideH w:val="single" w:sz="4" w:space="0" w:color="5EA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ListTable2-Accent51">
    <w:name w:val="List Table 2 - Accent 51"/>
    <w:basedOn w:val="TableNormal"/>
    <w:uiPriority w:val="47"/>
    <w:rsid w:val="003075F9"/>
    <w:pPr>
      <w:spacing w:after="0" w:line="240" w:lineRule="auto"/>
    </w:pPr>
    <w:rPr>
      <w:rFonts w:eastAsiaTheme="minorEastAsia"/>
    </w:rPr>
    <w:tblPr>
      <w:tblStyleRowBandSize w:val="1"/>
      <w:tblStyleColBandSize w:val="1"/>
      <w:tblBorders>
        <w:top w:val="single" w:sz="4" w:space="0" w:color="88D28F" w:themeColor="accent5" w:themeTint="99"/>
        <w:bottom w:val="single" w:sz="4" w:space="0" w:color="88D28F" w:themeColor="accent5" w:themeTint="99"/>
        <w:insideH w:val="single" w:sz="4" w:space="0" w:color="88D2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ListTable2-Accent61">
    <w:name w:val="List Table 2 - Accent 61"/>
    <w:basedOn w:val="TableNormal"/>
    <w:uiPriority w:val="47"/>
    <w:rsid w:val="003075F9"/>
    <w:pPr>
      <w:spacing w:after="0" w:line="240" w:lineRule="auto"/>
    </w:pPr>
    <w:rPr>
      <w:rFonts w:eastAsiaTheme="minorEastAsia"/>
    </w:rPr>
    <w:tblPr>
      <w:tblStyleRowBandSize w:val="1"/>
      <w:tblStyleColBandSize w:val="1"/>
      <w:tblBorders>
        <w:top w:val="single" w:sz="4" w:space="0" w:color="C580C8" w:themeColor="accent6" w:themeTint="99"/>
        <w:bottom w:val="single" w:sz="4" w:space="0" w:color="C580C8" w:themeColor="accent6" w:themeTint="99"/>
        <w:insideH w:val="single" w:sz="4" w:space="0" w:color="C580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ListTable31">
    <w:name w:val="List Table 31"/>
    <w:basedOn w:val="TableNormal"/>
    <w:uiPriority w:val="48"/>
    <w:rsid w:val="003075F9"/>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3075F9"/>
    <w:pPr>
      <w:spacing w:after="0" w:line="240" w:lineRule="auto"/>
    </w:pPr>
    <w:rPr>
      <w:rFonts w:eastAsiaTheme="minorEastAsia"/>
    </w:rPr>
    <w:tblPr>
      <w:tblStyleRowBandSize w:val="1"/>
      <w:tblStyleColBandSize w:val="1"/>
      <w:tblBorders>
        <w:top w:val="single" w:sz="4" w:space="0" w:color="2FB6BC" w:themeColor="accent1"/>
        <w:left w:val="single" w:sz="4" w:space="0" w:color="2FB6BC" w:themeColor="accent1"/>
        <w:bottom w:val="single" w:sz="4" w:space="0" w:color="2FB6BC" w:themeColor="accent1"/>
        <w:right w:val="single" w:sz="4" w:space="0" w:color="2FB6BC" w:themeColor="accent1"/>
      </w:tblBorders>
    </w:tblPr>
    <w:tblStylePr w:type="firstRow">
      <w:rPr>
        <w:b/>
        <w:bCs/>
        <w:color w:val="FFFFFF" w:themeColor="background1"/>
      </w:rPr>
      <w:tblPr/>
      <w:tcPr>
        <w:shd w:val="clear" w:color="auto" w:fill="2FB6BC" w:themeFill="accent1"/>
      </w:tcPr>
    </w:tblStylePr>
    <w:tblStylePr w:type="lastRow">
      <w:rPr>
        <w:b/>
        <w:bCs/>
      </w:rPr>
      <w:tblPr/>
      <w:tcPr>
        <w:tcBorders>
          <w:top w:val="double" w:sz="4" w:space="0" w:color="2FB6B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B6BC" w:themeColor="accent1"/>
          <w:right w:val="single" w:sz="4" w:space="0" w:color="2FB6BC" w:themeColor="accent1"/>
        </w:tcBorders>
      </w:tcPr>
    </w:tblStylePr>
    <w:tblStylePr w:type="band1Horz">
      <w:tblPr/>
      <w:tcPr>
        <w:tcBorders>
          <w:top w:val="single" w:sz="4" w:space="0" w:color="2FB6BC" w:themeColor="accent1"/>
          <w:bottom w:val="single" w:sz="4" w:space="0" w:color="2FB6B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B6BC" w:themeColor="accent1"/>
          <w:left w:val="nil"/>
        </w:tcBorders>
      </w:tcPr>
    </w:tblStylePr>
    <w:tblStylePr w:type="swCell">
      <w:tblPr/>
      <w:tcPr>
        <w:tcBorders>
          <w:top w:val="double" w:sz="4" w:space="0" w:color="2FB6BC" w:themeColor="accent1"/>
          <w:right w:val="nil"/>
        </w:tcBorders>
      </w:tcPr>
    </w:tblStylePr>
  </w:style>
  <w:style w:type="table" w:customStyle="1" w:styleId="ListTable3-Accent21">
    <w:name w:val="List Table 3 - Accent 21"/>
    <w:basedOn w:val="TableNormal"/>
    <w:uiPriority w:val="48"/>
    <w:rsid w:val="003075F9"/>
    <w:pPr>
      <w:spacing w:after="0" w:line="240" w:lineRule="auto"/>
    </w:pPr>
    <w:rPr>
      <w:rFonts w:eastAsiaTheme="minorEastAsia"/>
    </w:rPr>
    <w:tblPr>
      <w:tblStyleRowBandSize w:val="1"/>
      <w:tblStyleColBandSize w:val="1"/>
      <w:tblBorders>
        <w:top w:val="single" w:sz="4" w:space="0" w:color="009695" w:themeColor="accent2"/>
        <w:left w:val="single" w:sz="4" w:space="0" w:color="009695" w:themeColor="accent2"/>
        <w:bottom w:val="single" w:sz="4" w:space="0" w:color="009695" w:themeColor="accent2"/>
        <w:right w:val="single" w:sz="4" w:space="0" w:color="009695" w:themeColor="accent2"/>
      </w:tblBorders>
    </w:tblPr>
    <w:tblStylePr w:type="firstRow">
      <w:rPr>
        <w:b/>
        <w:bCs/>
        <w:color w:val="FFFFFF" w:themeColor="background1"/>
      </w:rPr>
      <w:tblPr/>
      <w:tcPr>
        <w:shd w:val="clear" w:color="auto" w:fill="009695" w:themeFill="accent2"/>
      </w:tcPr>
    </w:tblStylePr>
    <w:tblStylePr w:type="lastRow">
      <w:rPr>
        <w:b/>
        <w:bCs/>
      </w:rPr>
      <w:tblPr/>
      <w:tcPr>
        <w:tcBorders>
          <w:top w:val="double" w:sz="4" w:space="0" w:color="00969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95" w:themeColor="accent2"/>
          <w:right w:val="single" w:sz="4" w:space="0" w:color="009695" w:themeColor="accent2"/>
        </w:tcBorders>
      </w:tcPr>
    </w:tblStylePr>
    <w:tblStylePr w:type="band1Horz">
      <w:tblPr/>
      <w:tcPr>
        <w:tcBorders>
          <w:top w:val="single" w:sz="4" w:space="0" w:color="009695" w:themeColor="accent2"/>
          <w:bottom w:val="single" w:sz="4" w:space="0" w:color="00969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95" w:themeColor="accent2"/>
          <w:left w:val="nil"/>
        </w:tcBorders>
      </w:tcPr>
    </w:tblStylePr>
    <w:tblStylePr w:type="swCell">
      <w:tblPr/>
      <w:tcPr>
        <w:tcBorders>
          <w:top w:val="double" w:sz="4" w:space="0" w:color="009695" w:themeColor="accent2"/>
          <w:right w:val="nil"/>
        </w:tcBorders>
      </w:tcPr>
    </w:tblStylePr>
  </w:style>
  <w:style w:type="table" w:customStyle="1" w:styleId="ListTable3-Accent31">
    <w:name w:val="List Table 3 - Accent 31"/>
    <w:basedOn w:val="TableNormal"/>
    <w:uiPriority w:val="48"/>
    <w:rsid w:val="003075F9"/>
    <w:pPr>
      <w:spacing w:after="0" w:line="240" w:lineRule="auto"/>
    </w:pPr>
    <w:rPr>
      <w:rFonts w:eastAsiaTheme="minorEastAsia"/>
    </w:rPr>
    <w:tblPr>
      <w:tblStyleRowBandSize w:val="1"/>
      <w:tblStyleColBandSize w:val="1"/>
      <w:tblBorders>
        <w:top w:val="single" w:sz="4" w:space="0" w:color="2B86C7" w:themeColor="accent3"/>
        <w:left w:val="single" w:sz="4" w:space="0" w:color="2B86C7" w:themeColor="accent3"/>
        <w:bottom w:val="single" w:sz="4" w:space="0" w:color="2B86C7" w:themeColor="accent3"/>
        <w:right w:val="single" w:sz="4" w:space="0" w:color="2B86C7" w:themeColor="accent3"/>
      </w:tblBorders>
    </w:tblPr>
    <w:tblStylePr w:type="firstRow">
      <w:rPr>
        <w:b/>
        <w:bCs/>
        <w:color w:val="FFFFFF" w:themeColor="background1"/>
      </w:rPr>
      <w:tblPr/>
      <w:tcPr>
        <w:shd w:val="clear" w:color="auto" w:fill="2B86C7" w:themeFill="accent3"/>
      </w:tcPr>
    </w:tblStylePr>
    <w:tblStylePr w:type="lastRow">
      <w:rPr>
        <w:b/>
        <w:bCs/>
      </w:rPr>
      <w:tblPr/>
      <w:tcPr>
        <w:tcBorders>
          <w:top w:val="double" w:sz="4" w:space="0" w:color="2B86C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86C7" w:themeColor="accent3"/>
          <w:right w:val="single" w:sz="4" w:space="0" w:color="2B86C7" w:themeColor="accent3"/>
        </w:tcBorders>
      </w:tcPr>
    </w:tblStylePr>
    <w:tblStylePr w:type="band1Horz">
      <w:tblPr/>
      <w:tcPr>
        <w:tcBorders>
          <w:top w:val="single" w:sz="4" w:space="0" w:color="2B86C7" w:themeColor="accent3"/>
          <w:bottom w:val="single" w:sz="4" w:space="0" w:color="2B86C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86C7" w:themeColor="accent3"/>
          <w:left w:val="nil"/>
        </w:tcBorders>
      </w:tcPr>
    </w:tblStylePr>
    <w:tblStylePr w:type="swCell">
      <w:tblPr/>
      <w:tcPr>
        <w:tcBorders>
          <w:top w:val="double" w:sz="4" w:space="0" w:color="2B86C7" w:themeColor="accent3"/>
          <w:right w:val="nil"/>
        </w:tcBorders>
      </w:tcPr>
    </w:tblStylePr>
  </w:style>
  <w:style w:type="table" w:customStyle="1" w:styleId="ListTable3-Accent41">
    <w:name w:val="List Table 3 - Accent 41"/>
    <w:basedOn w:val="TableNormal"/>
    <w:uiPriority w:val="48"/>
    <w:rsid w:val="003075F9"/>
    <w:pPr>
      <w:spacing w:after="0" w:line="240" w:lineRule="auto"/>
    </w:pPr>
    <w:rPr>
      <w:rFonts w:eastAsiaTheme="minorEastAsia"/>
    </w:rPr>
    <w:tblPr>
      <w:tblStyleRowBandSize w:val="1"/>
      <w:tblStyleColBandSize w:val="1"/>
      <w:tblBorders>
        <w:top w:val="single" w:sz="4" w:space="0" w:color="216B99" w:themeColor="accent4"/>
        <w:left w:val="single" w:sz="4" w:space="0" w:color="216B99" w:themeColor="accent4"/>
        <w:bottom w:val="single" w:sz="4" w:space="0" w:color="216B99" w:themeColor="accent4"/>
        <w:right w:val="single" w:sz="4" w:space="0" w:color="216B99" w:themeColor="accent4"/>
      </w:tblBorders>
    </w:tblPr>
    <w:tblStylePr w:type="firstRow">
      <w:rPr>
        <w:b/>
        <w:bCs/>
        <w:color w:val="FFFFFF" w:themeColor="background1"/>
      </w:rPr>
      <w:tblPr/>
      <w:tcPr>
        <w:shd w:val="clear" w:color="auto" w:fill="216B99" w:themeFill="accent4"/>
      </w:tcPr>
    </w:tblStylePr>
    <w:tblStylePr w:type="lastRow">
      <w:rPr>
        <w:b/>
        <w:bCs/>
      </w:rPr>
      <w:tblPr/>
      <w:tcPr>
        <w:tcBorders>
          <w:top w:val="double" w:sz="4" w:space="0" w:color="216B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6B99" w:themeColor="accent4"/>
          <w:right w:val="single" w:sz="4" w:space="0" w:color="216B99" w:themeColor="accent4"/>
        </w:tcBorders>
      </w:tcPr>
    </w:tblStylePr>
    <w:tblStylePr w:type="band1Horz">
      <w:tblPr/>
      <w:tcPr>
        <w:tcBorders>
          <w:top w:val="single" w:sz="4" w:space="0" w:color="216B99" w:themeColor="accent4"/>
          <w:bottom w:val="single" w:sz="4" w:space="0" w:color="216B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6B99" w:themeColor="accent4"/>
          <w:left w:val="nil"/>
        </w:tcBorders>
      </w:tcPr>
    </w:tblStylePr>
    <w:tblStylePr w:type="swCell">
      <w:tblPr/>
      <w:tcPr>
        <w:tcBorders>
          <w:top w:val="double" w:sz="4" w:space="0" w:color="216B99" w:themeColor="accent4"/>
          <w:right w:val="nil"/>
        </w:tcBorders>
      </w:tcPr>
    </w:tblStylePr>
  </w:style>
  <w:style w:type="table" w:customStyle="1" w:styleId="ListTable3-Accent51">
    <w:name w:val="List Table 3 - Accent 51"/>
    <w:basedOn w:val="TableNormal"/>
    <w:uiPriority w:val="48"/>
    <w:rsid w:val="003075F9"/>
    <w:pPr>
      <w:spacing w:after="0" w:line="240" w:lineRule="auto"/>
    </w:pPr>
    <w:rPr>
      <w:rFonts w:eastAsiaTheme="minorEastAsia"/>
    </w:rPr>
    <w:tblPr>
      <w:tblStyleRowBandSize w:val="1"/>
      <w:tblStyleColBandSize w:val="1"/>
      <w:tblBorders>
        <w:top w:val="single" w:sz="4" w:space="0" w:color="41AC4C" w:themeColor="accent5"/>
        <w:left w:val="single" w:sz="4" w:space="0" w:color="41AC4C" w:themeColor="accent5"/>
        <w:bottom w:val="single" w:sz="4" w:space="0" w:color="41AC4C" w:themeColor="accent5"/>
        <w:right w:val="single" w:sz="4" w:space="0" w:color="41AC4C" w:themeColor="accent5"/>
      </w:tblBorders>
    </w:tblPr>
    <w:tblStylePr w:type="firstRow">
      <w:rPr>
        <w:b/>
        <w:bCs/>
        <w:color w:val="FFFFFF" w:themeColor="background1"/>
      </w:rPr>
      <w:tblPr/>
      <w:tcPr>
        <w:shd w:val="clear" w:color="auto" w:fill="41AC4C" w:themeFill="accent5"/>
      </w:tcPr>
    </w:tblStylePr>
    <w:tblStylePr w:type="lastRow">
      <w:rPr>
        <w:b/>
        <w:bCs/>
      </w:rPr>
      <w:tblPr/>
      <w:tcPr>
        <w:tcBorders>
          <w:top w:val="double" w:sz="4" w:space="0" w:color="41AC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AC4C" w:themeColor="accent5"/>
          <w:right w:val="single" w:sz="4" w:space="0" w:color="41AC4C" w:themeColor="accent5"/>
        </w:tcBorders>
      </w:tcPr>
    </w:tblStylePr>
    <w:tblStylePr w:type="band1Horz">
      <w:tblPr/>
      <w:tcPr>
        <w:tcBorders>
          <w:top w:val="single" w:sz="4" w:space="0" w:color="41AC4C" w:themeColor="accent5"/>
          <w:bottom w:val="single" w:sz="4" w:space="0" w:color="41AC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AC4C" w:themeColor="accent5"/>
          <w:left w:val="nil"/>
        </w:tcBorders>
      </w:tcPr>
    </w:tblStylePr>
    <w:tblStylePr w:type="swCell">
      <w:tblPr/>
      <w:tcPr>
        <w:tcBorders>
          <w:top w:val="double" w:sz="4" w:space="0" w:color="41AC4C" w:themeColor="accent5"/>
          <w:right w:val="nil"/>
        </w:tcBorders>
      </w:tcPr>
    </w:tblStylePr>
  </w:style>
  <w:style w:type="table" w:customStyle="1" w:styleId="ListTable3-Accent61">
    <w:name w:val="List Table 3 - Accent 61"/>
    <w:basedOn w:val="TableNormal"/>
    <w:uiPriority w:val="48"/>
    <w:rsid w:val="003075F9"/>
    <w:pPr>
      <w:spacing w:after="0" w:line="240" w:lineRule="auto"/>
    </w:pPr>
    <w:rPr>
      <w:rFonts w:eastAsiaTheme="minorEastAsia"/>
    </w:rPr>
    <w:tblPr>
      <w:tblStyleRowBandSize w:val="1"/>
      <w:tblStyleColBandSize w:val="1"/>
      <w:tblBorders>
        <w:top w:val="single" w:sz="4" w:space="0" w:color="8E3F91" w:themeColor="accent6"/>
        <w:left w:val="single" w:sz="4" w:space="0" w:color="8E3F91" w:themeColor="accent6"/>
        <w:bottom w:val="single" w:sz="4" w:space="0" w:color="8E3F91" w:themeColor="accent6"/>
        <w:right w:val="single" w:sz="4" w:space="0" w:color="8E3F91" w:themeColor="accent6"/>
      </w:tblBorders>
    </w:tblPr>
    <w:tblStylePr w:type="firstRow">
      <w:rPr>
        <w:b/>
        <w:bCs/>
        <w:color w:val="FFFFFF" w:themeColor="background1"/>
      </w:rPr>
      <w:tblPr/>
      <w:tcPr>
        <w:shd w:val="clear" w:color="auto" w:fill="8E3F91" w:themeFill="accent6"/>
      </w:tcPr>
    </w:tblStylePr>
    <w:tblStylePr w:type="lastRow">
      <w:rPr>
        <w:b/>
        <w:bCs/>
      </w:rPr>
      <w:tblPr/>
      <w:tcPr>
        <w:tcBorders>
          <w:top w:val="double" w:sz="4" w:space="0" w:color="8E3F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3F91" w:themeColor="accent6"/>
          <w:right w:val="single" w:sz="4" w:space="0" w:color="8E3F91" w:themeColor="accent6"/>
        </w:tcBorders>
      </w:tcPr>
    </w:tblStylePr>
    <w:tblStylePr w:type="band1Horz">
      <w:tblPr/>
      <w:tcPr>
        <w:tcBorders>
          <w:top w:val="single" w:sz="4" w:space="0" w:color="8E3F91" w:themeColor="accent6"/>
          <w:bottom w:val="single" w:sz="4" w:space="0" w:color="8E3F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3F91" w:themeColor="accent6"/>
          <w:left w:val="nil"/>
        </w:tcBorders>
      </w:tcPr>
    </w:tblStylePr>
    <w:tblStylePr w:type="swCell">
      <w:tblPr/>
      <w:tcPr>
        <w:tcBorders>
          <w:top w:val="double" w:sz="4" w:space="0" w:color="8E3F91" w:themeColor="accent6"/>
          <w:right w:val="nil"/>
        </w:tcBorders>
      </w:tcPr>
    </w:tblStylePr>
  </w:style>
  <w:style w:type="table" w:customStyle="1" w:styleId="ListTable41">
    <w:name w:val="List Table 41"/>
    <w:basedOn w:val="TableNormal"/>
    <w:uiPriority w:val="49"/>
    <w:rsid w:val="003075F9"/>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3075F9"/>
    <w:pPr>
      <w:spacing w:after="0" w:line="240" w:lineRule="auto"/>
    </w:pPr>
    <w:rPr>
      <w:rFonts w:eastAsiaTheme="minorEastAsia"/>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tblBorders>
    </w:tblPr>
    <w:tblStylePr w:type="firstRow">
      <w:rPr>
        <w:b/>
        <w:bCs/>
        <w:color w:val="FFFFFF" w:themeColor="background1"/>
      </w:rPr>
      <w:tblPr/>
      <w:tcPr>
        <w:tcBorders>
          <w:top w:val="single" w:sz="4" w:space="0" w:color="2FB6BC" w:themeColor="accent1"/>
          <w:left w:val="single" w:sz="4" w:space="0" w:color="2FB6BC" w:themeColor="accent1"/>
          <w:bottom w:val="single" w:sz="4" w:space="0" w:color="2FB6BC" w:themeColor="accent1"/>
          <w:right w:val="single" w:sz="4" w:space="0" w:color="2FB6BC" w:themeColor="accent1"/>
          <w:insideH w:val="nil"/>
        </w:tcBorders>
        <w:shd w:val="clear" w:color="auto" w:fill="2FB6BC" w:themeFill="accent1"/>
      </w:tcPr>
    </w:tblStylePr>
    <w:tblStylePr w:type="lastRow">
      <w:rPr>
        <w:b/>
        <w:bCs/>
      </w:rPr>
      <w:tblPr/>
      <w:tcPr>
        <w:tcBorders>
          <w:top w:val="double" w:sz="4" w:space="0" w:color="7BD9DE" w:themeColor="accent1" w:themeTint="99"/>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ListTable4-Accent21">
    <w:name w:val="List Table 4 - Accent 21"/>
    <w:basedOn w:val="TableNormal"/>
    <w:uiPriority w:val="49"/>
    <w:rsid w:val="003075F9"/>
    <w:pPr>
      <w:spacing w:after="0" w:line="240" w:lineRule="auto"/>
    </w:pPr>
    <w:rPr>
      <w:rFonts w:eastAsiaTheme="minorEastAsia"/>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tblBorders>
    </w:tblPr>
    <w:tblStylePr w:type="firstRow">
      <w:rPr>
        <w:b/>
        <w:bCs/>
        <w:color w:val="FFFFFF" w:themeColor="background1"/>
      </w:rPr>
      <w:tblPr/>
      <w:tcPr>
        <w:tcBorders>
          <w:top w:val="single" w:sz="4" w:space="0" w:color="009695" w:themeColor="accent2"/>
          <w:left w:val="single" w:sz="4" w:space="0" w:color="009695" w:themeColor="accent2"/>
          <w:bottom w:val="single" w:sz="4" w:space="0" w:color="009695" w:themeColor="accent2"/>
          <w:right w:val="single" w:sz="4" w:space="0" w:color="009695" w:themeColor="accent2"/>
          <w:insideH w:val="nil"/>
        </w:tcBorders>
        <w:shd w:val="clear" w:color="auto" w:fill="009695" w:themeFill="accent2"/>
      </w:tcPr>
    </w:tblStylePr>
    <w:tblStylePr w:type="lastRow">
      <w:rPr>
        <w:b/>
        <w:bCs/>
      </w:rPr>
      <w:tblPr/>
      <w:tcPr>
        <w:tcBorders>
          <w:top w:val="double" w:sz="4" w:space="0" w:color="27FFFD" w:themeColor="accent2" w:themeTint="99"/>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ListTable4-Accent31">
    <w:name w:val="List Table 4 - Accent 31"/>
    <w:basedOn w:val="TableNormal"/>
    <w:uiPriority w:val="49"/>
    <w:rsid w:val="003075F9"/>
    <w:pPr>
      <w:spacing w:after="0" w:line="240" w:lineRule="auto"/>
    </w:pPr>
    <w:rPr>
      <w:rFonts w:eastAsiaTheme="minorEastAsia"/>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tblBorders>
    </w:tblPr>
    <w:tblStylePr w:type="firstRow">
      <w:rPr>
        <w:b/>
        <w:bCs/>
        <w:color w:val="FFFFFF" w:themeColor="background1"/>
      </w:rPr>
      <w:tblPr/>
      <w:tcPr>
        <w:tcBorders>
          <w:top w:val="single" w:sz="4" w:space="0" w:color="2B86C7" w:themeColor="accent3"/>
          <w:left w:val="single" w:sz="4" w:space="0" w:color="2B86C7" w:themeColor="accent3"/>
          <w:bottom w:val="single" w:sz="4" w:space="0" w:color="2B86C7" w:themeColor="accent3"/>
          <w:right w:val="single" w:sz="4" w:space="0" w:color="2B86C7" w:themeColor="accent3"/>
          <w:insideH w:val="nil"/>
        </w:tcBorders>
        <w:shd w:val="clear" w:color="auto" w:fill="2B86C7" w:themeFill="accent3"/>
      </w:tcPr>
    </w:tblStylePr>
    <w:tblStylePr w:type="lastRow">
      <w:rPr>
        <w:b/>
        <w:bCs/>
      </w:rPr>
      <w:tblPr/>
      <w:tcPr>
        <w:tcBorders>
          <w:top w:val="double" w:sz="4" w:space="0" w:color="7AB6E2" w:themeColor="accent3" w:themeTint="99"/>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ListTable4-Accent41">
    <w:name w:val="List Table 4 - Accent 41"/>
    <w:basedOn w:val="TableNormal"/>
    <w:uiPriority w:val="49"/>
    <w:rsid w:val="003075F9"/>
    <w:pPr>
      <w:spacing w:after="0" w:line="240" w:lineRule="auto"/>
    </w:pPr>
    <w:rPr>
      <w:rFonts w:eastAsiaTheme="minorEastAsia"/>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tblBorders>
    </w:tblPr>
    <w:tblStylePr w:type="firstRow">
      <w:rPr>
        <w:b/>
        <w:bCs/>
        <w:color w:val="FFFFFF" w:themeColor="background1"/>
      </w:rPr>
      <w:tblPr/>
      <w:tcPr>
        <w:tcBorders>
          <w:top w:val="single" w:sz="4" w:space="0" w:color="216B99" w:themeColor="accent4"/>
          <w:left w:val="single" w:sz="4" w:space="0" w:color="216B99" w:themeColor="accent4"/>
          <w:bottom w:val="single" w:sz="4" w:space="0" w:color="216B99" w:themeColor="accent4"/>
          <w:right w:val="single" w:sz="4" w:space="0" w:color="216B99" w:themeColor="accent4"/>
          <w:insideH w:val="nil"/>
        </w:tcBorders>
        <w:shd w:val="clear" w:color="auto" w:fill="216B99" w:themeFill="accent4"/>
      </w:tcPr>
    </w:tblStylePr>
    <w:tblStylePr w:type="lastRow">
      <w:rPr>
        <w:b/>
        <w:bCs/>
      </w:rPr>
      <w:tblPr/>
      <w:tcPr>
        <w:tcBorders>
          <w:top w:val="doub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ListTable4-Accent51">
    <w:name w:val="List Table 4 - Accent 51"/>
    <w:basedOn w:val="TableNormal"/>
    <w:uiPriority w:val="49"/>
    <w:rsid w:val="003075F9"/>
    <w:pPr>
      <w:spacing w:after="0" w:line="240" w:lineRule="auto"/>
    </w:pPr>
    <w:rPr>
      <w:rFonts w:eastAsiaTheme="minorEastAsia"/>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tblBorders>
    </w:tblPr>
    <w:tblStylePr w:type="firstRow">
      <w:rPr>
        <w:b/>
        <w:bCs/>
        <w:color w:val="FFFFFF" w:themeColor="background1"/>
      </w:rPr>
      <w:tblPr/>
      <w:tcPr>
        <w:tcBorders>
          <w:top w:val="single" w:sz="4" w:space="0" w:color="41AC4C" w:themeColor="accent5"/>
          <w:left w:val="single" w:sz="4" w:space="0" w:color="41AC4C" w:themeColor="accent5"/>
          <w:bottom w:val="single" w:sz="4" w:space="0" w:color="41AC4C" w:themeColor="accent5"/>
          <w:right w:val="single" w:sz="4" w:space="0" w:color="41AC4C" w:themeColor="accent5"/>
          <w:insideH w:val="nil"/>
        </w:tcBorders>
        <w:shd w:val="clear" w:color="auto" w:fill="41AC4C" w:themeFill="accent5"/>
      </w:tcPr>
    </w:tblStylePr>
    <w:tblStylePr w:type="lastRow">
      <w:rPr>
        <w:b/>
        <w:bCs/>
      </w:rPr>
      <w:tblPr/>
      <w:tcPr>
        <w:tcBorders>
          <w:top w:val="doub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ListTable4-Accent61">
    <w:name w:val="List Table 4 - Accent 61"/>
    <w:basedOn w:val="TableNormal"/>
    <w:uiPriority w:val="49"/>
    <w:rsid w:val="003075F9"/>
    <w:pPr>
      <w:spacing w:after="0" w:line="240" w:lineRule="auto"/>
    </w:pPr>
    <w:rPr>
      <w:rFonts w:eastAsiaTheme="minorEastAsia"/>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tblBorders>
    </w:tblPr>
    <w:tblStylePr w:type="firstRow">
      <w:rPr>
        <w:b/>
        <w:bCs/>
        <w:color w:val="FFFFFF" w:themeColor="background1"/>
      </w:rPr>
      <w:tblPr/>
      <w:tcPr>
        <w:tcBorders>
          <w:top w:val="single" w:sz="4" w:space="0" w:color="8E3F91" w:themeColor="accent6"/>
          <w:left w:val="single" w:sz="4" w:space="0" w:color="8E3F91" w:themeColor="accent6"/>
          <w:bottom w:val="single" w:sz="4" w:space="0" w:color="8E3F91" w:themeColor="accent6"/>
          <w:right w:val="single" w:sz="4" w:space="0" w:color="8E3F91" w:themeColor="accent6"/>
          <w:insideH w:val="nil"/>
        </w:tcBorders>
        <w:shd w:val="clear" w:color="auto" w:fill="8E3F91" w:themeFill="accent6"/>
      </w:tcPr>
    </w:tblStylePr>
    <w:tblStylePr w:type="lastRow">
      <w:rPr>
        <w:b/>
        <w:bCs/>
      </w:rPr>
      <w:tblPr/>
      <w:tcPr>
        <w:tcBorders>
          <w:top w:val="doub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ListTable5Dark1">
    <w:name w:val="List Table 5 Dark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2FB6BC" w:themeColor="accent1"/>
        <w:left w:val="single" w:sz="24" w:space="0" w:color="2FB6BC" w:themeColor="accent1"/>
        <w:bottom w:val="single" w:sz="24" w:space="0" w:color="2FB6BC" w:themeColor="accent1"/>
        <w:right w:val="single" w:sz="24" w:space="0" w:color="2FB6BC" w:themeColor="accent1"/>
      </w:tblBorders>
    </w:tblPr>
    <w:tcPr>
      <w:shd w:val="clear" w:color="auto" w:fill="2FB6B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009695" w:themeColor="accent2"/>
        <w:left w:val="single" w:sz="24" w:space="0" w:color="009695" w:themeColor="accent2"/>
        <w:bottom w:val="single" w:sz="24" w:space="0" w:color="009695" w:themeColor="accent2"/>
        <w:right w:val="single" w:sz="24" w:space="0" w:color="009695" w:themeColor="accent2"/>
      </w:tblBorders>
    </w:tblPr>
    <w:tcPr>
      <w:shd w:val="clear" w:color="auto" w:fill="00969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2B86C7" w:themeColor="accent3"/>
        <w:left w:val="single" w:sz="24" w:space="0" w:color="2B86C7" w:themeColor="accent3"/>
        <w:bottom w:val="single" w:sz="24" w:space="0" w:color="2B86C7" w:themeColor="accent3"/>
        <w:right w:val="single" w:sz="24" w:space="0" w:color="2B86C7" w:themeColor="accent3"/>
      </w:tblBorders>
    </w:tblPr>
    <w:tcPr>
      <w:shd w:val="clear" w:color="auto" w:fill="2B86C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216B99" w:themeColor="accent4"/>
        <w:left w:val="single" w:sz="24" w:space="0" w:color="216B99" w:themeColor="accent4"/>
        <w:bottom w:val="single" w:sz="24" w:space="0" w:color="216B99" w:themeColor="accent4"/>
        <w:right w:val="single" w:sz="24" w:space="0" w:color="216B99" w:themeColor="accent4"/>
      </w:tblBorders>
    </w:tblPr>
    <w:tcPr>
      <w:shd w:val="clear" w:color="auto" w:fill="216B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41AC4C" w:themeColor="accent5"/>
        <w:left w:val="single" w:sz="24" w:space="0" w:color="41AC4C" w:themeColor="accent5"/>
        <w:bottom w:val="single" w:sz="24" w:space="0" w:color="41AC4C" w:themeColor="accent5"/>
        <w:right w:val="single" w:sz="24" w:space="0" w:color="41AC4C" w:themeColor="accent5"/>
      </w:tblBorders>
    </w:tblPr>
    <w:tcPr>
      <w:shd w:val="clear" w:color="auto" w:fill="41AC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8E3F91" w:themeColor="accent6"/>
        <w:left w:val="single" w:sz="24" w:space="0" w:color="8E3F91" w:themeColor="accent6"/>
        <w:bottom w:val="single" w:sz="24" w:space="0" w:color="8E3F91" w:themeColor="accent6"/>
        <w:right w:val="single" w:sz="24" w:space="0" w:color="8E3F91" w:themeColor="accent6"/>
      </w:tblBorders>
    </w:tblPr>
    <w:tcPr>
      <w:shd w:val="clear" w:color="auto" w:fill="8E3F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3075F9"/>
    <w:pPr>
      <w:spacing w:after="0" w:line="240" w:lineRule="auto"/>
    </w:pPr>
    <w:rPr>
      <w:rFonts w:eastAsiaTheme="minorEastAsia"/>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3075F9"/>
    <w:pPr>
      <w:spacing w:after="0" w:line="240" w:lineRule="auto"/>
    </w:pPr>
    <w:rPr>
      <w:rFonts w:eastAsiaTheme="minorEastAsia"/>
      <w:color w:val="23888C" w:themeColor="accent1" w:themeShade="BF"/>
    </w:rPr>
    <w:tblPr>
      <w:tblStyleRowBandSize w:val="1"/>
      <w:tblStyleColBandSize w:val="1"/>
      <w:tblBorders>
        <w:top w:val="single" w:sz="4" w:space="0" w:color="2FB6BC" w:themeColor="accent1"/>
        <w:bottom w:val="single" w:sz="4" w:space="0" w:color="2FB6BC" w:themeColor="accent1"/>
      </w:tblBorders>
    </w:tblPr>
    <w:tblStylePr w:type="firstRow">
      <w:rPr>
        <w:b/>
        <w:bCs/>
      </w:rPr>
      <w:tblPr/>
      <w:tcPr>
        <w:tcBorders>
          <w:bottom w:val="single" w:sz="4" w:space="0" w:color="2FB6BC" w:themeColor="accent1"/>
        </w:tcBorders>
      </w:tcPr>
    </w:tblStylePr>
    <w:tblStylePr w:type="lastRow">
      <w:rPr>
        <w:b/>
        <w:bCs/>
      </w:rPr>
      <w:tblPr/>
      <w:tcPr>
        <w:tcBorders>
          <w:top w:val="double" w:sz="4" w:space="0" w:color="2FB6BC" w:themeColor="accent1"/>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ListTable6Colorful-Accent21">
    <w:name w:val="List Table 6 Colorful - Accent 21"/>
    <w:basedOn w:val="TableNormal"/>
    <w:uiPriority w:val="51"/>
    <w:rsid w:val="003075F9"/>
    <w:pPr>
      <w:spacing w:after="0" w:line="240" w:lineRule="auto"/>
    </w:pPr>
    <w:rPr>
      <w:rFonts w:eastAsiaTheme="minorEastAsia"/>
      <w:color w:val="00706F" w:themeColor="accent2" w:themeShade="BF"/>
    </w:rPr>
    <w:tblPr>
      <w:tblStyleRowBandSize w:val="1"/>
      <w:tblStyleColBandSize w:val="1"/>
      <w:tblBorders>
        <w:top w:val="single" w:sz="4" w:space="0" w:color="009695" w:themeColor="accent2"/>
        <w:bottom w:val="single" w:sz="4" w:space="0" w:color="009695" w:themeColor="accent2"/>
      </w:tblBorders>
    </w:tblPr>
    <w:tblStylePr w:type="firstRow">
      <w:rPr>
        <w:b/>
        <w:bCs/>
      </w:rPr>
      <w:tblPr/>
      <w:tcPr>
        <w:tcBorders>
          <w:bottom w:val="single" w:sz="4" w:space="0" w:color="009695" w:themeColor="accent2"/>
        </w:tcBorders>
      </w:tcPr>
    </w:tblStylePr>
    <w:tblStylePr w:type="lastRow">
      <w:rPr>
        <w:b/>
        <w:bCs/>
      </w:rPr>
      <w:tblPr/>
      <w:tcPr>
        <w:tcBorders>
          <w:top w:val="double" w:sz="4" w:space="0" w:color="009695" w:themeColor="accent2"/>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ListTable6Colorful-Accent31">
    <w:name w:val="List Table 6 Colorful - Accent 31"/>
    <w:basedOn w:val="TableNormal"/>
    <w:uiPriority w:val="51"/>
    <w:rsid w:val="003075F9"/>
    <w:pPr>
      <w:spacing w:after="0" w:line="240" w:lineRule="auto"/>
    </w:pPr>
    <w:rPr>
      <w:rFonts w:eastAsiaTheme="minorEastAsia"/>
      <w:color w:val="206394" w:themeColor="accent3" w:themeShade="BF"/>
    </w:rPr>
    <w:tblPr>
      <w:tblStyleRowBandSize w:val="1"/>
      <w:tblStyleColBandSize w:val="1"/>
      <w:tblBorders>
        <w:top w:val="single" w:sz="4" w:space="0" w:color="2B86C7" w:themeColor="accent3"/>
        <w:bottom w:val="single" w:sz="4" w:space="0" w:color="2B86C7" w:themeColor="accent3"/>
      </w:tblBorders>
    </w:tblPr>
    <w:tblStylePr w:type="firstRow">
      <w:rPr>
        <w:b/>
        <w:bCs/>
      </w:rPr>
      <w:tblPr/>
      <w:tcPr>
        <w:tcBorders>
          <w:bottom w:val="single" w:sz="4" w:space="0" w:color="2B86C7" w:themeColor="accent3"/>
        </w:tcBorders>
      </w:tcPr>
    </w:tblStylePr>
    <w:tblStylePr w:type="lastRow">
      <w:rPr>
        <w:b/>
        <w:bCs/>
      </w:rPr>
      <w:tblPr/>
      <w:tcPr>
        <w:tcBorders>
          <w:top w:val="double" w:sz="4" w:space="0" w:color="2B86C7" w:themeColor="accent3"/>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ListTable6Colorful-Accent41">
    <w:name w:val="List Table 6 Colorful - Accent 41"/>
    <w:basedOn w:val="TableNormal"/>
    <w:uiPriority w:val="51"/>
    <w:rsid w:val="003075F9"/>
    <w:pPr>
      <w:spacing w:after="0" w:line="240" w:lineRule="auto"/>
    </w:pPr>
    <w:rPr>
      <w:rFonts w:eastAsiaTheme="minorEastAsia"/>
      <w:color w:val="184F72" w:themeColor="accent4" w:themeShade="BF"/>
    </w:rPr>
    <w:tblPr>
      <w:tblStyleRowBandSize w:val="1"/>
      <w:tblStyleColBandSize w:val="1"/>
      <w:tblBorders>
        <w:top w:val="single" w:sz="4" w:space="0" w:color="216B99" w:themeColor="accent4"/>
        <w:bottom w:val="single" w:sz="4" w:space="0" w:color="216B99" w:themeColor="accent4"/>
      </w:tblBorders>
    </w:tblPr>
    <w:tblStylePr w:type="firstRow">
      <w:rPr>
        <w:b/>
        <w:bCs/>
      </w:rPr>
      <w:tblPr/>
      <w:tcPr>
        <w:tcBorders>
          <w:bottom w:val="single" w:sz="4" w:space="0" w:color="216B99" w:themeColor="accent4"/>
        </w:tcBorders>
      </w:tcPr>
    </w:tblStylePr>
    <w:tblStylePr w:type="lastRow">
      <w:rPr>
        <w:b/>
        <w:bCs/>
      </w:rPr>
      <w:tblPr/>
      <w:tcPr>
        <w:tcBorders>
          <w:top w:val="double" w:sz="4" w:space="0" w:color="216B99" w:themeColor="accent4"/>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ListTable6Colorful-Accent51">
    <w:name w:val="List Table 6 Colorful - Accent 51"/>
    <w:basedOn w:val="TableNormal"/>
    <w:uiPriority w:val="51"/>
    <w:rsid w:val="003075F9"/>
    <w:pPr>
      <w:spacing w:after="0" w:line="240" w:lineRule="auto"/>
    </w:pPr>
    <w:rPr>
      <w:rFonts w:eastAsiaTheme="minorEastAsia"/>
      <w:color w:val="308038" w:themeColor="accent5" w:themeShade="BF"/>
    </w:rPr>
    <w:tblPr>
      <w:tblStyleRowBandSize w:val="1"/>
      <w:tblStyleColBandSize w:val="1"/>
      <w:tblBorders>
        <w:top w:val="single" w:sz="4" w:space="0" w:color="41AC4C" w:themeColor="accent5"/>
        <w:bottom w:val="single" w:sz="4" w:space="0" w:color="41AC4C" w:themeColor="accent5"/>
      </w:tblBorders>
    </w:tblPr>
    <w:tblStylePr w:type="firstRow">
      <w:rPr>
        <w:b/>
        <w:bCs/>
      </w:rPr>
      <w:tblPr/>
      <w:tcPr>
        <w:tcBorders>
          <w:bottom w:val="single" w:sz="4" w:space="0" w:color="41AC4C" w:themeColor="accent5"/>
        </w:tcBorders>
      </w:tcPr>
    </w:tblStylePr>
    <w:tblStylePr w:type="lastRow">
      <w:rPr>
        <w:b/>
        <w:bCs/>
      </w:rPr>
      <w:tblPr/>
      <w:tcPr>
        <w:tcBorders>
          <w:top w:val="double" w:sz="4" w:space="0" w:color="41AC4C" w:themeColor="accent5"/>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ListTable6Colorful-Accent61">
    <w:name w:val="List Table 6 Colorful - Accent 61"/>
    <w:basedOn w:val="TableNormal"/>
    <w:uiPriority w:val="51"/>
    <w:rsid w:val="003075F9"/>
    <w:pPr>
      <w:spacing w:after="0" w:line="240" w:lineRule="auto"/>
    </w:pPr>
    <w:rPr>
      <w:rFonts w:eastAsiaTheme="minorEastAsia"/>
      <w:color w:val="6A2F6C" w:themeColor="accent6" w:themeShade="BF"/>
    </w:rPr>
    <w:tblPr>
      <w:tblStyleRowBandSize w:val="1"/>
      <w:tblStyleColBandSize w:val="1"/>
      <w:tblBorders>
        <w:top w:val="single" w:sz="4" w:space="0" w:color="8E3F91" w:themeColor="accent6"/>
        <w:bottom w:val="single" w:sz="4" w:space="0" w:color="8E3F91" w:themeColor="accent6"/>
      </w:tblBorders>
    </w:tblPr>
    <w:tblStylePr w:type="firstRow">
      <w:rPr>
        <w:b/>
        <w:bCs/>
      </w:rPr>
      <w:tblPr/>
      <w:tcPr>
        <w:tcBorders>
          <w:bottom w:val="single" w:sz="4" w:space="0" w:color="8E3F91" w:themeColor="accent6"/>
        </w:tcBorders>
      </w:tcPr>
    </w:tblStylePr>
    <w:tblStylePr w:type="lastRow">
      <w:rPr>
        <w:b/>
        <w:bCs/>
      </w:rPr>
      <w:tblPr/>
      <w:tcPr>
        <w:tcBorders>
          <w:top w:val="double" w:sz="4" w:space="0" w:color="8E3F91" w:themeColor="accent6"/>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ListTable7Colorful1">
    <w:name w:val="List Table 7 Colorful1"/>
    <w:basedOn w:val="TableNormal"/>
    <w:uiPriority w:val="52"/>
    <w:rsid w:val="003075F9"/>
    <w:pPr>
      <w:spacing w:after="0" w:line="240" w:lineRule="auto"/>
    </w:pPr>
    <w:rPr>
      <w:rFonts w:eastAsiaTheme="minorEastAsia"/>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3075F9"/>
    <w:pPr>
      <w:spacing w:after="0" w:line="240" w:lineRule="auto"/>
    </w:pPr>
    <w:rPr>
      <w:rFonts w:eastAsiaTheme="minorEastAsia"/>
      <w:color w:val="23888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B6B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B6B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B6B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B6BC" w:themeColor="accent1"/>
        </w:tcBorders>
        <w:shd w:val="clear" w:color="auto" w:fill="FFFFFF" w:themeFill="background1"/>
      </w:tcPr>
    </w:tblStylePr>
    <w:tblStylePr w:type="band1Vert">
      <w:tblPr/>
      <w:tcPr>
        <w:shd w:val="clear" w:color="auto" w:fill="D3F2F4" w:themeFill="accent1" w:themeFillTint="33"/>
      </w:tcPr>
    </w:tblStylePr>
    <w:tblStylePr w:type="band1Horz">
      <w:tblPr/>
      <w:tcPr>
        <w:shd w:val="clear" w:color="auto" w:fill="D3F2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3075F9"/>
    <w:pPr>
      <w:spacing w:after="0" w:line="240" w:lineRule="auto"/>
    </w:pPr>
    <w:rPr>
      <w:rFonts w:eastAsiaTheme="minorEastAsia"/>
      <w:color w:val="00706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9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9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9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95" w:themeColor="accent2"/>
        </w:tcBorders>
        <w:shd w:val="clear" w:color="auto" w:fill="FFFFFF" w:themeFill="background1"/>
      </w:tcPr>
    </w:tblStylePr>
    <w:tblStylePr w:type="band1Vert">
      <w:tblPr/>
      <w:tcPr>
        <w:shd w:val="clear" w:color="auto" w:fill="B7FFFE" w:themeFill="accent2" w:themeFillTint="33"/>
      </w:tcPr>
    </w:tblStylePr>
    <w:tblStylePr w:type="band1Horz">
      <w:tblPr/>
      <w:tcPr>
        <w:shd w:val="clear" w:color="auto" w:fill="B7FF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3075F9"/>
    <w:pPr>
      <w:spacing w:after="0" w:line="240" w:lineRule="auto"/>
    </w:pPr>
    <w:rPr>
      <w:rFonts w:eastAsiaTheme="minorEastAsia"/>
      <w:color w:val="20639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86C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86C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86C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86C7" w:themeColor="accent3"/>
        </w:tcBorders>
        <w:shd w:val="clear" w:color="auto" w:fill="FFFFFF" w:themeFill="background1"/>
      </w:tcPr>
    </w:tblStylePr>
    <w:tblStylePr w:type="band1Vert">
      <w:tblPr/>
      <w:tcPr>
        <w:shd w:val="clear" w:color="auto" w:fill="D2E6F5" w:themeFill="accent3" w:themeFillTint="33"/>
      </w:tcPr>
    </w:tblStylePr>
    <w:tblStylePr w:type="band1Horz">
      <w:tblPr/>
      <w:tcPr>
        <w:shd w:val="clear" w:color="auto" w:fill="D2E6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3075F9"/>
    <w:pPr>
      <w:spacing w:after="0" w:line="240" w:lineRule="auto"/>
    </w:pPr>
    <w:rPr>
      <w:rFonts w:eastAsiaTheme="minorEastAsia"/>
      <w:color w:val="184F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6B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6B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6B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6B99" w:themeColor="accent4"/>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3075F9"/>
    <w:pPr>
      <w:spacing w:after="0" w:line="240" w:lineRule="auto"/>
    </w:pPr>
    <w:rPr>
      <w:rFonts w:eastAsiaTheme="minorEastAsia"/>
      <w:color w:val="3080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AC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AC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AC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AC4C" w:themeColor="accent5"/>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3075F9"/>
    <w:pPr>
      <w:spacing w:after="0" w:line="240" w:lineRule="auto"/>
    </w:pPr>
    <w:rPr>
      <w:rFonts w:eastAsiaTheme="minorEastAsia"/>
      <w:color w:val="6A2F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3F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3F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3F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3F91" w:themeColor="accent6"/>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075F9"/>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Theme="minorEastAsia" w:hAnsi="Consolas"/>
    </w:rPr>
  </w:style>
  <w:style w:type="character" w:customStyle="1" w:styleId="MacroTextChar">
    <w:name w:val="Macro Text Char"/>
    <w:basedOn w:val="DefaultParagraphFont"/>
    <w:link w:val="MacroText"/>
    <w:uiPriority w:val="99"/>
    <w:semiHidden/>
    <w:rsid w:val="003075F9"/>
    <w:rPr>
      <w:rFonts w:ascii="Consolas" w:eastAsiaTheme="minorEastAsia" w:hAnsi="Consolas"/>
      <w:lang w:val="en-GB"/>
    </w:rPr>
  </w:style>
  <w:style w:type="table" w:styleId="MediumGrid1">
    <w:name w:val="Medium Grid 1"/>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single" w:sz="8" w:space="0" w:color="5AD0D5" w:themeColor="accent1" w:themeTint="BF"/>
        <w:insideV w:val="single" w:sz="8" w:space="0" w:color="5AD0D5" w:themeColor="accent1" w:themeTint="BF"/>
      </w:tblBorders>
    </w:tblPr>
    <w:tcPr>
      <w:shd w:val="clear" w:color="auto" w:fill="C8EFF1" w:themeFill="accent1" w:themeFillTint="3F"/>
    </w:tcPr>
    <w:tblStylePr w:type="firstRow">
      <w:rPr>
        <w:b/>
        <w:bCs/>
      </w:rPr>
    </w:tblStylePr>
    <w:tblStylePr w:type="lastRow">
      <w:rPr>
        <w:b/>
        <w:bCs/>
      </w:rPr>
      <w:tblPr/>
      <w:tcPr>
        <w:tcBorders>
          <w:top w:val="single" w:sz="18" w:space="0" w:color="5AD0D5" w:themeColor="accent1" w:themeTint="BF"/>
        </w:tcBorders>
      </w:tcPr>
    </w:tblStylePr>
    <w:tblStylePr w:type="firstCol">
      <w:rPr>
        <w:b/>
        <w:bCs/>
      </w:rPr>
    </w:tblStylePr>
    <w:tblStylePr w:type="lastCol">
      <w:rPr>
        <w:b/>
        <w:bCs/>
      </w:rPr>
    </w:tblStylePr>
    <w:tblStylePr w:type="band1Vert">
      <w:tblPr/>
      <w:tcPr>
        <w:shd w:val="clear" w:color="auto" w:fill="91E0E3" w:themeFill="accent1" w:themeFillTint="7F"/>
      </w:tcPr>
    </w:tblStylePr>
    <w:tblStylePr w:type="band1Horz">
      <w:tblPr/>
      <w:tcPr>
        <w:shd w:val="clear" w:color="auto" w:fill="91E0E3" w:themeFill="accent1" w:themeFillTint="7F"/>
      </w:tcPr>
    </w:tblStylePr>
  </w:style>
  <w:style w:type="table" w:styleId="MediumGrid1-Accent2">
    <w:name w:val="Medium Grid 1 Accent 2"/>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single" w:sz="8" w:space="0" w:color="00F0EE" w:themeColor="accent2" w:themeTint="BF"/>
        <w:insideV w:val="single" w:sz="8" w:space="0" w:color="00F0EE" w:themeColor="accent2" w:themeTint="BF"/>
      </w:tblBorders>
    </w:tblPr>
    <w:tcPr>
      <w:shd w:val="clear" w:color="auto" w:fill="A6FFFE" w:themeFill="accent2" w:themeFillTint="3F"/>
    </w:tcPr>
    <w:tblStylePr w:type="firstRow">
      <w:rPr>
        <w:b/>
        <w:bCs/>
      </w:rPr>
    </w:tblStylePr>
    <w:tblStylePr w:type="lastRow">
      <w:rPr>
        <w:b/>
        <w:bCs/>
      </w:rPr>
      <w:tblPr/>
      <w:tcPr>
        <w:tcBorders>
          <w:top w:val="single" w:sz="18" w:space="0" w:color="00F0EE" w:themeColor="accent2" w:themeTint="BF"/>
        </w:tcBorders>
      </w:tcPr>
    </w:tblStylePr>
    <w:tblStylePr w:type="firstCol">
      <w:rPr>
        <w:b/>
        <w:bCs/>
      </w:rPr>
    </w:tblStylePr>
    <w:tblStylePr w:type="lastCol">
      <w:rPr>
        <w:b/>
        <w:bCs/>
      </w:rPr>
    </w:tblStylePr>
    <w:tblStylePr w:type="band1Vert">
      <w:tblPr/>
      <w:tcPr>
        <w:shd w:val="clear" w:color="auto" w:fill="4BFFFD" w:themeFill="accent2" w:themeFillTint="7F"/>
      </w:tcPr>
    </w:tblStylePr>
    <w:tblStylePr w:type="band1Horz">
      <w:tblPr/>
      <w:tcPr>
        <w:shd w:val="clear" w:color="auto" w:fill="4BFFFD" w:themeFill="accent2" w:themeFillTint="7F"/>
      </w:tcPr>
    </w:tblStylePr>
  </w:style>
  <w:style w:type="table" w:styleId="MediumGrid1-Accent3">
    <w:name w:val="Medium Grid 1 Accent 3"/>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single" w:sz="8" w:space="0" w:color="59A4DB" w:themeColor="accent3" w:themeTint="BF"/>
        <w:insideV w:val="single" w:sz="8" w:space="0" w:color="59A4DB" w:themeColor="accent3" w:themeTint="BF"/>
      </w:tblBorders>
    </w:tblPr>
    <w:tcPr>
      <w:shd w:val="clear" w:color="auto" w:fill="C8E1F3" w:themeFill="accent3" w:themeFillTint="3F"/>
    </w:tcPr>
    <w:tblStylePr w:type="firstRow">
      <w:rPr>
        <w:b/>
        <w:bCs/>
      </w:rPr>
    </w:tblStylePr>
    <w:tblStylePr w:type="lastRow">
      <w:rPr>
        <w:b/>
        <w:bCs/>
      </w:rPr>
      <w:tblPr/>
      <w:tcPr>
        <w:tcBorders>
          <w:top w:val="single" w:sz="18" w:space="0" w:color="59A4DB" w:themeColor="accent3" w:themeTint="BF"/>
        </w:tcBorders>
      </w:tcPr>
    </w:tblStylePr>
    <w:tblStylePr w:type="firstCol">
      <w:rPr>
        <w:b/>
        <w:bCs/>
      </w:rPr>
    </w:tblStylePr>
    <w:tblStylePr w:type="lastCol">
      <w:rPr>
        <w:b/>
        <w:bCs/>
      </w:rPr>
    </w:tblStylePr>
    <w:tblStylePr w:type="band1Vert">
      <w:tblPr/>
      <w:tcPr>
        <w:shd w:val="clear" w:color="auto" w:fill="91C3E7" w:themeFill="accent3" w:themeFillTint="7F"/>
      </w:tcPr>
    </w:tblStylePr>
    <w:tblStylePr w:type="band1Horz">
      <w:tblPr/>
      <w:tcPr>
        <w:shd w:val="clear" w:color="auto" w:fill="91C3E7" w:themeFill="accent3" w:themeFillTint="7F"/>
      </w:tcPr>
    </w:tblStylePr>
  </w:style>
  <w:style w:type="table" w:styleId="MediumGrid1-Accent4">
    <w:name w:val="Medium Grid 1 Accent 4"/>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single" w:sz="8" w:space="0" w:color="3797D4" w:themeColor="accent4" w:themeTint="BF"/>
        <w:insideV w:val="single" w:sz="8" w:space="0" w:color="3797D4" w:themeColor="accent4" w:themeTint="BF"/>
      </w:tblBorders>
    </w:tblPr>
    <w:tcPr>
      <w:shd w:val="clear" w:color="auto" w:fill="BCDCF0" w:themeFill="accent4" w:themeFillTint="3F"/>
    </w:tcPr>
    <w:tblStylePr w:type="firstRow">
      <w:rPr>
        <w:b/>
        <w:bCs/>
      </w:rPr>
    </w:tblStylePr>
    <w:tblStylePr w:type="lastRow">
      <w:rPr>
        <w:b/>
        <w:bCs/>
      </w:rPr>
      <w:tblPr/>
      <w:tcPr>
        <w:tcBorders>
          <w:top w:val="single" w:sz="18" w:space="0" w:color="3797D4" w:themeColor="accent4" w:themeTint="BF"/>
        </w:tcBorders>
      </w:tcPr>
    </w:tblStylePr>
    <w:tblStylePr w:type="firstCol">
      <w:rPr>
        <w:b/>
        <w:bCs/>
      </w:rPr>
    </w:tblStylePr>
    <w:tblStylePr w:type="lastCol">
      <w:rPr>
        <w:b/>
        <w:bCs/>
      </w:rPr>
    </w:tblStylePr>
    <w:tblStylePr w:type="band1Vert">
      <w:tblPr/>
      <w:tcPr>
        <w:shd w:val="clear" w:color="auto" w:fill="7ABAE2" w:themeFill="accent4" w:themeFillTint="7F"/>
      </w:tcPr>
    </w:tblStylePr>
    <w:tblStylePr w:type="band1Horz">
      <w:tblPr/>
      <w:tcPr>
        <w:shd w:val="clear" w:color="auto" w:fill="7ABAE2" w:themeFill="accent4" w:themeFillTint="7F"/>
      </w:tcPr>
    </w:tblStylePr>
  </w:style>
  <w:style w:type="table" w:styleId="MediumGrid1-Accent5">
    <w:name w:val="Medium Grid 1 Accent 5"/>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single" w:sz="8" w:space="0" w:color="6AC673" w:themeColor="accent5" w:themeTint="BF"/>
        <w:insideV w:val="single" w:sz="8" w:space="0" w:color="6AC673" w:themeColor="accent5" w:themeTint="BF"/>
      </w:tblBorders>
    </w:tblPr>
    <w:tcPr>
      <w:shd w:val="clear" w:color="auto" w:fill="CDECD0" w:themeFill="accent5" w:themeFillTint="3F"/>
    </w:tcPr>
    <w:tblStylePr w:type="firstRow">
      <w:rPr>
        <w:b/>
        <w:bCs/>
      </w:rPr>
    </w:tblStylePr>
    <w:tblStylePr w:type="lastRow">
      <w:rPr>
        <w:b/>
        <w:bCs/>
      </w:rPr>
      <w:tblPr/>
      <w:tcPr>
        <w:tcBorders>
          <w:top w:val="single" w:sz="18" w:space="0" w:color="6AC673" w:themeColor="accent5" w:themeTint="BF"/>
        </w:tcBorders>
      </w:tcPr>
    </w:tblStylePr>
    <w:tblStylePr w:type="firstCol">
      <w:rPr>
        <w:b/>
        <w:bCs/>
      </w:rPr>
    </w:tblStylePr>
    <w:tblStylePr w:type="lastCol">
      <w:rPr>
        <w:b/>
        <w:bCs/>
      </w:rPr>
    </w:tblStylePr>
    <w:tblStylePr w:type="band1Vert">
      <w:tblPr/>
      <w:tcPr>
        <w:shd w:val="clear" w:color="auto" w:fill="9CD9A2" w:themeFill="accent5" w:themeFillTint="7F"/>
      </w:tcPr>
    </w:tblStylePr>
    <w:tblStylePr w:type="band1Horz">
      <w:tblPr/>
      <w:tcPr>
        <w:shd w:val="clear" w:color="auto" w:fill="9CD9A2" w:themeFill="accent5" w:themeFillTint="7F"/>
      </w:tcPr>
    </w:tblStylePr>
  </w:style>
  <w:style w:type="table" w:styleId="MediumGrid1-Accent6">
    <w:name w:val="Medium Grid 1 Accent 6"/>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single" w:sz="8" w:space="0" w:color="B661BA" w:themeColor="accent6" w:themeTint="BF"/>
        <w:insideV w:val="single" w:sz="8" w:space="0" w:color="B661BA" w:themeColor="accent6" w:themeTint="BF"/>
      </w:tblBorders>
    </w:tblPr>
    <w:tcPr>
      <w:shd w:val="clear" w:color="auto" w:fill="E7CAE8" w:themeFill="accent6" w:themeFillTint="3F"/>
    </w:tcPr>
    <w:tblStylePr w:type="firstRow">
      <w:rPr>
        <w:b/>
        <w:bCs/>
      </w:rPr>
    </w:tblStylePr>
    <w:tblStylePr w:type="lastRow">
      <w:rPr>
        <w:b/>
        <w:bCs/>
      </w:rPr>
      <w:tblPr/>
      <w:tcPr>
        <w:tcBorders>
          <w:top w:val="single" w:sz="18" w:space="0" w:color="B661BA" w:themeColor="accent6" w:themeTint="BF"/>
        </w:tcBorders>
      </w:tcPr>
    </w:tblStylePr>
    <w:tblStylePr w:type="firstCol">
      <w:rPr>
        <w:b/>
        <w:bCs/>
      </w:rPr>
    </w:tblStylePr>
    <w:tblStylePr w:type="lastCol">
      <w:rPr>
        <w:b/>
        <w:bCs/>
      </w:rPr>
    </w:tblStylePr>
    <w:tblStylePr w:type="band1Vert">
      <w:tblPr/>
      <w:tcPr>
        <w:shd w:val="clear" w:color="auto" w:fill="CF95D1" w:themeFill="accent6" w:themeFillTint="7F"/>
      </w:tcPr>
    </w:tblStylePr>
    <w:tblStylePr w:type="band1Horz">
      <w:tblPr/>
      <w:tcPr>
        <w:shd w:val="clear" w:color="auto" w:fill="CF95D1" w:themeFill="accent6" w:themeFillTint="7F"/>
      </w:tcPr>
    </w:tblStylePr>
  </w:style>
  <w:style w:type="table" w:styleId="MediumGrid2">
    <w:name w:val="Medium Grid 2"/>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B6BC" w:themeColor="accent1"/>
        <w:left w:val="single" w:sz="8" w:space="0" w:color="2FB6BC" w:themeColor="accent1"/>
        <w:bottom w:val="single" w:sz="8" w:space="0" w:color="2FB6BC" w:themeColor="accent1"/>
        <w:right w:val="single" w:sz="8" w:space="0" w:color="2FB6BC" w:themeColor="accent1"/>
        <w:insideH w:val="single" w:sz="8" w:space="0" w:color="2FB6BC" w:themeColor="accent1"/>
        <w:insideV w:val="single" w:sz="8" w:space="0" w:color="2FB6BC" w:themeColor="accent1"/>
      </w:tblBorders>
    </w:tblPr>
    <w:tcPr>
      <w:shd w:val="clear" w:color="auto" w:fill="C8EFF1" w:themeFill="accent1" w:themeFillTint="3F"/>
    </w:tcPr>
    <w:tblStylePr w:type="firstRow">
      <w:rPr>
        <w:b/>
        <w:bCs/>
        <w:color w:val="000000" w:themeColor="text1"/>
      </w:rPr>
      <w:tblPr/>
      <w:tcPr>
        <w:shd w:val="clear" w:color="auto" w:fill="E9F8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2F4" w:themeFill="accent1" w:themeFillTint="33"/>
      </w:tcPr>
    </w:tblStylePr>
    <w:tblStylePr w:type="band1Vert">
      <w:tblPr/>
      <w:tcPr>
        <w:shd w:val="clear" w:color="auto" w:fill="91E0E3" w:themeFill="accent1" w:themeFillTint="7F"/>
      </w:tcPr>
    </w:tblStylePr>
    <w:tblStylePr w:type="band1Horz">
      <w:tblPr/>
      <w:tcPr>
        <w:tcBorders>
          <w:insideH w:val="single" w:sz="6" w:space="0" w:color="2FB6BC" w:themeColor="accent1"/>
          <w:insideV w:val="single" w:sz="6" w:space="0" w:color="2FB6BC" w:themeColor="accent1"/>
        </w:tcBorders>
        <w:shd w:val="clear" w:color="auto" w:fill="91E0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95" w:themeColor="accent2"/>
        <w:left w:val="single" w:sz="8" w:space="0" w:color="009695" w:themeColor="accent2"/>
        <w:bottom w:val="single" w:sz="8" w:space="0" w:color="009695" w:themeColor="accent2"/>
        <w:right w:val="single" w:sz="8" w:space="0" w:color="009695" w:themeColor="accent2"/>
        <w:insideH w:val="single" w:sz="8" w:space="0" w:color="009695" w:themeColor="accent2"/>
        <w:insideV w:val="single" w:sz="8" w:space="0" w:color="009695" w:themeColor="accent2"/>
      </w:tblBorders>
    </w:tblPr>
    <w:tcPr>
      <w:shd w:val="clear" w:color="auto" w:fill="A6FFFE" w:themeFill="accent2" w:themeFillTint="3F"/>
    </w:tcPr>
    <w:tblStylePr w:type="firstRow">
      <w:rPr>
        <w:b/>
        <w:bCs/>
        <w:color w:val="000000" w:themeColor="text1"/>
      </w:rPr>
      <w:tblPr/>
      <w:tcPr>
        <w:shd w:val="clear" w:color="auto" w:fill="DBFF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FFE" w:themeFill="accent2" w:themeFillTint="33"/>
      </w:tcPr>
    </w:tblStylePr>
    <w:tblStylePr w:type="band1Vert">
      <w:tblPr/>
      <w:tcPr>
        <w:shd w:val="clear" w:color="auto" w:fill="4BFFFD" w:themeFill="accent2" w:themeFillTint="7F"/>
      </w:tcPr>
    </w:tblStylePr>
    <w:tblStylePr w:type="band1Horz">
      <w:tblPr/>
      <w:tcPr>
        <w:tcBorders>
          <w:insideH w:val="single" w:sz="6" w:space="0" w:color="009695" w:themeColor="accent2"/>
          <w:insideV w:val="single" w:sz="6" w:space="0" w:color="009695" w:themeColor="accent2"/>
        </w:tcBorders>
        <w:shd w:val="clear" w:color="auto" w:fill="4BFFF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86C7" w:themeColor="accent3"/>
        <w:left w:val="single" w:sz="8" w:space="0" w:color="2B86C7" w:themeColor="accent3"/>
        <w:bottom w:val="single" w:sz="8" w:space="0" w:color="2B86C7" w:themeColor="accent3"/>
        <w:right w:val="single" w:sz="8" w:space="0" w:color="2B86C7" w:themeColor="accent3"/>
        <w:insideH w:val="single" w:sz="8" w:space="0" w:color="2B86C7" w:themeColor="accent3"/>
        <w:insideV w:val="single" w:sz="8" w:space="0" w:color="2B86C7" w:themeColor="accent3"/>
      </w:tblBorders>
    </w:tblPr>
    <w:tcPr>
      <w:shd w:val="clear" w:color="auto" w:fill="C8E1F3" w:themeFill="accent3" w:themeFillTint="3F"/>
    </w:tcPr>
    <w:tblStylePr w:type="firstRow">
      <w:rPr>
        <w:b/>
        <w:bCs/>
        <w:color w:val="000000" w:themeColor="text1"/>
      </w:rPr>
      <w:tblPr/>
      <w:tcPr>
        <w:shd w:val="clear" w:color="auto" w:fill="E9F3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6F5" w:themeFill="accent3" w:themeFillTint="33"/>
      </w:tcPr>
    </w:tblStylePr>
    <w:tblStylePr w:type="band1Vert">
      <w:tblPr/>
      <w:tcPr>
        <w:shd w:val="clear" w:color="auto" w:fill="91C3E7" w:themeFill="accent3" w:themeFillTint="7F"/>
      </w:tcPr>
    </w:tblStylePr>
    <w:tblStylePr w:type="band1Horz">
      <w:tblPr/>
      <w:tcPr>
        <w:tcBorders>
          <w:insideH w:val="single" w:sz="6" w:space="0" w:color="2B86C7" w:themeColor="accent3"/>
          <w:insideV w:val="single" w:sz="6" w:space="0" w:color="2B86C7" w:themeColor="accent3"/>
        </w:tcBorders>
        <w:shd w:val="clear" w:color="auto" w:fill="91C3E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insideH w:val="single" w:sz="8" w:space="0" w:color="216B99" w:themeColor="accent4"/>
        <w:insideV w:val="single" w:sz="8" w:space="0" w:color="216B99" w:themeColor="accent4"/>
      </w:tblBorders>
    </w:tblPr>
    <w:tcPr>
      <w:shd w:val="clear" w:color="auto" w:fill="BCDCF0" w:themeFill="accent4" w:themeFillTint="3F"/>
    </w:tcPr>
    <w:tblStylePr w:type="firstRow">
      <w:rPr>
        <w:b/>
        <w:bCs/>
        <w:color w:val="000000" w:themeColor="text1"/>
      </w:rPr>
      <w:tblPr/>
      <w:tcPr>
        <w:shd w:val="clear" w:color="auto" w:fill="E4F1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3F3" w:themeFill="accent4" w:themeFillTint="33"/>
      </w:tcPr>
    </w:tblStylePr>
    <w:tblStylePr w:type="band1Vert">
      <w:tblPr/>
      <w:tcPr>
        <w:shd w:val="clear" w:color="auto" w:fill="7ABAE2" w:themeFill="accent4" w:themeFillTint="7F"/>
      </w:tcPr>
    </w:tblStylePr>
    <w:tblStylePr w:type="band1Horz">
      <w:tblPr/>
      <w:tcPr>
        <w:tcBorders>
          <w:insideH w:val="single" w:sz="6" w:space="0" w:color="216B99" w:themeColor="accent4"/>
          <w:insideV w:val="single" w:sz="6" w:space="0" w:color="216B99" w:themeColor="accent4"/>
        </w:tcBorders>
        <w:shd w:val="clear" w:color="auto" w:fill="7ABA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insideH w:val="single" w:sz="8" w:space="0" w:color="41AC4C" w:themeColor="accent5"/>
        <w:insideV w:val="single" w:sz="8" w:space="0" w:color="41AC4C" w:themeColor="accent5"/>
      </w:tblBorders>
    </w:tblPr>
    <w:tcPr>
      <w:shd w:val="clear" w:color="auto" w:fill="CDECD0" w:themeFill="accent5" w:themeFillTint="3F"/>
    </w:tcPr>
    <w:tblStylePr w:type="firstRow">
      <w:rPr>
        <w:b/>
        <w:bCs/>
        <w:color w:val="000000" w:themeColor="text1"/>
      </w:rPr>
      <w:tblPr/>
      <w:tcPr>
        <w:shd w:val="clear" w:color="auto" w:fill="EBF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0D9" w:themeFill="accent5" w:themeFillTint="33"/>
      </w:tcPr>
    </w:tblStylePr>
    <w:tblStylePr w:type="band1Vert">
      <w:tblPr/>
      <w:tcPr>
        <w:shd w:val="clear" w:color="auto" w:fill="9CD9A2" w:themeFill="accent5" w:themeFillTint="7F"/>
      </w:tcPr>
    </w:tblStylePr>
    <w:tblStylePr w:type="band1Horz">
      <w:tblPr/>
      <w:tcPr>
        <w:tcBorders>
          <w:insideH w:val="single" w:sz="6" w:space="0" w:color="41AC4C" w:themeColor="accent5"/>
          <w:insideV w:val="single" w:sz="6" w:space="0" w:color="41AC4C" w:themeColor="accent5"/>
        </w:tcBorders>
        <w:shd w:val="clear" w:color="auto" w:fill="9CD9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insideH w:val="single" w:sz="8" w:space="0" w:color="8E3F91" w:themeColor="accent6"/>
        <w:insideV w:val="single" w:sz="8" w:space="0" w:color="8E3F91" w:themeColor="accent6"/>
      </w:tblBorders>
    </w:tblPr>
    <w:tcPr>
      <w:shd w:val="clear" w:color="auto" w:fill="E7CAE8" w:themeFill="accent6" w:themeFillTint="3F"/>
    </w:tcPr>
    <w:tblStylePr w:type="firstRow">
      <w:rPr>
        <w:b/>
        <w:bCs/>
        <w:color w:val="000000" w:themeColor="text1"/>
      </w:rPr>
      <w:tblPr/>
      <w:tcPr>
        <w:shd w:val="clear" w:color="auto" w:fill="F5EA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4EC" w:themeFill="accent6" w:themeFillTint="33"/>
      </w:tcPr>
    </w:tblStylePr>
    <w:tblStylePr w:type="band1Vert">
      <w:tblPr/>
      <w:tcPr>
        <w:shd w:val="clear" w:color="auto" w:fill="CF95D1" w:themeFill="accent6" w:themeFillTint="7F"/>
      </w:tcPr>
    </w:tblStylePr>
    <w:tblStylePr w:type="band1Horz">
      <w:tblPr/>
      <w:tcPr>
        <w:tcBorders>
          <w:insideH w:val="single" w:sz="6" w:space="0" w:color="8E3F91" w:themeColor="accent6"/>
          <w:insideV w:val="single" w:sz="6" w:space="0" w:color="8E3F91" w:themeColor="accent6"/>
        </w:tcBorders>
        <w:shd w:val="clear" w:color="auto" w:fill="CF95D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F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B6B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B6B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B6B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B6B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E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E0E3" w:themeFill="accent1" w:themeFillTint="7F"/>
      </w:tcPr>
    </w:tblStylePr>
  </w:style>
  <w:style w:type="table" w:styleId="MediumGrid3-Accent2">
    <w:name w:val="Medium Grid 3 Accent 2"/>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9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9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9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9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FD" w:themeFill="accent2" w:themeFillTint="7F"/>
      </w:tcPr>
    </w:tblStylePr>
  </w:style>
  <w:style w:type="table" w:styleId="MediumGrid3-Accent3">
    <w:name w:val="Medium Grid 3 Accent 3"/>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1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86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86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86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86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C3E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C3E7" w:themeFill="accent3" w:themeFillTint="7F"/>
      </w:tcPr>
    </w:tblStylePr>
  </w:style>
  <w:style w:type="table" w:styleId="MediumGrid3-Accent4">
    <w:name w:val="Medium Grid 3 Accent 4"/>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DCF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6B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6B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6B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6B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BA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BAE2" w:themeFill="accent4" w:themeFillTint="7F"/>
      </w:tcPr>
    </w:tblStylePr>
  </w:style>
  <w:style w:type="table" w:styleId="MediumGrid3-Accent5">
    <w:name w:val="Medium Grid 3 Accent 5"/>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C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AC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AC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AC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AC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D9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D9A2" w:themeFill="accent5" w:themeFillTint="7F"/>
      </w:tcPr>
    </w:tblStylePr>
  </w:style>
  <w:style w:type="table" w:styleId="MediumGrid3-Accent6">
    <w:name w:val="Medium Grid 3 Accent 6"/>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A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3F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3F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3F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3F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95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95D1" w:themeFill="accent6" w:themeFillTint="7F"/>
      </w:tcPr>
    </w:tblStylePr>
  </w:style>
  <w:style w:type="table" w:styleId="MediumList1">
    <w:name w:val="Medium List 1"/>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7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2FB6BC" w:themeColor="accent1"/>
        <w:bottom w:val="single" w:sz="8" w:space="0" w:color="2FB6BC" w:themeColor="accent1"/>
      </w:tblBorders>
    </w:tblPr>
    <w:tblStylePr w:type="firstRow">
      <w:rPr>
        <w:rFonts w:asciiTheme="majorHAnsi" w:eastAsiaTheme="majorEastAsia" w:hAnsiTheme="majorHAnsi" w:cstheme="majorBidi"/>
      </w:rPr>
      <w:tblPr/>
      <w:tcPr>
        <w:tcBorders>
          <w:top w:val="nil"/>
          <w:bottom w:val="single" w:sz="8" w:space="0" w:color="2FB6BC" w:themeColor="accent1"/>
        </w:tcBorders>
      </w:tcPr>
    </w:tblStylePr>
    <w:tblStylePr w:type="lastRow">
      <w:rPr>
        <w:b/>
        <w:bCs/>
        <w:color w:val="575756" w:themeColor="text2"/>
      </w:rPr>
      <w:tblPr/>
      <w:tcPr>
        <w:tcBorders>
          <w:top w:val="single" w:sz="8" w:space="0" w:color="2FB6BC" w:themeColor="accent1"/>
          <w:bottom w:val="single" w:sz="8" w:space="0" w:color="2FB6BC" w:themeColor="accent1"/>
        </w:tcBorders>
      </w:tcPr>
    </w:tblStylePr>
    <w:tblStylePr w:type="firstCol">
      <w:rPr>
        <w:b/>
        <w:bCs/>
      </w:rPr>
    </w:tblStylePr>
    <w:tblStylePr w:type="lastCol">
      <w:rPr>
        <w:b/>
        <w:bCs/>
      </w:rPr>
      <w:tblPr/>
      <w:tcPr>
        <w:tcBorders>
          <w:top w:val="single" w:sz="8" w:space="0" w:color="2FB6BC" w:themeColor="accent1"/>
          <w:bottom w:val="single" w:sz="8" w:space="0" w:color="2FB6BC" w:themeColor="accent1"/>
        </w:tcBorders>
      </w:tcPr>
    </w:tblStylePr>
    <w:tblStylePr w:type="band1Vert">
      <w:tblPr/>
      <w:tcPr>
        <w:shd w:val="clear" w:color="auto" w:fill="C8EFF1" w:themeFill="accent1" w:themeFillTint="3F"/>
      </w:tcPr>
    </w:tblStylePr>
    <w:tblStylePr w:type="band1Horz">
      <w:tblPr/>
      <w:tcPr>
        <w:shd w:val="clear" w:color="auto" w:fill="C8EFF1" w:themeFill="accent1" w:themeFillTint="3F"/>
      </w:tcPr>
    </w:tblStylePr>
  </w:style>
  <w:style w:type="table" w:styleId="MediumList1-Accent2">
    <w:name w:val="Medium List 1 Accent 2"/>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009695" w:themeColor="accent2"/>
        <w:bottom w:val="single" w:sz="8" w:space="0" w:color="009695" w:themeColor="accent2"/>
      </w:tblBorders>
    </w:tblPr>
    <w:tblStylePr w:type="firstRow">
      <w:rPr>
        <w:rFonts w:asciiTheme="majorHAnsi" w:eastAsiaTheme="majorEastAsia" w:hAnsiTheme="majorHAnsi" w:cstheme="majorBidi"/>
      </w:rPr>
      <w:tblPr/>
      <w:tcPr>
        <w:tcBorders>
          <w:top w:val="nil"/>
          <w:bottom w:val="single" w:sz="8" w:space="0" w:color="009695" w:themeColor="accent2"/>
        </w:tcBorders>
      </w:tcPr>
    </w:tblStylePr>
    <w:tblStylePr w:type="lastRow">
      <w:rPr>
        <w:b/>
        <w:bCs/>
        <w:color w:val="575756" w:themeColor="text2"/>
      </w:rPr>
      <w:tblPr/>
      <w:tcPr>
        <w:tcBorders>
          <w:top w:val="single" w:sz="8" w:space="0" w:color="009695" w:themeColor="accent2"/>
          <w:bottom w:val="single" w:sz="8" w:space="0" w:color="009695" w:themeColor="accent2"/>
        </w:tcBorders>
      </w:tcPr>
    </w:tblStylePr>
    <w:tblStylePr w:type="firstCol">
      <w:rPr>
        <w:b/>
        <w:bCs/>
      </w:rPr>
    </w:tblStylePr>
    <w:tblStylePr w:type="lastCol">
      <w:rPr>
        <w:b/>
        <w:bCs/>
      </w:rPr>
      <w:tblPr/>
      <w:tcPr>
        <w:tcBorders>
          <w:top w:val="single" w:sz="8" w:space="0" w:color="009695" w:themeColor="accent2"/>
          <w:bottom w:val="single" w:sz="8" w:space="0" w:color="009695" w:themeColor="accent2"/>
        </w:tcBorders>
      </w:tcPr>
    </w:tblStylePr>
    <w:tblStylePr w:type="band1Vert">
      <w:tblPr/>
      <w:tcPr>
        <w:shd w:val="clear" w:color="auto" w:fill="A6FFFE" w:themeFill="accent2" w:themeFillTint="3F"/>
      </w:tcPr>
    </w:tblStylePr>
    <w:tblStylePr w:type="band1Horz">
      <w:tblPr/>
      <w:tcPr>
        <w:shd w:val="clear" w:color="auto" w:fill="A6FFFE" w:themeFill="accent2" w:themeFillTint="3F"/>
      </w:tcPr>
    </w:tblStylePr>
  </w:style>
  <w:style w:type="table" w:styleId="MediumList1-Accent3">
    <w:name w:val="Medium List 1 Accent 3"/>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2B86C7" w:themeColor="accent3"/>
        <w:bottom w:val="single" w:sz="8" w:space="0" w:color="2B86C7" w:themeColor="accent3"/>
      </w:tblBorders>
    </w:tblPr>
    <w:tblStylePr w:type="firstRow">
      <w:rPr>
        <w:rFonts w:asciiTheme="majorHAnsi" w:eastAsiaTheme="majorEastAsia" w:hAnsiTheme="majorHAnsi" w:cstheme="majorBidi"/>
      </w:rPr>
      <w:tblPr/>
      <w:tcPr>
        <w:tcBorders>
          <w:top w:val="nil"/>
          <w:bottom w:val="single" w:sz="8" w:space="0" w:color="2B86C7" w:themeColor="accent3"/>
        </w:tcBorders>
      </w:tcPr>
    </w:tblStylePr>
    <w:tblStylePr w:type="lastRow">
      <w:rPr>
        <w:b/>
        <w:bCs/>
        <w:color w:val="575756" w:themeColor="text2"/>
      </w:rPr>
      <w:tblPr/>
      <w:tcPr>
        <w:tcBorders>
          <w:top w:val="single" w:sz="8" w:space="0" w:color="2B86C7" w:themeColor="accent3"/>
          <w:bottom w:val="single" w:sz="8" w:space="0" w:color="2B86C7" w:themeColor="accent3"/>
        </w:tcBorders>
      </w:tcPr>
    </w:tblStylePr>
    <w:tblStylePr w:type="firstCol">
      <w:rPr>
        <w:b/>
        <w:bCs/>
      </w:rPr>
    </w:tblStylePr>
    <w:tblStylePr w:type="lastCol">
      <w:rPr>
        <w:b/>
        <w:bCs/>
      </w:rPr>
      <w:tblPr/>
      <w:tcPr>
        <w:tcBorders>
          <w:top w:val="single" w:sz="8" w:space="0" w:color="2B86C7" w:themeColor="accent3"/>
          <w:bottom w:val="single" w:sz="8" w:space="0" w:color="2B86C7" w:themeColor="accent3"/>
        </w:tcBorders>
      </w:tcPr>
    </w:tblStylePr>
    <w:tblStylePr w:type="band1Vert">
      <w:tblPr/>
      <w:tcPr>
        <w:shd w:val="clear" w:color="auto" w:fill="C8E1F3" w:themeFill="accent3" w:themeFillTint="3F"/>
      </w:tcPr>
    </w:tblStylePr>
    <w:tblStylePr w:type="band1Horz">
      <w:tblPr/>
      <w:tcPr>
        <w:shd w:val="clear" w:color="auto" w:fill="C8E1F3" w:themeFill="accent3" w:themeFillTint="3F"/>
      </w:tcPr>
    </w:tblStylePr>
  </w:style>
  <w:style w:type="table" w:styleId="MediumList1-Accent4">
    <w:name w:val="Medium List 1 Accent 4"/>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216B99" w:themeColor="accent4"/>
        <w:bottom w:val="single" w:sz="8" w:space="0" w:color="216B99" w:themeColor="accent4"/>
      </w:tblBorders>
    </w:tblPr>
    <w:tblStylePr w:type="firstRow">
      <w:rPr>
        <w:rFonts w:asciiTheme="majorHAnsi" w:eastAsiaTheme="majorEastAsia" w:hAnsiTheme="majorHAnsi" w:cstheme="majorBidi"/>
      </w:rPr>
      <w:tblPr/>
      <w:tcPr>
        <w:tcBorders>
          <w:top w:val="nil"/>
          <w:bottom w:val="single" w:sz="8" w:space="0" w:color="216B99" w:themeColor="accent4"/>
        </w:tcBorders>
      </w:tcPr>
    </w:tblStylePr>
    <w:tblStylePr w:type="lastRow">
      <w:rPr>
        <w:b/>
        <w:bCs/>
        <w:color w:val="575756" w:themeColor="text2"/>
      </w:rPr>
      <w:tblPr/>
      <w:tcPr>
        <w:tcBorders>
          <w:top w:val="single" w:sz="8" w:space="0" w:color="216B99" w:themeColor="accent4"/>
          <w:bottom w:val="single" w:sz="8" w:space="0" w:color="216B99" w:themeColor="accent4"/>
        </w:tcBorders>
      </w:tcPr>
    </w:tblStylePr>
    <w:tblStylePr w:type="firstCol">
      <w:rPr>
        <w:b/>
        <w:bCs/>
      </w:rPr>
    </w:tblStylePr>
    <w:tblStylePr w:type="lastCol">
      <w:rPr>
        <w:b/>
        <w:bCs/>
      </w:rPr>
      <w:tblPr/>
      <w:tcPr>
        <w:tcBorders>
          <w:top w:val="single" w:sz="8" w:space="0" w:color="216B99" w:themeColor="accent4"/>
          <w:bottom w:val="single" w:sz="8" w:space="0" w:color="216B99" w:themeColor="accent4"/>
        </w:tcBorders>
      </w:tcPr>
    </w:tblStylePr>
    <w:tblStylePr w:type="band1Vert">
      <w:tblPr/>
      <w:tcPr>
        <w:shd w:val="clear" w:color="auto" w:fill="BCDCF0" w:themeFill="accent4" w:themeFillTint="3F"/>
      </w:tcPr>
    </w:tblStylePr>
    <w:tblStylePr w:type="band1Horz">
      <w:tblPr/>
      <w:tcPr>
        <w:shd w:val="clear" w:color="auto" w:fill="BCDCF0" w:themeFill="accent4" w:themeFillTint="3F"/>
      </w:tcPr>
    </w:tblStylePr>
  </w:style>
  <w:style w:type="table" w:styleId="MediumList1-Accent5">
    <w:name w:val="Medium List 1 Accent 5"/>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41AC4C" w:themeColor="accent5"/>
        <w:bottom w:val="single" w:sz="8" w:space="0" w:color="41AC4C" w:themeColor="accent5"/>
      </w:tblBorders>
    </w:tblPr>
    <w:tblStylePr w:type="firstRow">
      <w:rPr>
        <w:rFonts w:asciiTheme="majorHAnsi" w:eastAsiaTheme="majorEastAsia" w:hAnsiTheme="majorHAnsi" w:cstheme="majorBidi"/>
      </w:rPr>
      <w:tblPr/>
      <w:tcPr>
        <w:tcBorders>
          <w:top w:val="nil"/>
          <w:bottom w:val="single" w:sz="8" w:space="0" w:color="41AC4C" w:themeColor="accent5"/>
        </w:tcBorders>
      </w:tcPr>
    </w:tblStylePr>
    <w:tblStylePr w:type="lastRow">
      <w:rPr>
        <w:b/>
        <w:bCs/>
        <w:color w:val="575756" w:themeColor="text2"/>
      </w:rPr>
      <w:tblPr/>
      <w:tcPr>
        <w:tcBorders>
          <w:top w:val="single" w:sz="8" w:space="0" w:color="41AC4C" w:themeColor="accent5"/>
          <w:bottom w:val="single" w:sz="8" w:space="0" w:color="41AC4C" w:themeColor="accent5"/>
        </w:tcBorders>
      </w:tcPr>
    </w:tblStylePr>
    <w:tblStylePr w:type="firstCol">
      <w:rPr>
        <w:b/>
        <w:bCs/>
      </w:rPr>
    </w:tblStylePr>
    <w:tblStylePr w:type="lastCol">
      <w:rPr>
        <w:b/>
        <w:bCs/>
      </w:rPr>
      <w:tblPr/>
      <w:tcPr>
        <w:tcBorders>
          <w:top w:val="single" w:sz="8" w:space="0" w:color="41AC4C" w:themeColor="accent5"/>
          <w:bottom w:val="single" w:sz="8" w:space="0" w:color="41AC4C" w:themeColor="accent5"/>
        </w:tcBorders>
      </w:tcPr>
    </w:tblStylePr>
    <w:tblStylePr w:type="band1Vert">
      <w:tblPr/>
      <w:tcPr>
        <w:shd w:val="clear" w:color="auto" w:fill="CDECD0" w:themeFill="accent5" w:themeFillTint="3F"/>
      </w:tcPr>
    </w:tblStylePr>
    <w:tblStylePr w:type="band1Horz">
      <w:tblPr/>
      <w:tcPr>
        <w:shd w:val="clear" w:color="auto" w:fill="CDECD0" w:themeFill="accent5" w:themeFillTint="3F"/>
      </w:tcPr>
    </w:tblStylePr>
  </w:style>
  <w:style w:type="table" w:styleId="MediumList1-Accent6">
    <w:name w:val="Medium List 1 Accent 6"/>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8E3F91" w:themeColor="accent6"/>
        <w:bottom w:val="single" w:sz="8" w:space="0" w:color="8E3F91" w:themeColor="accent6"/>
      </w:tblBorders>
    </w:tblPr>
    <w:tblStylePr w:type="firstRow">
      <w:rPr>
        <w:rFonts w:asciiTheme="majorHAnsi" w:eastAsiaTheme="majorEastAsia" w:hAnsiTheme="majorHAnsi" w:cstheme="majorBidi"/>
      </w:rPr>
      <w:tblPr/>
      <w:tcPr>
        <w:tcBorders>
          <w:top w:val="nil"/>
          <w:bottom w:val="single" w:sz="8" w:space="0" w:color="8E3F91" w:themeColor="accent6"/>
        </w:tcBorders>
      </w:tcPr>
    </w:tblStylePr>
    <w:tblStylePr w:type="lastRow">
      <w:rPr>
        <w:b/>
        <w:bCs/>
        <w:color w:val="575756" w:themeColor="text2"/>
      </w:rPr>
      <w:tblPr/>
      <w:tcPr>
        <w:tcBorders>
          <w:top w:val="single" w:sz="8" w:space="0" w:color="8E3F91" w:themeColor="accent6"/>
          <w:bottom w:val="single" w:sz="8" w:space="0" w:color="8E3F91" w:themeColor="accent6"/>
        </w:tcBorders>
      </w:tcPr>
    </w:tblStylePr>
    <w:tblStylePr w:type="firstCol">
      <w:rPr>
        <w:b/>
        <w:bCs/>
      </w:rPr>
    </w:tblStylePr>
    <w:tblStylePr w:type="lastCol">
      <w:rPr>
        <w:b/>
        <w:bCs/>
      </w:rPr>
      <w:tblPr/>
      <w:tcPr>
        <w:tcBorders>
          <w:top w:val="single" w:sz="8" w:space="0" w:color="8E3F91" w:themeColor="accent6"/>
          <w:bottom w:val="single" w:sz="8" w:space="0" w:color="8E3F91" w:themeColor="accent6"/>
        </w:tcBorders>
      </w:tcPr>
    </w:tblStylePr>
    <w:tblStylePr w:type="band1Vert">
      <w:tblPr/>
      <w:tcPr>
        <w:shd w:val="clear" w:color="auto" w:fill="E7CAE8" w:themeFill="accent6" w:themeFillTint="3F"/>
      </w:tcPr>
    </w:tblStylePr>
    <w:tblStylePr w:type="band1Horz">
      <w:tblPr/>
      <w:tcPr>
        <w:shd w:val="clear" w:color="auto" w:fill="E7CAE8" w:themeFill="accent6" w:themeFillTint="3F"/>
      </w:tcPr>
    </w:tblStylePr>
  </w:style>
  <w:style w:type="table" w:styleId="MediumList2">
    <w:name w:val="Medium List 2"/>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B6BC" w:themeColor="accent1"/>
        <w:left w:val="single" w:sz="8" w:space="0" w:color="2FB6BC" w:themeColor="accent1"/>
        <w:bottom w:val="single" w:sz="8" w:space="0" w:color="2FB6BC" w:themeColor="accent1"/>
        <w:right w:val="single" w:sz="8" w:space="0" w:color="2FB6BC" w:themeColor="accent1"/>
      </w:tblBorders>
    </w:tblPr>
    <w:tblStylePr w:type="firstRow">
      <w:rPr>
        <w:sz w:val="24"/>
        <w:szCs w:val="24"/>
      </w:rPr>
      <w:tblPr/>
      <w:tcPr>
        <w:tcBorders>
          <w:top w:val="nil"/>
          <w:left w:val="nil"/>
          <w:bottom w:val="single" w:sz="24" w:space="0" w:color="2FB6BC" w:themeColor="accent1"/>
          <w:right w:val="nil"/>
          <w:insideH w:val="nil"/>
          <w:insideV w:val="nil"/>
        </w:tcBorders>
        <w:shd w:val="clear" w:color="auto" w:fill="FFFFFF" w:themeFill="background1"/>
      </w:tcPr>
    </w:tblStylePr>
    <w:tblStylePr w:type="lastRow">
      <w:tblPr/>
      <w:tcPr>
        <w:tcBorders>
          <w:top w:val="single" w:sz="8" w:space="0" w:color="2FB6B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B6BC" w:themeColor="accent1"/>
          <w:insideH w:val="nil"/>
          <w:insideV w:val="nil"/>
        </w:tcBorders>
        <w:shd w:val="clear" w:color="auto" w:fill="FFFFFF" w:themeFill="background1"/>
      </w:tcPr>
    </w:tblStylePr>
    <w:tblStylePr w:type="lastCol">
      <w:tblPr/>
      <w:tcPr>
        <w:tcBorders>
          <w:top w:val="nil"/>
          <w:left w:val="single" w:sz="8" w:space="0" w:color="2FB6B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FF1" w:themeFill="accent1" w:themeFillTint="3F"/>
      </w:tcPr>
    </w:tblStylePr>
    <w:tblStylePr w:type="band1Horz">
      <w:tblPr/>
      <w:tcPr>
        <w:tcBorders>
          <w:top w:val="nil"/>
          <w:bottom w:val="nil"/>
          <w:insideH w:val="nil"/>
          <w:insideV w:val="nil"/>
        </w:tcBorders>
        <w:shd w:val="clear" w:color="auto" w:fill="C8EF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95" w:themeColor="accent2"/>
        <w:left w:val="single" w:sz="8" w:space="0" w:color="009695" w:themeColor="accent2"/>
        <w:bottom w:val="single" w:sz="8" w:space="0" w:color="009695" w:themeColor="accent2"/>
        <w:right w:val="single" w:sz="8" w:space="0" w:color="009695" w:themeColor="accent2"/>
      </w:tblBorders>
    </w:tblPr>
    <w:tblStylePr w:type="firstRow">
      <w:rPr>
        <w:sz w:val="24"/>
        <w:szCs w:val="24"/>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tblPr/>
      <w:tcPr>
        <w:tcBorders>
          <w:top w:val="single" w:sz="8" w:space="0" w:color="00969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95" w:themeColor="accent2"/>
          <w:insideH w:val="nil"/>
          <w:insideV w:val="nil"/>
        </w:tcBorders>
        <w:shd w:val="clear" w:color="auto" w:fill="FFFFFF" w:themeFill="background1"/>
      </w:tcPr>
    </w:tblStylePr>
    <w:tblStylePr w:type="lastCol">
      <w:tblPr/>
      <w:tcPr>
        <w:tcBorders>
          <w:top w:val="nil"/>
          <w:left w:val="single" w:sz="8" w:space="0" w:color="00969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FE" w:themeFill="accent2" w:themeFillTint="3F"/>
      </w:tcPr>
    </w:tblStylePr>
    <w:tblStylePr w:type="band1Horz">
      <w:tblPr/>
      <w:tcPr>
        <w:tcBorders>
          <w:top w:val="nil"/>
          <w:bottom w:val="nil"/>
          <w:insideH w:val="nil"/>
          <w:insideV w:val="nil"/>
        </w:tcBorders>
        <w:shd w:val="clear" w:color="auto" w:fill="A6F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86C7" w:themeColor="accent3"/>
        <w:left w:val="single" w:sz="8" w:space="0" w:color="2B86C7" w:themeColor="accent3"/>
        <w:bottom w:val="single" w:sz="8" w:space="0" w:color="2B86C7" w:themeColor="accent3"/>
        <w:right w:val="single" w:sz="8" w:space="0" w:color="2B86C7" w:themeColor="accent3"/>
      </w:tblBorders>
    </w:tblPr>
    <w:tblStylePr w:type="firstRow">
      <w:rPr>
        <w:sz w:val="24"/>
        <w:szCs w:val="24"/>
      </w:rPr>
      <w:tblPr/>
      <w:tcPr>
        <w:tcBorders>
          <w:top w:val="nil"/>
          <w:left w:val="nil"/>
          <w:bottom w:val="single" w:sz="24" w:space="0" w:color="2B86C7" w:themeColor="accent3"/>
          <w:right w:val="nil"/>
          <w:insideH w:val="nil"/>
          <w:insideV w:val="nil"/>
        </w:tcBorders>
        <w:shd w:val="clear" w:color="auto" w:fill="FFFFFF" w:themeFill="background1"/>
      </w:tcPr>
    </w:tblStylePr>
    <w:tblStylePr w:type="lastRow">
      <w:tblPr/>
      <w:tcPr>
        <w:tcBorders>
          <w:top w:val="single" w:sz="8" w:space="0" w:color="2B86C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86C7" w:themeColor="accent3"/>
          <w:insideH w:val="nil"/>
          <w:insideV w:val="nil"/>
        </w:tcBorders>
        <w:shd w:val="clear" w:color="auto" w:fill="FFFFFF" w:themeFill="background1"/>
      </w:tcPr>
    </w:tblStylePr>
    <w:tblStylePr w:type="lastCol">
      <w:tblPr/>
      <w:tcPr>
        <w:tcBorders>
          <w:top w:val="nil"/>
          <w:left w:val="single" w:sz="8" w:space="0" w:color="2B86C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1F3" w:themeFill="accent3" w:themeFillTint="3F"/>
      </w:tcPr>
    </w:tblStylePr>
    <w:tblStylePr w:type="band1Horz">
      <w:tblPr/>
      <w:tcPr>
        <w:tcBorders>
          <w:top w:val="nil"/>
          <w:bottom w:val="nil"/>
          <w:insideH w:val="nil"/>
          <w:insideV w:val="nil"/>
        </w:tcBorders>
        <w:shd w:val="clear" w:color="auto" w:fill="C8E1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tblBorders>
    </w:tblPr>
    <w:tblStylePr w:type="firstRow">
      <w:rPr>
        <w:sz w:val="24"/>
        <w:szCs w:val="24"/>
      </w:rPr>
      <w:tblPr/>
      <w:tcPr>
        <w:tcBorders>
          <w:top w:val="nil"/>
          <w:left w:val="nil"/>
          <w:bottom w:val="single" w:sz="24" w:space="0" w:color="216B99" w:themeColor="accent4"/>
          <w:right w:val="nil"/>
          <w:insideH w:val="nil"/>
          <w:insideV w:val="nil"/>
        </w:tcBorders>
        <w:shd w:val="clear" w:color="auto" w:fill="FFFFFF" w:themeFill="background1"/>
      </w:tcPr>
    </w:tblStylePr>
    <w:tblStylePr w:type="lastRow">
      <w:tblPr/>
      <w:tcPr>
        <w:tcBorders>
          <w:top w:val="single" w:sz="8" w:space="0" w:color="216B9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6B99" w:themeColor="accent4"/>
          <w:insideH w:val="nil"/>
          <w:insideV w:val="nil"/>
        </w:tcBorders>
        <w:shd w:val="clear" w:color="auto" w:fill="FFFFFF" w:themeFill="background1"/>
      </w:tcPr>
    </w:tblStylePr>
    <w:tblStylePr w:type="lastCol">
      <w:tblPr/>
      <w:tcPr>
        <w:tcBorders>
          <w:top w:val="nil"/>
          <w:left w:val="single" w:sz="8" w:space="0" w:color="216B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DCF0" w:themeFill="accent4" w:themeFillTint="3F"/>
      </w:tcPr>
    </w:tblStylePr>
    <w:tblStylePr w:type="band1Horz">
      <w:tblPr/>
      <w:tcPr>
        <w:tcBorders>
          <w:top w:val="nil"/>
          <w:bottom w:val="nil"/>
          <w:insideH w:val="nil"/>
          <w:insideV w:val="nil"/>
        </w:tcBorders>
        <w:shd w:val="clear" w:color="auto" w:fill="BCDCF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tblBorders>
    </w:tblPr>
    <w:tblStylePr w:type="firstRow">
      <w:rPr>
        <w:sz w:val="24"/>
        <w:szCs w:val="24"/>
      </w:rPr>
      <w:tblPr/>
      <w:tcPr>
        <w:tcBorders>
          <w:top w:val="nil"/>
          <w:left w:val="nil"/>
          <w:bottom w:val="single" w:sz="24" w:space="0" w:color="41AC4C" w:themeColor="accent5"/>
          <w:right w:val="nil"/>
          <w:insideH w:val="nil"/>
          <w:insideV w:val="nil"/>
        </w:tcBorders>
        <w:shd w:val="clear" w:color="auto" w:fill="FFFFFF" w:themeFill="background1"/>
      </w:tcPr>
    </w:tblStylePr>
    <w:tblStylePr w:type="lastRow">
      <w:tblPr/>
      <w:tcPr>
        <w:tcBorders>
          <w:top w:val="single" w:sz="8" w:space="0" w:color="41AC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AC4C" w:themeColor="accent5"/>
          <w:insideH w:val="nil"/>
          <w:insideV w:val="nil"/>
        </w:tcBorders>
        <w:shd w:val="clear" w:color="auto" w:fill="FFFFFF" w:themeFill="background1"/>
      </w:tcPr>
    </w:tblStylePr>
    <w:tblStylePr w:type="lastCol">
      <w:tblPr/>
      <w:tcPr>
        <w:tcBorders>
          <w:top w:val="nil"/>
          <w:left w:val="single" w:sz="8" w:space="0" w:color="41AC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CD0" w:themeFill="accent5" w:themeFillTint="3F"/>
      </w:tcPr>
    </w:tblStylePr>
    <w:tblStylePr w:type="band1Horz">
      <w:tblPr/>
      <w:tcPr>
        <w:tcBorders>
          <w:top w:val="nil"/>
          <w:bottom w:val="nil"/>
          <w:insideH w:val="nil"/>
          <w:insideV w:val="nil"/>
        </w:tcBorders>
        <w:shd w:val="clear" w:color="auto" w:fill="CDEC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tblBorders>
    </w:tblPr>
    <w:tblStylePr w:type="firstRow">
      <w:rPr>
        <w:sz w:val="24"/>
        <w:szCs w:val="24"/>
      </w:rPr>
      <w:tblPr/>
      <w:tcPr>
        <w:tcBorders>
          <w:top w:val="nil"/>
          <w:left w:val="nil"/>
          <w:bottom w:val="single" w:sz="24" w:space="0" w:color="8E3F91" w:themeColor="accent6"/>
          <w:right w:val="nil"/>
          <w:insideH w:val="nil"/>
          <w:insideV w:val="nil"/>
        </w:tcBorders>
        <w:shd w:val="clear" w:color="auto" w:fill="FFFFFF" w:themeFill="background1"/>
      </w:tcPr>
    </w:tblStylePr>
    <w:tblStylePr w:type="lastRow">
      <w:tblPr/>
      <w:tcPr>
        <w:tcBorders>
          <w:top w:val="single" w:sz="8" w:space="0" w:color="8E3F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3F91" w:themeColor="accent6"/>
          <w:insideH w:val="nil"/>
          <w:insideV w:val="nil"/>
        </w:tcBorders>
        <w:shd w:val="clear" w:color="auto" w:fill="FFFFFF" w:themeFill="background1"/>
      </w:tcPr>
    </w:tblStylePr>
    <w:tblStylePr w:type="lastCol">
      <w:tblPr/>
      <w:tcPr>
        <w:tcBorders>
          <w:top w:val="nil"/>
          <w:left w:val="single" w:sz="8" w:space="0" w:color="8E3F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AE8" w:themeFill="accent6" w:themeFillTint="3F"/>
      </w:tcPr>
    </w:tblStylePr>
    <w:tblStylePr w:type="band1Horz">
      <w:tblPr/>
      <w:tcPr>
        <w:tcBorders>
          <w:top w:val="nil"/>
          <w:bottom w:val="nil"/>
          <w:insideH w:val="nil"/>
          <w:insideV w:val="nil"/>
        </w:tcBorders>
        <w:shd w:val="clear" w:color="auto" w:fill="E7CA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single" w:sz="8" w:space="0" w:color="5AD0D5" w:themeColor="accent1" w:themeTint="BF"/>
      </w:tblBorders>
    </w:tblPr>
    <w:tblStylePr w:type="firstRow">
      <w:pPr>
        <w:spacing w:before="0" w:after="0" w:line="240" w:lineRule="auto"/>
      </w:pPr>
      <w:rPr>
        <w:b/>
        <w:bCs/>
        <w:color w:val="FFFFFF" w:themeColor="background1"/>
      </w:rPr>
      <w:tblPr/>
      <w:tcPr>
        <w:tcBorders>
          <w:top w:val="single" w:sz="8"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nil"/>
          <w:insideV w:val="nil"/>
        </w:tcBorders>
        <w:shd w:val="clear" w:color="auto" w:fill="2FB6BC" w:themeFill="accent1"/>
      </w:tcPr>
    </w:tblStylePr>
    <w:tblStylePr w:type="lastRow">
      <w:pPr>
        <w:spacing w:before="0" w:after="0" w:line="240" w:lineRule="auto"/>
      </w:pPr>
      <w:rPr>
        <w:b/>
        <w:bCs/>
      </w:rPr>
      <w:tblPr/>
      <w:tcPr>
        <w:tcBorders>
          <w:top w:val="double" w:sz="6"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EFF1" w:themeFill="accent1" w:themeFillTint="3F"/>
      </w:tcPr>
    </w:tblStylePr>
    <w:tblStylePr w:type="band1Horz">
      <w:tblPr/>
      <w:tcPr>
        <w:tcBorders>
          <w:insideH w:val="nil"/>
          <w:insideV w:val="nil"/>
        </w:tcBorders>
        <w:shd w:val="clear" w:color="auto" w:fill="C8EF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single" w:sz="8" w:space="0" w:color="00F0EE" w:themeColor="accent2" w:themeTint="BF"/>
      </w:tblBorders>
    </w:tblPr>
    <w:tblStylePr w:type="firstRow">
      <w:pPr>
        <w:spacing w:before="0" w:after="0" w:line="240" w:lineRule="auto"/>
      </w:pPr>
      <w:rPr>
        <w:b/>
        <w:bCs/>
        <w:color w:val="FFFFFF" w:themeColor="background1"/>
      </w:rPr>
      <w:tblPr/>
      <w:tcPr>
        <w:tcBorders>
          <w:top w:val="single" w:sz="8"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nil"/>
          <w:insideV w:val="nil"/>
        </w:tcBorders>
        <w:shd w:val="clear" w:color="auto" w:fill="009695" w:themeFill="accent2"/>
      </w:tcPr>
    </w:tblStylePr>
    <w:tblStylePr w:type="lastRow">
      <w:pPr>
        <w:spacing w:before="0" w:after="0" w:line="240" w:lineRule="auto"/>
      </w:pPr>
      <w:rPr>
        <w:b/>
        <w:bCs/>
      </w:rPr>
      <w:tblPr/>
      <w:tcPr>
        <w:tcBorders>
          <w:top w:val="double" w:sz="6"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6FFFE" w:themeFill="accent2" w:themeFillTint="3F"/>
      </w:tcPr>
    </w:tblStylePr>
    <w:tblStylePr w:type="band1Horz">
      <w:tblPr/>
      <w:tcPr>
        <w:tcBorders>
          <w:insideH w:val="nil"/>
          <w:insideV w:val="nil"/>
        </w:tcBorders>
        <w:shd w:val="clear" w:color="auto" w:fill="A6FFF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single" w:sz="8" w:space="0" w:color="59A4DB" w:themeColor="accent3" w:themeTint="BF"/>
      </w:tblBorders>
    </w:tblPr>
    <w:tblStylePr w:type="firstRow">
      <w:pPr>
        <w:spacing w:before="0" w:after="0" w:line="240" w:lineRule="auto"/>
      </w:pPr>
      <w:rPr>
        <w:b/>
        <w:bCs/>
        <w:color w:val="FFFFFF" w:themeColor="background1"/>
      </w:rPr>
      <w:tblPr/>
      <w:tcPr>
        <w:tcBorders>
          <w:top w:val="single" w:sz="8"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nil"/>
          <w:insideV w:val="nil"/>
        </w:tcBorders>
        <w:shd w:val="clear" w:color="auto" w:fill="2B86C7" w:themeFill="accent3"/>
      </w:tcPr>
    </w:tblStylePr>
    <w:tblStylePr w:type="lastRow">
      <w:pPr>
        <w:spacing w:before="0" w:after="0" w:line="240" w:lineRule="auto"/>
      </w:pPr>
      <w:rPr>
        <w:b/>
        <w:bCs/>
      </w:rPr>
      <w:tblPr/>
      <w:tcPr>
        <w:tcBorders>
          <w:top w:val="double" w:sz="6"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1F3" w:themeFill="accent3" w:themeFillTint="3F"/>
      </w:tcPr>
    </w:tblStylePr>
    <w:tblStylePr w:type="band1Horz">
      <w:tblPr/>
      <w:tcPr>
        <w:tcBorders>
          <w:insideH w:val="nil"/>
          <w:insideV w:val="nil"/>
        </w:tcBorders>
        <w:shd w:val="clear" w:color="auto" w:fill="C8E1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single" w:sz="8" w:space="0" w:color="3797D4" w:themeColor="accent4" w:themeTint="BF"/>
      </w:tblBorders>
    </w:tblPr>
    <w:tblStylePr w:type="firstRow">
      <w:pPr>
        <w:spacing w:before="0" w:after="0" w:line="240" w:lineRule="auto"/>
      </w:pPr>
      <w:rPr>
        <w:b/>
        <w:bCs/>
        <w:color w:val="FFFFFF" w:themeColor="background1"/>
      </w:rPr>
      <w:tblPr/>
      <w:tcPr>
        <w:tc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nil"/>
          <w:insideV w:val="nil"/>
        </w:tcBorders>
        <w:shd w:val="clear" w:color="auto" w:fill="216B99" w:themeFill="accent4"/>
      </w:tcPr>
    </w:tblStylePr>
    <w:tblStylePr w:type="lastRow">
      <w:pPr>
        <w:spacing w:before="0" w:after="0" w:line="240" w:lineRule="auto"/>
      </w:pPr>
      <w:rPr>
        <w:b/>
        <w:bCs/>
      </w:rPr>
      <w:tblPr/>
      <w:tcPr>
        <w:tcBorders>
          <w:top w:val="double" w:sz="6"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DCF0" w:themeFill="accent4" w:themeFillTint="3F"/>
      </w:tcPr>
    </w:tblStylePr>
    <w:tblStylePr w:type="band1Horz">
      <w:tblPr/>
      <w:tcPr>
        <w:tcBorders>
          <w:insideH w:val="nil"/>
          <w:insideV w:val="nil"/>
        </w:tcBorders>
        <w:shd w:val="clear" w:color="auto" w:fill="BCDCF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single" w:sz="8" w:space="0" w:color="6AC673" w:themeColor="accent5" w:themeTint="BF"/>
      </w:tblBorders>
    </w:tblPr>
    <w:tblStylePr w:type="firstRow">
      <w:pPr>
        <w:spacing w:before="0" w:after="0" w:line="240" w:lineRule="auto"/>
      </w:pPr>
      <w:rPr>
        <w:b/>
        <w:bCs/>
        <w:color w:val="FFFFFF" w:themeColor="background1"/>
      </w:rPr>
      <w:tblPr/>
      <w:tcPr>
        <w:tc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nil"/>
          <w:insideV w:val="nil"/>
        </w:tcBorders>
        <w:shd w:val="clear" w:color="auto" w:fill="41AC4C" w:themeFill="accent5"/>
      </w:tcPr>
    </w:tblStylePr>
    <w:tblStylePr w:type="lastRow">
      <w:pPr>
        <w:spacing w:before="0" w:after="0" w:line="240" w:lineRule="auto"/>
      </w:pPr>
      <w:rPr>
        <w:b/>
        <w:bCs/>
      </w:rPr>
      <w:tblPr/>
      <w:tcPr>
        <w:tcBorders>
          <w:top w:val="double" w:sz="6"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CD0" w:themeFill="accent5" w:themeFillTint="3F"/>
      </w:tcPr>
    </w:tblStylePr>
    <w:tblStylePr w:type="band1Horz">
      <w:tblPr/>
      <w:tcPr>
        <w:tcBorders>
          <w:insideH w:val="nil"/>
          <w:insideV w:val="nil"/>
        </w:tcBorders>
        <w:shd w:val="clear" w:color="auto" w:fill="CDEC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single" w:sz="8" w:space="0" w:color="B661BA" w:themeColor="accent6" w:themeTint="BF"/>
      </w:tblBorders>
    </w:tblPr>
    <w:tblStylePr w:type="firstRow">
      <w:pPr>
        <w:spacing w:before="0" w:after="0" w:line="240" w:lineRule="auto"/>
      </w:pPr>
      <w:rPr>
        <w:b/>
        <w:bCs/>
        <w:color w:val="FFFFFF" w:themeColor="background1"/>
      </w:rPr>
      <w:tblPr/>
      <w:tcPr>
        <w:tc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nil"/>
          <w:insideV w:val="nil"/>
        </w:tcBorders>
        <w:shd w:val="clear" w:color="auto" w:fill="8E3F91" w:themeFill="accent6"/>
      </w:tcPr>
    </w:tblStylePr>
    <w:tblStylePr w:type="lastRow">
      <w:pPr>
        <w:spacing w:before="0" w:after="0" w:line="240" w:lineRule="auto"/>
      </w:pPr>
      <w:rPr>
        <w:b/>
        <w:bCs/>
      </w:rPr>
      <w:tblPr/>
      <w:tcPr>
        <w:tcBorders>
          <w:top w:val="double" w:sz="6"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CAE8" w:themeFill="accent6" w:themeFillTint="3F"/>
      </w:tcPr>
    </w:tblStylePr>
    <w:tblStylePr w:type="band1Horz">
      <w:tblPr/>
      <w:tcPr>
        <w:tcBorders>
          <w:insideH w:val="nil"/>
          <w:insideV w:val="nil"/>
        </w:tcBorders>
        <w:shd w:val="clear" w:color="auto" w:fill="E7CAE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075F9"/>
    <w:pPr>
      <w:spacing w:before="120" w:after="0" w:line="240" w:lineRule="auto"/>
    </w:pPr>
    <w:rPr>
      <w:rFonts w:eastAsiaTheme="minorEastAsia"/>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B6B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B6BC" w:themeFill="accent1"/>
      </w:tcPr>
    </w:tblStylePr>
    <w:tblStylePr w:type="lastCol">
      <w:rPr>
        <w:b/>
        <w:bCs/>
        <w:color w:val="FFFFFF" w:themeColor="background1"/>
      </w:rPr>
      <w:tblPr/>
      <w:tcPr>
        <w:tcBorders>
          <w:left w:val="nil"/>
          <w:right w:val="nil"/>
          <w:insideH w:val="nil"/>
          <w:insideV w:val="nil"/>
        </w:tcBorders>
        <w:shd w:val="clear" w:color="auto" w:fill="2FB6B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9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695" w:themeFill="accent2"/>
      </w:tcPr>
    </w:tblStylePr>
    <w:tblStylePr w:type="lastCol">
      <w:rPr>
        <w:b/>
        <w:bCs/>
        <w:color w:val="FFFFFF" w:themeColor="background1"/>
      </w:rPr>
      <w:tblPr/>
      <w:tcPr>
        <w:tcBorders>
          <w:left w:val="nil"/>
          <w:right w:val="nil"/>
          <w:insideH w:val="nil"/>
          <w:insideV w:val="nil"/>
        </w:tcBorders>
        <w:shd w:val="clear" w:color="auto" w:fill="00969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86C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86C7" w:themeFill="accent3"/>
      </w:tcPr>
    </w:tblStylePr>
    <w:tblStylePr w:type="lastCol">
      <w:rPr>
        <w:b/>
        <w:bCs/>
        <w:color w:val="FFFFFF" w:themeColor="background1"/>
      </w:rPr>
      <w:tblPr/>
      <w:tcPr>
        <w:tcBorders>
          <w:left w:val="nil"/>
          <w:right w:val="nil"/>
          <w:insideH w:val="nil"/>
          <w:insideV w:val="nil"/>
        </w:tcBorders>
        <w:shd w:val="clear" w:color="auto" w:fill="2B86C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6B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16B99" w:themeFill="accent4"/>
      </w:tcPr>
    </w:tblStylePr>
    <w:tblStylePr w:type="lastCol">
      <w:rPr>
        <w:b/>
        <w:bCs/>
        <w:color w:val="FFFFFF" w:themeColor="background1"/>
      </w:rPr>
      <w:tblPr/>
      <w:tcPr>
        <w:tcBorders>
          <w:left w:val="nil"/>
          <w:right w:val="nil"/>
          <w:insideH w:val="nil"/>
          <w:insideV w:val="nil"/>
        </w:tcBorders>
        <w:shd w:val="clear" w:color="auto" w:fill="216B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AC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AC4C" w:themeFill="accent5"/>
      </w:tcPr>
    </w:tblStylePr>
    <w:tblStylePr w:type="lastCol">
      <w:rPr>
        <w:b/>
        <w:bCs/>
        <w:color w:val="FFFFFF" w:themeColor="background1"/>
      </w:rPr>
      <w:tblPr/>
      <w:tcPr>
        <w:tcBorders>
          <w:left w:val="nil"/>
          <w:right w:val="nil"/>
          <w:insideH w:val="nil"/>
          <w:insideV w:val="nil"/>
        </w:tcBorders>
        <w:shd w:val="clear" w:color="auto" w:fill="41AC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3F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E3F91" w:themeFill="accent6"/>
      </w:tcPr>
    </w:tblStylePr>
    <w:tblStylePr w:type="lastCol">
      <w:rPr>
        <w:b/>
        <w:bCs/>
        <w:color w:val="FFFFFF" w:themeColor="background1"/>
      </w:rPr>
      <w:tblPr/>
      <w:tcPr>
        <w:tcBorders>
          <w:left w:val="nil"/>
          <w:right w:val="nil"/>
          <w:insideH w:val="nil"/>
          <w:insideV w:val="nil"/>
        </w:tcBorders>
        <w:shd w:val="clear" w:color="auto" w:fill="8E3F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075F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075F9"/>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unhideWhenUsed/>
    <w:rsid w:val="003075F9"/>
    <w:rPr>
      <w:rFonts w:ascii="Times New Roman" w:hAnsi="Times New Roman" w:cs="Times New Roman"/>
      <w:sz w:val="24"/>
      <w:szCs w:val="24"/>
    </w:rPr>
  </w:style>
  <w:style w:type="paragraph" w:styleId="NormalIndent">
    <w:name w:val="Normal Indent"/>
    <w:basedOn w:val="Normal"/>
    <w:uiPriority w:val="99"/>
    <w:semiHidden/>
    <w:unhideWhenUsed/>
    <w:rsid w:val="003075F9"/>
    <w:pPr>
      <w:ind w:left="720"/>
    </w:pPr>
  </w:style>
  <w:style w:type="paragraph" w:styleId="NoteHeading">
    <w:name w:val="Note Heading"/>
    <w:basedOn w:val="Normal"/>
    <w:next w:val="Normal"/>
    <w:link w:val="NoteHeadingChar"/>
    <w:uiPriority w:val="99"/>
    <w:semiHidden/>
    <w:unhideWhenUsed/>
    <w:rsid w:val="003075F9"/>
    <w:pPr>
      <w:spacing w:before="0" w:after="0" w:line="240" w:lineRule="auto"/>
    </w:pPr>
  </w:style>
  <w:style w:type="character" w:customStyle="1" w:styleId="NoteHeadingChar">
    <w:name w:val="Note Heading Char"/>
    <w:basedOn w:val="DefaultParagraphFont"/>
    <w:link w:val="NoteHeading"/>
    <w:uiPriority w:val="99"/>
    <w:semiHidden/>
    <w:rsid w:val="003075F9"/>
    <w:rPr>
      <w:rFonts w:eastAsiaTheme="minorEastAsia"/>
      <w:lang w:val="en-GB"/>
    </w:rPr>
  </w:style>
  <w:style w:type="character" w:styleId="PageNumber0">
    <w:name w:val="page number"/>
    <w:basedOn w:val="DefaultParagraphFont"/>
    <w:uiPriority w:val="99"/>
    <w:semiHidden/>
    <w:unhideWhenUsed/>
    <w:rsid w:val="003075F9"/>
    <w:rPr>
      <w:bCs w:val="0"/>
      <w:szCs w:val="20"/>
      <w:lang w:val="en-GB"/>
    </w:rPr>
  </w:style>
  <w:style w:type="character" w:styleId="PlaceholderText">
    <w:name w:val="Placeholder Text"/>
    <w:basedOn w:val="DefaultParagraphFont"/>
    <w:uiPriority w:val="99"/>
    <w:rsid w:val="003075F9"/>
    <w:rPr>
      <w:bCs w:val="0"/>
      <w:color w:val="808080"/>
      <w:szCs w:val="20"/>
      <w:lang w:val="en-GB"/>
    </w:rPr>
  </w:style>
  <w:style w:type="table" w:customStyle="1" w:styleId="PlainTable11">
    <w:name w:val="Plain Table 11"/>
    <w:basedOn w:val="TableNormal"/>
    <w:uiPriority w:val="41"/>
    <w:rsid w:val="003075F9"/>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75F9"/>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3075F9"/>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3075F9"/>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3075F9"/>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075F9"/>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075F9"/>
    <w:rPr>
      <w:rFonts w:ascii="Consolas" w:eastAsiaTheme="minorEastAsia" w:hAnsi="Consolas"/>
      <w:sz w:val="21"/>
      <w:szCs w:val="21"/>
      <w:lang w:val="en-GB"/>
    </w:rPr>
  </w:style>
  <w:style w:type="paragraph" w:styleId="Salutation">
    <w:name w:val="Salutation"/>
    <w:basedOn w:val="Normal"/>
    <w:next w:val="Normal"/>
    <w:link w:val="SalutationChar"/>
    <w:uiPriority w:val="99"/>
    <w:semiHidden/>
    <w:rsid w:val="003075F9"/>
  </w:style>
  <w:style w:type="character" w:customStyle="1" w:styleId="SalutationChar">
    <w:name w:val="Salutation Char"/>
    <w:basedOn w:val="DefaultParagraphFont"/>
    <w:link w:val="Salutation"/>
    <w:uiPriority w:val="99"/>
    <w:semiHidden/>
    <w:rsid w:val="003075F9"/>
    <w:rPr>
      <w:rFonts w:eastAsiaTheme="minorEastAsia"/>
      <w:lang w:val="en-GB"/>
    </w:rPr>
  </w:style>
  <w:style w:type="paragraph" w:styleId="Signature">
    <w:name w:val="Signature"/>
    <w:basedOn w:val="Normal"/>
    <w:link w:val="SignatureChar"/>
    <w:uiPriority w:val="99"/>
    <w:semiHidden/>
    <w:unhideWhenUsed/>
    <w:rsid w:val="003075F9"/>
    <w:pPr>
      <w:spacing w:before="0" w:after="0" w:line="240" w:lineRule="auto"/>
      <w:ind w:left="4252"/>
    </w:pPr>
  </w:style>
  <w:style w:type="character" w:customStyle="1" w:styleId="SignatureChar">
    <w:name w:val="Signature Char"/>
    <w:basedOn w:val="DefaultParagraphFont"/>
    <w:link w:val="Signature"/>
    <w:uiPriority w:val="99"/>
    <w:semiHidden/>
    <w:rsid w:val="003075F9"/>
    <w:rPr>
      <w:rFonts w:eastAsiaTheme="minorEastAsia"/>
      <w:lang w:val="en-GB"/>
    </w:rPr>
  </w:style>
  <w:style w:type="character" w:styleId="Strong">
    <w:name w:val="Strong"/>
    <w:basedOn w:val="DefaultParagraphFont"/>
    <w:uiPriority w:val="39"/>
    <w:semiHidden/>
    <w:qFormat/>
    <w:rsid w:val="003075F9"/>
    <w:rPr>
      <w:b/>
      <w:bCs/>
      <w:szCs w:val="20"/>
      <w:lang w:val="en-GB"/>
    </w:rPr>
  </w:style>
  <w:style w:type="paragraph" w:styleId="Subtitle">
    <w:name w:val="Subtitle"/>
    <w:basedOn w:val="Normal"/>
    <w:next w:val="Normal"/>
    <w:link w:val="SubtitleChar"/>
    <w:uiPriority w:val="39"/>
    <w:semiHidden/>
    <w:qFormat/>
    <w:rsid w:val="003075F9"/>
    <w:pPr>
      <w:numPr>
        <w:ilvl w:val="1"/>
      </w:numPr>
    </w:pPr>
    <w:rPr>
      <w:color w:val="5A5A5A" w:themeColor="text1" w:themeTint="A5"/>
      <w:spacing w:val="15"/>
      <w:sz w:val="22"/>
      <w:szCs w:val="22"/>
    </w:rPr>
  </w:style>
  <w:style w:type="character" w:customStyle="1" w:styleId="SubtitleChar">
    <w:name w:val="Subtitle Char"/>
    <w:basedOn w:val="DefaultParagraphFont"/>
    <w:link w:val="Subtitle"/>
    <w:uiPriority w:val="39"/>
    <w:semiHidden/>
    <w:rsid w:val="003075F9"/>
    <w:rPr>
      <w:rFonts w:eastAsiaTheme="minorEastAsia"/>
      <w:color w:val="5A5A5A" w:themeColor="text1" w:themeTint="A5"/>
      <w:spacing w:val="15"/>
      <w:sz w:val="22"/>
      <w:szCs w:val="22"/>
      <w:lang w:val="en-GB"/>
    </w:rPr>
  </w:style>
  <w:style w:type="character" w:styleId="SubtleEmphasis">
    <w:name w:val="Subtle Emphasis"/>
    <w:basedOn w:val="DefaultParagraphFont"/>
    <w:uiPriority w:val="39"/>
    <w:semiHidden/>
    <w:qFormat/>
    <w:rsid w:val="003075F9"/>
    <w:rPr>
      <w:bCs w:val="0"/>
      <w:i/>
      <w:iCs/>
      <w:color w:val="404040" w:themeColor="text1" w:themeTint="BF"/>
      <w:szCs w:val="20"/>
      <w:lang w:val="en-GB"/>
    </w:rPr>
  </w:style>
  <w:style w:type="character" w:styleId="SubtleReference">
    <w:name w:val="Subtle Reference"/>
    <w:basedOn w:val="DefaultParagraphFont"/>
    <w:uiPriority w:val="39"/>
    <w:semiHidden/>
    <w:qFormat/>
    <w:rsid w:val="003075F9"/>
    <w:rPr>
      <w:bCs w:val="0"/>
      <w:smallCaps/>
      <w:color w:val="5A5A5A" w:themeColor="text1" w:themeTint="A5"/>
      <w:szCs w:val="20"/>
      <w:lang w:val="en-GB"/>
    </w:rPr>
  </w:style>
  <w:style w:type="table" w:styleId="Table3Deffects1">
    <w:name w:val="Table 3D effects 1"/>
    <w:basedOn w:val="TableNormal"/>
    <w:uiPriority w:val="99"/>
    <w:semiHidden/>
    <w:unhideWhenUsed/>
    <w:rsid w:val="003075F9"/>
    <w:pPr>
      <w:spacing w:before="120" w:line="264" w:lineRule="auto"/>
    </w:pPr>
    <w:rPr>
      <w:rFonts w:eastAsiaTheme="minorEastAs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075F9"/>
    <w:pPr>
      <w:spacing w:before="120" w:line="264" w:lineRule="auto"/>
    </w:pPr>
    <w:rPr>
      <w:rFonts w:eastAsiaTheme="minorEastAsi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075F9"/>
    <w:pPr>
      <w:spacing w:before="120" w:line="264" w:lineRule="auto"/>
    </w:pPr>
    <w:rPr>
      <w:rFonts w:eastAsiaTheme="minorEastAs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075F9"/>
    <w:pPr>
      <w:spacing w:before="120" w:line="264" w:lineRule="auto"/>
    </w:pPr>
    <w:rPr>
      <w:rFonts w:eastAsiaTheme="minorEastAs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075F9"/>
    <w:pPr>
      <w:spacing w:before="120" w:line="264" w:lineRule="auto"/>
    </w:pPr>
    <w:rPr>
      <w:rFonts w:eastAsiaTheme="minorEastAs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075F9"/>
    <w:pPr>
      <w:spacing w:before="120" w:line="264" w:lineRule="auto"/>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075F9"/>
    <w:pPr>
      <w:spacing w:before="120" w:line="264" w:lineRule="auto"/>
    </w:pPr>
    <w:rPr>
      <w:rFonts w:eastAsiaTheme="minorEastAs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075F9"/>
    <w:pPr>
      <w:spacing w:before="120" w:line="264" w:lineRule="auto"/>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075F9"/>
    <w:pPr>
      <w:spacing w:before="120" w:line="264" w:lineRule="auto"/>
    </w:pPr>
    <w:rPr>
      <w:rFonts w:eastAsiaTheme="minorEastAs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075F9"/>
    <w:pPr>
      <w:spacing w:before="120" w:line="264" w:lineRule="auto"/>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075F9"/>
    <w:pPr>
      <w:spacing w:before="120" w:line="264" w:lineRule="auto"/>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075F9"/>
    <w:pPr>
      <w:spacing w:before="120" w:line="264" w:lineRule="auto"/>
    </w:pPr>
    <w:rPr>
      <w:rFonts w:eastAsiaTheme="minorEastAs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075F9"/>
    <w:pPr>
      <w:spacing w:before="120" w:line="264" w:lineRule="auto"/>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075F9"/>
    <w:pPr>
      <w:spacing w:before="120" w:line="264" w:lineRule="auto"/>
    </w:pPr>
    <w:rPr>
      <w:rFonts w:eastAsiaTheme="minorEastAs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075F9"/>
    <w:pPr>
      <w:spacing w:before="120" w:line="264" w:lineRule="auto"/>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075F9"/>
    <w:pPr>
      <w:spacing w:before="120" w:line="264" w:lineRule="auto"/>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075F9"/>
    <w:pPr>
      <w:spacing w:before="120" w:line="264"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075F9"/>
    <w:pPr>
      <w:spacing w:before="12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3075F9"/>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075F9"/>
    <w:pPr>
      <w:spacing w:before="120" w:line="264" w:lineRule="auto"/>
    </w:pPr>
    <w:rPr>
      <w:rFonts w:eastAsiaTheme="minorEastAsi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075F9"/>
    <w:pPr>
      <w:spacing w:before="120" w:line="264" w:lineRule="auto"/>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075F9"/>
    <w:pPr>
      <w:spacing w:before="120" w:line="264" w:lineRule="auto"/>
    </w:pPr>
    <w:rPr>
      <w:rFonts w:eastAsiaTheme="minorEastAs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075F9"/>
    <w:pPr>
      <w:spacing w:before="120" w:line="264" w:lineRule="auto"/>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075F9"/>
    <w:pPr>
      <w:spacing w:before="120" w:line="264" w:lineRule="auto"/>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3075F9"/>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075F9"/>
    <w:pPr>
      <w:spacing w:before="120" w:line="264" w:lineRule="auto"/>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075F9"/>
    <w:pPr>
      <w:spacing w:before="120" w:line="264" w:lineRule="auto"/>
    </w:pPr>
    <w:rPr>
      <w:rFonts w:eastAsiaTheme="minorEastAs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075F9"/>
    <w:pPr>
      <w:spacing w:before="120" w:line="264" w:lineRule="auto"/>
    </w:pPr>
    <w:rPr>
      <w:rFonts w:eastAsiaTheme="minorEastAs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075F9"/>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075F9"/>
    <w:pPr>
      <w:spacing w:before="120" w:line="264"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075F9"/>
    <w:pPr>
      <w:spacing w:before="120" w:line="264" w:lineRule="auto"/>
    </w:pPr>
    <w:rPr>
      <w:rFonts w:eastAsiaTheme="minorEastAsi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075F9"/>
    <w:pPr>
      <w:spacing w:before="120" w:line="264"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075F9"/>
    <w:pPr>
      <w:spacing w:after="0"/>
      <w:ind w:left="200" w:hanging="200"/>
    </w:pPr>
  </w:style>
  <w:style w:type="paragraph" w:styleId="TableofFigures">
    <w:name w:val="table of figures"/>
    <w:basedOn w:val="Normal"/>
    <w:next w:val="Normal"/>
    <w:uiPriority w:val="99"/>
    <w:unhideWhenUsed/>
    <w:rsid w:val="003075F9"/>
    <w:pPr>
      <w:tabs>
        <w:tab w:val="right" w:pos="8505"/>
      </w:tabs>
      <w:spacing w:before="40" w:after="40" w:line="276" w:lineRule="auto"/>
      <w:ind w:right="403"/>
    </w:pPr>
    <w:rPr>
      <w:rFonts w:cs="System"/>
      <w:noProof/>
    </w:rPr>
  </w:style>
  <w:style w:type="table" w:styleId="TableProfessional">
    <w:name w:val="Table Professional"/>
    <w:basedOn w:val="TableNormal"/>
    <w:uiPriority w:val="99"/>
    <w:semiHidden/>
    <w:unhideWhenUsed/>
    <w:rsid w:val="003075F9"/>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075F9"/>
    <w:pPr>
      <w:spacing w:before="120" w:line="264" w:lineRule="auto"/>
    </w:pPr>
    <w:rPr>
      <w:rFonts w:eastAsiaTheme="minorEastAsi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075F9"/>
    <w:pPr>
      <w:spacing w:before="120" w:line="264" w:lineRule="auto"/>
    </w:pPr>
    <w:rPr>
      <w:rFonts w:eastAsiaTheme="minorEastAs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075F9"/>
    <w:pPr>
      <w:spacing w:before="120" w:line="264" w:lineRule="auto"/>
    </w:pPr>
    <w:rPr>
      <w:rFonts w:eastAsiaTheme="minorEastAsi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075F9"/>
    <w:pPr>
      <w:spacing w:before="120" w:line="264" w:lineRule="auto"/>
    </w:pPr>
    <w:rPr>
      <w:rFonts w:eastAsiaTheme="minorEastAsi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075F9"/>
    <w:pPr>
      <w:spacing w:before="120" w:line="264"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075F9"/>
    <w:pPr>
      <w:spacing w:before="120" w:line="264" w:lineRule="auto"/>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075F9"/>
    <w:pPr>
      <w:spacing w:before="120" w:line="264" w:lineRule="auto"/>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075F9"/>
    <w:pPr>
      <w:spacing w:before="120" w:line="264" w:lineRule="auto"/>
    </w:pPr>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39"/>
    <w:semiHidden/>
    <w:qFormat/>
    <w:rsid w:val="003075F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9"/>
    <w:semiHidden/>
    <w:rsid w:val="003075F9"/>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3075F9"/>
    <w:rPr>
      <w:rFonts w:asciiTheme="majorHAnsi" w:eastAsiaTheme="majorEastAsia" w:hAnsiTheme="majorHAnsi" w:cstheme="majorBidi"/>
      <w:b/>
      <w:bCs/>
      <w:sz w:val="24"/>
      <w:szCs w:val="24"/>
    </w:rPr>
  </w:style>
  <w:style w:type="paragraph" w:styleId="TOC1">
    <w:name w:val="toc 1"/>
    <w:aliases w:val="~SectionHeadings"/>
    <w:basedOn w:val="NoSpacing"/>
    <w:next w:val="Normal"/>
    <w:uiPriority w:val="39"/>
    <w:rsid w:val="006E7AB6"/>
    <w:pPr>
      <w:tabs>
        <w:tab w:val="left" w:pos="567"/>
        <w:tab w:val="right" w:pos="8504"/>
      </w:tabs>
      <w:spacing w:before="360" w:after="120"/>
      <w:ind w:left="567" w:right="403" w:hanging="567"/>
    </w:pPr>
    <w:rPr>
      <w:rFonts w:asciiTheme="majorHAnsi" w:hAnsiTheme="majorHAnsi"/>
      <w:noProof/>
      <w:color w:val="2FB6BC" w:themeColor="accent1"/>
      <w:sz w:val="24"/>
      <w:szCs w:val="32"/>
    </w:rPr>
  </w:style>
  <w:style w:type="paragraph" w:styleId="TOC2">
    <w:name w:val="toc 2"/>
    <w:aliases w:val="~SubHeadings"/>
    <w:basedOn w:val="TOC1"/>
    <w:next w:val="Normal"/>
    <w:uiPriority w:val="39"/>
    <w:rsid w:val="003075F9"/>
    <w:pPr>
      <w:tabs>
        <w:tab w:val="clear" w:pos="567"/>
        <w:tab w:val="left" w:pos="1219"/>
      </w:tabs>
      <w:spacing w:before="0" w:after="60"/>
      <w:ind w:left="1219" w:hanging="652"/>
    </w:pPr>
    <w:rPr>
      <w:color w:val="auto"/>
      <w:sz w:val="20"/>
      <w:szCs w:val="20"/>
    </w:rPr>
  </w:style>
  <w:style w:type="paragraph" w:styleId="TOC3">
    <w:name w:val="toc 3"/>
    <w:aliases w:val="~MinorSubheadings"/>
    <w:basedOn w:val="TOC2"/>
    <w:next w:val="Normal"/>
    <w:autoRedefine/>
    <w:uiPriority w:val="39"/>
    <w:rsid w:val="003075F9"/>
    <w:pPr>
      <w:tabs>
        <w:tab w:val="clear" w:pos="1219"/>
        <w:tab w:val="left" w:pos="2155"/>
      </w:tabs>
      <w:ind w:left="2155" w:hanging="936"/>
    </w:pPr>
  </w:style>
  <w:style w:type="paragraph" w:styleId="TOC4">
    <w:name w:val="toc 4"/>
    <w:aliases w:val="~FourthHeadLevel"/>
    <w:basedOn w:val="TOC3"/>
    <w:next w:val="Normal"/>
    <w:uiPriority w:val="39"/>
    <w:rsid w:val="003075F9"/>
    <w:pPr>
      <w:tabs>
        <w:tab w:val="clear" w:pos="2155"/>
        <w:tab w:val="left" w:pos="3402"/>
      </w:tabs>
      <w:ind w:left="3402" w:hanging="1247"/>
    </w:pPr>
  </w:style>
  <w:style w:type="paragraph" w:styleId="TOC5">
    <w:name w:val="toc 5"/>
    <w:aliases w:val="~ExecSumHeading"/>
    <w:basedOn w:val="TOC1"/>
    <w:next w:val="Normal"/>
    <w:uiPriority w:val="39"/>
    <w:rsid w:val="003075F9"/>
    <w:pPr>
      <w:spacing w:before="0"/>
    </w:pPr>
  </w:style>
  <w:style w:type="paragraph" w:styleId="TOC6">
    <w:name w:val="toc 6"/>
    <w:aliases w:val="~AppDivider"/>
    <w:basedOn w:val="TOC1"/>
    <w:next w:val="Normal"/>
    <w:uiPriority w:val="39"/>
    <w:rsid w:val="003075F9"/>
  </w:style>
  <w:style w:type="paragraph" w:styleId="TOC7">
    <w:name w:val="toc 7"/>
    <w:aliases w:val="~AppHeadings"/>
    <w:basedOn w:val="TOC1"/>
    <w:next w:val="Normal"/>
    <w:uiPriority w:val="39"/>
    <w:rsid w:val="003075F9"/>
  </w:style>
  <w:style w:type="paragraph" w:styleId="TOC8">
    <w:name w:val="toc 8"/>
    <w:aliases w:val="~AppSubHeadings"/>
    <w:basedOn w:val="TOC2"/>
    <w:next w:val="Normal"/>
    <w:uiPriority w:val="39"/>
    <w:rsid w:val="003075F9"/>
  </w:style>
  <w:style w:type="paragraph" w:styleId="TOC9">
    <w:name w:val="toc 9"/>
    <w:aliases w:val="~AppMinorSubHeadings,~AppDividerPg"/>
    <w:basedOn w:val="Normal"/>
    <w:next w:val="Normal"/>
    <w:uiPriority w:val="39"/>
    <w:unhideWhenUsed/>
    <w:rsid w:val="003075F9"/>
    <w:pPr>
      <w:tabs>
        <w:tab w:val="left" w:pos="567"/>
        <w:tab w:val="right" w:pos="8504"/>
      </w:tabs>
      <w:spacing w:before="0" w:after="60" w:line="240" w:lineRule="auto"/>
      <w:ind w:left="567" w:right="284" w:hanging="567"/>
    </w:pPr>
    <w:rPr>
      <w:rFonts w:ascii="Arial" w:hAnsi="Arial"/>
    </w:rPr>
  </w:style>
  <w:style w:type="paragraph" w:styleId="TOCHeading">
    <w:name w:val="TOC Heading"/>
    <w:basedOn w:val="Heading1"/>
    <w:next w:val="Normal"/>
    <w:uiPriority w:val="38"/>
    <w:semiHidden/>
    <w:rsid w:val="003075F9"/>
    <w:pPr>
      <w:keepLines/>
      <w:tabs>
        <w:tab w:val="clear" w:pos="567"/>
      </w:tabs>
      <w:spacing w:before="480" w:after="0"/>
      <w:jc w:val="both"/>
      <w:outlineLvl w:val="9"/>
    </w:pPr>
    <w:rPr>
      <w:rFonts w:eastAsiaTheme="majorEastAsia" w:cstheme="majorBidi"/>
      <w:sz w:val="28"/>
      <w:szCs w:val="28"/>
    </w:rPr>
  </w:style>
  <w:style w:type="character" w:customStyle="1" w:styleId="Hashtag1">
    <w:name w:val="Hashtag1"/>
    <w:basedOn w:val="DefaultParagraphFont"/>
    <w:uiPriority w:val="99"/>
    <w:semiHidden/>
    <w:unhideWhenUsed/>
    <w:rsid w:val="006E7AB6"/>
    <w:rPr>
      <w:color w:val="2B579A"/>
      <w:shd w:val="clear" w:color="auto" w:fill="E6E6E6"/>
      <w:lang w:val="en-GB"/>
    </w:rPr>
  </w:style>
  <w:style w:type="character" w:customStyle="1" w:styleId="Mention1">
    <w:name w:val="Mention1"/>
    <w:basedOn w:val="DefaultParagraphFont"/>
    <w:uiPriority w:val="99"/>
    <w:unhideWhenUsed/>
    <w:rsid w:val="006E7AB6"/>
    <w:rPr>
      <w:color w:val="2B579A"/>
      <w:shd w:val="clear" w:color="auto" w:fill="E6E6E6"/>
      <w:lang w:val="en-GB"/>
    </w:rPr>
  </w:style>
  <w:style w:type="character" w:customStyle="1" w:styleId="SmartHyperlink1">
    <w:name w:val="Smart Hyperlink1"/>
    <w:basedOn w:val="DefaultParagraphFont"/>
    <w:uiPriority w:val="99"/>
    <w:semiHidden/>
    <w:unhideWhenUsed/>
    <w:rsid w:val="006E7AB6"/>
    <w:rPr>
      <w:u w:val="dotted"/>
      <w:lang w:val="en-GB"/>
    </w:rPr>
  </w:style>
  <w:style w:type="paragraph" w:customStyle="1" w:styleId="HeaderRight">
    <w:name w:val="Header Right"/>
    <w:basedOn w:val="Header"/>
    <w:uiPriority w:val="39"/>
    <w:semiHidden/>
    <w:qFormat/>
    <w:rsid w:val="00ED39CC"/>
    <w:pPr>
      <w:jc w:val="right"/>
    </w:pPr>
  </w:style>
  <w:style w:type="character" w:customStyle="1" w:styleId="UnresolvedMention1">
    <w:name w:val="Unresolved Mention1"/>
    <w:basedOn w:val="DefaultParagraphFont"/>
    <w:uiPriority w:val="99"/>
    <w:unhideWhenUsed/>
    <w:rsid w:val="0036756A"/>
    <w:rPr>
      <w:color w:val="605E5C"/>
      <w:shd w:val="clear" w:color="auto" w:fill="E1DFDD"/>
      <w:lang w:val="en-GB"/>
    </w:rPr>
  </w:style>
  <w:style w:type="paragraph" w:customStyle="1" w:styleId="Confidentia">
    <w:name w:val="~Confidentia"/>
    <w:basedOn w:val="RefConfidential"/>
    <w:semiHidden/>
    <w:rsid w:val="002916DA"/>
    <w:pPr>
      <w:framePr w:hSpace="181" w:wrap="around" w:vAnchor="page" w:hAnchor="page" w:x="3743" w:y="10094"/>
    </w:pPr>
  </w:style>
  <w:style w:type="paragraph" w:customStyle="1" w:styleId="SmallSpacer">
    <w:name w:val="Small Spacer"/>
    <w:basedOn w:val="Footer"/>
    <w:uiPriority w:val="39"/>
    <w:semiHidden/>
    <w:qFormat/>
    <w:rsid w:val="001513FD"/>
    <w:pPr>
      <w:spacing w:line="14" w:lineRule="exact"/>
    </w:pPr>
  </w:style>
  <w:style w:type="paragraph" w:customStyle="1" w:styleId="TableNumBullet1">
    <w:name w:val="~TableNumBullet1"/>
    <w:basedOn w:val="TableTextLeft"/>
    <w:uiPriority w:val="8"/>
    <w:qFormat/>
    <w:rsid w:val="002D3C8D"/>
    <w:pPr>
      <w:numPr>
        <w:numId w:val="30"/>
      </w:numPr>
    </w:pPr>
  </w:style>
  <w:style w:type="paragraph" w:customStyle="1" w:styleId="TableNumBullet2">
    <w:name w:val="~TableNumBullet2"/>
    <w:basedOn w:val="TableTextLeft"/>
    <w:uiPriority w:val="8"/>
    <w:qFormat/>
    <w:rsid w:val="002D3C8D"/>
    <w:pPr>
      <w:numPr>
        <w:ilvl w:val="1"/>
        <w:numId w:val="30"/>
      </w:numPr>
    </w:pPr>
  </w:style>
  <w:style w:type="paragraph" w:customStyle="1" w:styleId="TableNumBullet3">
    <w:name w:val="~TableNumBullet3"/>
    <w:basedOn w:val="TableTextLeft"/>
    <w:uiPriority w:val="8"/>
    <w:qFormat/>
    <w:rsid w:val="002D3C8D"/>
    <w:pPr>
      <w:numPr>
        <w:ilvl w:val="2"/>
        <w:numId w:val="30"/>
      </w:numPr>
    </w:pPr>
  </w:style>
  <w:style w:type="paragraph" w:customStyle="1" w:styleId="Security">
    <w:name w:val="Security"/>
    <w:basedOn w:val="Normal"/>
    <w:uiPriority w:val="19"/>
    <w:semiHidden/>
    <w:qFormat/>
    <w:rsid w:val="009A1EE7"/>
    <w:pPr>
      <w:keepNext/>
      <w:spacing w:before="40" w:after="40" w:line="240" w:lineRule="auto"/>
    </w:pPr>
    <w:rPr>
      <w:b/>
      <w:color w:val="2FB6BC" w:themeColor="accent1"/>
      <w:sz w:val="18"/>
    </w:rPr>
  </w:style>
  <w:style w:type="character" w:customStyle="1" w:styleId="Bullet1Char">
    <w:name w:val="~Bullet1 Char"/>
    <w:link w:val="Bullet1"/>
    <w:locked/>
    <w:rsid w:val="00365D8E"/>
    <w:rPr>
      <w:rFonts w:eastAsia="Calibri"/>
    </w:rPr>
  </w:style>
  <w:style w:type="paragraph" w:customStyle="1" w:styleId="Quote1">
    <w:name w:val="Quote1"/>
    <w:basedOn w:val="Normal"/>
    <w:next w:val="QuoteSource"/>
    <w:uiPriority w:val="6"/>
    <w:qFormat/>
    <w:rsid w:val="001667AF"/>
    <w:pPr>
      <w:keepNext/>
      <w:keepLines/>
      <w:spacing w:before="240" w:after="0"/>
      <w:ind w:right="2835"/>
    </w:pPr>
    <w:rPr>
      <w:b/>
      <w:bCs/>
      <w:color w:val="009695" w:themeColor="accent2"/>
      <w:sz w:val="28"/>
      <w:szCs w:val="28"/>
    </w:rPr>
  </w:style>
  <w:style w:type="paragraph" w:customStyle="1" w:styleId="Quote0">
    <w:name w:val="Quote0"/>
    <w:basedOn w:val="Normal"/>
    <w:next w:val="Normal"/>
    <w:uiPriority w:val="39"/>
    <w:semiHidden/>
    <w:qFormat/>
    <w:rsid w:val="001667AF"/>
    <w:pPr>
      <w:spacing w:before="200"/>
      <w:ind w:left="864" w:right="864"/>
      <w:jc w:val="center"/>
    </w:pPr>
    <w:rPr>
      <w:i/>
      <w:iCs/>
      <w:color w:val="404040" w:themeColor="text1" w:themeTint="BF"/>
    </w:rPr>
  </w:style>
  <w:style w:type="character" w:customStyle="1" w:styleId="QuoteChar1">
    <w:name w:val="Quote Char1"/>
    <w:basedOn w:val="DefaultParagraphFont"/>
    <w:uiPriority w:val="39"/>
    <w:rsid w:val="001667AF"/>
    <w:rPr>
      <w:rFonts w:eastAsiaTheme="minorEastAsia"/>
      <w:i/>
      <w:iCs/>
      <w:color w:val="404040" w:themeColor="text1" w:themeTint="BF"/>
    </w:rPr>
  </w:style>
  <w:style w:type="paragraph" w:styleId="Revision">
    <w:name w:val="Revision"/>
    <w:hidden/>
    <w:uiPriority w:val="99"/>
    <w:semiHidden/>
    <w:rsid w:val="00493C5D"/>
    <w:pPr>
      <w:spacing w:after="0" w:line="240" w:lineRule="auto"/>
    </w:pPr>
    <w:rPr>
      <w:rFonts w:eastAsiaTheme="minorEastAsia"/>
    </w:rPr>
  </w:style>
  <w:style w:type="table" w:customStyle="1" w:styleId="MMTable1">
    <w:name w:val="~MMTable1"/>
    <w:basedOn w:val="TableNormal"/>
    <w:uiPriority w:val="99"/>
    <w:rsid w:val="00493C5D"/>
    <w:pPr>
      <w:spacing w:before="40" w:after="40" w:line="240" w:lineRule="auto"/>
    </w:pPr>
    <w:rPr>
      <w:rFonts w:ascii="Arial" w:eastAsia="SimSun" w:hAnsi="Arial"/>
      <w:sz w:val="16"/>
      <w:szCs w:val="16"/>
    </w:rPr>
    <w:tblPr>
      <w:tblStyleRowBandSize w:val="1"/>
      <w:tblBorders>
        <w:top w:val="single" w:sz="8" w:space="0" w:color="auto"/>
        <w:bottom w:val="single" w:sz="8" w:space="0" w:color="auto"/>
        <w:insideH w:val="single" w:sz="2" w:space="0" w:color="2FB6BC"/>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DDDDC"/>
      </w:tcPr>
    </w:tblStylePr>
  </w:style>
  <w:style w:type="paragraph" w:customStyle="1" w:styleId="AppBodyTextNum1">
    <w:name w:val="~AppBodyTextNum1"/>
    <w:basedOn w:val="Normal"/>
    <w:uiPriority w:val="1"/>
    <w:qFormat/>
    <w:rsid w:val="00F524A8"/>
    <w:pPr>
      <w:tabs>
        <w:tab w:val="num" w:pos="0"/>
      </w:tabs>
      <w:ind w:hanging="1134"/>
    </w:pPr>
  </w:style>
  <w:style w:type="paragraph" w:customStyle="1" w:styleId="AppBodyTextNum2">
    <w:name w:val="~AppBodyTextNum2"/>
    <w:basedOn w:val="Normal"/>
    <w:uiPriority w:val="1"/>
    <w:qFormat/>
    <w:rsid w:val="00F524A8"/>
    <w:pPr>
      <w:tabs>
        <w:tab w:val="num" w:pos="0"/>
      </w:tabs>
      <w:ind w:hanging="1134"/>
    </w:pPr>
  </w:style>
  <w:style w:type="paragraph" w:styleId="Quote">
    <w:name w:val="Quote"/>
    <w:basedOn w:val="Normal"/>
    <w:next w:val="Normal"/>
    <w:link w:val="QuoteChar"/>
    <w:uiPriority w:val="39"/>
    <w:qFormat/>
    <w:rsid w:val="004508E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39"/>
    <w:rsid w:val="004508EB"/>
    <w:rPr>
      <w:rFonts w:eastAsiaTheme="minorEastAsia"/>
      <w:i/>
      <w:iCs/>
      <w:color w:val="404040" w:themeColor="text1" w:themeTint="BF"/>
    </w:rPr>
  </w:style>
  <w:style w:type="character" w:customStyle="1" w:styleId="SmartLink1">
    <w:name w:val="SmartLink1"/>
    <w:basedOn w:val="DefaultParagraphFont"/>
    <w:uiPriority w:val="99"/>
    <w:semiHidden/>
    <w:unhideWhenUsed/>
    <w:rsid w:val="004508EB"/>
    <w:rPr>
      <w:color w:val="009695" w:themeColor="hyperlink"/>
      <w:u w:val="single"/>
      <w:shd w:val="clear" w:color="auto" w:fill="E1DFDD"/>
    </w:rPr>
  </w:style>
  <w:style w:type="character" w:customStyle="1" w:styleId="SmartLinkError1">
    <w:name w:val="SmartLinkError1"/>
    <w:basedOn w:val="DefaultParagraphFont"/>
    <w:uiPriority w:val="99"/>
    <w:semiHidden/>
    <w:unhideWhenUsed/>
    <w:rsid w:val="002C314A"/>
    <w:rPr>
      <w:color w:val="FF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34" w:qFormat="1"/>
    <w:lsdException w:name="heading 6" w:uiPriority="34" w:qFormat="1"/>
    <w:lsdException w:name="heading 7" w:uiPriority="34" w:qFormat="1"/>
    <w:lsdException w:name="heading 8" w:uiPriority="34" w:qFormat="1"/>
    <w:lsdException w:name="heading 9" w:uiPriority="34"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36"/>
    <w:lsdException w:name="caption" w:uiPriority="7" w:qFormat="1"/>
    <w:lsdException w:name="footnote reference" w:qFormat="1"/>
    <w:lsdException w:name="Title" w:semiHidden="0" w:uiPriority="39" w:unhideWhenUsed="0" w:qFormat="1"/>
    <w:lsdException w:name="Default Paragraph Font" w:uiPriority="1"/>
    <w:lsdException w:name="Subtitle" w:semiHidden="0" w:uiPriority="39" w:unhideWhenUsed="0" w:qFormat="1"/>
    <w:lsdException w:name="FollowedHyperlink" w:uiPriority="37"/>
    <w:lsdException w:name="Strong" w:semiHidden="0" w:uiPriority="39" w:unhideWhenUsed="0" w:qFormat="1"/>
    <w:lsdException w:name="Emphasis" w:semiHidden="0" w:uiPriority="39" w:unhideWhenUsed="0" w:qFormat="1"/>
    <w:lsdException w:name="Table Grid"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39" w:unhideWhenUsed="0" w:qFormat="1"/>
    <w:lsdException w:name="Intense Quote" w:semiHidden="0" w:uiPriority="3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39" w:unhideWhenUsed="0" w:qFormat="1"/>
    <w:lsdException w:name="Intense Emphasis" w:semiHidden="0" w:uiPriority="39" w:unhideWhenUsed="0" w:qFormat="1"/>
    <w:lsdException w:name="Subtle Reference" w:semiHidden="0" w:uiPriority="39" w:unhideWhenUsed="0" w:qFormat="1"/>
    <w:lsdException w:name="Intense Reference" w:semiHidden="0" w:uiPriority="39" w:unhideWhenUsed="0" w:qFormat="1"/>
    <w:lsdException w:name="Book Title" w:semiHidden="0" w:uiPriority="39" w:unhideWhenUsed="0" w:qFormat="1"/>
    <w:lsdException w:name="Bibliography" w:uiPriority="39"/>
    <w:lsdException w:name="TOC Heading" w:uiPriority="38" w:qFormat="1"/>
  </w:latentStyles>
  <w:style w:type="paragraph" w:default="1" w:styleId="Normal">
    <w:name w:val="Normal"/>
    <w:aliases w:val="~BodyText"/>
    <w:qFormat/>
    <w:rsid w:val="002F26E6"/>
    <w:pPr>
      <w:spacing w:before="120" w:line="264" w:lineRule="auto"/>
    </w:pPr>
    <w:rPr>
      <w:rFonts w:eastAsiaTheme="minorEastAsia"/>
    </w:rPr>
  </w:style>
  <w:style w:type="paragraph" w:styleId="Heading1">
    <w:name w:val="heading 1"/>
    <w:aliases w:val="~SectionHeading"/>
    <w:basedOn w:val="SecHeadNonToc"/>
    <w:next w:val="Normal"/>
    <w:link w:val="Heading1Char"/>
    <w:uiPriority w:val="2"/>
    <w:qFormat/>
    <w:rsid w:val="00530427"/>
    <w:pPr>
      <w:numPr>
        <w:numId w:val="40"/>
      </w:numPr>
      <w:tabs>
        <w:tab w:val="num" w:pos="567"/>
      </w:tabs>
      <w:outlineLvl w:val="0"/>
    </w:pPr>
    <w:rPr>
      <w:rFonts w:ascii="Arial" w:hAnsi="Arial" w:cs="Arial"/>
      <w:color w:val="000000" w:themeColor="text1"/>
    </w:rPr>
  </w:style>
  <w:style w:type="paragraph" w:styleId="Heading2">
    <w:name w:val="heading 2"/>
    <w:aliases w:val="~SubHeading"/>
    <w:basedOn w:val="ExecSumSubHead"/>
    <w:next w:val="Normal"/>
    <w:link w:val="Heading2Char"/>
    <w:uiPriority w:val="2"/>
    <w:qFormat/>
    <w:rsid w:val="006F7936"/>
    <w:pPr>
      <w:numPr>
        <w:ilvl w:val="1"/>
        <w:numId w:val="40"/>
      </w:numPr>
      <w:tabs>
        <w:tab w:val="left" w:pos="652"/>
      </w:tabs>
      <w:outlineLvl w:val="1"/>
    </w:pPr>
    <w:rPr>
      <w:rFonts w:ascii="Arial" w:hAnsi="Arial" w:cs="Arial"/>
      <w:bCs/>
    </w:rPr>
  </w:style>
  <w:style w:type="paragraph" w:styleId="Heading3">
    <w:name w:val="heading 3"/>
    <w:aliases w:val="~MinorSubHeading"/>
    <w:basedOn w:val="ExecSumSubHead"/>
    <w:next w:val="Normal"/>
    <w:link w:val="Heading3Char"/>
    <w:uiPriority w:val="2"/>
    <w:qFormat/>
    <w:rsid w:val="006F7936"/>
    <w:pPr>
      <w:numPr>
        <w:ilvl w:val="2"/>
        <w:numId w:val="40"/>
      </w:numPr>
      <w:tabs>
        <w:tab w:val="num" w:pos="822"/>
        <w:tab w:val="left" w:pos="936"/>
      </w:tabs>
      <w:outlineLvl w:val="2"/>
    </w:pPr>
    <w:rPr>
      <w:rFonts w:ascii="Arial" w:hAnsi="Arial" w:cs="Arial"/>
      <w:bCs/>
      <w:sz w:val="20"/>
      <w:szCs w:val="20"/>
    </w:rPr>
  </w:style>
  <w:style w:type="paragraph" w:styleId="Heading4">
    <w:name w:val="heading 4"/>
    <w:aliases w:val="~Level4Heading"/>
    <w:basedOn w:val="ExecSumSubHead"/>
    <w:next w:val="Normal"/>
    <w:link w:val="Heading4Char"/>
    <w:uiPriority w:val="2"/>
    <w:qFormat/>
    <w:rsid w:val="006E7AB6"/>
    <w:pPr>
      <w:numPr>
        <w:ilvl w:val="3"/>
        <w:numId w:val="40"/>
      </w:numPr>
      <w:tabs>
        <w:tab w:val="num" w:pos="1106"/>
        <w:tab w:val="left" w:pos="1162"/>
      </w:tabs>
      <w:spacing w:after="0"/>
      <w:outlineLvl w:val="3"/>
    </w:pPr>
    <w:rPr>
      <w:rFonts w:ascii="Arial" w:hAnsi="Arial" w:cs="Arial"/>
      <w:b w:val="0"/>
      <w:sz w:val="20"/>
      <w:szCs w:val="20"/>
    </w:rPr>
  </w:style>
  <w:style w:type="paragraph" w:styleId="Heading5">
    <w:name w:val="heading 5"/>
    <w:basedOn w:val="ExecSumSubHead"/>
    <w:next w:val="Normal"/>
    <w:link w:val="Heading5Char"/>
    <w:uiPriority w:val="34"/>
    <w:semiHidden/>
    <w:rsid w:val="003075F9"/>
    <w:pPr>
      <w:keepLines/>
      <w:numPr>
        <w:ilvl w:val="4"/>
        <w:numId w:val="40"/>
      </w:numPr>
      <w:spacing w:after="0"/>
      <w:outlineLvl w:val="4"/>
    </w:pPr>
    <w:rPr>
      <w:rFonts w:eastAsiaTheme="majorEastAsia" w:cstheme="majorBidi"/>
      <w:b w:val="0"/>
    </w:rPr>
  </w:style>
  <w:style w:type="paragraph" w:styleId="Heading6">
    <w:name w:val="heading 6"/>
    <w:basedOn w:val="ExecSumSubHead"/>
    <w:next w:val="Normal"/>
    <w:link w:val="Heading6Char"/>
    <w:uiPriority w:val="34"/>
    <w:semiHidden/>
    <w:rsid w:val="003075F9"/>
    <w:pPr>
      <w:keepLines/>
      <w:numPr>
        <w:ilvl w:val="5"/>
        <w:numId w:val="40"/>
      </w:numPr>
      <w:spacing w:after="0"/>
      <w:outlineLvl w:val="5"/>
    </w:pPr>
    <w:rPr>
      <w:rFonts w:eastAsiaTheme="majorEastAsia" w:cstheme="majorBidi"/>
      <w:b w:val="0"/>
      <w:i/>
      <w:iCs/>
    </w:rPr>
  </w:style>
  <w:style w:type="paragraph" w:styleId="Heading7">
    <w:name w:val="heading 7"/>
    <w:basedOn w:val="ExecSumSubHead"/>
    <w:next w:val="Normal"/>
    <w:link w:val="Heading7Char"/>
    <w:uiPriority w:val="34"/>
    <w:semiHidden/>
    <w:rsid w:val="003075F9"/>
    <w:pPr>
      <w:keepLines/>
      <w:numPr>
        <w:ilvl w:val="6"/>
        <w:numId w:val="40"/>
      </w:numPr>
      <w:spacing w:after="0"/>
      <w:outlineLvl w:val="6"/>
    </w:pPr>
    <w:rPr>
      <w:rFonts w:eastAsiaTheme="majorEastAsia" w:cstheme="majorBidi"/>
      <w:b w:val="0"/>
      <w:iCs/>
    </w:rPr>
  </w:style>
  <w:style w:type="paragraph" w:styleId="Heading8">
    <w:name w:val="heading 8"/>
    <w:basedOn w:val="Normal"/>
    <w:next w:val="Normal"/>
    <w:link w:val="Heading8Char"/>
    <w:uiPriority w:val="34"/>
    <w:semiHidden/>
    <w:rsid w:val="003075F9"/>
    <w:pPr>
      <w:keepNext/>
      <w:keepLines/>
      <w:numPr>
        <w:ilvl w:val="7"/>
        <w:numId w:val="40"/>
      </w:numPr>
      <w:spacing w:before="240" w:after="0" w:line="240" w:lineRule="auto"/>
      <w:outlineLvl w:val="7"/>
    </w:pPr>
    <w:rPr>
      <w:rFonts w:asciiTheme="majorHAnsi" w:eastAsiaTheme="majorEastAsia" w:hAnsiTheme="majorHAnsi" w:cstheme="majorBidi"/>
    </w:rPr>
  </w:style>
  <w:style w:type="paragraph" w:styleId="Heading9">
    <w:name w:val="heading 9"/>
    <w:basedOn w:val="Normal"/>
    <w:next w:val="Normal"/>
    <w:link w:val="Heading9Char"/>
    <w:uiPriority w:val="34"/>
    <w:semiHidden/>
    <w:rsid w:val="003075F9"/>
    <w:pPr>
      <w:keepNext/>
      <w:keepLines/>
      <w:numPr>
        <w:ilvl w:val="8"/>
        <w:numId w:val="40"/>
      </w:numPr>
      <w:spacing w:before="240" w:after="0" w:line="240" w:lineRule="auto"/>
      <w:outlineLvl w:val="8"/>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Heading Char"/>
    <w:basedOn w:val="DefaultParagraphFont"/>
    <w:link w:val="Heading1"/>
    <w:uiPriority w:val="2"/>
    <w:rsid w:val="00530427"/>
    <w:rPr>
      <w:rFonts w:ascii="Arial" w:eastAsiaTheme="minorEastAsia" w:hAnsi="Arial" w:cs="Arial"/>
      <w:b/>
      <w:bCs/>
      <w:color w:val="000000" w:themeColor="text1"/>
      <w:sz w:val="40"/>
      <w:szCs w:val="40"/>
    </w:rPr>
  </w:style>
  <w:style w:type="paragraph" w:customStyle="1" w:styleId="Address">
    <w:name w:val="~Address"/>
    <w:basedOn w:val="Normal"/>
    <w:uiPriority w:val="34"/>
    <w:rsid w:val="003075F9"/>
    <w:pPr>
      <w:spacing w:before="0" w:after="0" w:line="240" w:lineRule="auto"/>
    </w:pPr>
    <w:rPr>
      <w:sz w:val="18"/>
      <w:szCs w:val="18"/>
    </w:rPr>
  </w:style>
  <w:style w:type="paragraph" w:customStyle="1" w:styleId="AppBodyTextNum">
    <w:name w:val="~AppBodyTextNum"/>
    <w:basedOn w:val="Normal"/>
    <w:uiPriority w:val="34"/>
    <w:semiHidden/>
    <w:qFormat/>
    <w:rsid w:val="003075F9"/>
  </w:style>
  <w:style w:type="paragraph" w:customStyle="1" w:styleId="SecHeadNonToc">
    <w:name w:val="~SecHeadNonToc"/>
    <w:basedOn w:val="Normal"/>
    <w:next w:val="Normal"/>
    <w:uiPriority w:val="7"/>
    <w:qFormat/>
    <w:rsid w:val="003075F9"/>
    <w:pPr>
      <w:keepNext/>
      <w:pageBreakBefore/>
      <w:spacing w:before="0" w:after="600"/>
    </w:pPr>
    <w:rPr>
      <w:b/>
      <w:bCs/>
      <w:sz w:val="40"/>
      <w:szCs w:val="40"/>
    </w:rPr>
  </w:style>
  <w:style w:type="paragraph" w:customStyle="1" w:styleId="AppendixDivider">
    <w:name w:val="~AppendixDivider"/>
    <w:basedOn w:val="SecHeadNonToc"/>
    <w:next w:val="Normal"/>
    <w:uiPriority w:val="4"/>
    <w:rsid w:val="003075F9"/>
    <w:pPr>
      <w:outlineLvl w:val="0"/>
    </w:pPr>
    <w:rPr>
      <w:bCs w:val="0"/>
    </w:rPr>
  </w:style>
  <w:style w:type="paragraph" w:customStyle="1" w:styleId="AppHead">
    <w:name w:val="~AppHead"/>
    <w:basedOn w:val="SecHeadNonToc"/>
    <w:next w:val="Normal"/>
    <w:uiPriority w:val="4"/>
    <w:qFormat/>
    <w:rsid w:val="00693B8F"/>
    <w:pPr>
      <w:tabs>
        <w:tab w:val="num" w:pos="567"/>
      </w:tabs>
      <w:outlineLvl w:val="0"/>
    </w:pPr>
    <w:rPr>
      <w:rFonts w:ascii="Arial" w:hAnsi="Arial" w:cs="Arial"/>
      <w:bCs w:val="0"/>
      <w:color w:val="000000" w:themeColor="text1"/>
    </w:rPr>
  </w:style>
  <w:style w:type="paragraph" w:customStyle="1" w:styleId="AppHead4">
    <w:name w:val="~AppHead4"/>
    <w:basedOn w:val="SecHeadNonToc"/>
    <w:qFormat/>
    <w:rsid w:val="006F7936"/>
    <w:pPr>
      <w:pageBreakBefore w:val="0"/>
      <w:tabs>
        <w:tab w:val="num" w:pos="1077"/>
      </w:tabs>
      <w:spacing w:before="240" w:after="0"/>
      <w:outlineLvl w:val="3"/>
    </w:pPr>
    <w:rPr>
      <w:b w:val="0"/>
      <w:color w:val="2FB6BC" w:themeColor="accent1"/>
      <w:sz w:val="20"/>
    </w:rPr>
  </w:style>
  <w:style w:type="numbering" w:customStyle="1" w:styleId="AppListStyle">
    <w:name w:val="~AppListStyle"/>
    <w:uiPriority w:val="99"/>
    <w:rsid w:val="006F7936"/>
    <w:pPr>
      <w:numPr>
        <w:numId w:val="2"/>
      </w:numPr>
    </w:pPr>
  </w:style>
  <w:style w:type="paragraph" w:customStyle="1" w:styleId="AppMinorSubHead">
    <w:name w:val="~AppMinorSubHead"/>
    <w:basedOn w:val="SecHeadNonToc"/>
    <w:next w:val="Normal"/>
    <w:uiPriority w:val="4"/>
    <w:qFormat/>
    <w:rsid w:val="006F7936"/>
    <w:pPr>
      <w:pageBreakBefore w:val="0"/>
      <w:tabs>
        <w:tab w:val="num" w:pos="907"/>
      </w:tabs>
      <w:spacing w:before="240" w:after="120"/>
      <w:outlineLvl w:val="2"/>
    </w:pPr>
    <w:rPr>
      <w:rFonts w:ascii="Arial" w:hAnsi="Arial" w:cs="Arial"/>
      <w:bCs w:val="0"/>
      <w:color w:val="2FB6BC" w:themeColor="accent1"/>
      <w:sz w:val="20"/>
      <w:szCs w:val="20"/>
    </w:rPr>
  </w:style>
  <w:style w:type="paragraph" w:customStyle="1" w:styleId="AppNumBullet1">
    <w:name w:val="~AppNumBullet1"/>
    <w:basedOn w:val="AppBodyTextNum"/>
    <w:uiPriority w:val="34"/>
    <w:semiHidden/>
    <w:qFormat/>
    <w:rsid w:val="003075F9"/>
  </w:style>
  <w:style w:type="paragraph" w:customStyle="1" w:styleId="AppNumBullet2">
    <w:name w:val="~AppNumBullet2"/>
    <w:basedOn w:val="AppBodyTextNum"/>
    <w:uiPriority w:val="34"/>
    <w:semiHidden/>
    <w:qFormat/>
    <w:rsid w:val="003075F9"/>
  </w:style>
  <w:style w:type="paragraph" w:customStyle="1" w:styleId="AppNumBullet3">
    <w:name w:val="~AppNumBullet3"/>
    <w:basedOn w:val="AppBodyTextNum"/>
    <w:uiPriority w:val="34"/>
    <w:semiHidden/>
    <w:qFormat/>
    <w:rsid w:val="003075F9"/>
  </w:style>
  <w:style w:type="paragraph" w:customStyle="1" w:styleId="AppSubHead">
    <w:name w:val="~AppSubHead"/>
    <w:basedOn w:val="SecHeadNonToc"/>
    <w:next w:val="Normal"/>
    <w:uiPriority w:val="4"/>
    <w:qFormat/>
    <w:rsid w:val="006F7936"/>
    <w:pPr>
      <w:pageBreakBefore w:val="0"/>
      <w:tabs>
        <w:tab w:val="num" w:pos="652"/>
      </w:tabs>
      <w:spacing w:before="240" w:after="120"/>
      <w:outlineLvl w:val="1"/>
    </w:pPr>
    <w:rPr>
      <w:rFonts w:ascii="Arial" w:hAnsi="Arial" w:cs="Arial"/>
      <w:bCs w:val="0"/>
      <w:color w:val="2FB6BC" w:themeColor="accent1"/>
      <w:sz w:val="22"/>
      <w:szCs w:val="22"/>
    </w:rPr>
  </w:style>
  <w:style w:type="paragraph" w:styleId="NoSpacing">
    <w:name w:val="No Spacing"/>
    <w:aliases w:val="~BaseStyle"/>
    <w:rsid w:val="003075F9"/>
    <w:pPr>
      <w:spacing w:after="0" w:line="240" w:lineRule="auto"/>
    </w:pPr>
    <w:rPr>
      <w:rFonts w:eastAsiaTheme="minorEastAsia"/>
    </w:rPr>
  </w:style>
  <w:style w:type="paragraph" w:customStyle="1" w:styleId="BlankPage">
    <w:name w:val="~BlankPage"/>
    <w:basedOn w:val="NoSpacing"/>
    <w:next w:val="Normal"/>
    <w:uiPriority w:val="8"/>
    <w:qFormat/>
    <w:rsid w:val="003075F9"/>
    <w:pPr>
      <w:pageBreakBefore/>
    </w:pPr>
  </w:style>
  <w:style w:type="paragraph" w:customStyle="1" w:styleId="BodyHeading">
    <w:name w:val="~BodyHeading"/>
    <w:basedOn w:val="Normal"/>
    <w:next w:val="Normal"/>
    <w:uiPriority w:val="1"/>
    <w:qFormat/>
    <w:rsid w:val="003075F9"/>
    <w:pPr>
      <w:keepNext/>
      <w:spacing w:after="0" w:line="240" w:lineRule="auto"/>
    </w:pPr>
    <w:rPr>
      <w:b/>
      <w:bCs/>
    </w:rPr>
  </w:style>
  <w:style w:type="paragraph" w:customStyle="1" w:styleId="BodyTextNum">
    <w:name w:val="~BodyTextNum"/>
    <w:basedOn w:val="Normal"/>
    <w:uiPriority w:val="34"/>
    <w:semiHidden/>
    <w:rsid w:val="003075F9"/>
  </w:style>
  <w:style w:type="paragraph" w:customStyle="1" w:styleId="Bullet1">
    <w:name w:val="~Bullet1"/>
    <w:basedOn w:val="Normal"/>
    <w:link w:val="Bullet1Char"/>
    <w:qFormat/>
    <w:rsid w:val="003075F9"/>
    <w:pPr>
      <w:numPr>
        <w:numId w:val="4"/>
      </w:numPr>
      <w:spacing w:before="60" w:after="60"/>
    </w:pPr>
    <w:rPr>
      <w:rFonts w:eastAsia="Calibri"/>
    </w:rPr>
  </w:style>
  <w:style w:type="paragraph" w:customStyle="1" w:styleId="Bullet2">
    <w:name w:val="~Bullet2"/>
    <w:basedOn w:val="Normal"/>
    <w:qFormat/>
    <w:rsid w:val="003075F9"/>
    <w:pPr>
      <w:numPr>
        <w:ilvl w:val="1"/>
        <w:numId w:val="4"/>
      </w:numPr>
      <w:spacing w:before="60" w:after="60"/>
    </w:pPr>
  </w:style>
  <w:style w:type="paragraph" w:customStyle="1" w:styleId="Bullet3">
    <w:name w:val="~Bullet3"/>
    <w:basedOn w:val="Normal"/>
    <w:qFormat/>
    <w:rsid w:val="003075F9"/>
    <w:pPr>
      <w:numPr>
        <w:ilvl w:val="2"/>
        <w:numId w:val="4"/>
      </w:numPr>
      <w:spacing w:before="60" w:after="60"/>
    </w:pPr>
  </w:style>
  <w:style w:type="paragraph" w:styleId="Caption">
    <w:name w:val="caption"/>
    <w:aliases w:val="~Caption"/>
    <w:basedOn w:val="BodyHeading"/>
    <w:next w:val="Normal"/>
    <w:link w:val="CaptionChar"/>
    <w:uiPriority w:val="7"/>
    <w:qFormat/>
    <w:rsid w:val="00EF75D6"/>
    <w:pPr>
      <w:spacing w:before="240" w:after="60"/>
    </w:pPr>
    <w:rPr>
      <w:rFonts w:eastAsia="Calibri"/>
    </w:rPr>
  </w:style>
  <w:style w:type="character" w:customStyle="1" w:styleId="CaptionChar">
    <w:name w:val="Caption Char"/>
    <w:aliases w:val="~Caption Char"/>
    <w:basedOn w:val="DefaultParagraphFont"/>
    <w:link w:val="Caption"/>
    <w:uiPriority w:val="7"/>
    <w:rsid w:val="00EF75D6"/>
    <w:rPr>
      <w:rFonts w:eastAsia="Calibri"/>
      <w:b/>
      <w:bCs/>
      <w:lang w:val="en-GB"/>
    </w:rPr>
  </w:style>
  <w:style w:type="paragraph" w:customStyle="1" w:styleId="CaptionWide">
    <w:name w:val="~CaptionWide"/>
    <w:basedOn w:val="Caption"/>
    <w:next w:val="Normal"/>
    <w:uiPriority w:val="34"/>
    <w:qFormat/>
    <w:rsid w:val="003075F9"/>
  </w:style>
  <w:style w:type="paragraph" w:customStyle="1" w:styleId="ClientName">
    <w:name w:val="~ClientName"/>
    <w:basedOn w:val="Address"/>
    <w:uiPriority w:val="34"/>
    <w:rsid w:val="00F47891"/>
  </w:style>
  <w:style w:type="paragraph" w:customStyle="1" w:styleId="Confidential">
    <w:name w:val="~Confidential"/>
    <w:basedOn w:val="NoSpacing"/>
    <w:uiPriority w:val="34"/>
    <w:rsid w:val="003075F9"/>
    <w:rPr>
      <w:sz w:val="24"/>
      <w:szCs w:val="24"/>
    </w:rPr>
  </w:style>
  <w:style w:type="character" w:customStyle="1" w:styleId="ConfiHeader">
    <w:name w:val="~ConfiHeader"/>
    <w:basedOn w:val="DefaultParagraphFont"/>
    <w:uiPriority w:val="34"/>
    <w:semiHidden/>
    <w:rsid w:val="003075F9"/>
    <w:rPr>
      <w:bCs w:val="0"/>
      <w:color w:val="2FB6BC" w:themeColor="accent1"/>
      <w:sz w:val="14"/>
      <w:szCs w:val="14"/>
      <w:lang w:val="en-GB"/>
    </w:rPr>
  </w:style>
  <w:style w:type="paragraph" w:customStyle="1" w:styleId="CSBodyText">
    <w:name w:val="~CSBodyText"/>
    <w:basedOn w:val="Normal"/>
    <w:uiPriority w:val="19"/>
    <w:qFormat/>
    <w:rsid w:val="00DE4EF8"/>
    <w:pPr>
      <w:spacing w:before="60" w:after="0"/>
    </w:pPr>
  </w:style>
  <w:style w:type="paragraph" w:customStyle="1" w:styleId="CSBodyHeading">
    <w:name w:val="~CSBodyHeading"/>
    <w:basedOn w:val="CSBodyText"/>
    <w:next w:val="CSBodyText"/>
    <w:uiPriority w:val="19"/>
    <w:qFormat/>
    <w:rsid w:val="00DE4EF8"/>
    <w:pPr>
      <w:keepNext/>
      <w:spacing w:before="120"/>
    </w:pPr>
    <w:rPr>
      <w:b/>
      <w:bCs/>
    </w:rPr>
  </w:style>
  <w:style w:type="paragraph" w:customStyle="1" w:styleId="CSHead">
    <w:name w:val="~CSHead"/>
    <w:basedOn w:val="Normal"/>
    <w:next w:val="Normal"/>
    <w:uiPriority w:val="19"/>
    <w:rsid w:val="00FB69AA"/>
    <w:pPr>
      <w:pBdr>
        <w:top w:val="single" w:sz="4" w:space="15" w:color="FFFFFF" w:themeColor="background1"/>
      </w:pBdr>
      <w:tabs>
        <w:tab w:val="left" w:pos="1581"/>
      </w:tabs>
      <w:spacing w:before="0"/>
    </w:pPr>
    <w:rPr>
      <w:b/>
      <w:bCs/>
      <w:color w:val="2FB6BC" w:themeColor="accent1"/>
      <w:sz w:val="28"/>
      <w:szCs w:val="28"/>
    </w:rPr>
  </w:style>
  <w:style w:type="paragraph" w:customStyle="1" w:styleId="CSIntro">
    <w:name w:val="~CSIntro"/>
    <w:basedOn w:val="Normal"/>
    <w:next w:val="Normal"/>
    <w:uiPriority w:val="19"/>
    <w:qFormat/>
    <w:rsid w:val="00DE4EF8"/>
    <w:pPr>
      <w:spacing w:before="0" w:after="120"/>
    </w:pPr>
    <w:rPr>
      <w:color w:val="2FB6BC" w:themeColor="accent1"/>
      <w:sz w:val="24"/>
      <w:szCs w:val="24"/>
    </w:rPr>
  </w:style>
  <w:style w:type="paragraph" w:customStyle="1" w:styleId="CSSubhead">
    <w:name w:val="~CSSubhead"/>
    <w:basedOn w:val="Normal"/>
    <w:next w:val="Normal"/>
    <w:uiPriority w:val="19"/>
    <w:qFormat/>
    <w:rsid w:val="00DE4EF8"/>
    <w:pPr>
      <w:keepNext/>
      <w:spacing w:after="60" w:line="240" w:lineRule="auto"/>
    </w:pPr>
    <w:rPr>
      <w:b/>
      <w:bCs/>
      <w:color w:val="2FB6BC" w:themeColor="accent1"/>
    </w:rPr>
  </w:style>
  <w:style w:type="paragraph" w:customStyle="1" w:styleId="CVBodyText">
    <w:name w:val="~CVBodyText"/>
    <w:basedOn w:val="Normal"/>
    <w:uiPriority w:val="19"/>
    <w:qFormat/>
    <w:rsid w:val="00DE4EF8"/>
    <w:pPr>
      <w:spacing w:before="60" w:after="0"/>
    </w:pPr>
    <w:rPr>
      <w:sz w:val="17"/>
      <w:szCs w:val="17"/>
    </w:rPr>
  </w:style>
  <w:style w:type="paragraph" w:customStyle="1" w:styleId="CVBodyHeading">
    <w:name w:val="~CVBodyHeading"/>
    <w:basedOn w:val="CVBodyText"/>
    <w:next w:val="CVBodyText"/>
    <w:uiPriority w:val="19"/>
    <w:qFormat/>
    <w:rsid w:val="00DE4EF8"/>
    <w:pPr>
      <w:keepNext/>
      <w:spacing w:before="120"/>
    </w:pPr>
    <w:rPr>
      <w:b/>
      <w:bCs/>
    </w:rPr>
  </w:style>
  <w:style w:type="paragraph" w:customStyle="1" w:styleId="CVBullet">
    <w:name w:val="~CVBullet"/>
    <w:basedOn w:val="Normal"/>
    <w:uiPriority w:val="19"/>
    <w:qFormat/>
    <w:rsid w:val="00DE4EF8"/>
    <w:pPr>
      <w:numPr>
        <w:numId w:val="1"/>
      </w:numPr>
      <w:spacing w:before="60" w:after="60"/>
    </w:pPr>
    <w:rPr>
      <w:rFonts w:eastAsia="Calibri"/>
      <w:sz w:val="17"/>
      <w:szCs w:val="17"/>
    </w:rPr>
  </w:style>
  <w:style w:type="paragraph" w:customStyle="1" w:styleId="CVIntro">
    <w:name w:val="~CVIntro"/>
    <w:basedOn w:val="Normal"/>
    <w:next w:val="CVBodyText"/>
    <w:uiPriority w:val="19"/>
    <w:qFormat/>
    <w:rsid w:val="00FB69AA"/>
    <w:pPr>
      <w:spacing w:before="0" w:after="120"/>
    </w:pPr>
    <w:rPr>
      <w:color w:val="2FB6BC" w:themeColor="accent1"/>
    </w:rPr>
  </w:style>
  <w:style w:type="paragraph" w:customStyle="1" w:styleId="CVSubhead">
    <w:name w:val="~CVSubhead"/>
    <w:basedOn w:val="Normal"/>
    <w:next w:val="CVBodyText"/>
    <w:uiPriority w:val="19"/>
    <w:qFormat/>
    <w:rsid w:val="00E521FD"/>
    <w:pPr>
      <w:keepNext/>
      <w:spacing w:after="0" w:line="240" w:lineRule="auto"/>
    </w:pPr>
    <w:rPr>
      <w:b/>
      <w:bCs/>
      <w:color w:val="2FB6BC" w:themeColor="accent1"/>
      <w:sz w:val="18"/>
      <w:szCs w:val="18"/>
    </w:rPr>
  </w:style>
  <w:style w:type="paragraph" w:customStyle="1" w:styleId="Disclaimer">
    <w:name w:val="~Disclaimer"/>
    <w:basedOn w:val="Normal"/>
    <w:uiPriority w:val="34"/>
    <w:rsid w:val="003075F9"/>
    <w:pPr>
      <w:spacing w:before="200" w:after="200"/>
    </w:pPr>
    <w:rPr>
      <w:rFonts w:ascii="Arial" w:hAnsi="Arial"/>
      <w:sz w:val="16"/>
      <w:szCs w:val="16"/>
    </w:rPr>
  </w:style>
  <w:style w:type="paragraph" w:customStyle="1" w:styleId="DocClient">
    <w:name w:val="~DocClient"/>
    <w:basedOn w:val="NoSpacing"/>
    <w:uiPriority w:val="34"/>
    <w:rsid w:val="003075F9"/>
  </w:style>
  <w:style w:type="paragraph" w:customStyle="1" w:styleId="DocDate">
    <w:name w:val="~DocDate"/>
    <w:basedOn w:val="NoSpacing"/>
    <w:uiPriority w:val="34"/>
    <w:rsid w:val="003075F9"/>
    <w:rPr>
      <w:sz w:val="24"/>
      <w:szCs w:val="24"/>
    </w:rPr>
  </w:style>
  <w:style w:type="paragraph" w:customStyle="1" w:styleId="DocFileRef">
    <w:name w:val="~DocFileRef"/>
    <w:basedOn w:val="Address"/>
    <w:uiPriority w:val="34"/>
    <w:rsid w:val="00FE13C2"/>
    <w:rPr>
      <w:noProof/>
    </w:rPr>
  </w:style>
  <w:style w:type="paragraph" w:customStyle="1" w:styleId="DocSubTitle">
    <w:name w:val="~DocSubTitle"/>
    <w:basedOn w:val="NoSpacing"/>
    <w:uiPriority w:val="34"/>
    <w:rsid w:val="003075F9"/>
    <w:rPr>
      <w:sz w:val="32"/>
      <w:szCs w:val="32"/>
    </w:rPr>
  </w:style>
  <w:style w:type="paragraph" w:customStyle="1" w:styleId="DocTitle">
    <w:name w:val="~DocTitle"/>
    <w:basedOn w:val="NoSpacing"/>
    <w:uiPriority w:val="34"/>
    <w:rsid w:val="003075F9"/>
    <w:rPr>
      <w:b/>
      <w:bCs/>
      <w:sz w:val="48"/>
      <w:szCs w:val="48"/>
    </w:rPr>
  </w:style>
  <w:style w:type="paragraph" w:customStyle="1" w:styleId="DocType">
    <w:name w:val="~DocType"/>
    <w:basedOn w:val="NoSpacing"/>
    <w:uiPriority w:val="34"/>
    <w:semiHidden/>
    <w:rsid w:val="003075F9"/>
  </w:style>
  <w:style w:type="paragraph" w:customStyle="1" w:styleId="Draft">
    <w:name w:val="~Draft"/>
    <w:basedOn w:val="NoSpacing"/>
    <w:uiPriority w:val="34"/>
    <w:rsid w:val="003075F9"/>
  </w:style>
  <w:style w:type="paragraph" w:customStyle="1" w:styleId="ExecSumHead">
    <w:name w:val="~ExecSumHead"/>
    <w:basedOn w:val="SecHeadNonToc"/>
    <w:next w:val="Normal"/>
    <w:uiPriority w:val="3"/>
    <w:qFormat/>
    <w:rsid w:val="00530427"/>
    <w:pPr>
      <w:outlineLvl w:val="0"/>
    </w:pPr>
    <w:rPr>
      <w:bCs w:val="0"/>
    </w:rPr>
  </w:style>
  <w:style w:type="paragraph" w:customStyle="1" w:styleId="ExecSumSubHead">
    <w:name w:val="~ExecSumSubHead"/>
    <w:basedOn w:val="ExecSumHead"/>
    <w:next w:val="Normal"/>
    <w:uiPriority w:val="3"/>
    <w:qFormat/>
    <w:rsid w:val="00A403D9"/>
    <w:pPr>
      <w:pageBreakBefore w:val="0"/>
      <w:spacing w:before="240" w:after="120"/>
    </w:pPr>
    <w:rPr>
      <w:color w:val="2FB6BC" w:themeColor="accent1"/>
      <w:sz w:val="22"/>
      <w:szCs w:val="22"/>
    </w:rPr>
  </w:style>
  <w:style w:type="paragraph" w:styleId="Footer">
    <w:name w:val="footer"/>
    <w:aliases w:val="~Footer"/>
    <w:basedOn w:val="NoSpacing"/>
    <w:link w:val="FooterChar"/>
    <w:uiPriority w:val="99"/>
    <w:rsid w:val="006C1876"/>
    <w:rPr>
      <w:noProof/>
      <w:sz w:val="14"/>
      <w:szCs w:val="14"/>
    </w:rPr>
  </w:style>
  <w:style w:type="character" w:customStyle="1" w:styleId="FooterChar">
    <w:name w:val="Footer Char"/>
    <w:aliases w:val="~Footer Char"/>
    <w:basedOn w:val="DefaultParagraphFont"/>
    <w:link w:val="Footer"/>
    <w:uiPriority w:val="99"/>
    <w:rsid w:val="006C1876"/>
    <w:rPr>
      <w:rFonts w:eastAsiaTheme="minorEastAsia"/>
      <w:noProof/>
      <w:sz w:val="14"/>
      <w:szCs w:val="14"/>
      <w:lang w:val="en-GB"/>
    </w:rPr>
  </w:style>
  <w:style w:type="paragraph" w:customStyle="1" w:styleId="FooterBS1192">
    <w:name w:val="~FooterBS1192"/>
    <w:basedOn w:val="Footer"/>
    <w:uiPriority w:val="34"/>
    <w:rsid w:val="003075F9"/>
  </w:style>
  <w:style w:type="paragraph" w:customStyle="1" w:styleId="FooterFilepath">
    <w:name w:val="~FooterFilepath"/>
    <w:basedOn w:val="Footer"/>
    <w:uiPriority w:val="34"/>
    <w:rsid w:val="003075F9"/>
  </w:style>
  <w:style w:type="paragraph" w:customStyle="1" w:styleId="FooterJobRef">
    <w:name w:val="~FooterJobRef"/>
    <w:basedOn w:val="Footer"/>
    <w:uiPriority w:val="34"/>
    <w:rsid w:val="003075F9"/>
  </w:style>
  <w:style w:type="paragraph" w:customStyle="1" w:styleId="FooterRepNo">
    <w:name w:val="~FooterRepNo"/>
    <w:basedOn w:val="Footer"/>
    <w:uiPriority w:val="34"/>
    <w:rsid w:val="003075F9"/>
  </w:style>
  <w:style w:type="paragraph" w:customStyle="1" w:styleId="FooterRevNo">
    <w:name w:val="~FooterRevNo"/>
    <w:basedOn w:val="Footer"/>
    <w:uiPriority w:val="34"/>
    <w:rsid w:val="003075F9"/>
  </w:style>
  <w:style w:type="paragraph" w:customStyle="1" w:styleId="FooterSubDivRef">
    <w:name w:val="~FooterSubDivRef"/>
    <w:basedOn w:val="Footer"/>
    <w:uiPriority w:val="34"/>
    <w:rsid w:val="003075F9"/>
  </w:style>
  <w:style w:type="paragraph" w:customStyle="1" w:styleId="GlossaryHeading">
    <w:name w:val="~GlossaryHeading"/>
    <w:basedOn w:val="SecHeadNonToc"/>
    <w:next w:val="Normal"/>
    <w:uiPriority w:val="4"/>
    <w:qFormat/>
    <w:rsid w:val="003075F9"/>
    <w:rPr>
      <w:bCs w:val="0"/>
    </w:rPr>
  </w:style>
  <w:style w:type="paragraph" w:customStyle="1" w:styleId="GraphicLeft">
    <w:name w:val="~GraphicLeft"/>
    <w:basedOn w:val="NoSpacing"/>
    <w:uiPriority w:val="9"/>
    <w:rsid w:val="003075F9"/>
  </w:style>
  <w:style w:type="paragraph" w:customStyle="1" w:styleId="GraphicCentre">
    <w:name w:val="~GraphicCentre"/>
    <w:basedOn w:val="GraphicLeft"/>
    <w:uiPriority w:val="9"/>
    <w:rsid w:val="003075F9"/>
    <w:pPr>
      <w:jc w:val="center"/>
    </w:pPr>
  </w:style>
  <w:style w:type="paragraph" w:customStyle="1" w:styleId="GraphicRight">
    <w:name w:val="~GraphicRight"/>
    <w:basedOn w:val="GraphicLeft"/>
    <w:uiPriority w:val="9"/>
    <w:rsid w:val="003075F9"/>
    <w:pPr>
      <w:jc w:val="right"/>
    </w:pPr>
  </w:style>
  <w:style w:type="paragraph" w:customStyle="1" w:styleId="Hidden">
    <w:name w:val="~Hidden"/>
    <w:basedOn w:val="NoSpacing"/>
    <w:uiPriority w:val="34"/>
    <w:semiHidden/>
    <w:rsid w:val="003075F9"/>
    <w:pPr>
      <w:framePr w:wrap="around" w:vAnchor="page" w:hAnchor="page" w:xAlign="right" w:yAlign="bottom"/>
    </w:pPr>
    <w:rPr>
      <w:color w:val="C00000"/>
    </w:rPr>
  </w:style>
  <w:style w:type="paragraph" w:customStyle="1" w:styleId="IntroText">
    <w:name w:val="~IntroText"/>
    <w:basedOn w:val="Normal"/>
    <w:next w:val="Normal"/>
    <w:uiPriority w:val="2"/>
    <w:qFormat/>
    <w:rsid w:val="003075F9"/>
    <w:pPr>
      <w:spacing w:after="120"/>
    </w:pPr>
    <w:rPr>
      <w:color w:val="2FB6BC" w:themeColor="accent1"/>
    </w:rPr>
  </w:style>
  <w:style w:type="paragraph" w:customStyle="1" w:styleId="KeyFactsHead">
    <w:name w:val="~KeyFactsHead"/>
    <w:basedOn w:val="Normal"/>
    <w:next w:val="Normal"/>
    <w:uiPriority w:val="7"/>
    <w:qFormat/>
    <w:rsid w:val="00FB69AA"/>
    <w:pPr>
      <w:keepNext/>
      <w:spacing w:after="0" w:line="240" w:lineRule="auto"/>
    </w:pPr>
    <w:rPr>
      <w:color w:val="009695" w:themeColor="accent2"/>
      <w:sz w:val="72"/>
      <w:szCs w:val="72"/>
    </w:rPr>
  </w:style>
  <w:style w:type="paragraph" w:customStyle="1" w:styleId="KeyFactsText">
    <w:name w:val="~KeyFactsText"/>
    <w:basedOn w:val="Normal"/>
    <w:uiPriority w:val="7"/>
    <w:qFormat/>
    <w:rsid w:val="00DE4EF8"/>
    <w:pPr>
      <w:spacing w:before="0"/>
    </w:pPr>
    <w:rPr>
      <w:noProof/>
      <w:sz w:val="18"/>
      <w:szCs w:val="18"/>
    </w:rPr>
  </w:style>
  <w:style w:type="paragraph" w:customStyle="1" w:styleId="KeyMsgText">
    <w:name w:val="~KeyMsgText"/>
    <w:basedOn w:val="Normal"/>
    <w:uiPriority w:val="6"/>
    <w:rsid w:val="003075F9"/>
    <w:pPr>
      <w:spacing w:before="0" w:after="0"/>
      <w:ind w:right="2835"/>
    </w:pPr>
    <w:rPr>
      <w:sz w:val="24"/>
      <w:szCs w:val="24"/>
    </w:rPr>
  </w:style>
  <w:style w:type="paragraph" w:customStyle="1" w:styleId="KeyMsgBullet">
    <w:name w:val="~KeyMsgBullet"/>
    <w:basedOn w:val="KeyMsgText"/>
    <w:uiPriority w:val="6"/>
    <w:rsid w:val="003075F9"/>
    <w:pPr>
      <w:numPr>
        <w:numId w:val="5"/>
      </w:numPr>
      <w:spacing w:before="60" w:after="60"/>
    </w:pPr>
  </w:style>
  <w:style w:type="paragraph" w:customStyle="1" w:styleId="KeyMsgHeading">
    <w:name w:val="~KeyMsgHeading"/>
    <w:basedOn w:val="Normal"/>
    <w:next w:val="KeyMsgText"/>
    <w:uiPriority w:val="6"/>
    <w:rsid w:val="003075F9"/>
    <w:pPr>
      <w:spacing w:before="240" w:after="0"/>
      <w:ind w:right="2835"/>
    </w:pPr>
    <w:rPr>
      <w:b/>
      <w:bCs/>
      <w:color w:val="009695" w:themeColor="accent2"/>
      <w:sz w:val="24"/>
      <w:szCs w:val="24"/>
    </w:rPr>
  </w:style>
  <w:style w:type="paragraph" w:customStyle="1" w:styleId="LegalFooter">
    <w:name w:val="~LegalFooter"/>
    <w:basedOn w:val="Footer"/>
    <w:uiPriority w:val="19"/>
    <w:qFormat/>
    <w:rsid w:val="003075F9"/>
    <w:rPr>
      <w:sz w:val="12"/>
    </w:rPr>
  </w:style>
  <w:style w:type="paragraph" w:customStyle="1" w:styleId="LogoName">
    <w:name w:val="~LogoName"/>
    <w:basedOn w:val="Footer"/>
    <w:uiPriority w:val="34"/>
    <w:rsid w:val="003075F9"/>
  </w:style>
  <w:style w:type="table" w:customStyle="1" w:styleId="MMTable">
    <w:name w:val="~MMTable"/>
    <w:basedOn w:val="TableNormal"/>
    <w:uiPriority w:val="99"/>
    <w:rsid w:val="003075F9"/>
    <w:pPr>
      <w:spacing w:before="40" w:after="40" w:line="240" w:lineRule="auto"/>
    </w:pPr>
    <w:rPr>
      <w:rFonts w:ascii="Arial" w:eastAsiaTheme="minorEastAsia" w:hAnsi="Arial"/>
      <w:sz w:val="16"/>
      <w:szCs w:val="16"/>
    </w:rPr>
    <w:tblPr>
      <w:tblStyleRowBandSize w:val="1"/>
      <w:tblBorders>
        <w:top w:val="single" w:sz="8" w:space="0" w:color="auto"/>
        <w:bottom w:val="single" w:sz="8" w:space="0" w:color="auto"/>
        <w:insideH w:val="single" w:sz="2" w:space="0" w:color="2FB6BC" w:themeColor="accent1"/>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DDDDC" w:themeFill="text2" w:themeFillTint="33"/>
      </w:tcPr>
    </w:tblStylePr>
  </w:style>
  <w:style w:type="paragraph" w:customStyle="1" w:styleId="NumBullet1">
    <w:name w:val="~NumBullet1"/>
    <w:basedOn w:val="Normal"/>
    <w:uiPriority w:val="1"/>
    <w:qFormat/>
    <w:rsid w:val="003075F9"/>
    <w:pPr>
      <w:numPr>
        <w:numId w:val="6"/>
      </w:numPr>
      <w:spacing w:before="60" w:after="60"/>
    </w:pPr>
  </w:style>
  <w:style w:type="paragraph" w:customStyle="1" w:styleId="NumBullet2">
    <w:name w:val="~NumBullet2"/>
    <w:basedOn w:val="Normal"/>
    <w:uiPriority w:val="1"/>
    <w:qFormat/>
    <w:rsid w:val="003075F9"/>
    <w:pPr>
      <w:numPr>
        <w:ilvl w:val="1"/>
        <w:numId w:val="6"/>
      </w:numPr>
      <w:spacing w:before="60" w:after="60"/>
    </w:pPr>
  </w:style>
  <w:style w:type="paragraph" w:customStyle="1" w:styleId="NumBullet3">
    <w:name w:val="~NumBullet3"/>
    <w:basedOn w:val="Normal"/>
    <w:uiPriority w:val="1"/>
    <w:qFormat/>
    <w:rsid w:val="003075F9"/>
    <w:pPr>
      <w:numPr>
        <w:ilvl w:val="2"/>
        <w:numId w:val="6"/>
      </w:numPr>
      <w:spacing w:before="60" w:after="60"/>
    </w:pPr>
  </w:style>
  <w:style w:type="character" w:customStyle="1" w:styleId="Pagenumber">
    <w:name w:val="~Pagenumber"/>
    <w:basedOn w:val="DefaultParagraphFont"/>
    <w:uiPriority w:val="19"/>
    <w:qFormat/>
    <w:rsid w:val="00ED39CC"/>
    <w:rPr>
      <w:b/>
      <w:bCs/>
      <w:sz w:val="14"/>
      <w:szCs w:val="20"/>
      <w:lang w:val="en-GB"/>
    </w:rPr>
  </w:style>
  <w:style w:type="paragraph" w:customStyle="1" w:styleId="Source">
    <w:name w:val="~Source"/>
    <w:basedOn w:val="Normal"/>
    <w:next w:val="Normal"/>
    <w:uiPriority w:val="7"/>
    <w:qFormat/>
    <w:rsid w:val="003075F9"/>
    <w:pPr>
      <w:tabs>
        <w:tab w:val="left" w:pos="680"/>
      </w:tabs>
      <w:spacing w:before="0" w:after="240" w:line="240" w:lineRule="auto"/>
      <w:ind w:left="680" w:hanging="680"/>
    </w:pPr>
    <w:rPr>
      <w:rFonts w:eastAsia="Calibri"/>
      <w:sz w:val="16"/>
      <w:szCs w:val="16"/>
    </w:rPr>
  </w:style>
  <w:style w:type="paragraph" w:customStyle="1" w:styleId="QuoteSource">
    <w:name w:val="~QuoteSource"/>
    <w:basedOn w:val="Source"/>
    <w:next w:val="Normal"/>
    <w:uiPriority w:val="7"/>
    <w:qFormat/>
    <w:rsid w:val="003075F9"/>
    <w:pPr>
      <w:tabs>
        <w:tab w:val="clear" w:pos="680"/>
      </w:tabs>
      <w:ind w:left="0" w:right="2835" w:firstLine="0"/>
    </w:pPr>
    <w:rPr>
      <w:sz w:val="18"/>
      <w:szCs w:val="18"/>
    </w:rPr>
  </w:style>
  <w:style w:type="paragraph" w:customStyle="1" w:styleId="RefClientName">
    <w:name w:val="~RefClientName"/>
    <w:basedOn w:val="ClientName"/>
    <w:uiPriority w:val="34"/>
    <w:semiHidden/>
    <w:rsid w:val="00CC4AAC"/>
  </w:style>
  <w:style w:type="paragraph" w:customStyle="1" w:styleId="RefConfidential">
    <w:name w:val="~RefConfidential"/>
    <w:basedOn w:val="Confidential"/>
    <w:uiPriority w:val="34"/>
    <w:semiHidden/>
    <w:rsid w:val="003075F9"/>
  </w:style>
  <w:style w:type="paragraph" w:customStyle="1" w:styleId="RefDocDate">
    <w:name w:val="~RefDocDate"/>
    <w:basedOn w:val="DocDate"/>
    <w:uiPriority w:val="34"/>
    <w:semiHidden/>
    <w:rsid w:val="003075F9"/>
  </w:style>
  <w:style w:type="paragraph" w:customStyle="1" w:styleId="RefDocFileRef">
    <w:name w:val="~RefDocFileRef"/>
    <w:basedOn w:val="DocFileRef"/>
    <w:uiPriority w:val="34"/>
    <w:semiHidden/>
    <w:rsid w:val="003075F9"/>
  </w:style>
  <w:style w:type="paragraph" w:customStyle="1" w:styleId="RefDocSubTitle">
    <w:name w:val="~RefDocSubTitle"/>
    <w:basedOn w:val="DocSubTitle"/>
    <w:uiPriority w:val="34"/>
    <w:semiHidden/>
    <w:rsid w:val="003075F9"/>
  </w:style>
  <w:style w:type="paragraph" w:customStyle="1" w:styleId="RefDocTitle">
    <w:name w:val="~RefDocTitle"/>
    <w:basedOn w:val="DocTitle"/>
    <w:uiPriority w:val="34"/>
    <w:semiHidden/>
    <w:rsid w:val="003075F9"/>
  </w:style>
  <w:style w:type="paragraph" w:customStyle="1" w:styleId="SecDivTitle">
    <w:name w:val="~SecDivTitle"/>
    <w:basedOn w:val="NoSpacing"/>
    <w:uiPriority w:val="19"/>
    <w:qFormat/>
    <w:rsid w:val="00DE4EF8"/>
    <w:pPr>
      <w:spacing w:line="264" w:lineRule="auto"/>
    </w:pPr>
    <w:rPr>
      <w:b/>
      <w:bCs/>
      <w:sz w:val="56"/>
      <w:szCs w:val="56"/>
    </w:rPr>
  </w:style>
  <w:style w:type="numbering" w:customStyle="1" w:styleId="SecListStyle">
    <w:name w:val="~SecListStyle"/>
    <w:uiPriority w:val="99"/>
    <w:rsid w:val="006F7936"/>
    <w:pPr>
      <w:numPr>
        <w:numId w:val="7"/>
      </w:numPr>
    </w:pPr>
  </w:style>
  <w:style w:type="paragraph" w:customStyle="1" w:styleId="SourceWide">
    <w:name w:val="~SourceWide"/>
    <w:basedOn w:val="Source"/>
    <w:next w:val="Normal"/>
    <w:uiPriority w:val="34"/>
    <w:semiHidden/>
    <w:qFormat/>
    <w:rsid w:val="003075F9"/>
  </w:style>
  <w:style w:type="paragraph" w:customStyle="1" w:styleId="Spacer">
    <w:name w:val="~Spacer"/>
    <w:basedOn w:val="NoSpacing"/>
    <w:uiPriority w:val="34"/>
    <w:semiHidden/>
    <w:rsid w:val="003075F9"/>
    <w:rPr>
      <w:rFonts w:ascii="Arial" w:hAnsi="Arial"/>
      <w:sz w:val="2"/>
      <w:szCs w:val="2"/>
    </w:rPr>
  </w:style>
  <w:style w:type="paragraph" w:customStyle="1" w:styleId="TableTextLeft">
    <w:name w:val="~TableTextLeft"/>
    <w:basedOn w:val="Normal"/>
    <w:uiPriority w:val="8"/>
    <w:qFormat/>
    <w:rsid w:val="00C52769"/>
    <w:pPr>
      <w:spacing w:before="40" w:after="40" w:line="240" w:lineRule="auto"/>
      <w:ind w:left="108" w:right="108"/>
    </w:pPr>
    <w:rPr>
      <w:sz w:val="16"/>
      <w:szCs w:val="16"/>
    </w:rPr>
  </w:style>
  <w:style w:type="paragraph" w:customStyle="1" w:styleId="TableBullet1">
    <w:name w:val="~TableBullet1"/>
    <w:basedOn w:val="TableTextLeft"/>
    <w:uiPriority w:val="8"/>
    <w:qFormat/>
    <w:rsid w:val="002D3C8D"/>
    <w:pPr>
      <w:numPr>
        <w:numId w:val="27"/>
      </w:numPr>
    </w:pPr>
    <w:rPr>
      <w:rFonts w:eastAsia="Calibri"/>
    </w:rPr>
  </w:style>
  <w:style w:type="paragraph" w:customStyle="1" w:styleId="TableBullet2">
    <w:name w:val="~TableBullet2"/>
    <w:basedOn w:val="TableTextLeft"/>
    <w:uiPriority w:val="8"/>
    <w:qFormat/>
    <w:rsid w:val="002D3C8D"/>
    <w:pPr>
      <w:numPr>
        <w:ilvl w:val="1"/>
        <w:numId w:val="27"/>
      </w:numPr>
    </w:pPr>
  </w:style>
  <w:style w:type="paragraph" w:customStyle="1" w:styleId="TableBullet3">
    <w:name w:val="~TableBullet3"/>
    <w:basedOn w:val="TableTextLeft"/>
    <w:uiPriority w:val="8"/>
    <w:qFormat/>
    <w:rsid w:val="002D3C8D"/>
    <w:pPr>
      <w:numPr>
        <w:ilvl w:val="2"/>
        <w:numId w:val="27"/>
      </w:numPr>
    </w:pPr>
  </w:style>
  <w:style w:type="table" w:customStyle="1" w:styleId="TableClear">
    <w:name w:val="~TableClear"/>
    <w:basedOn w:val="TableNormal"/>
    <w:uiPriority w:val="99"/>
    <w:rsid w:val="003075F9"/>
    <w:rPr>
      <w:rFonts w:eastAsiaTheme="minorEastAsia"/>
    </w:rPr>
    <w:tblPr>
      <w:tblCellMar>
        <w:left w:w="0" w:type="dxa"/>
        <w:right w:w="0" w:type="dxa"/>
      </w:tblCellMar>
    </w:tblPr>
  </w:style>
  <w:style w:type="paragraph" w:customStyle="1" w:styleId="TableHeadingLeft">
    <w:name w:val="~TableHeadingLeft"/>
    <w:basedOn w:val="TableTextLeft"/>
    <w:uiPriority w:val="8"/>
    <w:qFormat/>
    <w:rsid w:val="00C52769"/>
    <w:pPr>
      <w:keepNext/>
    </w:pPr>
    <w:rPr>
      <w:b/>
      <w:bCs/>
      <w:color w:val="2FB6BC" w:themeColor="accent1"/>
      <w:sz w:val="18"/>
      <w:szCs w:val="18"/>
    </w:rPr>
  </w:style>
  <w:style w:type="paragraph" w:customStyle="1" w:styleId="TableHeadingCentre">
    <w:name w:val="~TableHeadingCentre"/>
    <w:basedOn w:val="TableHeadingLeft"/>
    <w:uiPriority w:val="8"/>
    <w:qFormat/>
    <w:rsid w:val="00C52769"/>
    <w:pPr>
      <w:jc w:val="center"/>
    </w:pPr>
    <w:rPr>
      <w:bCs w:val="0"/>
    </w:rPr>
  </w:style>
  <w:style w:type="paragraph" w:customStyle="1" w:styleId="TableHeadingRight">
    <w:name w:val="~TableHeadingRight"/>
    <w:basedOn w:val="TableHeadingLeft"/>
    <w:uiPriority w:val="8"/>
    <w:qFormat/>
    <w:rsid w:val="00C52769"/>
    <w:pPr>
      <w:jc w:val="right"/>
    </w:pPr>
  </w:style>
  <w:style w:type="table" w:customStyle="1" w:styleId="TableNormal0">
    <w:name w:val="~TableNormal"/>
    <w:basedOn w:val="TableNormal"/>
    <w:semiHidden/>
    <w:rsid w:val="003075F9"/>
    <w:pPr>
      <w:spacing w:before="120" w:after="0" w:line="240" w:lineRule="auto"/>
    </w:pPr>
    <w:rPr>
      <w:rFonts w:eastAsiaTheme="minorEastAsia"/>
    </w:rPr>
    <w:tblPr/>
  </w:style>
  <w:style w:type="paragraph" w:customStyle="1" w:styleId="TableTextCentre">
    <w:name w:val="~TableTextCentre"/>
    <w:basedOn w:val="TableTextLeft"/>
    <w:uiPriority w:val="8"/>
    <w:qFormat/>
    <w:rsid w:val="00C52769"/>
    <w:pPr>
      <w:jc w:val="center"/>
    </w:pPr>
  </w:style>
  <w:style w:type="paragraph" w:customStyle="1" w:styleId="TableTextRight">
    <w:name w:val="~TableTextRight"/>
    <w:basedOn w:val="TableTextLeft"/>
    <w:uiPriority w:val="8"/>
    <w:qFormat/>
    <w:rsid w:val="00C52769"/>
    <w:pPr>
      <w:jc w:val="right"/>
    </w:pPr>
  </w:style>
  <w:style w:type="paragraph" w:customStyle="1" w:styleId="TableTotalLeft">
    <w:name w:val="~TableTotalLeft"/>
    <w:basedOn w:val="TableTextLeft"/>
    <w:uiPriority w:val="8"/>
    <w:qFormat/>
    <w:rsid w:val="00C52769"/>
    <w:rPr>
      <w:b/>
      <w:bCs/>
    </w:rPr>
  </w:style>
  <w:style w:type="paragraph" w:customStyle="1" w:styleId="TableTotalCentre">
    <w:name w:val="~TableTotalCentre"/>
    <w:basedOn w:val="TableTotalLeft"/>
    <w:uiPriority w:val="8"/>
    <w:qFormat/>
    <w:rsid w:val="00C52769"/>
    <w:pPr>
      <w:jc w:val="center"/>
    </w:pPr>
    <w:rPr>
      <w:bCs w:val="0"/>
    </w:rPr>
  </w:style>
  <w:style w:type="paragraph" w:customStyle="1" w:styleId="TableTotalRight">
    <w:name w:val="~TableTotalRight"/>
    <w:basedOn w:val="TableTotalLeft"/>
    <w:uiPriority w:val="8"/>
    <w:qFormat/>
    <w:rsid w:val="00C52769"/>
    <w:pPr>
      <w:jc w:val="right"/>
    </w:pPr>
  </w:style>
  <w:style w:type="paragraph" w:customStyle="1" w:styleId="WebAddress">
    <w:name w:val="~WebAddress"/>
    <w:basedOn w:val="NoSpacing"/>
    <w:uiPriority w:val="19"/>
    <w:qFormat/>
    <w:rsid w:val="003075F9"/>
    <w:rPr>
      <w:b/>
      <w:bCs/>
    </w:rPr>
  </w:style>
  <w:style w:type="paragraph" w:styleId="BalloonText">
    <w:name w:val="Balloon Text"/>
    <w:basedOn w:val="Normal"/>
    <w:link w:val="BalloonTextChar"/>
    <w:uiPriority w:val="99"/>
    <w:semiHidden/>
    <w:unhideWhenUsed/>
    <w:rsid w:val="003075F9"/>
    <w:pPr>
      <w:spacing w:after="0" w:line="240" w:lineRule="auto"/>
    </w:pPr>
    <w:rPr>
      <w:rFonts w:ascii="Tahoma" w:hAnsi="Tahoma" w:cs="Tahoma"/>
      <w:color w:val="808080" w:themeColor="background1" w:themeShade="80"/>
      <w:sz w:val="16"/>
      <w:szCs w:val="16"/>
    </w:rPr>
  </w:style>
  <w:style w:type="character" w:customStyle="1" w:styleId="BalloonTextChar">
    <w:name w:val="Balloon Text Char"/>
    <w:basedOn w:val="DefaultParagraphFont"/>
    <w:link w:val="BalloonText"/>
    <w:uiPriority w:val="99"/>
    <w:semiHidden/>
    <w:rsid w:val="003075F9"/>
    <w:rPr>
      <w:rFonts w:ascii="Tahoma" w:eastAsiaTheme="minorEastAsia" w:hAnsi="Tahoma" w:cs="Tahoma"/>
      <w:color w:val="808080" w:themeColor="background1" w:themeShade="80"/>
      <w:sz w:val="16"/>
      <w:szCs w:val="16"/>
      <w:lang w:val="en-GB"/>
    </w:rPr>
  </w:style>
  <w:style w:type="paragraph" w:styleId="Bibliography">
    <w:name w:val="Bibliography"/>
    <w:basedOn w:val="Normal"/>
    <w:next w:val="Normal"/>
    <w:uiPriority w:val="39"/>
    <w:semiHidden/>
    <w:rsid w:val="003075F9"/>
  </w:style>
  <w:style w:type="paragraph" w:styleId="BlockText">
    <w:name w:val="Block Text"/>
    <w:basedOn w:val="Normal"/>
    <w:uiPriority w:val="99"/>
    <w:semiHidden/>
    <w:unhideWhenUsed/>
    <w:rsid w:val="003075F9"/>
    <w:pPr>
      <w:pBdr>
        <w:top w:val="single" w:sz="2" w:space="10" w:color="2FB6BC" w:themeColor="accent1" w:frame="1"/>
        <w:left w:val="single" w:sz="2" w:space="10" w:color="2FB6BC" w:themeColor="accent1" w:frame="1"/>
        <w:bottom w:val="single" w:sz="2" w:space="10" w:color="2FB6BC" w:themeColor="accent1" w:frame="1"/>
        <w:right w:val="single" w:sz="2" w:space="10" w:color="2FB6BC" w:themeColor="accent1" w:frame="1"/>
      </w:pBdr>
      <w:ind w:left="1152" w:right="1152"/>
    </w:pPr>
    <w:rPr>
      <w:i/>
      <w:iCs/>
      <w:color w:val="2FB6BC" w:themeColor="accent1"/>
    </w:rPr>
  </w:style>
  <w:style w:type="paragraph" w:styleId="BodyText">
    <w:name w:val="Body Text"/>
    <w:basedOn w:val="Normal"/>
    <w:link w:val="BodyTextChar"/>
    <w:uiPriority w:val="99"/>
    <w:semiHidden/>
    <w:unhideWhenUsed/>
    <w:rsid w:val="003075F9"/>
    <w:pPr>
      <w:spacing w:after="120"/>
    </w:pPr>
  </w:style>
  <w:style w:type="character" w:customStyle="1" w:styleId="BodyTextChar">
    <w:name w:val="Body Text Char"/>
    <w:basedOn w:val="DefaultParagraphFont"/>
    <w:link w:val="BodyText"/>
    <w:uiPriority w:val="99"/>
    <w:semiHidden/>
    <w:rsid w:val="003075F9"/>
    <w:rPr>
      <w:rFonts w:eastAsiaTheme="minorEastAsia"/>
      <w:lang w:val="en-GB"/>
    </w:rPr>
  </w:style>
  <w:style w:type="paragraph" w:styleId="BodyText2">
    <w:name w:val="Body Text 2"/>
    <w:basedOn w:val="Normal"/>
    <w:link w:val="BodyText2Char"/>
    <w:uiPriority w:val="99"/>
    <w:semiHidden/>
    <w:unhideWhenUsed/>
    <w:rsid w:val="003075F9"/>
    <w:pPr>
      <w:spacing w:after="120" w:line="480" w:lineRule="auto"/>
    </w:pPr>
  </w:style>
  <w:style w:type="character" w:customStyle="1" w:styleId="BodyText2Char">
    <w:name w:val="Body Text 2 Char"/>
    <w:basedOn w:val="DefaultParagraphFont"/>
    <w:link w:val="BodyText2"/>
    <w:uiPriority w:val="99"/>
    <w:semiHidden/>
    <w:rsid w:val="003075F9"/>
    <w:rPr>
      <w:rFonts w:eastAsiaTheme="minorEastAsia"/>
      <w:lang w:val="en-GB"/>
    </w:rPr>
  </w:style>
  <w:style w:type="paragraph" w:styleId="BodyText3">
    <w:name w:val="Body Text 3"/>
    <w:basedOn w:val="Normal"/>
    <w:link w:val="BodyText3Char"/>
    <w:uiPriority w:val="99"/>
    <w:semiHidden/>
    <w:unhideWhenUsed/>
    <w:rsid w:val="003075F9"/>
    <w:pPr>
      <w:spacing w:after="120"/>
    </w:pPr>
    <w:rPr>
      <w:sz w:val="16"/>
      <w:szCs w:val="16"/>
    </w:rPr>
  </w:style>
  <w:style w:type="character" w:customStyle="1" w:styleId="BodyText3Char">
    <w:name w:val="Body Text 3 Char"/>
    <w:basedOn w:val="DefaultParagraphFont"/>
    <w:link w:val="BodyText3"/>
    <w:uiPriority w:val="99"/>
    <w:semiHidden/>
    <w:rsid w:val="003075F9"/>
    <w:rPr>
      <w:rFonts w:eastAsiaTheme="minorEastAsia"/>
      <w:sz w:val="16"/>
      <w:szCs w:val="16"/>
      <w:lang w:val="en-GB"/>
    </w:rPr>
  </w:style>
  <w:style w:type="paragraph" w:styleId="BodyTextFirstIndent">
    <w:name w:val="Body Text First Indent"/>
    <w:basedOn w:val="BodyText"/>
    <w:link w:val="BodyTextFirstIndentChar"/>
    <w:uiPriority w:val="99"/>
    <w:semiHidden/>
    <w:unhideWhenUsed/>
    <w:rsid w:val="003075F9"/>
    <w:pPr>
      <w:spacing w:after="160"/>
      <w:ind w:firstLine="360"/>
    </w:pPr>
  </w:style>
  <w:style w:type="character" w:customStyle="1" w:styleId="BodyTextFirstIndentChar">
    <w:name w:val="Body Text First Indent Char"/>
    <w:basedOn w:val="BodyTextChar"/>
    <w:link w:val="BodyTextFirstIndent"/>
    <w:uiPriority w:val="99"/>
    <w:semiHidden/>
    <w:rsid w:val="003075F9"/>
    <w:rPr>
      <w:rFonts w:eastAsiaTheme="minorEastAsia"/>
      <w:lang w:val="en-GB"/>
    </w:rPr>
  </w:style>
  <w:style w:type="paragraph" w:styleId="BodyTextIndent">
    <w:name w:val="Body Text Indent"/>
    <w:basedOn w:val="Normal"/>
    <w:link w:val="BodyTextIndentChar"/>
    <w:uiPriority w:val="99"/>
    <w:semiHidden/>
    <w:unhideWhenUsed/>
    <w:rsid w:val="003075F9"/>
    <w:pPr>
      <w:spacing w:after="120"/>
      <w:ind w:left="283"/>
    </w:pPr>
  </w:style>
  <w:style w:type="character" w:customStyle="1" w:styleId="BodyTextIndentChar">
    <w:name w:val="Body Text Indent Char"/>
    <w:basedOn w:val="DefaultParagraphFont"/>
    <w:link w:val="BodyTextIndent"/>
    <w:uiPriority w:val="99"/>
    <w:semiHidden/>
    <w:rsid w:val="003075F9"/>
    <w:rPr>
      <w:rFonts w:eastAsiaTheme="minorEastAsia"/>
      <w:lang w:val="en-GB"/>
    </w:rPr>
  </w:style>
  <w:style w:type="paragraph" w:styleId="BodyTextFirstIndent2">
    <w:name w:val="Body Text First Indent 2"/>
    <w:basedOn w:val="BodyTextIndent"/>
    <w:link w:val="BodyTextFirstIndent2Char"/>
    <w:uiPriority w:val="99"/>
    <w:semiHidden/>
    <w:unhideWhenUsed/>
    <w:rsid w:val="003075F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3075F9"/>
    <w:rPr>
      <w:rFonts w:eastAsiaTheme="minorEastAsia"/>
      <w:lang w:val="en-GB"/>
    </w:rPr>
  </w:style>
  <w:style w:type="paragraph" w:styleId="BodyTextIndent2">
    <w:name w:val="Body Text Indent 2"/>
    <w:basedOn w:val="Normal"/>
    <w:link w:val="BodyTextIndent2Char"/>
    <w:uiPriority w:val="99"/>
    <w:semiHidden/>
    <w:unhideWhenUsed/>
    <w:rsid w:val="003075F9"/>
    <w:pPr>
      <w:spacing w:after="120" w:line="480" w:lineRule="auto"/>
      <w:ind w:left="283"/>
    </w:pPr>
  </w:style>
  <w:style w:type="character" w:customStyle="1" w:styleId="BodyTextIndent2Char">
    <w:name w:val="Body Text Indent 2 Char"/>
    <w:basedOn w:val="DefaultParagraphFont"/>
    <w:link w:val="BodyTextIndent2"/>
    <w:uiPriority w:val="99"/>
    <w:semiHidden/>
    <w:rsid w:val="003075F9"/>
    <w:rPr>
      <w:rFonts w:eastAsiaTheme="minorEastAsia"/>
      <w:lang w:val="en-GB"/>
    </w:rPr>
  </w:style>
  <w:style w:type="paragraph" w:styleId="BodyTextIndent3">
    <w:name w:val="Body Text Indent 3"/>
    <w:basedOn w:val="Normal"/>
    <w:link w:val="BodyTextIndent3Char"/>
    <w:uiPriority w:val="99"/>
    <w:semiHidden/>
    <w:unhideWhenUsed/>
    <w:rsid w:val="003075F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075F9"/>
    <w:rPr>
      <w:rFonts w:eastAsiaTheme="minorEastAsia"/>
      <w:sz w:val="16"/>
      <w:szCs w:val="16"/>
      <w:lang w:val="en-GB"/>
    </w:rPr>
  </w:style>
  <w:style w:type="character" w:styleId="BookTitle">
    <w:name w:val="Book Title"/>
    <w:basedOn w:val="DefaultParagraphFont"/>
    <w:uiPriority w:val="39"/>
    <w:semiHidden/>
    <w:qFormat/>
    <w:rsid w:val="003075F9"/>
    <w:rPr>
      <w:b/>
      <w:bCs/>
      <w:i/>
      <w:iCs/>
      <w:spacing w:val="5"/>
      <w:szCs w:val="20"/>
      <w:lang w:val="en-GB"/>
    </w:rPr>
  </w:style>
  <w:style w:type="paragraph" w:styleId="Closing">
    <w:name w:val="Closing"/>
    <w:basedOn w:val="Normal"/>
    <w:link w:val="ClosingChar"/>
    <w:uiPriority w:val="99"/>
    <w:semiHidden/>
    <w:unhideWhenUsed/>
    <w:rsid w:val="003075F9"/>
    <w:pPr>
      <w:spacing w:before="0" w:after="0" w:line="240" w:lineRule="auto"/>
      <w:ind w:left="4252"/>
    </w:pPr>
  </w:style>
  <w:style w:type="character" w:customStyle="1" w:styleId="ClosingChar">
    <w:name w:val="Closing Char"/>
    <w:basedOn w:val="DefaultParagraphFont"/>
    <w:link w:val="Closing"/>
    <w:uiPriority w:val="99"/>
    <w:semiHidden/>
    <w:rsid w:val="003075F9"/>
    <w:rPr>
      <w:rFonts w:eastAsiaTheme="minorEastAsia"/>
      <w:lang w:val="en-GB"/>
    </w:rPr>
  </w:style>
  <w:style w:type="table" w:styleId="ColorfulGrid">
    <w:name w:val="Colorful Grid"/>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3F2F4" w:themeFill="accent1" w:themeFillTint="33"/>
    </w:tcPr>
    <w:tblStylePr w:type="firstRow">
      <w:rPr>
        <w:b/>
        <w:bCs/>
      </w:rPr>
      <w:tblPr/>
      <w:tcPr>
        <w:shd w:val="clear" w:color="auto" w:fill="A7E6E9" w:themeFill="accent1" w:themeFillTint="66"/>
      </w:tcPr>
    </w:tblStylePr>
    <w:tblStylePr w:type="lastRow">
      <w:rPr>
        <w:b/>
        <w:bCs/>
        <w:color w:val="000000" w:themeColor="text1"/>
      </w:rPr>
      <w:tblPr/>
      <w:tcPr>
        <w:shd w:val="clear" w:color="auto" w:fill="A7E6E9" w:themeFill="accent1" w:themeFillTint="66"/>
      </w:tcPr>
    </w:tblStylePr>
    <w:tblStylePr w:type="firstCol">
      <w:rPr>
        <w:color w:val="FFFFFF" w:themeColor="background1"/>
      </w:rPr>
      <w:tblPr/>
      <w:tcPr>
        <w:shd w:val="clear" w:color="auto" w:fill="23888C" w:themeFill="accent1" w:themeFillShade="BF"/>
      </w:tcPr>
    </w:tblStylePr>
    <w:tblStylePr w:type="lastCol">
      <w:rPr>
        <w:color w:val="FFFFFF" w:themeColor="background1"/>
      </w:rPr>
      <w:tblPr/>
      <w:tcPr>
        <w:shd w:val="clear" w:color="auto" w:fill="23888C" w:themeFill="accent1" w:themeFillShade="BF"/>
      </w:tcPr>
    </w:tblStylePr>
    <w:tblStylePr w:type="band1Vert">
      <w:tblPr/>
      <w:tcPr>
        <w:shd w:val="clear" w:color="auto" w:fill="91E0E3" w:themeFill="accent1" w:themeFillTint="7F"/>
      </w:tcPr>
    </w:tblStylePr>
    <w:tblStylePr w:type="band1Horz">
      <w:tblPr/>
      <w:tcPr>
        <w:shd w:val="clear" w:color="auto" w:fill="91E0E3" w:themeFill="accent1" w:themeFillTint="7F"/>
      </w:tcPr>
    </w:tblStylePr>
  </w:style>
  <w:style w:type="table" w:styleId="ColorfulGrid-Accent2">
    <w:name w:val="Colorful Grid Accent 2"/>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B7FFFE" w:themeFill="accent2" w:themeFillTint="33"/>
    </w:tcPr>
    <w:tblStylePr w:type="firstRow">
      <w:rPr>
        <w:b/>
        <w:bCs/>
      </w:rPr>
      <w:tblPr/>
      <w:tcPr>
        <w:shd w:val="clear" w:color="auto" w:fill="6FFFFD" w:themeFill="accent2" w:themeFillTint="66"/>
      </w:tcPr>
    </w:tblStylePr>
    <w:tblStylePr w:type="lastRow">
      <w:rPr>
        <w:b/>
        <w:bCs/>
        <w:color w:val="000000" w:themeColor="text1"/>
      </w:rPr>
      <w:tblPr/>
      <w:tcPr>
        <w:shd w:val="clear" w:color="auto" w:fill="6FFFFD" w:themeFill="accent2" w:themeFillTint="66"/>
      </w:tcPr>
    </w:tblStylePr>
    <w:tblStylePr w:type="firstCol">
      <w:rPr>
        <w:color w:val="FFFFFF" w:themeColor="background1"/>
      </w:rPr>
      <w:tblPr/>
      <w:tcPr>
        <w:shd w:val="clear" w:color="auto" w:fill="00706F" w:themeFill="accent2" w:themeFillShade="BF"/>
      </w:tcPr>
    </w:tblStylePr>
    <w:tblStylePr w:type="lastCol">
      <w:rPr>
        <w:color w:val="FFFFFF" w:themeColor="background1"/>
      </w:rPr>
      <w:tblPr/>
      <w:tcPr>
        <w:shd w:val="clear" w:color="auto" w:fill="00706F" w:themeFill="accent2" w:themeFillShade="BF"/>
      </w:tcPr>
    </w:tblStylePr>
    <w:tblStylePr w:type="band1Vert">
      <w:tblPr/>
      <w:tcPr>
        <w:shd w:val="clear" w:color="auto" w:fill="4BFFFD" w:themeFill="accent2" w:themeFillTint="7F"/>
      </w:tcPr>
    </w:tblStylePr>
    <w:tblStylePr w:type="band1Horz">
      <w:tblPr/>
      <w:tcPr>
        <w:shd w:val="clear" w:color="auto" w:fill="4BFFFD" w:themeFill="accent2" w:themeFillTint="7F"/>
      </w:tcPr>
    </w:tblStylePr>
  </w:style>
  <w:style w:type="table" w:styleId="ColorfulGrid-Accent3">
    <w:name w:val="Colorful Grid Accent 3"/>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2E6F5" w:themeFill="accent3" w:themeFillTint="33"/>
    </w:tcPr>
    <w:tblStylePr w:type="firstRow">
      <w:rPr>
        <w:b/>
        <w:bCs/>
      </w:rPr>
      <w:tblPr/>
      <w:tcPr>
        <w:shd w:val="clear" w:color="auto" w:fill="A6CEEC" w:themeFill="accent3" w:themeFillTint="66"/>
      </w:tcPr>
    </w:tblStylePr>
    <w:tblStylePr w:type="lastRow">
      <w:rPr>
        <w:b/>
        <w:bCs/>
        <w:color w:val="000000" w:themeColor="text1"/>
      </w:rPr>
      <w:tblPr/>
      <w:tcPr>
        <w:shd w:val="clear" w:color="auto" w:fill="A6CEEC" w:themeFill="accent3" w:themeFillTint="66"/>
      </w:tcPr>
    </w:tblStylePr>
    <w:tblStylePr w:type="firstCol">
      <w:rPr>
        <w:color w:val="FFFFFF" w:themeColor="background1"/>
      </w:rPr>
      <w:tblPr/>
      <w:tcPr>
        <w:shd w:val="clear" w:color="auto" w:fill="206394" w:themeFill="accent3" w:themeFillShade="BF"/>
      </w:tcPr>
    </w:tblStylePr>
    <w:tblStylePr w:type="lastCol">
      <w:rPr>
        <w:color w:val="FFFFFF" w:themeColor="background1"/>
      </w:rPr>
      <w:tblPr/>
      <w:tcPr>
        <w:shd w:val="clear" w:color="auto" w:fill="206394" w:themeFill="accent3" w:themeFillShade="BF"/>
      </w:tcPr>
    </w:tblStylePr>
    <w:tblStylePr w:type="band1Vert">
      <w:tblPr/>
      <w:tcPr>
        <w:shd w:val="clear" w:color="auto" w:fill="91C3E7" w:themeFill="accent3" w:themeFillTint="7F"/>
      </w:tcPr>
    </w:tblStylePr>
    <w:tblStylePr w:type="band1Horz">
      <w:tblPr/>
      <w:tcPr>
        <w:shd w:val="clear" w:color="auto" w:fill="91C3E7" w:themeFill="accent3" w:themeFillTint="7F"/>
      </w:tcPr>
    </w:tblStylePr>
  </w:style>
  <w:style w:type="table" w:styleId="ColorfulGrid-Accent4">
    <w:name w:val="Colorful Grid Accent 4"/>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C9E3F3" w:themeFill="accent4" w:themeFillTint="33"/>
    </w:tcPr>
    <w:tblStylePr w:type="firstRow">
      <w:rPr>
        <w:b/>
        <w:bCs/>
      </w:rPr>
      <w:tblPr/>
      <w:tcPr>
        <w:shd w:val="clear" w:color="auto" w:fill="94C7E8" w:themeFill="accent4" w:themeFillTint="66"/>
      </w:tcPr>
    </w:tblStylePr>
    <w:tblStylePr w:type="lastRow">
      <w:rPr>
        <w:b/>
        <w:bCs/>
        <w:color w:val="000000" w:themeColor="text1"/>
      </w:rPr>
      <w:tblPr/>
      <w:tcPr>
        <w:shd w:val="clear" w:color="auto" w:fill="94C7E8" w:themeFill="accent4" w:themeFillTint="66"/>
      </w:tcPr>
    </w:tblStylePr>
    <w:tblStylePr w:type="firstCol">
      <w:rPr>
        <w:color w:val="FFFFFF" w:themeColor="background1"/>
      </w:rPr>
      <w:tblPr/>
      <w:tcPr>
        <w:shd w:val="clear" w:color="auto" w:fill="184F72" w:themeFill="accent4" w:themeFillShade="BF"/>
      </w:tcPr>
    </w:tblStylePr>
    <w:tblStylePr w:type="lastCol">
      <w:rPr>
        <w:color w:val="FFFFFF" w:themeColor="background1"/>
      </w:rPr>
      <w:tblPr/>
      <w:tcPr>
        <w:shd w:val="clear" w:color="auto" w:fill="184F72" w:themeFill="accent4" w:themeFillShade="BF"/>
      </w:tcPr>
    </w:tblStylePr>
    <w:tblStylePr w:type="band1Vert">
      <w:tblPr/>
      <w:tcPr>
        <w:shd w:val="clear" w:color="auto" w:fill="7ABAE2" w:themeFill="accent4" w:themeFillTint="7F"/>
      </w:tcPr>
    </w:tblStylePr>
    <w:tblStylePr w:type="band1Horz">
      <w:tblPr/>
      <w:tcPr>
        <w:shd w:val="clear" w:color="auto" w:fill="7ABAE2" w:themeFill="accent4" w:themeFillTint="7F"/>
      </w:tcPr>
    </w:tblStylePr>
  </w:style>
  <w:style w:type="table" w:styleId="ColorfulGrid-Accent5">
    <w:name w:val="Colorful Grid Accent 5"/>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D7F0D9" w:themeFill="accent5" w:themeFillTint="33"/>
    </w:tcPr>
    <w:tblStylePr w:type="firstRow">
      <w:rPr>
        <w:b/>
        <w:bCs/>
      </w:rPr>
      <w:tblPr/>
      <w:tcPr>
        <w:shd w:val="clear" w:color="auto" w:fill="AFE1B4" w:themeFill="accent5" w:themeFillTint="66"/>
      </w:tcPr>
    </w:tblStylePr>
    <w:tblStylePr w:type="lastRow">
      <w:rPr>
        <w:b/>
        <w:bCs/>
        <w:color w:val="000000" w:themeColor="text1"/>
      </w:rPr>
      <w:tblPr/>
      <w:tcPr>
        <w:shd w:val="clear" w:color="auto" w:fill="AFE1B4" w:themeFill="accent5" w:themeFillTint="66"/>
      </w:tcPr>
    </w:tblStylePr>
    <w:tblStylePr w:type="firstCol">
      <w:rPr>
        <w:color w:val="FFFFFF" w:themeColor="background1"/>
      </w:rPr>
      <w:tblPr/>
      <w:tcPr>
        <w:shd w:val="clear" w:color="auto" w:fill="308038" w:themeFill="accent5" w:themeFillShade="BF"/>
      </w:tcPr>
    </w:tblStylePr>
    <w:tblStylePr w:type="lastCol">
      <w:rPr>
        <w:color w:val="FFFFFF" w:themeColor="background1"/>
      </w:rPr>
      <w:tblPr/>
      <w:tcPr>
        <w:shd w:val="clear" w:color="auto" w:fill="308038" w:themeFill="accent5" w:themeFillShade="BF"/>
      </w:tcPr>
    </w:tblStylePr>
    <w:tblStylePr w:type="band1Vert">
      <w:tblPr/>
      <w:tcPr>
        <w:shd w:val="clear" w:color="auto" w:fill="9CD9A2" w:themeFill="accent5" w:themeFillTint="7F"/>
      </w:tcPr>
    </w:tblStylePr>
    <w:tblStylePr w:type="band1Horz">
      <w:tblPr/>
      <w:tcPr>
        <w:shd w:val="clear" w:color="auto" w:fill="9CD9A2" w:themeFill="accent5" w:themeFillTint="7F"/>
      </w:tcPr>
    </w:tblStylePr>
  </w:style>
  <w:style w:type="table" w:styleId="ColorfulGrid-Accent6">
    <w:name w:val="Colorful Grid Accent 6"/>
    <w:basedOn w:val="TableNormal"/>
    <w:uiPriority w:val="73"/>
    <w:semiHidden/>
    <w:unhideWhenUsed/>
    <w:rsid w:val="003075F9"/>
    <w:pPr>
      <w:spacing w:after="0" w:line="240" w:lineRule="auto"/>
    </w:pPr>
    <w:rPr>
      <w:rFonts w:eastAsiaTheme="minorEastAsia"/>
      <w:color w:val="000000" w:themeColor="text1"/>
    </w:rPr>
    <w:tblPr>
      <w:tblStyleRowBandSize w:val="1"/>
      <w:tblStyleColBandSize w:val="1"/>
      <w:tblBorders>
        <w:insideH w:val="single" w:sz="4" w:space="0" w:color="FFFFFF" w:themeColor="background1"/>
      </w:tblBorders>
    </w:tblPr>
    <w:tcPr>
      <w:shd w:val="clear" w:color="auto" w:fill="EBD4EC" w:themeFill="accent6" w:themeFillTint="33"/>
    </w:tcPr>
    <w:tblStylePr w:type="firstRow">
      <w:rPr>
        <w:b/>
        <w:bCs/>
      </w:rPr>
      <w:tblPr/>
      <w:tcPr>
        <w:shd w:val="clear" w:color="auto" w:fill="D8AADA" w:themeFill="accent6" w:themeFillTint="66"/>
      </w:tcPr>
    </w:tblStylePr>
    <w:tblStylePr w:type="lastRow">
      <w:rPr>
        <w:b/>
        <w:bCs/>
        <w:color w:val="000000" w:themeColor="text1"/>
      </w:rPr>
      <w:tblPr/>
      <w:tcPr>
        <w:shd w:val="clear" w:color="auto" w:fill="D8AADA" w:themeFill="accent6" w:themeFillTint="66"/>
      </w:tcPr>
    </w:tblStylePr>
    <w:tblStylePr w:type="firstCol">
      <w:rPr>
        <w:color w:val="FFFFFF" w:themeColor="background1"/>
      </w:rPr>
      <w:tblPr/>
      <w:tcPr>
        <w:shd w:val="clear" w:color="auto" w:fill="6A2F6C" w:themeFill="accent6" w:themeFillShade="BF"/>
      </w:tcPr>
    </w:tblStylePr>
    <w:tblStylePr w:type="lastCol">
      <w:rPr>
        <w:color w:val="FFFFFF" w:themeColor="background1"/>
      </w:rPr>
      <w:tblPr/>
      <w:tcPr>
        <w:shd w:val="clear" w:color="auto" w:fill="6A2F6C" w:themeFill="accent6" w:themeFillShade="BF"/>
      </w:tcPr>
    </w:tblStylePr>
    <w:tblStylePr w:type="band1Vert">
      <w:tblPr/>
      <w:tcPr>
        <w:shd w:val="clear" w:color="auto" w:fill="CF95D1" w:themeFill="accent6" w:themeFillTint="7F"/>
      </w:tcPr>
    </w:tblStylePr>
    <w:tblStylePr w:type="band1Horz">
      <w:tblPr/>
      <w:tcPr>
        <w:shd w:val="clear" w:color="auto" w:fill="CF95D1" w:themeFill="accent6" w:themeFillTint="7F"/>
      </w:tcPr>
    </w:tblStylePr>
  </w:style>
  <w:style w:type="table" w:styleId="ColorfulList">
    <w:name w:val="Colorful List"/>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877" w:themeFill="accent2" w:themeFillShade="CC"/>
      </w:tcPr>
    </w:tblStylePr>
    <w:tblStylePr w:type="lastRow">
      <w:rPr>
        <w:b/>
        <w:bCs/>
        <w:color w:val="0078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9F8F9" w:themeFill="accent1" w:themeFillTint="19"/>
    </w:tcPr>
    <w:tblStylePr w:type="firstRow">
      <w:rPr>
        <w:b/>
        <w:bCs/>
        <w:color w:val="FFFFFF" w:themeColor="background1"/>
      </w:rPr>
      <w:tblPr/>
      <w:tcPr>
        <w:tcBorders>
          <w:bottom w:val="single" w:sz="12" w:space="0" w:color="FFFFFF" w:themeColor="background1"/>
        </w:tcBorders>
        <w:shd w:val="clear" w:color="auto" w:fill="007877" w:themeFill="accent2" w:themeFillShade="CC"/>
      </w:tcPr>
    </w:tblStylePr>
    <w:tblStylePr w:type="lastRow">
      <w:rPr>
        <w:b/>
        <w:bCs/>
        <w:color w:val="0078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FF1" w:themeFill="accent1" w:themeFillTint="3F"/>
      </w:tcPr>
    </w:tblStylePr>
    <w:tblStylePr w:type="band1Horz">
      <w:tblPr/>
      <w:tcPr>
        <w:shd w:val="clear" w:color="auto" w:fill="D3F2F4" w:themeFill="accent1" w:themeFillTint="33"/>
      </w:tcPr>
    </w:tblStylePr>
  </w:style>
  <w:style w:type="table" w:styleId="ColorfulList-Accent2">
    <w:name w:val="Colorful List Accent 2"/>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DBFFFE" w:themeFill="accent2" w:themeFillTint="19"/>
    </w:tcPr>
    <w:tblStylePr w:type="firstRow">
      <w:rPr>
        <w:b/>
        <w:bCs/>
        <w:color w:val="FFFFFF" w:themeColor="background1"/>
      </w:rPr>
      <w:tblPr/>
      <w:tcPr>
        <w:tcBorders>
          <w:bottom w:val="single" w:sz="12" w:space="0" w:color="FFFFFF" w:themeColor="background1"/>
        </w:tcBorders>
        <w:shd w:val="clear" w:color="auto" w:fill="007877" w:themeFill="accent2" w:themeFillShade="CC"/>
      </w:tcPr>
    </w:tblStylePr>
    <w:tblStylePr w:type="lastRow">
      <w:rPr>
        <w:b/>
        <w:bCs/>
        <w:color w:val="00787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FE" w:themeFill="accent2" w:themeFillTint="3F"/>
      </w:tcPr>
    </w:tblStylePr>
    <w:tblStylePr w:type="band1Horz">
      <w:tblPr/>
      <w:tcPr>
        <w:shd w:val="clear" w:color="auto" w:fill="B7FFFE" w:themeFill="accent2" w:themeFillTint="33"/>
      </w:tcPr>
    </w:tblStylePr>
  </w:style>
  <w:style w:type="table" w:styleId="ColorfulList-Accent3">
    <w:name w:val="Colorful List Accent 3"/>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9F3FA" w:themeFill="accent3" w:themeFillTint="19"/>
    </w:tcPr>
    <w:tblStylePr w:type="firstRow">
      <w:rPr>
        <w:b/>
        <w:bCs/>
        <w:color w:val="FFFFFF" w:themeColor="background1"/>
      </w:rPr>
      <w:tblPr/>
      <w:tcPr>
        <w:tcBorders>
          <w:bottom w:val="single" w:sz="12" w:space="0" w:color="FFFFFF" w:themeColor="background1"/>
        </w:tcBorders>
        <w:shd w:val="clear" w:color="auto" w:fill="1A557A" w:themeFill="accent4" w:themeFillShade="CC"/>
      </w:tcPr>
    </w:tblStylePr>
    <w:tblStylePr w:type="lastRow">
      <w:rPr>
        <w:b/>
        <w:bCs/>
        <w:color w:val="1A557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8E1F3" w:themeFill="accent3" w:themeFillTint="3F"/>
      </w:tcPr>
    </w:tblStylePr>
    <w:tblStylePr w:type="band1Horz">
      <w:tblPr/>
      <w:tcPr>
        <w:shd w:val="clear" w:color="auto" w:fill="D2E6F5" w:themeFill="accent3" w:themeFillTint="33"/>
      </w:tcPr>
    </w:tblStylePr>
  </w:style>
  <w:style w:type="table" w:styleId="ColorfulList-Accent4">
    <w:name w:val="Colorful List Accent 4"/>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4F1F9" w:themeFill="accent4" w:themeFillTint="19"/>
    </w:tcPr>
    <w:tblStylePr w:type="firstRow">
      <w:rPr>
        <w:b/>
        <w:bCs/>
        <w:color w:val="FFFFFF" w:themeColor="background1"/>
      </w:rPr>
      <w:tblPr/>
      <w:tcPr>
        <w:tcBorders>
          <w:bottom w:val="single" w:sz="12" w:space="0" w:color="FFFFFF" w:themeColor="background1"/>
        </w:tcBorders>
        <w:shd w:val="clear" w:color="auto" w:fill="226A9E" w:themeFill="accent3" w:themeFillShade="CC"/>
      </w:tcPr>
    </w:tblStylePr>
    <w:tblStylePr w:type="lastRow">
      <w:rPr>
        <w:b/>
        <w:bCs/>
        <w:color w:val="226A9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DCF0" w:themeFill="accent4" w:themeFillTint="3F"/>
      </w:tcPr>
    </w:tblStylePr>
    <w:tblStylePr w:type="band1Horz">
      <w:tblPr/>
      <w:tcPr>
        <w:shd w:val="clear" w:color="auto" w:fill="C9E3F3" w:themeFill="accent4" w:themeFillTint="33"/>
      </w:tcPr>
    </w:tblStylePr>
  </w:style>
  <w:style w:type="table" w:styleId="ColorfulList-Accent5">
    <w:name w:val="Colorful List Accent 5"/>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EBF7EC" w:themeFill="accent5" w:themeFillTint="19"/>
    </w:tcPr>
    <w:tblStylePr w:type="firstRow">
      <w:rPr>
        <w:b/>
        <w:bCs/>
        <w:color w:val="FFFFFF" w:themeColor="background1"/>
      </w:rPr>
      <w:tblPr/>
      <w:tcPr>
        <w:tcBorders>
          <w:bottom w:val="single" w:sz="12" w:space="0" w:color="FFFFFF" w:themeColor="background1"/>
        </w:tcBorders>
        <w:shd w:val="clear" w:color="auto" w:fill="713273" w:themeFill="accent6" w:themeFillShade="CC"/>
      </w:tcPr>
    </w:tblStylePr>
    <w:tblStylePr w:type="lastRow">
      <w:rPr>
        <w:b/>
        <w:bCs/>
        <w:color w:val="713273"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CD0" w:themeFill="accent5" w:themeFillTint="3F"/>
      </w:tcPr>
    </w:tblStylePr>
    <w:tblStylePr w:type="band1Horz">
      <w:tblPr/>
      <w:tcPr>
        <w:shd w:val="clear" w:color="auto" w:fill="D7F0D9" w:themeFill="accent5" w:themeFillTint="33"/>
      </w:tcPr>
    </w:tblStylePr>
  </w:style>
  <w:style w:type="table" w:styleId="ColorfulList-Accent6">
    <w:name w:val="Colorful List Accent 6"/>
    <w:basedOn w:val="TableNormal"/>
    <w:uiPriority w:val="72"/>
    <w:semiHidden/>
    <w:unhideWhenUsed/>
    <w:rsid w:val="003075F9"/>
    <w:pPr>
      <w:spacing w:after="0" w:line="240" w:lineRule="auto"/>
    </w:pPr>
    <w:rPr>
      <w:rFonts w:eastAsiaTheme="minorEastAsia"/>
      <w:color w:val="000000" w:themeColor="text1"/>
    </w:rPr>
    <w:tblPr>
      <w:tblStyleRowBandSize w:val="1"/>
      <w:tblStyleColBandSize w:val="1"/>
    </w:tblPr>
    <w:tcPr>
      <w:shd w:val="clear" w:color="auto" w:fill="F5EAF6" w:themeFill="accent6" w:themeFillTint="19"/>
    </w:tcPr>
    <w:tblStylePr w:type="firstRow">
      <w:rPr>
        <w:b/>
        <w:bCs/>
        <w:color w:val="FFFFFF" w:themeColor="background1"/>
      </w:rPr>
      <w:tblPr/>
      <w:tcPr>
        <w:tcBorders>
          <w:bottom w:val="single" w:sz="12" w:space="0" w:color="FFFFFF" w:themeColor="background1"/>
        </w:tcBorders>
        <w:shd w:val="clear" w:color="auto" w:fill="34893C" w:themeFill="accent5" w:themeFillShade="CC"/>
      </w:tcPr>
    </w:tblStylePr>
    <w:tblStylePr w:type="lastRow">
      <w:rPr>
        <w:b/>
        <w:bCs/>
        <w:color w:val="3489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CAE8" w:themeFill="accent6" w:themeFillTint="3F"/>
      </w:tcPr>
    </w:tblStylePr>
    <w:tblStylePr w:type="band1Horz">
      <w:tblPr/>
      <w:tcPr>
        <w:shd w:val="clear" w:color="auto" w:fill="EBD4EC" w:themeFill="accent6" w:themeFillTint="33"/>
      </w:tcPr>
    </w:tblStylePr>
  </w:style>
  <w:style w:type="table" w:styleId="ColorfulShading">
    <w:name w:val="Colorful Shading"/>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00969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009695" w:themeColor="accent2"/>
        <w:left w:val="single" w:sz="4" w:space="0" w:color="2FB6BC" w:themeColor="accent1"/>
        <w:bottom w:val="single" w:sz="4" w:space="0" w:color="2FB6BC" w:themeColor="accent1"/>
        <w:right w:val="single" w:sz="4" w:space="0" w:color="2FB6BC" w:themeColor="accent1"/>
        <w:insideH w:val="single" w:sz="4" w:space="0" w:color="FFFFFF" w:themeColor="background1"/>
        <w:insideV w:val="single" w:sz="4" w:space="0" w:color="FFFFFF" w:themeColor="background1"/>
      </w:tblBorders>
    </w:tblPr>
    <w:tcPr>
      <w:shd w:val="clear" w:color="auto" w:fill="E9F8F9" w:themeFill="accent1" w:themeFillTint="19"/>
    </w:tcPr>
    <w:tblStylePr w:type="firstRow">
      <w:rPr>
        <w:b/>
        <w:bCs/>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6D70" w:themeFill="accent1" w:themeFillShade="99"/>
      </w:tcPr>
    </w:tblStylePr>
    <w:tblStylePr w:type="firstCol">
      <w:rPr>
        <w:color w:val="FFFFFF" w:themeColor="background1"/>
      </w:rPr>
      <w:tblPr/>
      <w:tcPr>
        <w:tcBorders>
          <w:top w:val="nil"/>
          <w:left w:val="nil"/>
          <w:bottom w:val="nil"/>
          <w:right w:val="nil"/>
          <w:insideH w:val="single" w:sz="4" w:space="0" w:color="1C6D70" w:themeColor="accent1" w:themeShade="99"/>
          <w:insideV w:val="nil"/>
        </w:tcBorders>
        <w:shd w:val="clear" w:color="auto" w:fill="1C6D7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6D70" w:themeFill="accent1" w:themeFillShade="99"/>
      </w:tcPr>
    </w:tblStylePr>
    <w:tblStylePr w:type="band1Vert">
      <w:tblPr/>
      <w:tcPr>
        <w:shd w:val="clear" w:color="auto" w:fill="A7E6E9" w:themeFill="accent1" w:themeFillTint="66"/>
      </w:tcPr>
    </w:tblStylePr>
    <w:tblStylePr w:type="band1Horz">
      <w:tblPr/>
      <w:tcPr>
        <w:shd w:val="clear" w:color="auto" w:fill="91E0E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009695" w:themeColor="accent2"/>
        <w:left w:val="single" w:sz="4" w:space="0" w:color="009695" w:themeColor="accent2"/>
        <w:bottom w:val="single" w:sz="4" w:space="0" w:color="009695" w:themeColor="accent2"/>
        <w:right w:val="single" w:sz="4" w:space="0" w:color="009695" w:themeColor="accent2"/>
        <w:insideH w:val="single" w:sz="4" w:space="0" w:color="FFFFFF" w:themeColor="background1"/>
        <w:insideV w:val="single" w:sz="4" w:space="0" w:color="FFFFFF" w:themeColor="background1"/>
      </w:tblBorders>
    </w:tblPr>
    <w:tcPr>
      <w:shd w:val="clear" w:color="auto" w:fill="DBFFFE" w:themeFill="accent2" w:themeFillTint="19"/>
    </w:tcPr>
    <w:tblStylePr w:type="firstRow">
      <w:rPr>
        <w:b/>
        <w:bCs/>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59" w:themeFill="accent2" w:themeFillShade="99"/>
      </w:tcPr>
    </w:tblStylePr>
    <w:tblStylePr w:type="firstCol">
      <w:rPr>
        <w:color w:val="FFFFFF" w:themeColor="background1"/>
      </w:rPr>
      <w:tblPr/>
      <w:tcPr>
        <w:tcBorders>
          <w:top w:val="nil"/>
          <w:left w:val="nil"/>
          <w:bottom w:val="nil"/>
          <w:right w:val="nil"/>
          <w:insideH w:val="single" w:sz="4" w:space="0" w:color="005A59" w:themeColor="accent2" w:themeShade="99"/>
          <w:insideV w:val="nil"/>
        </w:tcBorders>
        <w:shd w:val="clear" w:color="auto" w:fill="005A5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A59" w:themeFill="accent2" w:themeFillShade="99"/>
      </w:tcPr>
    </w:tblStylePr>
    <w:tblStylePr w:type="band1Vert">
      <w:tblPr/>
      <w:tcPr>
        <w:shd w:val="clear" w:color="auto" w:fill="6FFFFD" w:themeFill="accent2" w:themeFillTint="66"/>
      </w:tcPr>
    </w:tblStylePr>
    <w:tblStylePr w:type="band1Horz">
      <w:tblPr/>
      <w:tcPr>
        <w:shd w:val="clear" w:color="auto" w:fill="4BFFF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216B99" w:themeColor="accent4"/>
        <w:left w:val="single" w:sz="4" w:space="0" w:color="2B86C7" w:themeColor="accent3"/>
        <w:bottom w:val="single" w:sz="4" w:space="0" w:color="2B86C7" w:themeColor="accent3"/>
        <w:right w:val="single" w:sz="4" w:space="0" w:color="2B86C7" w:themeColor="accent3"/>
        <w:insideH w:val="single" w:sz="4" w:space="0" w:color="FFFFFF" w:themeColor="background1"/>
        <w:insideV w:val="single" w:sz="4" w:space="0" w:color="FFFFFF" w:themeColor="background1"/>
      </w:tblBorders>
    </w:tblPr>
    <w:tcPr>
      <w:shd w:val="clear" w:color="auto" w:fill="E9F3FA" w:themeFill="accent3" w:themeFillTint="19"/>
    </w:tcPr>
    <w:tblStylePr w:type="firstRow">
      <w:rPr>
        <w:b/>
        <w:bCs/>
      </w:rPr>
      <w:tblPr/>
      <w:tcPr>
        <w:tcBorders>
          <w:top w:val="nil"/>
          <w:left w:val="nil"/>
          <w:bottom w:val="single" w:sz="24" w:space="0" w:color="216B9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5077" w:themeFill="accent3" w:themeFillShade="99"/>
      </w:tcPr>
    </w:tblStylePr>
    <w:tblStylePr w:type="firstCol">
      <w:rPr>
        <w:color w:val="FFFFFF" w:themeColor="background1"/>
      </w:rPr>
      <w:tblPr/>
      <w:tcPr>
        <w:tcBorders>
          <w:top w:val="nil"/>
          <w:left w:val="nil"/>
          <w:bottom w:val="nil"/>
          <w:right w:val="nil"/>
          <w:insideH w:val="single" w:sz="4" w:space="0" w:color="195077" w:themeColor="accent3" w:themeShade="99"/>
          <w:insideV w:val="nil"/>
        </w:tcBorders>
        <w:shd w:val="clear" w:color="auto" w:fill="19507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5077" w:themeFill="accent3" w:themeFillShade="99"/>
      </w:tcPr>
    </w:tblStylePr>
    <w:tblStylePr w:type="band1Vert">
      <w:tblPr/>
      <w:tcPr>
        <w:shd w:val="clear" w:color="auto" w:fill="A6CEEC" w:themeFill="accent3" w:themeFillTint="66"/>
      </w:tcPr>
    </w:tblStylePr>
    <w:tblStylePr w:type="band1Horz">
      <w:tblPr/>
      <w:tcPr>
        <w:shd w:val="clear" w:color="auto" w:fill="91C3E7" w:themeFill="accent3" w:themeFillTint="7F"/>
      </w:tcPr>
    </w:tblStylePr>
  </w:style>
  <w:style w:type="table" w:styleId="ColorfulShading-Accent4">
    <w:name w:val="Colorful Shading Accent 4"/>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2B86C7" w:themeColor="accent3"/>
        <w:left w:val="single" w:sz="4" w:space="0" w:color="216B99" w:themeColor="accent4"/>
        <w:bottom w:val="single" w:sz="4" w:space="0" w:color="216B99" w:themeColor="accent4"/>
        <w:right w:val="single" w:sz="4" w:space="0" w:color="216B99" w:themeColor="accent4"/>
        <w:insideH w:val="single" w:sz="4" w:space="0" w:color="FFFFFF" w:themeColor="background1"/>
        <w:insideV w:val="single" w:sz="4" w:space="0" w:color="FFFFFF" w:themeColor="background1"/>
      </w:tblBorders>
    </w:tblPr>
    <w:tcPr>
      <w:shd w:val="clear" w:color="auto" w:fill="E4F1F9" w:themeFill="accent4" w:themeFillTint="19"/>
    </w:tcPr>
    <w:tblStylePr w:type="firstRow">
      <w:rPr>
        <w:b/>
        <w:bCs/>
      </w:rPr>
      <w:tblPr/>
      <w:tcPr>
        <w:tcBorders>
          <w:top w:val="nil"/>
          <w:left w:val="nil"/>
          <w:bottom w:val="single" w:sz="24" w:space="0" w:color="2B86C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3F5B" w:themeFill="accent4" w:themeFillShade="99"/>
      </w:tcPr>
    </w:tblStylePr>
    <w:tblStylePr w:type="firstCol">
      <w:rPr>
        <w:color w:val="FFFFFF" w:themeColor="background1"/>
      </w:rPr>
      <w:tblPr/>
      <w:tcPr>
        <w:tcBorders>
          <w:top w:val="nil"/>
          <w:left w:val="nil"/>
          <w:bottom w:val="nil"/>
          <w:right w:val="nil"/>
          <w:insideH w:val="single" w:sz="4" w:space="0" w:color="133F5B" w:themeColor="accent4" w:themeShade="99"/>
          <w:insideV w:val="nil"/>
        </w:tcBorders>
        <w:shd w:val="clear" w:color="auto" w:fill="133F5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3F5B" w:themeFill="accent4" w:themeFillShade="99"/>
      </w:tcPr>
    </w:tblStylePr>
    <w:tblStylePr w:type="band1Vert">
      <w:tblPr/>
      <w:tcPr>
        <w:shd w:val="clear" w:color="auto" w:fill="94C7E8" w:themeFill="accent4" w:themeFillTint="66"/>
      </w:tcPr>
    </w:tblStylePr>
    <w:tblStylePr w:type="band1Horz">
      <w:tblPr/>
      <w:tcPr>
        <w:shd w:val="clear" w:color="auto" w:fill="7ABAE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8E3F91" w:themeColor="accent6"/>
        <w:left w:val="single" w:sz="4" w:space="0" w:color="41AC4C" w:themeColor="accent5"/>
        <w:bottom w:val="single" w:sz="4" w:space="0" w:color="41AC4C" w:themeColor="accent5"/>
        <w:right w:val="single" w:sz="4" w:space="0" w:color="41AC4C" w:themeColor="accent5"/>
        <w:insideH w:val="single" w:sz="4" w:space="0" w:color="FFFFFF" w:themeColor="background1"/>
        <w:insideV w:val="single" w:sz="4" w:space="0" w:color="FFFFFF" w:themeColor="background1"/>
      </w:tblBorders>
    </w:tblPr>
    <w:tcPr>
      <w:shd w:val="clear" w:color="auto" w:fill="EBF7EC" w:themeFill="accent5" w:themeFillTint="19"/>
    </w:tcPr>
    <w:tblStylePr w:type="firstRow">
      <w:rPr>
        <w:b/>
        <w:bCs/>
      </w:rPr>
      <w:tblPr/>
      <w:tcPr>
        <w:tcBorders>
          <w:top w:val="nil"/>
          <w:left w:val="nil"/>
          <w:bottom w:val="single" w:sz="24" w:space="0" w:color="8E3F9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72D" w:themeFill="accent5" w:themeFillShade="99"/>
      </w:tcPr>
    </w:tblStylePr>
    <w:tblStylePr w:type="firstCol">
      <w:rPr>
        <w:color w:val="FFFFFF" w:themeColor="background1"/>
      </w:rPr>
      <w:tblPr/>
      <w:tcPr>
        <w:tcBorders>
          <w:top w:val="nil"/>
          <w:left w:val="nil"/>
          <w:bottom w:val="nil"/>
          <w:right w:val="nil"/>
          <w:insideH w:val="single" w:sz="4" w:space="0" w:color="27672D" w:themeColor="accent5" w:themeShade="99"/>
          <w:insideV w:val="nil"/>
        </w:tcBorders>
        <w:shd w:val="clear" w:color="auto" w:fill="2767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72D" w:themeFill="accent5" w:themeFillShade="99"/>
      </w:tcPr>
    </w:tblStylePr>
    <w:tblStylePr w:type="band1Vert">
      <w:tblPr/>
      <w:tcPr>
        <w:shd w:val="clear" w:color="auto" w:fill="AFE1B4" w:themeFill="accent5" w:themeFillTint="66"/>
      </w:tcPr>
    </w:tblStylePr>
    <w:tblStylePr w:type="band1Horz">
      <w:tblPr/>
      <w:tcPr>
        <w:shd w:val="clear" w:color="auto" w:fill="9CD9A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075F9"/>
    <w:pPr>
      <w:spacing w:after="0" w:line="240" w:lineRule="auto"/>
    </w:pPr>
    <w:rPr>
      <w:rFonts w:eastAsiaTheme="minorEastAsia"/>
      <w:color w:val="000000" w:themeColor="text1"/>
    </w:rPr>
    <w:tblPr>
      <w:tblStyleRowBandSize w:val="1"/>
      <w:tblStyleColBandSize w:val="1"/>
      <w:tblBorders>
        <w:top w:val="single" w:sz="24" w:space="0" w:color="41AC4C" w:themeColor="accent5"/>
        <w:left w:val="single" w:sz="4" w:space="0" w:color="8E3F91" w:themeColor="accent6"/>
        <w:bottom w:val="single" w:sz="4" w:space="0" w:color="8E3F91" w:themeColor="accent6"/>
        <w:right w:val="single" w:sz="4" w:space="0" w:color="8E3F91" w:themeColor="accent6"/>
        <w:insideH w:val="single" w:sz="4" w:space="0" w:color="FFFFFF" w:themeColor="background1"/>
        <w:insideV w:val="single" w:sz="4" w:space="0" w:color="FFFFFF" w:themeColor="background1"/>
      </w:tblBorders>
    </w:tblPr>
    <w:tcPr>
      <w:shd w:val="clear" w:color="auto" w:fill="F5EAF6" w:themeFill="accent6" w:themeFillTint="19"/>
    </w:tcPr>
    <w:tblStylePr w:type="firstRow">
      <w:rPr>
        <w:b/>
        <w:bCs/>
      </w:rPr>
      <w:tblPr/>
      <w:tcPr>
        <w:tcBorders>
          <w:top w:val="nil"/>
          <w:left w:val="nil"/>
          <w:bottom w:val="single" w:sz="24" w:space="0" w:color="41AC4C"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556" w:themeFill="accent6" w:themeFillShade="99"/>
      </w:tcPr>
    </w:tblStylePr>
    <w:tblStylePr w:type="firstCol">
      <w:rPr>
        <w:color w:val="FFFFFF" w:themeColor="background1"/>
      </w:rPr>
      <w:tblPr/>
      <w:tcPr>
        <w:tcBorders>
          <w:top w:val="nil"/>
          <w:left w:val="nil"/>
          <w:bottom w:val="nil"/>
          <w:right w:val="nil"/>
          <w:insideH w:val="single" w:sz="4" w:space="0" w:color="542556" w:themeColor="accent6" w:themeShade="99"/>
          <w:insideV w:val="nil"/>
        </w:tcBorders>
        <w:shd w:val="clear" w:color="auto" w:fill="5425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42556" w:themeFill="accent6" w:themeFillShade="99"/>
      </w:tcPr>
    </w:tblStylePr>
    <w:tblStylePr w:type="band1Vert">
      <w:tblPr/>
      <w:tcPr>
        <w:shd w:val="clear" w:color="auto" w:fill="D8AADA" w:themeFill="accent6" w:themeFillTint="66"/>
      </w:tcPr>
    </w:tblStylePr>
    <w:tblStylePr w:type="band1Horz">
      <w:tblPr/>
      <w:tcPr>
        <w:shd w:val="clear" w:color="auto" w:fill="CF95D1"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075F9"/>
    <w:rPr>
      <w:bCs w:val="0"/>
      <w:sz w:val="16"/>
      <w:szCs w:val="16"/>
      <w:lang w:val="en-GB"/>
    </w:rPr>
  </w:style>
  <w:style w:type="paragraph" w:styleId="CommentText">
    <w:name w:val="annotation text"/>
    <w:basedOn w:val="Normal"/>
    <w:link w:val="CommentTextChar"/>
    <w:uiPriority w:val="99"/>
    <w:unhideWhenUsed/>
    <w:rsid w:val="003075F9"/>
    <w:pPr>
      <w:spacing w:after="0" w:line="240" w:lineRule="auto"/>
    </w:pPr>
    <w:rPr>
      <w:rFonts w:ascii="Arial" w:hAnsi="Arial"/>
    </w:rPr>
  </w:style>
  <w:style w:type="character" w:customStyle="1" w:styleId="CommentTextChar">
    <w:name w:val="Comment Text Char"/>
    <w:basedOn w:val="DefaultParagraphFont"/>
    <w:link w:val="CommentText"/>
    <w:uiPriority w:val="99"/>
    <w:rsid w:val="003075F9"/>
    <w:rPr>
      <w:rFonts w:ascii="Arial" w:eastAsiaTheme="minorEastAsia" w:hAnsi="Arial"/>
      <w:lang w:val="en-GB"/>
    </w:rPr>
  </w:style>
  <w:style w:type="paragraph" w:styleId="CommentSubject">
    <w:name w:val="annotation subject"/>
    <w:basedOn w:val="CommentText"/>
    <w:next w:val="CommentText"/>
    <w:link w:val="CommentSubjectChar"/>
    <w:uiPriority w:val="99"/>
    <w:semiHidden/>
    <w:unhideWhenUsed/>
    <w:rsid w:val="003075F9"/>
    <w:rPr>
      <w:b/>
      <w:bCs/>
    </w:rPr>
  </w:style>
  <w:style w:type="character" w:customStyle="1" w:styleId="CommentSubjectChar">
    <w:name w:val="Comment Subject Char"/>
    <w:basedOn w:val="CommentTextChar"/>
    <w:link w:val="CommentSubject"/>
    <w:uiPriority w:val="99"/>
    <w:semiHidden/>
    <w:rsid w:val="003075F9"/>
    <w:rPr>
      <w:rFonts w:ascii="Arial" w:eastAsiaTheme="minorEastAsia" w:hAnsi="Arial"/>
      <w:b/>
      <w:bCs/>
      <w:lang w:val="en-GB"/>
    </w:rPr>
  </w:style>
  <w:style w:type="table" w:styleId="DarkList">
    <w:name w:val="Dark List"/>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2FB6BC"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5A5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3888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3888C" w:themeFill="accent1" w:themeFillShade="BF"/>
      </w:tcPr>
    </w:tblStylePr>
    <w:tblStylePr w:type="band1Vert">
      <w:tblPr/>
      <w:tcPr>
        <w:tcBorders>
          <w:top w:val="nil"/>
          <w:left w:val="nil"/>
          <w:bottom w:val="nil"/>
          <w:right w:val="nil"/>
          <w:insideH w:val="nil"/>
          <w:insideV w:val="nil"/>
        </w:tcBorders>
        <w:shd w:val="clear" w:color="auto" w:fill="23888C" w:themeFill="accent1" w:themeFillShade="BF"/>
      </w:tcPr>
    </w:tblStylePr>
    <w:tblStylePr w:type="band1Horz">
      <w:tblPr/>
      <w:tcPr>
        <w:tcBorders>
          <w:top w:val="nil"/>
          <w:left w:val="nil"/>
          <w:bottom w:val="nil"/>
          <w:right w:val="nil"/>
          <w:insideH w:val="nil"/>
          <w:insideV w:val="nil"/>
        </w:tcBorders>
        <w:shd w:val="clear" w:color="auto" w:fill="23888C" w:themeFill="accent1" w:themeFillShade="BF"/>
      </w:tcPr>
    </w:tblStylePr>
  </w:style>
  <w:style w:type="table" w:styleId="DarkList-Accent2">
    <w:name w:val="Dark List Accent 2"/>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00969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4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06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06F" w:themeFill="accent2" w:themeFillShade="BF"/>
      </w:tcPr>
    </w:tblStylePr>
    <w:tblStylePr w:type="band1Vert">
      <w:tblPr/>
      <w:tcPr>
        <w:tcBorders>
          <w:top w:val="nil"/>
          <w:left w:val="nil"/>
          <w:bottom w:val="nil"/>
          <w:right w:val="nil"/>
          <w:insideH w:val="nil"/>
          <w:insideV w:val="nil"/>
        </w:tcBorders>
        <w:shd w:val="clear" w:color="auto" w:fill="00706F" w:themeFill="accent2" w:themeFillShade="BF"/>
      </w:tcPr>
    </w:tblStylePr>
    <w:tblStylePr w:type="band1Horz">
      <w:tblPr/>
      <w:tcPr>
        <w:tcBorders>
          <w:top w:val="nil"/>
          <w:left w:val="nil"/>
          <w:bottom w:val="nil"/>
          <w:right w:val="nil"/>
          <w:insideH w:val="nil"/>
          <w:insideV w:val="nil"/>
        </w:tcBorders>
        <w:shd w:val="clear" w:color="auto" w:fill="00706F" w:themeFill="accent2" w:themeFillShade="BF"/>
      </w:tcPr>
    </w:tblStylePr>
  </w:style>
  <w:style w:type="table" w:styleId="DarkList-Accent3">
    <w:name w:val="Dark List Accent 3"/>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2B86C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426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06394"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06394" w:themeFill="accent3" w:themeFillShade="BF"/>
      </w:tcPr>
    </w:tblStylePr>
    <w:tblStylePr w:type="band1Vert">
      <w:tblPr/>
      <w:tcPr>
        <w:tcBorders>
          <w:top w:val="nil"/>
          <w:left w:val="nil"/>
          <w:bottom w:val="nil"/>
          <w:right w:val="nil"/>
          <w:insideH w:val="nil"/>
          <w:insideV w:val="nil"/>
        </w:tcBorders>
        <w:shd w:val="clear" w:color="auto" w:fill="206394" w:themeFill="accent3" w:themeFillShade="BF"/>
      </w:tcPr>
    </w:tblStylePr>
    <w:tblStylePr w:type="band1Horz">
      <w:tblPr/>
      <w:tcPr>
        <w:tcBorders>
          <w:top w:val="nil"/>
          <w:left w:val="nil"/>
          <w:bottom w:val="nil"/>
          <w:right w:val="nil"/>
          <w:insideH w:val="nil"/>
          <w:insideV w:val="nil"/>
        </w:tcBorders>
        <w:shd w:val="clear" w:color="auto" w:fill="206394" w:themeFill="accent3" w:themeFillShade="BF"/>
      </w:tcPr>
    </w:tblStylePr>
  </w:style>
  <w:style w:type="table" w:styleId="DarkList-Accent4">
    <w:name w:val="Dark List Accent 4"/>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216B9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354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84F7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84F72" w:themeFill="accent4" w:themeFillShade="BF"/>
      </w:tcPr>
    </w:tblStylePr>
    <w:tblStylePr w:type="band1Vert">
      <w:tblPr/>
      <w:tcPr>
        <w:tcBorders>
          <w:top w:val="nil"/>
          <w:left w:val="nil"/>
          <w:bottom w:val="nil"/>
          <w:right w:val="nil"/>
          <w:insideH w:val="nil"/>
          <w:insideV w:val="nil"/>
        </w:tcBorders>
        <w:shd w:val="clear" w:color="auto" w:fill="184F72" w:themeFill="accent4" w:themeFillShade="BF"/>
      </w:tcPr>
    </w:tblStylePr>
    <w:tblStylePr w:type="band1Horz">
      <w:tblPr/>
      <w:tcPr>
        <w:tcBorders>
          <w:top w:val="nil"/>
          <w:left w:val="nil"/>
          <w:bottom w:val="nil"/>
          <w:right w:val="nil"/>
          <w:insideH w:val="nil"/>
          <w:insideV w:val="nil"/>
        </w:tcBorders>
        <w:shd w:val="clear" w:color="auto" w:fill="184F72" w:themeFill="accent4" w:themeFillShade="BF"/>
      </w:tcPr>
    </w:tblStylePr>
  </w:style>
  <w:style w:type="table" w:styleId="DarkList-Accent5">
    <w:name w:val="Dark List Accent 5"/>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41AC4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52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0803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08038" w:themeFill="accent5" w:themeFillShade="BF"/>
      </w:tcPr>
    </w:tblStylePr>
    <w:tblStylePr w:type="band1Vert">
      <w:tblPr/>
      <w:tcPr>
        <w:tcBorders>
          <w:top w:val="nil"/>
          <w:left w:val="nil"/>
          <w:bottom w:val="nil"/>
          <w:right w:val="nil"/>
          <w:insideH w:val="nil"/>
          <w:insideV w:val="nil"/>
        </w:tcBorders>
        <w:shd w:val="clear" w:color="auto" w:fill="308038" w:themeFill="accent5" w:themeFillShade="BF"/>
      </w:tcPr>
    </w:tblStylePr>
    <w:tblStylePr w:type="band1Horz">
      <w:tblPr/>
      <w:tcPr>
        <w:tcBorders>
          <w:top w:val="nil"/>
          <w:left w:val="nil"/>
          <w:bottom w:val="nil"/>
          <w:right w:val="nil"/>
          <w:insideH w:val="nil"/>
          <w:insideV w:val="nil"/>
        </w:tcBorders>
        <w:shd w:val="clear" w:color="auto" w:fill="308038" w:themeFill="accent5" w:themeFillShade="BF"/>
      </w:tcPr>
    </w:tblStylePr>
  </w:style>
  <w:style w:type="table" w:styleId="DarkList-Accent6">
    <w:name w:val="Dark List Accent 6"/>
    <w:basedOn w:val="TableNormal"/>
    <w:uiPriority w:val="70"/>
    <w:semiHidden/>
    <w:unhideWhenUsed/>
    <w:rsid w:val="003075F9"/>
    <w:pPr>
      <w:spacing w:after="0" w:line="240" w:lineRule="auto"/>
    </w:pPr>
    <w:rPr>
      <w:rFonts w:eastAsiaTheme="minorEastAsia"/>
      <w:color w:val="FFFFFF" w:themeColor="background1"/>
    </w:rPr>
    <w:tblPr>
      <w:tblStyleRowBandSize w:val="1"/>
      <w:tblStyleColBandSize w:val="1"/>
    </w:tblPr>
    <w:tcPr>
      <w:shd w:val="clear" w:color="auto" w:fill="8E3F9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1F48"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A2F6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A2F6C" w:themeFill="accent6" w:themeFillShade="BF"/>
      </w:tcPr>
    </w:tblStylePr>
    <w:tblStylePr w:type="band1Vert">
      <w:tblPr/>
      <w:tcPr>
        <w:tcBorders>
          <w:top w:val="nil"/>
          <w:left w:val="nil"/>
          <w:bottom w:val="nil"/>
          <w:right w:val="nil"/>
          <w:insideH w:val="nil"/>
          <w:insideV w:val="nil"/>
        </w:tcBorders>
        <w:shd w:val="clear" w:color="auto" w:fill="6A2F6C" w:themeFill="accent6" w:themeFillShade="BF"/>
      </w:tcPr>
    </w:tblStylePr>
    <w:tblStylePr w:type="band1Horz">
      <w:tblPr/>
      <w:tcPr>
        <w:tcBorders>
          <w:top w:val="nil"/>
          <w:left w:val="nil"/>
          <w:bottom w:val="nil"/>
          <w:right w:val="nil"/>
          <w:insideH w:val="nil"/>
          <w:insideV w:val="nil"/>
        </w:tcBorders>
        <w:shd w:val="clear" w:color="auto" w:fill="6A2F6C" w:themeFill="accent6" w:themeFillShade="BF"/>
      </w:tcPr>
    </w:tblStylePr>
  </w:style>
  <w:style w:type="paragraph" w:styleId="Date">
    <w:name w:val="Date"/>
    <w:basedOn w:val="Normal"/>
    <w:next w:val="Normal"/>
    <w:link w:val="DateChar"/>
    <w:uiPriority w:val="99"/>
    <w:semiHidden/>
    <w:rsid w:val="003075F9"/>
  </w:style>
  <w:style w:type="character" w:customStyle="1" w:styleId="DateChar">
    <w:name w:val="Date Char"/>
    <w:basedOn w:val="DefaultParagraphFont"/>
    <w:link w:val="Date"/>
    <w:uiPriority w:val="99"/>
    <w:semiHidden/>
    <w:rsid w:val="003075F9"/>
    <w:rPr>
      <w:rFonts w:eastAsiaTheme="minorEastAsia"/>
      <w:lang w:val="en-GB"/>
    </w:rPr>
  </w:style>
  <w:style w:type="paragraph" w:styleId="DocumentMap">
    <w:name w:val="Document Map"/>
    <w:basedOn w:val="Normal"/>
    <w:link w:val="DocumentMapChar"/>
    <w:uiPriority w:val="99"/>
    <w:semiHidden/>
    <w:unhideWhenUsed/>
    <w:rsid w:val="003075F9"/>
    <w:pPr>
      <w:spacing w:before="0"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075F9"/>
    <w:rPr>
      <w:rFonts w:ascii="Segoe UI" w:eastAsiaTheme="minorEastAsia" w:hAnsi="Segoe UI" w:cs="Segoe UI"/>
      <w:sz w:val="16"/>
      <w:szCs w:val="16"/>
      <w:lang w:val="en-GB"/>
    </w:rPr>
  </w:style>
  <w:style w:type="paragraph" w:styleId="E-mailSignature">
    <w:name w:val="E-mail Signature"/>
    <w:basedOn w:val="Normal"/>
    <w:link w:val="E-mailSignatureChar"/>
    <w:uiPriority w:val="99"/>
    <w:semiHidden/>
    <w:unhideWhenUsed/>
    <w:rsid w:val="003075F9"/>
    <w:pPr>
      <w:spacing w:before="0" w:after="0" w:line="240" w:lineRule="auto"/>
    </w:pPr>
  </w:style>
  <w:style w:type="character" w:customStyle="1" w:styleId="E-mailSignatureChar">
    <w:name w:val="E-mail Signature Char"/>
    <w:basedOn w:val="DefaultParagraphFont"/>
    <w:link w:val="E-mailSignature"/>
    <w:uiPriority w:val="99"/>
    <w:semiHidden/>
    <w:rsid w:val="003075F9"/>
    <w:rPr>
      <w:rFonts w:eastAsiaTheme="minorEastAsia"/>
      <w:lang w:val="en-GB"/>
    </w:rPr>
  </w:style>
  <w:style w:type="character" w:styleId="Emphasis">
    <w:name w:val="Emphasis"/>
    <w:basedOn w:val="DefaultParagraphFont"/>
    <w:uiPriority w:val="39"/>
    <w:semiHidden/>
    <w:qFormat/>
    <w:rsid w:val="003075F9"/>
    <w:rPr>
      <w:bCs w:val="0"/>
      <w:i/>
      <w:iCs/>
      <w:szCs w:val="20"/>
      <w:lang w:val="en-GB"/>
    </w:rPr>
  </w:style>
  <w:style w:type="character" w:styleId="EndnoteReference">
    <w:name w:val="endnote reference"/>
    <w:basedOn w:val="DefaultParagraphFont"/>
    <w:uiPriority w:val="99"/>
    <w:semiHidden/>
    <w:unhideWhenUsed/>
    <w:rsid w:val="003075F9"/>
    <w:rPr>
      <w:bCs w:val="0"/>
      <w:szCs w:val="20"/>
      <w:vertAlign w:val="superscript"/>
      <w:lang w:val="en-GB"/>
    </w:rPr>
  </w:style>
  <w:style w:type="paragraph" w:styleId="EndnoteText">
    <w:name w:val="endnote text"/>
    <w:basedOn w:val="Normal"/>
    <w:link w:val="EndnoteTextChar"/>
    <w:uiPriority w:val="99"/>
    <w:semiHidden/>
    <w:unhideWhenUsed/>
    <w:rsid w:val="003075F9"/>
    <w:pPr>
      <w:spacing w:before="0" w:after="0" w:line="240" w:lineRule="auto"/>
    </w:pPr>
  </w:style>
  <w:style w:type="character" w:customStyle="1" w:styleId="EndnoteTextChar">
    <w:name w:val="Endnote Text Char"/>
    <w:basedOn w:val="DefaultParagraphFont"/>
    <w:link w:val="EndnoteText"/>
    <w:uiPriority w:val="99"/>
    <w:semiHidden/>
    <w:rsid w:val="003075F9"/>
    <w:rPr>
      <w:rFonts w:eastAsiaTheme="minorEastAsia"/>
      <w:lang w:val="en-GB"/>
    </w:rPr>
  </w:style>
  <w:style w:type="paragraph" w:styleId="EnvelopeAddress">
    <w:name w:val="envelope address"/>
    <w:basedOn w:val="Normal"/>
    <w:uiPriority w:val="99"/>
    <w:semiHidden/>
    <w:unhideWhenUsed/>
    <w:rsid w:val="003075F9"/>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075F9"/>
    <w:pPr>
      <w:spacing w:before="0" w:after="0" w:line="240" w:lineRule="auto"/>
    </w:pPr>
    <w:rPr>
      <w:rFonts w:asciiTheme="majorHAnsi" w:eastAsiaTheme="majorEastAsia" w:hAnsiTheme="majorHAnsi" w:cstheme="majorBidi"/>
    </w:rPr>
  </w:style>
  <w:style w:type="character" w:styleId="FollowedHyperlink">
    <w:name w:val="FollowedHyperlink"/>
    <w:aliases w:val="~FollowedHyperlink"/>
    <w:basedOn w:val="DefaultParagraphFont"/>
    <w:uiPriority w:val="37"/>
    <w:semiHidden/>
    <w:rsid w:val="003075F9"/>
    <w:rPr>
      <w:bCs w:val="0"/>
      <w:color w:val="2FB6BC" w:themeColor="followedHyperlink"/>
      <w:szCs w:val="20"/>
      <w:u w:val="single"/>
      <w:lang w:val="en-GB"/>
    </w:rPr>
  </w:style>
  <w:style w:type="character" w:styleId="FootnoteReference">
    <w:name w:val="footnote reference"/>
    <w:aliases w:val="EN Footnote Reference,SUPERS,ftref,Footnotes refss,Fussnota,Footnote symbol,Footnote reference number,Times 10 Point,Exposant 3 Point,note TESI,Footnote Reference Superscript,Zchn Zchn,Footnote number,Footnote Reference Number,BVI fnr"/>
    <w:basedOn w:val="DefaultParagraphFont"/>
    <w:uiPriority w:val="99"/>
    <w:qFormat/>
    <w:rsid w:val="003075F9"/>
    <w:rPr>
      <w:rFonts w:asciiTheme="minorHAnsi" w:hAnsiTheme="minorHAnsi"/>
      <w:bCs w:val="0"/>
      <w:color w:val="2FB6BC" w:themeColor="accent1"/>
      <w:szCs w:val="20"/>
      <w:vertAlign w:val="superscript"/>
      <w:lang w:val="en-GB"/>
    </w:rPr>
  </w:style>
  <w:style w:type="paragraph" w:styleId="FootnoteText">
    <w:name w:val="footnote text"/>
    <w:aliases w:val="~FootnoteText,RSK-FT Char,RSK-FT1 Char,RSK-FT2 Char,RSK-FT,RSK-FT1,RSK-FT2,Harestanes Ref,Char1,single space,footnote text,FOOTNOTES,fn,Schriftart: 9 pt,Schriftart: 10 pt,Schriftart: 8 pt,Fußnotentextf,Fuﬂnotentex,Fuﬂnotentextf,ft, Char1,1"/>
    <w:basedOn w:val="NoSpacing"/>
    <w:link w:val="FootnoteTextChar"/>
    <w:uiPriority w:val="99"/>
    <w:qFormat/>
    <w:rsid w:val="003075F9"/>
    <w:pPr>
      <w:spacing w:before="60"/>
      <w:ind w:left="284" w:hanging="284"/>
    </w:pPr>
    <w:rPr>
      <w:sz w:val="14"/>
      <w:szCs w:val="14"/>
    </w:rPr>
  </w:style>
  <w:style w:type="character" w:customStyle="1" w:styleId="FootnoteTextChar">
    <w:name w:val="Footnote Text Char"/>
    <w:aliases w:val="~FootnoteText Char,RSK-FT Char Char,RSK-FT1 Char Char,RSK-FT2 Char Char,RSK-FT Char1,RSK-FT1 Char1,RSK-FT2 Char1,Harestanes Ref Char,Char1 Char,single space Char,footnote text Char,FOOTNOTES Char,fn Char,Schriftart: 9 pt Char,ft Char"/>
    <w:basedOn w:val="DefaultParagraphFont"/>
    <w:link w:val="FootnoteText"/>
    <w:uiPriority w:val="99"/>
    <w:rsid w:val="003075F9"/>
    <w:rPr>
      <w:rFonts w:eastAsiaTheme="minorEastAsia"/>
      <w:sz w:val="14"/>
      <w:szCs w:val="14"/>
      <w:lang w:val="en-GB"/>
    </w:rPr>
  </w:style>
  <w:style w:type="table" w:customStyle="1" w:styleId="GridTable1Light1">
    <w:name w:val="Grid Table 1 Light1"/>
    <w:basedOn w:val="TableNormal"/>
    <w:uiPriority w:val="46"/>
    <w:rsid w:val="003075F9"/>
    <w:pPr>
      <w:spacing w:after="0" w:line="240" w:lineRule="auto"/>
    </w:pPr>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075F9"/>
    <w:pPr>
      <w:spacing w:after="0" w:line="240" w:lineRule="auto"/>
    </w:pPr>
    <w:rPr>
      <w:rFonts w:eastAsiaTheme="minorEastAsia"/>
    </w:rPr>
    <w:tblPr>
      <w:tblStyleRowBandSize w:val="1"/>
      <w:tblStyleColBandSize w:val="1"/>
      <w:tblBorders>
        <w:top w:val="single" w:sz="4" w:space="0" w:color="A7E6E9" w:themeColor="accent1" w:themeTint="66"/>
        <w:left w:val="single" w:sz="4" w:space="0" w:color="A7E6E9" w:themeColor="accent1" w:themeTint="66"/>
        <w:bottom w:val="single" w:sz="4" w:space="0" w:color="A7E6E9" w:themeColor="accent1" w:themeTint="66"/>
        <w:right w:val="single" w:sz="4" w:space="0" w:color="A7E6E9" w:themeColor="accent1" w:themeTint="66"/>
        <w:insideH w:val="single" w:sz="4" w:space="0" w:color="A7E6E9" w:themeColor="accent1" w:themeTint="66"/>
        <w:insideV w:val="single" w:sz="4" w:space="0" w:color="A7E6E9" w:themeColor="accent1" w:themeTint="66"/>
      </w:tblBorders>
    </w:tblPr>
    <w:tblStylePr w:type="firstRow">
      <w:rPr>
        <w:b/>
        <w:bCs/>
      </w:rPr>
      <w:tblPr/>
      <w:tcPr>
        <w:tcBorders>
          <w:bottom w:val="single" w:sz="12" w:space="0" w:color="7BD9DE" w:themeColor="accent1" w:themeTint="99"/>
        </w:tcBorders>
      </w:tcPr>
    </w:tblStylePr>
    <w:tblStylePr w:type="lastRow">
      <w:rPr>
        <w:b/>
        <w:bCs/>
      </w:rPr>
      <w:tblPr/>
      <w:tcPr>
        <w:tcBorders>
          <w:top w:val="double" w:sz="2" w:space="0" w:color="7BD9DE"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3075F9"/>
    <w:pPr>
      <w:spacing w:after="0" w:line="240" w:lineRule="auto"/>
    </w:pPr>
    <w:rPr>
      <w:rFonts w:eastAsiaTheme="minorEastAsia"/>
    </w:rPr>
    <w:tblPr>
      <w:tblStyleRowBandSize w:val="1"/>
      <w:tblStyleColBandSize w:val="1"/>
      <w:tblBorders>
        <w:top w:val="single" w:sz="4" w:space="0" w:color="6FFFFD" w:themeColor="accent2" w:themeTint="66"/>
        <w:left w:val="single" w:sz="4" w:space="0" w:color="6FFFFD" w:themeColor="accent2" w:themeTint="66"/>
        <w:bottom w:val="single" w:sz="4" w:space="0" w:color="6FFFFD" w:themeColor="accent2" w:themeTint="66"/>
        <w:right w:val="single" w:sz="4" w:space="0" w:color="6FFFFD" w:themeColor="accent2" w:themeTint="66"/>
        <w:insideH w:val="single" w:sz="4" w:space="0" w:color="6FFFFD" w:themeColor="accent2" w:themeTint="66"/>
        <w:insideV w:val="single" w:sz="4" w:space="0" w:color="6FFFFD" w:themeColor="accent2" w:themeTint="66"/>
      </w:tblBorders>
    </w:tblPr>
    <w:tblStylePr w:type="firstRow">
      <w:rPr>
        <w:b/>
        <w:bCs/>
      </w:rPr>
      <w:tblPr/>
      <w:tcPr>
        <w:tcBorders>
          <w:bottom w:val="single" w:sz="12" w:space="0" w:color="27FFFD" w:themeColor="accent2" w:themeTint="99"/>
        </w:tcBorders>
      </w:tcPr>
    </w:tblStylePr>
    <w:tblStylePr w:type="lastRow">
      <w:rPr>
        <w:b/>
        <w:bCs/>
      </w:rPr>
      <w:tblPr/>
      <w:tcPr>
        <w:tcBorders>
          <w:top w:val="double" w:sz="2" w:space="0" w:color="27FFFD"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3075F9"/>
    <w:pPr>
      <w:spacing w:after="0" w:line="240" w:lineRule="auto"/>
    </w:pPr>
    <w:rPr>
      <w:rFonts w:eastAsiaTheme="minorEastAsia"/>
    </w:rPr>
    <w:tblPr>
      <w:tblStyleRowBandSize w:val="1"/>
      <w:tblStyleColBandSize w:val="1"/>
      <w:tblBorders>
        <w:top w:val="single" w:sz="4" w:space="0" w:color="A6CEEC" w:themeColor="accent3" w:themeTint="66"/>
        <w:left w:val="single" w:sz="4" w:space="0" w:color="A6CEEC" w:themeColor="accent3" w:themeTint="66"/>
        <w:bottom w:val="single" w:sz="4" w:space="0" w:color="A6CEEC" w:themeColor="accent3" w:themeTint="66"/>
        <w:right w:val="single" w:sz="4" w:space="0" w:color="A6CEEC" w:themeColor="accent3" w:themeTint="66"/>
        <w:insideH w:val="single" w:sz="4" w:space="0" w:color="A6CEEC" w:themeColor="accent3" w:themeTint="66"/>
        <w:insideV w:val="single" w:sz="4" w:space="0" w:color="A6CEEC" w:themeColor="accent3" w:themeTint="66"/>
      </w:tblBorders>
    </w:tblPr>
    <w:tblStylePr w:type="firstRow">
      <w:rPr>
        <w:b/>
        <w:bCs/>
      </w:rPr>
      <w:tblPr/>
      <w:tcPr>
        <w:tcBorders>
          <w:bottom w:val="single" w:sz="12" w:space="0" w:color="7AB6E2" w:themeColor="accent3" w:themeTint="99"/>
        </w:tcBorders>
      </w:tcPr>
    </w:tblStylePr>
    <w:tblStylePr w:type="lastRow">
      <w:rPr>
        <w:b/>
        <w:bCs/>
      </w:rPr>
      <w:tblPr/>
      <w:tcPr>
        <w:tcBorders>
          <w:top w:val="double" w:sz="2" w:space="0" w:color="7AB6E2"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3075F9"/>
    <w:pPr>
      <w:spacing w:after="0" w:line="240" w:lineRule="auto"/>
    </w:pPr>
    <w:rPr>
      <w:rFonts w:eastAsiaTheme="minorEastAsia"/>
    </w:rPr>
    <w:tblPr>
      <w:tblStyleRowBandSize w:val="1"/>
      <w:tblStyleColBandSize w:val="1"/>
      <w:tblBorders>
        <w:top w:val="single" w:sz="4" w:space="0" w:color="94C7E8" w:themeColor="accent4" w:themeTint="66"/>
        <w:left w:val="single" w:sz="4" w:space="0" w:color="94C7E8" w:themeColor="accent4" w:themeTint="66"/>
        <w:bottom w:val="single" w:sz="4" w:space="0" w:color="94C7E8" w:themeColor="accent4" w:themeTint="66"/>
        <w:right w:val="single" w:sz="4" w:space="0" w:color="94C7E8" w:themeColor="accent4" w:themeTint="66"/>
        <w:insideH w:val="single" w:sz="4" w:space="0" w:color="94C7E8" w:themeColor="accent4" w:themeTint="66"/>
        <w:insideV w:val="single" w:sz="4" w:space="0" w:color="94C7E8" w:themeColor="accent4" w:themeTint="66"/>
      </w:tblBorders>
    </w:tblPr>
    <w:tblStylePr w:type="firstRow">
      <w:rPr>
        <w:b/>
        <w:bCs/>
      </w:rPr>
      <w:tblPr/>
      <w:tcPr>
        <w:tcBorders>
          <w:bottom w:val="single" w:sz="12" w:space="0" w:color="5EACDC" w:themeColor="accent4" w:themeTint="99"/>
        </w:tcBorders>
      </w:tcPr>
    </w:tblStylePr>
    <w:tblStylePr w:type="lastRow">
      <w:rPr>
        <w:b/>
        <w:bCs/>
      </w:rPr>
      <w:tblPr/>
      <w:tcPr>
        <w:tcBorders>
          <w:top w:val="double" w:sz="2" w:space="0" w:color="5EACDC"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3075F9"/>
    <w:pPr>
      <w:spacing w:after="0" w:line="240" w:lineRule="auto"/>
    </w:pPr>
    <w:rPr>
      <w:rFonts w:eastAsiaTheme="minorEastAsia"/>
    </w:rPr>
    <w:tblPr>
      <w:tblStyleRowBandSize w:val="1"/>
      <w:tblStyleColBandSize w:val="1"/>
      <w:tblBorders>
        <w:top w:val="single" w:sz="4" w:space="0" w:color="AFE1B4" w:themeColor="accent5" w:themeTint="66"/>
        <w:left w:val="single" w:sz="4" w:space="0" w:color="AFE1B4" w:themeColor="accent5" w:themeTint="66"/>
        <w:bottom w:val="single" w:sz="4" w:space="0" w:color="AFE1B4" w:themeColor="accent5" w:themeTint="66"/>
        <w:right w:val="single" w:sz="4" w:space="0" w:color="AFE1B4" w:themeColor="accent5" w:themeTint="66"/>
        <w:insideH w:val="single" w:sz="4" w:space="0" w:color="AFE1B4" w:themeColor="accent5" w:themeTint="66"/>
        <w:insideV w:val="single" w:sz="4" w:space="0" w:color="AFE1B4" w:themeColor="accent5" w:themeTint="66"/>
      </w:tblBorders>
    </w:tblPr>
    <w:tblStylePr w:type="firstRow">
      <w:rPr>
        <w:b/>
        <w:bCs/>
      </w:rPr>
      <w:tblPr/>
      <w:tcPr>
        <w:tcBorders>
          <w:bottom w:val="single" w:sz="12" w:space="0" w:color="88D28F" w:themeColor="accent5" w:themeTint="99"/>
        </w:tcBorders>
      </w:tcPr>
    </w:tblStylePr>
    <w:tblStylePr w:type="lastRow">
      <w:rPr>
        <w:b/>
        <w:bCs/>
      </w:rPr>
      <w:tblPr/>
      <w:tcPr>
        <w:tcBorders>
          <w:top w:val="double" w:sz="2" w:space="0" w:color="88D28F"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3075F9"/>
    <w:pPr>
      <w:spacing w:after="0" w:line="240" w:lineRule="auto"/>
    </w:pPr>
    <w:rPr>
      <w:rFonts w:eastAsiaTheme="minorEastAsia"/>
    </w:rPr>
    <w:tblPr>
      <w:tblStyleRowBandSize w:val="1"/>
      <w:tblStyleColBandSize w:val="1"/>
      <w:tblBorders>
        <w:top w:val="single" w:sz="4" w:space="0" w:color="D8AADA" w:themeColor="accent6" w:themeTint="66"/>
        <w:left w:val="single" w:sz="4" w:space="0" w:color="D8AADA" w:themeColor="accent6" w:themeTint="66"/>
        <w:bottom w:val="single" w:sz="4" w:space="0" w:color="D8AADA" w:themeColor="accent6" w:themeTint="66"/>
        <w:right w:val="single" w:sz="4" w:space="0" w:color="D8AADA" w:themeColor="accent6" w:themeTint="66"/>
        <w:insideH w:val="single" w:sz="4" w:space="0" w:color="D8AADA" w:themeColor="accent6" w:themeTint="66"/>
        <w:insideV w:val="single" w:sz="4" w:space="0" w:color="D8AADA" w:themeColor="accent6" w:themeTint="66"/>
      </w:tblBorders>
    </w:tblPr>
    <w:tblStylePr w:type="firstRow">
      <w:rPr>
        <w:b/>
        <w:bCs/>
      </w:rPr>
      <w:tblPr/>
      <w:tcPr>
        <w:tcBorders>
          <w:bottom w:val="single" w:sz="12" w:space="0" w:color="C580C8" w:themeColor="accent6" w:themeTint="99"/>
        </w:tcBorders>
      </w:tcPr>
    </w:tblStylePr>
    <w:tblStylePr w:type="lastRow">
      <w:rPr>
        <w:b/>
        <w:bCs/>
      </w:rPr>
      <w:tblPr/>
      <w:tcPr>
        <w:tcBorders>
          <w:top w:val="double" w:sz="2" w:space="0" w:color="C580C8" w:themeColor="accent6" w:themeTint="99"/>
        </w:tcBorders>
      </w:tcPr>
    </w:tblStylePr>
    <w:tblStylePr w:type="firstCol">
      <w:rPr>
        <w:b/>
        <w:bCs/>
      </w:rPr>
    </w:tblStylePr>
    <w:tblStylePr w:type="lastCol">
      <w:rPr>
        <w:b/>
        <w:bCs/>
      </w:rPr>
    </w:tblStylePr>
  </w:style>
  <w:style w:type="table" w:customStyle="1" w:styleId="GridTable21">
    <w:name w:val="Grid Table 21"/>
    <w:basedOn w:val="TableNormal"/>
    <w:uiPriority w:val="47"/>
    <w:rsid w:val="003075F9"/>
    <w:pPr>
      <w:spacing w:after="0" w:line="240" w:lineRule="auto"/>
    </w:pPr>
    <w:rPr>
      <w:rFonts w:eastAsiaTheme="minorEastAsia"/>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1">
    <w:name w:val="Grid Table 2 - Accent 11"/>
    <w:basedOn w:val="TableNormal"/>
    <w:uiPriority w:val="47"/>
    <w:rsid w:val="003075F9"/>
    <w:pPr>
      <w:spacing w:after="0" w:line="240" w:lineRule="auto"/>
    </w:pPr>
    <w:rPr>
      <w:rFonts w:eastAsiaTheme="minorEastAsia"/>
    </w:rPr>
    <w:tblPr>
      <w:tblStyleRowBandSize w:val="1"/>
      <w:tblStyleColBandSize w:val="1"/>
      <w:tblBorders>
        <w:top w:val="single" w:sz="2" w:space="0" w:color="7BD9DE" w:themeColor="accent1" w:themeTint="99"/>
        <w:bottom w:val="single" w:sz="2" w:space="0" w:color="7BD9DE" w:themeColor="accent1" w:themeTint="99"/>
        <w:insideH w:val="single" w:sz="2" w:space="0" w:color="7BD9DE" w:themeColor="accent1" w:themeTint="99"/>
        <w:insideV w:val="single" w:sz="2" w:space="0" w:color="7BD9DE" w:themeColor="accent1" w:themeTint="99"/>
      </w:tblBorders>
    </w:tblPr>
    <w:tblStylePr w:type="firstRow">
      <w:rPr>
        <w:b/>
        <w:bCs/>
      </w:rPr>
      <w:tblPr/>
      <w:tcPr>
        <w:tcBorders>
          <w:top w:val="nil"/>
          <w:bottom w:val="single" w:sz="12" w:space="0" w:color="7BD9DE" w:themeColor="accent1" w:themeTint="99"/>
          <w:insideH w:val="nil"/>
          <w:insideV w:val="nil"/>
        </w:tcBorders>
        <w:shd w:val="clear" w:color="auto" w:fill="FFFFFF" w:themeFill="background1"/>
      </w:tcPr>
    </w:tblStylePr>
    <w:tblStylePr w:type="lastRow">
      <w:rPr>
        <w:b/>
        <w:bCs/>
      </w:rPr>
      <w:tblPr/>
      <w:tcPr>
        <w:tcBorders>
          <w:top w:val="double" w:sz="2" w:space="0" w:color="7BD9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GridTable2-Accent21">
    <w:name w:val="Grid Table 2 - Accent 21"/>
    <w:basedOn w:val="TableNormal"/>
    <w:uiPriority w:val="47"/>
    <w:rsid w:val="003075F9"/>
    <w:pPr>
      <w:spacing w:after="0" w:line="240" w:lineRule="auto"/>
    </w:pPr>
    <w:rPr>
      <w:rFonts w:eastAsiaTheme="minorEastAsia"/>
    </w:rPr>
    <w:tblPr>
      <w:tblStyleRowBandSize w:val="1"/>
      <w:tblStyleColBandSize w:val="1"/>
      <w:tblBorders>
        <w:top w:val="single" w:sz="2" w:space="0" w:color="27FFFD" w:themeColor="accent2" w:themeTint="99"/>
        <w:bottom w:val="single" w:sz="2" w:space="0" w:color="27FFFD" w:themeColor="accent2" w:themeTint="99"/>
        <w:insideH w:val="single" w:sz="2" w:space="0" w:color="27FFFD" w:themeColor="accent2" w:themeTint="99"/>
        <w:insideV w:val="single" w:sz="2" w:space="0" w:color="27FFFD" w:themeColor="accent2" w:themeTint="99"/>
      </w:tblBorders>
    </w:tblPr>
    <w:tblStylePr w:type="firstRow">
      <w:rPr>
        <w:b/>
        <w:bCs/>
      </w:rPr>
      <w:tblPr/>
      <w:tcPr>
        <w:tcBorders>
          <w:top w:val="nil"/>
          <w:bottom w:val="single" w:sz="12" w:space="0" w:color="27FFFD" w:themeColor="accent2" w:themeTint="99"/>
          <w:insideH w:val="nil"/>
          <w:insideV w:val="nil"/>
        </w:tcBorders>
        <w:shd w:val="clear" w:color="auto" w:fill="FFFFFF" w:themeFill="background1"/>
      </w:tcPr>
    </w:tblStylePr>
    <w:tblStylePr w:type="lastRow">
      <w:rPr>
        <w:b/>
        <w:bCs/>
      </w:rPr>
      <w:tblPr/>
      <w:tcPr>
        <w:tcBorders>
          <w:top w:val="double" w:sz="2" w:space="0" w:color="27FFF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GridTable2-Accent31">
    <w:name w:val="Grid Table 2 - Accent 31"/>
    <w:basedOn w:val="TableNormal"/>
    <w:uiPriority w:val="47"/>
    <w:rsid w:val="003075F9"/>
    <w:pPr>
      <w:spacing w:after="0" w:line="240" w:lineRule="auto"/>
    </w:pPr>
    <w:rPr>
      <w:rFonts w:eastAsiaTheme="minorEastAsia"/>
    </w:rPr>
    <w:tblPr>
      <w:tblStyleRowBandSize w:val="1"/>
      <w:tblStyleColBandSize w:val="1"/>
      <w:tblBorders>
        <w:top w:val="single" w:sz="2" w:space="0" w:color="7AB6E2" w:themeColor="accent3" w:themeTint="99"/>
        <w:bottom w:val="single" w:sz="2" w:space="0" w:color="7AB6E2" w:themeColor="accent3" w:themeTint="99"/>
        <w:insideH w:val="single" w:sz="2" w:space="0" w:color="7AB6E2" w:themeColor="accent3" w:themeTint="99"/>
        <w:insideV w:val="single" w:sz="2" w:space="0" w:color="7AB6E2" w:themeColor="accent3" w:themeTint="99"/>
      </w:tblBorders>
    </w:tblPr>
    <w:tblStylePr w:type="firstRow">
      <w:rPr>
        <w:b/>
        <w:bCs/>
      </w:rPr>
      <w:tblPr/>
      <w:tcPr>
        <w:tcBorders>
          <w:top w:val="nil"/>
          <w:bottom w:val="single" w:sz="12" w:space="0" w:color="7AB6E2" w:themeColor="accent3" w:themeTint="99"/>
          <w:insideH w:val="nil"/>
          <w:insideV w:val="nil"/>
        </w:tcBorders>
        <w:shd w:val="clear" w:color="auto" w:fill="FFFFFF" w:themeFill="background1"/>
      </w:tcPr>
    </w:tblStylePr>
    <w:tblStylePr w:type="lastRow">
      <w:rPr>
        <w:b/>
        <w:bCs/>
      </w:rPr>
      <w:tblPr/>
      <w:tcPr>
        <w:tcBorders>
          <w:top w:val="double" w:sz="2" w:space="0" w:color="7AB6E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GridTable2-Accent41">
    <w:name w:val="Grid Table 2 - Accent 41"/>
    <w:basedOn w:val="TableNormal"/>
    <w:uiPriority w:val="47"/>
    <w:rsid w:val="003075F9"/>
    <w:pPr>
      <w:spacing w:after="0" w:line="240" w:lineRule="auto"/>
    </w:pPr>
    <w:rPr>
      <w:rFonts w:eastAsiaTheme="minorEastAsia"/>
    </w:rPr>
    <w:tblPr>
      <w:tblStyleRowBandSize w:val="1"/>
      <w:tblStyleColBandSize w:val="1"/>
      <w:tblBorders>
        <w:top w:val="single" w:sz="2" w:space="0" w:color="5EACDC" w:themeColor="accent4" w:themeTint="99"/>
        <w:bottom w:val="single" w:sz="2" w:space="0" w:color="5EACDC" w:themeColor="accent4" w:themeTint="99"/>
        <w:insideH w:val="single" w:sz="2" w:space="0" w:color="5EACDC" w:themeColor="accent4" w:themeTint="99"/>
        <w:insideV w:val="single" w:sz="2" w:space="0" w:color="5EACDC" w:themeColor="accent4" w:themeTint="99"/>
      </w:tblBorders>
    </w:tblPr>
    <w:tblStylePr w:type="firstRow">
      <w:rPr>
        <w:b/>
        <w:bCs/>
      </w:rPr>
      <w:tblPr/>
      <w:tcPr>
        <w:tcBorders>
          <w:top w:val="nil"/>
          <w:bottom w:val="single" w:sz="12" w:space="0" w:color="5EACDC" w:themeColor="accent4" w:themeTint="99"/>
          <w:insideH w:val="nil"/>
          <w:insideV w:val="nil"/>
        </w:tcBorders>
        <w:shd w:val="clear" w:color="auto" w:fill="FFFFFF" w:themeFill="background1"/>
      </w:tcPr>
    </w:tblStylePr>
    <w:tblStylePr w:type="lastRow">
      <w:rPr>
        <w:b/>
        <w:bCs/>
      </w:rPr>
      <w:tblPr/>
      <w:tcPr>
        <w:tcBorders>
          <w:top w:val="double" w:sz="2" w:space="0" w:color="5EACD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GridTable2-Accent51">
    <w:name w:val="Grid Table 2 - Accent 51"/>
    <w:basedOn w:val="TableNormal"/>
    <w:uiPriority w:val="47"/>
    <w:rsid w:val="003075F9"/>
    <w:pPr>
      <w:spacing w:after="0" w:line="240" w:lineRule="auto"/>
    </w:pPr>
    <w:rPr>
      <w:rFonts w:eastAsiaTheme="minorEastAsia"/>
    </w:rPr>
    <w:tblPr>
      <w:tblStyleRowBandSize w:val="1"/>
      <w:tblStyleColBandSize w:val="1"/>
      <w:tblBorders>
        <w:top w:val="single" w:sz="2" w:space="0" w:color="88D28F" w:themeColor="accent5" w:themeTint="99"/>
        <w:bottom w:val="single" w:sz="2" w:space="0" w:color="88D28F" w:themeColor="accent5" w:themeTint="99"/>
        <w:insideH w:val="single" w:sz="2" w:space="0" w:color="88D28F" w:themeColor="accent5" w:themeTint="99"/>
        <w:insideV w:val="single" w:sz="2" w:space="0" w:color="88D28F" w:themeColor="accent5" w:themeTint="99"/>
      </w:tblBorders>
    </w:tblPr>
    <w:tblStylePr w:type="firstRow">
      <w:rPr>
        <w:b/>
        <w:bCs/>
      </w:rPr>
      <w:tblPr/>
      <w:tcPr>
        <w:tcBorders>
          <w:top w:val="nil"/>
          <w:bottom w:val="single" w:sz="12" w:space="0" w:color="88D28F" w:themeColor="accent5" w:themeTint="99"/>
          <w:insideH w:val="nil"/>
          <w:insideV w:val="nil"/>
        </w:tcBorders>
        <w:shd w:val="clear" w:color="auto" w:fill="FFFFFF" w:themeFill="background1"/>
      </w:tcPr>
    </w:tblStylePr>
    <w:tblStylePr w:type="lastRow">
      <w:rPr>
        <w:b/>
        <w:bCs/>
      </w:rPr>
      <w:tblPr/>
      <w:tcPr>
        <w:tcBorders>
          <w:top w:val="double" w:sz="2" w:space="0" w:color="88D28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GridTable2-Accent61">
    <w:name w:val="Grid Table 2 - Accent 61"/>
    <w:basedOn w:val="TableNormal"/>
    <w:uiPriority w:val="47"/>
    <w:rsid w:val="003075F9"/>
    <w:pPr>
      <w:spacing w:after="0" w:line="240" w:lineRule="auto"/>
    </w:pPr>
    <w:rPr>
      <w:rFonts w:eastAsiaTheme="minorEastAsia"/>
    </w:rPr>
    <w:tblPr>
      <w:tblStyleRowBandSize w:val="1"/>
      <w:tblStyleColBandSize w:val="1"/>
      <w:tblBorders>
        <w:top w:val="single" w:sz="2" w:space="0" w:color="C580C8" w:themeColor="accent6" w:themeTint="99"/>
        <w:bottom w:val="single" w:sz="2" w:space="0" w:color="C580C8" w:themeColor="accent6" w:themeTint="99"/>
        <w:insideH w:val="single" w:sz="2" w:space="0" w:color="C580C8" w:themeColor="accent6" w:themeTint="99"/>
        <w:insideV w:val="single" w:sz="2" w:space="0" w:color="C580C8" w:themeColor="accent6" w:themeTint="99"/>
      </w:tblBorders>
    </w:tblPr>
    <w:tblStylePr w:type="firstRow">
      <w:rPr>
        <w:b/>
        <w:bCs/>
      </w:rPr>
      <w:tblPr/>
      <w:tcPr>
        <w:tcBorders>
          <w:top w:val="nil"/>
          <w:bottom w:val="single" w:sz="12" w:space="0" w:color="C580C8" w:themeColor="accent6" w:themeTint="99"/>
          <w:insideH w:val="nil"/>
          <w:insideV w:val="nil"/>
        </w:tcBorders>
        <w:shd w:val="clear" w:color="auto" w:fill="FFFFFF" w:themeFill="background1"/>
      </w:tcPr>
    </w:tblStylePr>
    <w:tblStylePr w:type="lastRow">
      <w:rPr>
        <w:b/>
        <w:bCs/>
      </w:rPr>
      <w:tblPr/>
      <w:tcPr>
        <w:tcBorders>
          <w:top w:val="double" w:sz="2" w:space="0" w:color="C580C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GridTable31">
    <w:name w:val="Grid Table 31"/>
    <w:basedOn w:val="TableNormal"/>
    <w:uiPriority w:val="48"/>
    <w:rsid w:val="003075F9"/>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1">
    <w:name w:val="Grid Table 3 - Accent 11"/>
    <w:basedOn w:val="TableNormal"/>
    <w:uiPriority w:val="48"/>
    <w:rsid w:val="003075F9"/>
    <w:pPr>
      <w:spacing w:after="0" w:line="240" w:lineRule="auto"/>
    </w:pPr>
    <w:rPr>
      <w:rFonts w:eastAsiaTheme="minorEastAsia"/>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2F4" w:themeFill="accent1" w:themeFillTint="33"/>
      </w:tcPr>
    </w:tblStylePr>
    <w:tblStylePr w:type="band1Horz">
      <w:tblPr/>
      <w:tcPr>
        <w:shd w:val="clear" w:color="auto" w:fill="D3F2F4" w:themeFill="accent1" w:themeFillTint="33"/>
      </w:tcPr>
    </w:tblStylePr>
    <w:tblStylePr w:type="neCell">
      <w:tblPr/>
      <w:tcPr>
        <w:tcBorders>
          <w:bottom w:val="single" w:sz="4" w:space="0" w:color="7BD9DE" w:themeColor="accent1" w:themeTint="99"/>
        </w:tcBorders>
      </w:tcPr>
    </w:tblStylePr>
    <w:tblStylePr w:type="nwCell">
      <w:tblPr/>
      <w:tcPr>
        <w:tcBorders>
          <w:bottom w:val="single" w:sz="4" w:space="0" w:color="7BD9DE" w:themeColor="accent1" w:themeTint="99"/>
        </w:tcBorders>
      </w:tcPr>
    </w:tblStylePr>
    <w:tblStylePr w:type="seCell">
      <w:tblPr/>
      <w:tcPr>
        <w:tcBorders>
          <w:top w:val="single" w:sz="4" w:space="0" w:color="7BD9DE" w:themeColor="accent1" w:themeTint="99"/>
        </w:tcBorders>
      </w:tcPr>
    </w:tblStylePr>
    <w:tblStylePr w:type="swCell">
      <w:tblPr/>
      <w:tcPr>
        <w:tcBorders>
          <w:top w:val="single" w:sz="4" w:space="0" w:color="7BD9DE" w:themeColor="accent1" w:themeTint="99"/>
        </w:tcBorders>
      </w:tcPr>
    </w:tblStylePr>
  </w:style>
  <w:style w:type="table" w:customStyle="1" w:styleId="GridTable3-Accent21">
    <w:name w:val="Grid Table 3 - Accent 21"/>
    <w:basedOn w:val="TableNormal"/>
    <w:uiPriority w:val="48"/>
    <w:rsid w:val="003075F9"/>
    <w:pPr>
      <w:spacing w:after="0" w:line="240" w:lineRule="auto"/>
    </w:pPr>
    <w:rPr>
      <w:rFonts w:eastAsiaTheme="minorEastAsia"/>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FE" w:themeFill="accent2" w:themeFillTint="33"/>
      </w:tcPr>
    </w:tblStylePr>
    <w:tblStylePr w:type="band1Horz">
      <w:tblPr/>
      <w:tcPr>
        <w:shd w:val="clear" w:color="auto" w:fill="B7FFFE" w:themeFill="accent2" w:themeFillTint="33"/>
      </w:tcPr>
    </w:tblStylePr>
    <w:tblStylePr w:type="neCell">
      <w:tblPr/>
      <w:tcPr>
        <w:tcBorders>
          <w:bottom w:val="single" w:sz="4" w:space="0" w:color="27FFFD" w:themeColor="accent2" w:themeTint="99"/>
        </w:tcBorders>
      </w:tcPr>
    </w:tblStylePr>
    <w:tblStylePr w:type="nwCell">
      <w:tblPr/>
      <w:tcPr>
        <w:tcBorders>
          <w:bottom w:val="single" w:sz="4" w:space="0" w:color="27FFFD" w:themeColor="accent2" w:themeTint="99"/>
        </w:tcBorders>
      </w:tcPr>
    </w:tblStylePr>
    <w:tblStylePr w:type="seCell">
      <w:tblPr/>
      <w:tcPr>
        <w:tcBorders>
          <w:top w:val="single" w:sz="4" w:space="0" w:color="27FFFD" w:themeColor="accent2" w:themeTint="99"/>
        </w:tcBorders>
      </w:tcPr>
    </w:tblStylePr>
    <w:tblStylePr w:type="swCell">
      <w:tblPr/>
      <w:tcPr>
        <w:tcBorders>
          <w:top w:val="single" w:sz="4" w:space="0" w:color="27FFFD" w:themeColor="accent2" w:themeTint="99"/>
        </w:tcBorders>
      </w:tcPr>
    </w:tblStylePr>
  </w:style>
  <w:style w:type="table" w:customStyle="1" w:styleId="GridTable3-Accent31">
    <w:name w:val="Grid Table 3 - Accent 31"/>
    <w:basedOn w:val="TableNormal"/>
    <w:uiPriority w:val="48"/>
    <w:rsid w:val="003075F9"/>
    <w:pPr>
      <w:spacing w:after="0" w:line="240" w:lineRule="auto"/>
    </w:pPr>
    <w:rPr>
      <w:rFonts w:eastAsiaTheme="minorEastAsia"/>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6F5" w:themeFill="accent3" w:themeFillTint="33"/>
      </w:tcPr>
    </w:tblStylePr>
    <w:tblStylePr w:type="band1Horz">
      <w:tblPr/>
      <w:tcPr>
        <w:shd w:val="clear" w:color="auto" w:fill="D2E6F5" w:themeFill="accent3" w:themeFillTint="33"/>
      </w:tcPr>
    </w:tblStylePr>
    <w:tblStylePr w:type="neCell">
      <w:tblPr/>
      <w:tcPr>
        <w:tcBorders>
          <w:bottom w:val="single" w:sz="4" w:space="0" w:color="7AB6E2" w:themeColor="accent3" w:themeTint="99"/>
        </w:tcBorders>
      </w:tcPr>
    </w:tblStylePr>
    <w:tblStylePr w:type="nwCell">
      <w:tblPr/>
      <w:tcPr>
        <w:tcBorders>
          <w:bottom w:val="single" w:sz="4" w:space="0" w:color="7AB6E2" w:themeColor="accent3" w:themeTint="99"/>
        </w:tcBorders>
      </w:tcPr>
    </w:tblStylePr>
    <w:tblStylePr w:type="seCell">
      <w:tblPr/>
      <w:tcPr>
        <w:tcBorders>
          <w:top w:val="single" w:sz="4" w:space="0" w:color="7AB6E2" w:themeColor="accent3" w:themeTint="99"/>
        </w:tcBorders>
      </w:tcPr>
    </w:tblStylePr>
    <w:tblStylePr w:type="swCell">
      <w:tblPr/>
      <w:tcPr>
        <w:tcBorders>
          <w:top w:val="single" w:sz="4" w:space="0" w:color="7AB6E2" w:themeColor="accent3" w:themeTint="99"/>
        </w:tcBorders>
      </w:tcPr>
    </w:tblStylePr>
  </w:style>
  <w:style w:type="table" w:customStyle="1" w:styleId="GridTable3-Accent41">
    <w:name w:val="Grid Table 3 - Accent 41"/>
    <w:basedOn w:val="TableNormal"/>
    <w:uiPriority w:val="48"/>
    <w:rsid w:val="003075F9"/>
    <w:pPr>
      <w:spacing w:after="0" w:line="240" w:lineRule="auto"/>
    </w:pPr>
    <w:rPr>
      <w:rFonts w:eastAsiaTheme="minorEastAsia"/>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bottom w:val="single" w:sz="4" w:space="0" w:color="5EACDC" w:themeColor="accent4" w:themeTint="99"/>
        </w:tcBorders>
      </w:tcPr>
    </w:tblStylePr>
    <w:tblStylePr w:type="nwCell">
      <w:tblPr/>
      <w:tcPr>
        <w:tcBorders>
          <w:bottom w:val="single" w:sz="4" w:space="0" w:color="5EACDC" w:themeColor="accent4" w:themeTint="99"/>
        </w:tcBorders>
      </w:tcPr>
    </w:tblStylePr>
    <w:tblStylePr w:type="seCell">
      <w:tblPr/>
      <w:tcPr>
        <w:tcBorders>
          <w:top w:val="single" w:sz="4" w:space="0" w:color="5EACDC" w:themeColor="accent4" w:themeTint="99"/>
        </w:tcBorders>
      </w:tcPr>
    </w:tblStylePr>
    <w:tblStylePr w:type="swCell">
      <w:tblPr/>
      <w:tcPr>
        <w:tcBorders>
          <w:top w:val="single" w:sz="4" w:space="0" w:color="5EACDC" w:themeColor="accent4" w:themeTint="99"/>
        </w:tcBorders>
      </w:tcPr>
    </w:tblStylePr>
  </w:style>
  <w:style w:type="table" w:customStyle="1" w:styleId="GridTable3-Accent51">
    <w:name w:val="Grid Table 3 - Accent 51"/>
    <w:basedOn w:val="TableNormal"/>
    <w:uiPriority w:val="48"/>
    <w:rsid w:val="003075F9"/>
    <w:pPr>
      <w:spacing w:after="0" w:line="240" w:lineRule="auto"/>
    </w:pPr>
    <w:rPr>
      <w:rFonts w:eastAsiaTheme="minorEastAsia"/>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bottom w:val="single" w:sz="4" w:space="0" w:color="88D28F" w:themeColor="accent5" w:themeTint="99"/>
        </w:tcBorders>
      </w:tcPr>
    </w:tblStylePr>
    <w:tblStylePr w:type="nwCell">
      <w:tblPr/>
      <w:tcPr>
        <w:tcBorders>
          <w:bottom w:val="single" w:sz="4" w:space="0" w:color="88D28F" w:themeColor="accent5" w:themeTint="99"/>
        </w:tcBorders>
      </w:tcPr>
    </w:tblStylePr>
    <w:tblStylePr w:type="seCell">
      <w:tblPr/>
      <w:tcPr>
        <w:tcBorders>
          <w:top w:val="single" w:sz="4" w:space="0" w:color="88D28F" w:themeColor="accent5" w:themeTint="99"/>
        </w:tcBorders>
      </w:tcPr>
    </w:tblStylePr>
    <w:tblStylePr w:type="swCell">
      <w:tblPr/>
      <w:tcPr>
        <w:tcBorders>
          <w:top w:val="single" w:sz="4" w:space="0" w:color="88D28F" w:themeColor="accent5" w:themeTint="99"/>
        </w:tcBorders>
      </w:tcPr>
    </w:tblStylePr>
  </w:style>
  <w:style w:type="table" w:customStyle="1" w:styleId="GridTable3-Accent61">
    <w:name w:val="Grid Table 3 - Accent 61"/>
    <w:basedOn w:val="TableNormal"/>
    <w:uiPriority w:val="48"/>
    <w:rsid w:val="003075F9"/>
    <w:pPr>
      <w:spacing w:after="0" w:line="240" w:lineRule="auto"/>
    </w:pPr>
    <w:rPr>
      <w:rFonts w:eastAsiaTheme="minorEastAsia"/>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bottom w:val="single" w:sz="4" w:space="0" w:color="C580C8" w:themeColor="accent6" w:themeTint="99"/>
        </w:tcBorders>
      </w:tcPr>
    </w:tblStylePr>
    <w:tblStylePr w:type="nwCell">
      <w:tblPr/>
      <w:tcPr>
        <w:tcBorders>
          <w:bottom w:val="single" w:sz="4" w:space="0" w:color="C580C8" w:themeColor="accent6" w:themeTint="99"/>
        </w:tcBorders>
      </w:tcPr>
    </w:tblStylePr>
    <w:tblStylePr w:type="seCell">
      <w:tblPr/>
      <w:tcPr>
        <w:tcBorders>
          <w:top w:val="single" w:sz="4" w:space="0" w:color="C580C8" w:themeColor="accent6" w:themeTint="99"/>
        </w:tcBorders>
      </w:tcPr>
    </w:tblStylePr>
    <w:tblStylePr w:type="swCell">
      <w:tblPr/>
      <w:tcPr>
        <w:tcBorders>
          <w:top w:val="single" w:sz="4" w:space="0" w:color="C580C8" w:themeColor="accent6" w:themeTint="99"/>
        </w:tcBorders>
      </w:tcPr>
    </w:tblStylePr>
  </w:style>
  <w:style w:type="table" w:customStyle="1" w:styleId="GridTable41">
    <w:name w:val="Grid Table 41"/>
    <w:basedOn w:val="TableNormal"/>
    <w:uiPriority w:val="49"/>
    <w:rsid w:val="003075F9"/>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1">
    <w:name w:val="Grid Table 4 - Accent 11"/>
    <w:basedOn w:val="TableNormal"/>
    <w:uiPriority w:val="49"/>
    <w:rsid w:val="003075F9"/>
    <w:pPr>
      <w:spacing w:after="0" w:line="240" w:lineRule="auto"/>
    </w:pPr>
    <w:rPr>
      <w:rFonts w:eastAsiaTheme="minorEastAsia"/>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Pr>
    <w:tblStylePr w:type="firstRow">
      <w:rPr>
        <w:b/>
        <w:bCs/>
        <w:color w:val="FFFFFF" w:themeColor="background1"/>
      </w:rPr>
      <w:tblPr/>
      <w:tcPr>
        <w:tcBorders>
          <w:top w:val="single" w:sz="4" w:space="0" w:color="2FB6BC" w:themeColor="accent1"/>
          <w:left w:val="single" w:sz="4" w:space="0" w:color="2FB6BC" w:themeColor="accent1"/>
          <w:bottom w:val="single" w:sz="4" w:space="0" w:color="2FB6BC" w:themeColor="accent1"/>
          <w:right w:val="single" w:sz="4" w:space="0" w:color="2FB6BC" w:themeColor="accent1"/>
          <w:insideH w:val="nil"/>
          <w:insideV w:val="nil"/>
        </w:tcBorders>
        <w:shd w:val="clear" w:color="auto" w:fill="2FB6BC" w:themeFill="accent1"/>
      </w:tcPr>
    </w:tblStylePr>
    <w:tblStylePr w:type="lastRow">
      <w:rPr>
        <w:b/>
        <w:bCs/>
      </w:rPr>
      <w:tblPr/>
      <w:tcPr>
        <w:tcBorders>
          <w:top w:val="double" w:sz="4" w:space="0" w:color="2FB6BC" w:themeColor="accent1"/>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GridTable4-Accent21">
    <w:name w:val="Grid Table 4 - Accent 21"/>
    <w:basedOn w:val="TableNormal"/>
    <w:uiPriority w:val="49"/>
    <w:rsid w:val="003075F9"/>
    <w:pPr>
      <w:spacing w:after="0" w:line="240" w:lineRule="auto"/>
    </w:pPr>
    <w:rPr>
      <w:rFonts w:eastAsiaTheme="minorEastAsia"/>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Pr>
    <w:tblStylePr w:type="firstRow">
      <w:rPr>
        <w:b/>
        <w:bCs/>
        <w:color w:val="FFFFFF" w:themeColor="background1"/>
      </w:rPr>
      <w:tblPr/>
      <w:tcPr>
        <w:tcBorders>
          <w:top w:val="single" w:sz="4" w:space="0" w:color="009695" w:themeColor="accent2"/>
          <w:left w:val="single" w:sz="4" w:space="0" w:color="009695" w:themeColor="accent2"/>
          <w:bottom w:val="single" w:sz="4" w:space="0" w:color="009695" w:themeColor="accent2"/>
          <w:right w:val="single" w:sz="4" w:space="0" w:color="009695" w:themeColor="accent2"/>
          <w:insideH w:val="nil"/>
          <w:insideV w:val="nil"/>
        </w:tcBorders>
        <w:shd w:val="clear" w:color="auto" w:fill="009695" w:themeFill="accent2"/>
      </w:tcPr>
    </w:tblStylePr>
    <w:tblStylePr w:type="lastRow">
      <w:rPr>
        <w:b/>
        <w:bCs/>
      </w:rPr>
      <w:tblPr/>
      <w:tcPr>
        <w:tcBorders>
          <w:top w:val="double" w:sz="4" w:space="0" w:color="009695" w:themeColor="accent2"/>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GridTable4-Accent31">
    <w:name w:val="Grid Table 4 - Accent 31"/>
    <w:basedOn w:val="TableNormal"/>
    <w:uiPriority w:val="49"/>
    <w:rsid w:val="003075F9"/>
    <w:pPr>
      <w:spacing w:after="0" w:line="240" w:lineRule="auto"/>
    </w:pPr>
    <w:rPr>
      <w:rFonts w:eastAsiaTheme="minorEastAsia"/>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Pr>
    <w:tblStylePr w:type="firstRow">
      <w:rPr>
        <w:b/>
        <w:bCs/>
        <w:color w:val="FFFFFF" w:themeColor="background1"/>
      </w:rPr>
      <w:tblPr/>
      <w:tcPr>
        <w:tcBorders>
          <w:top w:val="single" w:sz="4" w:space="0" w:color="2B86C7" w:themeColor="accent3"/>
          <w:left w:val="single" w:sz="4" w:space="0" w:color="2B86C7" w:themeColor="accent3"/>
          <w:bottom w:val="single" w:sz="4" w:space="0" w:color="2B86C7" w:themeColor="accent3"/>
          <w:right w:val="single" w:sz="4" w:space="0" w:color="2B86C7" w:themeColor="accent3"/>
          <w:insideH w:val="nil"/>
          <w:insideV w:val="nil"/>
        </w:tcBorders>
        <w:shd w:val="clear" w:color="auto" w:fill="2B86C7" w:themeFill="accent3"/>
      </w:tcPr>
    </w:tblStylePr>
    <w:tblStylePr w:type="lastRow">
      <w:rPr>
        <w:b/>
        <w:bCs/>
      </w:rPr>
      <w:tblPr/>
      <w:tcPr>
        <w:tcBorders>
          <w:top w:val="double" w:sz="4" w:space="0" w:color="2B86C7" w:themeColor="accent3"/>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GridTable4-Accent41">
    <w:name w:val="Grid Table 4 - Accent 41"/>
    <w:basedOn w:val="TableNormal"/>
    <w:uiPriority w:val="49"/>
    <w:rsid w:val="003075F9"/>
    <w:pPr>
      <w:spacing w:after="0" w:line="240" w:lineRule="auto"/>
    </w:pPr>
    <w:rPr>
      <w:rFonts w:eastAsiaTheme="minorEastAsia"/>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color w:val="FFFFFF" w:themeColor="background1"/>
      </w:rPr>
      <w:tblPr/>
      <w:tcPr>
        <w:tcBorders>
          <w:top w:val="single" w:sz="4" w:space="0" w:color="216B99" w:themeColor="accent4"/>
          <w:left w:val="single" w:sz="4" w:space="0" w:color="216B99" w:themeColor="accent4"/>
          <w:bottom w:val="single" w:sz="4" w:space="0" w:color="216B99" w:themeColor="accent4"/>
          <w:right w:val="single" w:sz="4" w:space="0" w:color="216B99" w:themeColor="accent4"/>
          <w:insideH w:val="nil"/>
          <w:insideV w:val="nil"/>
        </w:tcBorders>
        <w:shd w:val="clear" w:color="auto" w:fill="216B99" w:themeFill="accent4"/>
      </w:tcPr>
    </w:tblStylePr>
    <w:tblStylePr w:type="lastRow">
      <w:rPr>
        <w:b/>
        <w:bCs/>
      </w:rPr>
      <w:tblPr/>
      <w:tcPr>
        <w:tcBorders>
          <w:top w:val="double" w:sz="4" w:space="0" w:color="216B99" w:themeColor="accent4"/>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GridTable4-Accent51">
    <w:name w:val="Grid Table 4 - Accent 51"/>
    <w:basedOn w:val="TableNormal"/>
    <w:uiPriority w:val="49"/>
    <w:rsid w:val="003075F9"/>
    <w:pPr>
      <w:spacing w:after="0" w:line="240" w:lineRule="auto"/>
    </w:pPr>
    <w:rPr>
      <w:rFonts w:eastAsiaTheme="minorEastAsia"/>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color w:val="FFFFFF" w:themeColor="background1"/>
      </w:rPr>
      <w:tblPr/>
      <w:tcPr>
        <w:tcBorders>
          <w:top w:val="single" w:sz="4" w:space="0" w:color="41AC4C" w:themeColor="accent5"/>
          <w:left w:val="single" w:sz="4" w:space="0" w:color="41AC4C" w:themeColor="accent5"/>
          <w:bottom w:val="single" w:sz="4" w:space="0" w:color="41AC4C" w:themeColor="accent5"/>
          <w:right w:val="single" w:sz="4" w:space="0" w:color="41AC4C" w:themeColor="accent5"/>
          <w:insideH w:val="nil"/>
          <w:insideV w:val="nil"/>
        </w:tcBorders>
        <w:shd w:val="clear" w:color="auto" w:fill="41AC4C" w:themeFill="accent5"/>
      </w:tcPr>
    </w:tblStylePr>
    <w:tblStylePr w:type="lastRow">
      <w:rPr>
        <w:b/>
        <w:bCs/>
      </w:rPr>
      <w:tblPr/>
      <w:tcPr>
        <w:tcBorders>
          <w:top w:val="double" w:sz="4" w:space="0" w:color="41AC4C" w:themeColor="accent5"/>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GridTable4-Accent61">
    <w:name w:val="Grid Table 4 - Accent 61"/>
    <w:basedOn w:val="TableNormal"/>
    <w:uiPriority w:val="49"/>
    <w:rsid w:val="003075F9"/>
    <w:pPr>
      <w:spacing w:after="0" w:line="240" w:lineRule="auto"/>
    </w:pPr>
    <w:rPr>
      <w:rFonts w:eastAsiaTheme="minorEastAsia"/>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color w:val="FFFFFF" w:themeColor="background1"/>
      </w:rPr>
      <w:tblPr/>
      <w:tcPr>
        <w:tcBorders>
          <w:top w:val="single" w:sz="4" w:space="0" w:color="8E3F91" w:themeColor="accent6"/>
          <w:left w:val="single" w:sz="4" w:space="0" w:color="8E3F91" w:themeColor="accent6"/>
          <w:bottom w:val="single" w:sz="4" w:space="0" w:color="8E3F91" w:themeColor="accent6"/>
          <w:right w:val="single" w:sz="4" w:space="0" w:color="8E3F91" w:themeColor="accent6"/>
          <w:insideH w:val="nil"/>
          <w:insideV w:val="nil"/>
        </w:tcBorders>
        <w:shd w:val="clear" w:color="auto" w:fill="8E3F91" w:themeFill="accent6"/>
      </w:tcPr>
    </w:tblStylePr>
    <w:tblStylePr w:type="lastRow">
      <w:rPr>
        <w:b/>
        <w:bCs/>
      </w:rPr>
      <w:tblPr/>
      <w:tcPr>
        <w:tcBorders>
          <w:top w:val="double" w:sz="4" w:space="0" w:color="8E3F91" w:themeColor="accent6"/>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GridTable5Dark1">
    <w:name w:val="Grid Table 5 Dark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1">
    <w:name w:val="Grid Table 5 Dark - Accent 1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2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FB6B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FB6B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FB6B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FB6BC" w:themeFill="accent1"/>
      </w:tcPr>
    </w:tblStylePr>
    <w:tblStylePr w:type="band1Vert">
      <w:tblPr/>
      <w:tcPr>
        <w:shd w:val="clear" w:color="auto" w:fill="A7E6E9" w:themeFill="accent1" w:themeFillTint="66"/>
      </w:tcPr>
    </w:tblStylePr>
    <w:tblStylePr w:type="band1Horz">
      <w:tblPr/>
      <w:tcPr>
        <w:shd w:val="clear" w:color="auto" w:fill="A7E6E9" w:themeFill="accent1" w:themeFillTint="66"/>
      </w:tcPr>
    </w:tblStylePr>
  </w:style>
  <w:style w:type="table" w:customStyle="1" w:styleId="GridTable5Dark-Accent21">
    <w:name w:val="Grid Table 5 Dark - Accent 2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FE"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9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9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9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95" w:themeFill="accent2"/>
      </w:tcPr>
    </w:tblStylePr>
    <w:tblStylePr w:type="band1Vert">
      <w:tblPr/>
      <w:tcPr>
        <w:shd w:val="clear" w:color="auto" w:fill="6FFFFD" w:themeFill="accent2" w:themeFillTint="66"/>
      </w:tcPr>
    </w:tblStylePr>
    <w:tblStylePr w:type="band1Horz">
      <w:tblPr/>
      <w:tcPr>
        <w:shd w:val="clear" w:color="auto" w:fill="6FFFFD" w:themeFill="accent2" w:themeFillTint="66"/>
      </w:tcPr>
    </w:tblStylePr>
  </w:style>
  <w:style w:type="table" w:customStyle="1" w:styleId="GridTable5Dark-Accent31">
    <w:name w:val="Grid Table 5 Dark - Accent 3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6F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86C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86C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86C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86C7" w:themeFill="accent3"/>
      </w:tcPr>
    </w:tblStylePr>
    <w:tblStylePr w:type="band1Vert">
      <w:tblPr/>
      <w:tcPr>
        <w:shd w:val="clear" w:color="auto" w:fill="A6CEEC" w:themeFill="accent3" w:themeFillTint="66"/>
      </w:tcPr>
    </w:tblStylePr>
    <w:tblStylePr w:type="band1Horz">
      <w:tblPr/>
      <w:tcPr>
        <w:shd w:val="clear" w:color="auto" w:fill="A6CEEC" w:themeFill="accent3" w:themeFillTint="66"/>
      </w:tcPr>
    </w:tblStylePr>
  </w:style>
  <w:style w:type="table" w:customStyle="1" w:styleId="GridTable5Dark-Accent41">
    <w:name w:val="Grid Table 5 Dark - Accent 4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3F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16B9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16B9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16B9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16B99" w:themeFill="accent4"/>
      </w:tcPr>
    </w:tblStylePr>
    <w:tblStylePr w:type="band1Vert">
      <w:tblPr/>
      <w:tcPr>
        <w:shd w:val="clear" w:color="auto" w:fill="94C7E8" w:themeFill="accent4" w:themeFillTint="66"/>
      </w:tcPr>
    </w:tblStylePr>
    <w:tblStylePr w:type="band1Horz">
      <w:tblPr/>
      <w:tcPr>
        <w:shd w:val="clear" w:color="auto" w:fill="94C7E8" w:themeFill="accent4" w:themeFillTint="66"/>
      </w:tcPr>
    </w:tblStylePr>
  </w:style>
  <w:style w:type="table" w:customStyle="1" w:styleId="GridTable5Dark-Accent51">
    <w:name w:val="Grid Table 5 Dark - Accent 5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5"/>
      </w:tcPr>
    </w:tblStylePr>
    <w:tblStylePr w:type="band1Vert">
      <w:tblPr/>
      <w:tcPr>
        <w:shd w:val="clear" w:color="auto" w:fill="AFE1B4" w:themeFill="accent5" w:themeFillTint="66"/>
      </w:tcPr>
    </w:tblStylePr>
    <w:tblStylePr w:type="band1Horz">
      <w:tblPr/>
      <w:tcPr>
        <w:shd w:val="clear" w:color="auto" w:fill="AFE1B4" w:themeFill="accent5" w:themeFillTint="66"/>
      </w:tcPr>
    </w:tblStylePr>
  </w:style>
  <w:style w:type="table" w:customStyle="1" w:styleId="GridTable5Dark-Accent61">
    <w:name w:val="Grid Table 5 Dark - Accent 61"/>
    <w:basedOn w:val="TableNormal"/>
    <w:uiPriority w:val="50"/>
    <w:rsid w:val="003075F9"/>
    <w:pPr>
      <w:spacing w:after="0" w:line="240" w:lineRule="auto"/>
    </w:pPr>
    <w:rPr>
      <w:rFonts w:eastAsiaTheme="minorEastAsi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D4E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E3F9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E3F9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E3F9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E3F91" w:themeFill="accent6"/>
      </w:tcPr>
    </w:tblStylePr>
    <w:tblStylePr w:type="band1Vert">
      <w:tblPr/>
      <w:tcPr>
        <w:shd w:val="clear" w:color="auto" w:fill="D8AADA" w:themeFill="accent6" w:themeFillTint="66"/>
      </w:tcPr>
    </w:tblStylePr>
    <w:tblStylePr w:type="band1Horz">
      <w:tblPr/>
      <w:tcPr>
        <w:shd w:val="clear" w:color="auto" w:fill="D8AADA" w:themeFill="accent6" w:themeFillTint="66"/>
      </w:tcPr>
    </w:tblStylePr>
  </w:style>
  <w:style w:type="table" w:customStyle="1" w:styleId="GridTable6Colorful1">
    <w:name w:val="Grid Table 6 Colorful1"/>
    <w:basedOn w:val="TableNormal"/>
    <w:uiPriority w:val="51"/>
    <w:rsid w:val="003075F9"/>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1">
    <w:name w:val="Grid Table 6 Colorful - Accent 11"/>
    <w:basedOn w:val="TableNormal"/>
    <w:uiPriority w:val="51"/>
    <w:rsid w:val="003075F9"/>
    <w:pPr>
      <w:spacing w:after="0" w:line="240" w:lineRule="auto"/>
    </w:pPr>
    <w:rPr>
      <w:rFonts w:eastAsiaTheme="minorEastAsia"/>
      <w:color w:val="23888C" w:themeColor="accent1" w:themeShade="BF"/>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Pr>
    <w:tblStylePr w:type="firstRow">
      <w:rPr>
        <w:b/>
        <w:bCs/>
      </w:rPr>
      <w:tblPr/>
      <w:tcPr>
        <w:tcBorders>
          <w:bottom w:val="single" w:sz="12" w:space="0" w:color="7BD9DE" w:themeColor="accent1" w:themeTint="99"/>
        </w:tcBorders>
      </w:tcPr>
    </w:tblStylePr>
    <w:tblStylePr w:type="lastRow">
      <w:rPr>
        <w:b/>
        <w:bCs/>
      </w:rPr>
      <w:tblPr/>
      <w:tcPr>
        <w:tcBorders>
          <w:top w:val="double" w:sz="4" w:space="0" w:color="7BD9DE" w:themeColor="accent1" w:themeTint="99"/>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GridTable6Colorful-Accent21">
    <w:name w:val="Grid Table 6 Colorful - Accent 21"/>
    <w:basedOn w:val="TableNormal"/>
    <w:uiPriority w:val="51"/>
    <w:rsid w:val="003075F9"/>
    <w:pPr>
      <w:spacing w:after="0" w:line="240" w:lineRule="auto"/>
    </w:pPr>
    <w:rPr>
      <w:rFonts w:eastAsiaTheme="minorEastAsia"/>
      <w:color w:val="00706F" w:themeColor="accent2" w:themeShade="BF"/>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Pr>
    <w:tblStylePr w:type="firstRow">
      <w:rPr>
        <w:b/>
        <w:bCs/>
      </w:rPr>
      <w:tblPr/>
      <w:tcPr>
        <w:tcBorders>
          <w:bottom w:val="single" w:sz="12" w:space="0" w:color="27FFFD" w:themeColor="accent2" w:themeTint="99"/>
        </w:tcBorders>
      </w:tcPr>
    </w:tblStylePr>
    <w:tblStylePr w:type="lastRow">
      <w:rPr>
        <w:b/>
        <w:bCs/>
      </w:rPr>
      <w:tblPr/>
      <w:tcPr>
        <w:tcBorders>
          <w:top w:val="double" w:sz="4" w:space="0" w:color="27FFFD" w:themeColor="accent2" w:themeTint="99"/>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GridTable6Colorful-Accent31">
    <w:name w:val="Grid Table 6 Colorful - Accent 31"/>
    <w:basedOn w:val="TableNormal"/>
    <w:uiPriority w:val="51"/>
    <w:rsid w:val="003075F9"/>
    <w:pPr>
      <w:spacing w:after="0" w:line="240" w:lineRule="auto"/>
    </w:pPr>
    <w:rPr>
      <w:rFonts w:eastAsiaTheme="minorEastAsia"/>
      <w:color w:val="206394" w:themeColor="accent3" w:themeShade="BF"/>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Pr>
    <w:tblStylePr w:type="firstRow">
      <w:rPr>
        <w:b/>
        <w:bCs/>
      </w:rPr>
      <w:tblPr/>
      <w:tcPr>
        <w:tcBorders>
          <w:bottom w:val="single" w:sz="12" w:space="0" w:color="7AB6E2" w:themeColor="accent3" w:themeTint="99"/>
        </w:tcBorders>
      </w:tcPr>
    </w:tblStylePr>
    <w:tblStylePr w:type="lastRow">
      <w:rPr>
        <w:b/>
        <w:bCs/>
      </w:rPr>
      <w:tblPr/>
      <w:tcPr>
        <w:tcBorders>
          <w:top w:val="double" w:sz="4" w:space="0" w:color="7AB6E2" w:themeColor="accent3" w:themeTint="99"/>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GridTable6Colorful-Accent41">
    <w:name w:val="Grid Table 6 Colorful - Accent 41"/>
    <w:basedOn w:val="TableNormal"/>
    <w:uiPriority w:val="51"/>
    <w:rsid w:val="003075F9"/>
    <w:pPr>
      <w:spacing w:after="0" w:line="240" w:lineRule="auto"/>
    </w:pPr>
    <w:rPr>
      <w:rFonts w:eastAsiaTheme="minorEastAsia"/>
      <w:color w:val="184F72" w:themeColor="accent4" w:themeShade="BF"/>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rPr>
      <w:tblPr/>
      <w:tcPr>
        <w:tcBorders>
          <w:bottom w:val="single" w:sz="12" w:space="0" w:color="5EACDC" w:themeColor="accent4" w:themeTint="99"/>
        </w:tcBorders>
      </w:tcPr>
    </w:tblStylePr>
    <w:tblStylePr w:type="lastRow">
      <w:rPr>
        <w:b/>
        <w:bCs/>
      </w:rPr>
      <w:tblPr/>
      <w:tcPr>
        <w:tcBorders>
          <w:top w:val="doub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GridTable6Colorful-Accent51">
    <w:name w:val="Grid Table 6 Colorful - Accent 51"/>
    <w:basedOn w:val="TableNormal"/>
    <w:uiPriority w:val="51"/>
    <w:rsid w:val="003075F9"/>
    <w:pPr>
      <w:spacing w:after="0" w:line="240" w:lineRule="auto"/>
    </w:pPr>
    <w:rPr>
      <w:rFonts w:eastAsiaTheme="minorEastAsia"/>
      <w:color w:val="308038" w:themeColor="accent5" w:themeShade="BF"/>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rPr>
      <w:tblPr/>
      <w:tcPr>
        <w:tcBorders>
          <w:bottom w:val="single" w:sz="12" w:space="0" w:color="88D28F" w:themeColor="accent5" w:themeTint="99"/>
        </w:tcBorders>
      </w:tcPr>
    </w:tblStylePr>
    <w:tblStylePr w:type="lastRow">
      <w:rPr>
        <w:b/>
        <w:bCs/>
      </w:rPr>
      <w:tblPr/>
      <w:tcPr>
        <w:tcBorders>
          <w:top w:val="doub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GridTable6Colorful-Accent61">
    <w:name w:val="Grid Table 6 Colorful - Accent 61"/>
    <w:basedOn w:val="TableNormal"/>
    <w:uiPriority w:val="51"/>
    <w:rsid w:val="003075F9"/>
    <w:pPr>
      <w:spacing w:after="0" w:line="240" w:lineRule="auto"/>
    </w:pPr>
    <w:rPr>
      <w:rFonts w:eastAsiaTheme="minorEastAsia"/>
      <w:color w:val="6A2F6C" w:themeColor="accent6" w:themeShade="BF"/>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rPr>
      <w:tblPr/>
      <w:tcPr>
        <w:tcBorders>
          <w:bottom w:val="single" w:sz="12" w:space="0" w:color="C580C8" w:themeColor="accent6" w:themeTint="99"/>
        </w:tcBorders>
      </w:tcPr>
    </w:tblStylePr>
    <w:tblStylePr w:type="lastRow">
      <w:rPr>
        <w:b/>
        <w:bCs/>
      </w:rPr>
      <w:tblPr/>
      <w:tcPr>
        <w:tcBorders>
          <w:top w:val="doub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GridTable7Colorful1">
    <w:name w:val="Grid Table 7 Colorful1"/>
    <w:basedOn w:val="TableNormal"/>
    <w:uiPriority w:val="52"/>
    <w:rsid w:val="003075F9"/>
    <w:pPr>
      <w:spacing w:after="0" w:line="240" w:lineRule="auto"/>
    </w:pPr>
    <w:rPr>
      <w:rFonts w:eastAsiaTheme="minorEastAsia"/>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1">
    <w:name w:val="Grid Table 7 Colorful - Accent 11"/>
    <w:basedOn w:val="TableNormal"/>
    <w:uiPriority w:val="52"/>
    <w:rsid w:val="003075F9"/>
    <w:pPr>
      <w:spacing w:after="0" w:line="240" w:lineRule="auto"/>
    </w:pPr>
    <w:rPr>
      <w:rFonts w:eastAsiaTheme="minorEastAsia"/>
      <w:color w:val="23888C" w:themeColor="accent1" w:themeShade="BF"/>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insideV w:val="single" w:sz="4" w:space="0" w:color="7BD9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2F4" w:themeFill="accent1" w:themeFillTint="33"/>
      </w:tcPr>
    </w:tblStylePr>
    <w:tblStylePr w:type="band1Horz">
      <w:tblPr/>
      <w:tcPr>
        <w:shd w:val="clear" w:color="auto" w:fill="D3F2F4" w:themeFill="accent1" w:themeFillTint="33"/>
      </w:tcPr>
    </w:tblStylePr>
    <w:tblStylePr w:type="neCell">
      <w:tblPr/>
      <w:tcPr>
        <w:tcBorders>
          <w:bottom w:val="single" w:sz="4" w:space="0" w:color="7BD9DE" w:themeColor="accent1" w:themeTint="99"/>
        </w:tcBorders>
      </w:tcPr>
    </w:tblStylePr>
    <w:tblStylePr w:type="nwCell">
      <w:tblPr/>
      <w:tcPr>
        <w:tcBorders>
          <w:bottom w:val="single" w:sz="4" w:space="0" w:color="7BD9DE" w:themeColor="accent1" w:themeTint="99"/>
        </w:tcBorders>
      </w:tcPr>
    </w:tblStylePr>
    <w:tblStylePr w:type="seCell">
      <w:tblPr/>
      <w:tcPr>
        <w:tcBorders>
          <w:top w:val="single" w:sz="4" w:space="0" w:color="7BD9DE" w:themeColor="accent1" w:themeTint="99"/>
        </w:tcBorders>
      </w:tcPr>
    </w:tblStylePr>
    <w:tblStylePr w:type="swCell">
      <w:tblPr/>
      <w:tcPr>
        <w:tcBorders>
          <w:top w:val="single" w:sz="4" w:space="0" w:color="7BD9DE" w:themeColor="accent1" w:themeTint="99"/>
        </w:tcBorders>
      </w:tcPr>
    </w:tblStylePr>
  </w:style>
  <w:style w:type="table" w:customStyle="1" w:styleId="GridTable7Colorful-Accent21">
    <w:name w:val="Grid Table 7 Colorful - Accent 21"/>
    <w:basedOn w:val="TableNormal"/>
    <w:uiPriority w:val="52"/>
    <w:rsid w:val="003075F9"/>
    <w:pPr>
      <w:spacing w:after="0" w:line="240" w:lineRule="auto"/>
    </w:pPr>
    <w:rPr>
      <w:rFonts w:eastAsiaTheme="minorEastAsia"/>
      <w:color w:val="00706F" w:themeColor="accent2" w:themeShade="BF"/>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insideV w:val="single" w:sz="4" w:space="0" w:color="27FFF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FE" w:themeFill="accent2" w:themeFillTint="33"/>
      </w:tcPr>
    </w:tblStylePr>
    <w:tblStylePr w:type="band1Horz">
      <w:tblPr/>
      <w:tcPr>
        <w:shd w:val="clear" w:color="auto" w:fill="B7FFFE" w:themeFill="accent2" w:themeFillTint="33"/>
      </w:tcPr>
    </w:tblStylePr>
    <w:tblStylePr w:type="neCell">
      <w:tblPr/>
      <w:tcPr>
        <w:tcBorders>
          <w:bottom w:val="single" w:sz="4" w:space="0" w:color="27FFFD" w:themeColor="accent2" w:themeTint="99"/>
        </w:tcBorders>
      </w:tcPr>
    </w:tblStylePr>
    <w:tblStylePr w:type="nwCell">
      <w:tblPr/>
      <w:tcPr>
        <w:tcBorders>
          <w:bottom w:val="single" w:sz="4" w:space="0" w:color="27FFFD" w:themeColor="accent2" w:themeTint="99"/>
        </w:tcBorders>
      </w:tcPr>
    </w:tblStylePr>
    <w:tblStylePr w:type="seCell">
      <w:tblPr/>
      <w:tcPr>
        <w:tcBorders>
          <w:top w:val="single" w:sz="4" w:space="0" w:color="27FFFD" w:themeColor="accent2" w:themeTint="99"/>
        </w:tcBorders>
      </w:tcPr>
    </w:tblStylePr>
    <w:tblStylePr w:type="swCell">
      <w:tblPr/>
      <w:tcPr>
        <w:tcBorders>
          <w:top w:val="single" w:sz="4" w:space="0" w:color="27FFFD" w:themeColor="accent2" w:themeTint="99"/>
        </w:tcBorders>
      </w:tcPr>
    </w:tblStylePr>
  </w:style>
  <w:style w:type="table" w:customStyle="1" w:styleId="GridTable7Colorful-Accent31">
    <w:name w:val="Grid Table 7 Colorful - Accent 31"/>
    <w:basedOn w:val="TableNormal"/>
    <w:uiPriority w:val="52"/>
    <w:rsid w:val="003075F9"/>
    <w:pPr>
      <w:spacing w:after="0" w:line="240" w:lineRule="auto"/>
    </w:pPr>
    <w:rPr>
      <w:rFonts w:eastAsiaTheme="minorEastAsia"/>
      <w:color w:val="206394" w:themeColor="accent3" w:themeShade="BF"/>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insideV w:val="single" w:sz="4" w:space="0" w:color="7AB6E2"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6F5" w:themeFill="accent3" w:themeFillTint="33"/>
      </w:tcPr>
    </w:tblStylePr>
    <w:tblStylePr w:type="band1Horz">
      <w:tblPr/>
      <w:tcPr>
        <w:shd w:val="clear" w:color="auto" w:fill="D2E6F5" w:themeFill="accent3" w:themeFillTint="33"/>
      </w:tcPr>
    </w:tblStylePr>
    <w:tblStylePr w:type="neCell">
      <w:tblPr/>
      <w:tcPr>
        <w:tcBorders>
          <w:bottom w:val="single" w:sz="4" w:space="0" w:color="7AB6E2" w:themeColor="accent3" w:themeTint="99"/>
        </w:tcBorders>
      </w:tcPr>
    </w:tblStylePr>
    <w:tblStylePr w:type="nwCell">
      <w:tblPr/>
      <w:tcPr>
        <w:tcBorders>
          <w:bottom w:val="single" w:sz="4" w:space="0" w:color="7AB6E2" w:themeColor="accent3" w:themeTint="99"/>
        </w:tcBorders>
      </w:tcPr>
    </w:tblStylePr>
    <w:tblStylePr w:type="seCell">
      <w:tblPr/>
      <w:tcPr>
        <w:tcBorders>
          <w:top w:val="single" w:sz="4" w:space="0" w:color="7AB6E2" w:themeColor="accent3" w:themeTint="99"/>
        </w:tcBorders>
      </w:tcPr>
    </w:tblStylePr>
    <w:tblStylePr w:type="swCell">
      <w:tblPr/>
      <w:tcPr>
        <w:tcBorders>
          <w:top w:val="single" w:sz="4" w:space="0" w:color="7AB6E2" w:themeColor="accent3" w:themeTint="99"/>
        </w:tcBorders>
      </w:tcPr>
    </w:tblStylePr>
  </w:style>
  <w:style w:type="table" w:customStyle="1" w:styleId="GridTable7Colorful-Accent41">
    <w:name w:val="Grid Table 7 Colorful - Accent 41"/>
    <w:basedOn w:val="TableNormal"/>
    <w:uiPriority w:val="52"/>
    <w:rsid w:val="003075F9"/>
    <w:pPr>
      <w:spacing w:after="0" w:line="240" w:lineRule="auto"/>
    </w:pPr>
    <w:rPr>
      <w:rFonts w:eastAsiaTheme="minorEastAsia"/>
      <w:color w:val="184F72" w:themeColor="accent4" w:themeShade="BF"/>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insideV w:val="single" w:sz="4" w:space="0" w:color="5EACD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bottom w:val="single" w:sz="4" w:space="0" w:color="5EACDC" w:themeColor="accent4" w:themeTint="99"/>
        </w:tcBorders>
      </w:tcPr>
    </w:tblStylePr>
    <w:tblStylePr w:type="nwCell">
      <w:tblPr/>
      <w:tcPr>
        <w:tcBorders>
          <w:bottom w:val="single" w:sz="4" w:space="0" w:color="5EACDC" w:themeColor="accent4" w:themeTint="99"/>
        </w:tcBorders>
      </w:tcPr>
    </w:tblStylePr>
    <w:tblStylePr w:type="seCell">
      <w:tblPr/>
      <w:tcPr>
        <w:tcBorders>
          <w:top w:val="single" w:sz="4" w:space="0" w:color="5EACDC" w:themeColor="accent4" w:themeTint="99"/>
        </w:tcBorders>
      </w:tcPr>
    </w:tblStylePr>
    <w:tblStylePr w:type="swCell">
      <w:tblPr/>
      <w:tcPr>
        <w:tcBorders>
          <w:top w:val="single" w:sz="4" w:space="0" w:color="5EACDC" w:themeColor="accent4" w:themeTint="99"/>
        </w:tcBorders>
      </w:tcPr>
    </w:tblStylePr>
  </w:style>
  <w:style w:type="table" w:customStyle="1" w:styleId="GridTable7Colorful-Accent51">
    <w:name w:val="Grid Table 7 Colorful - Accent 51"/>
    <w:basedOn w:val="TableNormal"/>
    <w:uiPriority w:val="52"/>
    <w:rsid w:val="003075F9"/>
    <w:pPr>
      <w:spacing w:after="0" w:line="240" w:lineRule="auto"/>
    </w:pPr>
    <w:rPr>
      <w:rFonts w:eastAsiaTheme="minorEastAsia"/>
      <w:color w:val="308038" w:themeColor="accent5" w:themeShade="BF"/>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insideV w:val="single" w:sz="4" w:space="0" w:color="88D28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bottom w:val="single" w:sz="4" w:space="0" w:color="88D28F" w:themeColor="accent5" w:themeTint="99"/>
        </w:tcBorders>
      </w:tcPr>
    </w:tblStylePr>
    <w:tblStylePr w:type="nwCell">
      <w:tblPr/>
      <w:tcPr>
        <w:tcBorders>
          <w:bottom w:val="single" w:sz="4" w:space="0" w:color="88D28F" w:themeColor="accent5" w:themeTint="99"/>
        </w:tcBorders>
      </w:tcPr>
    </w:tblStylePr>
    <w:tblStylePr w:type="seCell">
      <w:tblPr/>
      <w:tcPr>
        <w:tcBorders>
          <w:top w:val="single" w:sz="4" w:space="0" w:color="88D28F" w:themeColor="accent5" w:themeTint="99"/>
        </w:tcBorders>
      </w:tcPr>
    </w:tblStylePr>
    <w:tblStylePr w:type="swCell">
      <w:tblPr/>
      <w:tcPr>
        <w:tcBorders>
          <w:top w:val="single" w:sz="4" w:space="0" w:color="88D28F" w:themeColor="accent5" w:themeTint="99"/>
        </w:tcBorders>
      </w:tcPr>
    </w:tblStylePr>
  </w:style>
  <w:style w:type="table" w:customStyle="1" w:styleId="GridTable7Colorful-Accent61">
    <w:name w:val="Grid Table 7 Colorful - Accent 61"/>
    <w:basedOn w:val="TableNormal"/>
    <w:uiPriority w:val="52"/>
    <w:rsid w:val="003075F9"/>
    <w:pPr>
      <w:spacing w:after="0" w:line="240" w:lineRule="auto"/>
    </w:pPr>
    <w:rPr>
      <w:rFonts w:eastAsiaTheme="minorEastAsia"/>
      <w:color w:val="6A2F6C" w:themeColor="accent6" w:themeShade="BF"/>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insideV w:val="single" w:sz="4" w:space="0" w:color="C580C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bottom w:val="single" w:sz="4" w:space="0" w:color="C580C8" w:themeColor="accent6" w:themeTint="99"/>
        </w:tcBorders>
      </w:tcPr>
    </w:tblStylePr>
    <w:tblStylePr w:type="nwCell">
      <w:tblPr/>
      <w:tcPr>
        <w:tcBorders>
          <w:bottom w:val="single" w:sz="4" w:space="0" w:color="C580C8" w:themeColor="accent6" w:themeTint="99"/>
        </w:tcBorders>
      </w:tcPr>
    </w:tblStylePr>
    <w:tblStylePr w:type="seCell">
      <w:tblPr/>
      <w:tcPr>
        <w:tcBorders>
          <w:top w:val="single" w:sz="4" w:space="0" w:color="C580C8" w:themeColor="accent6" w:themeTint="99"/>
        </w:tcBorders>
      </w:tcPr>
    </w:tblStylePr>
    <w:tblStylePr w:type="swCell">
      <w:tblPr/>
      <w:tcPr>
        <w:tcBorders>
          <w:top w:val="single" w:sz="4" w:space="0" w:color="C580C8" w:themeColor="accent6" w:themeTint="99"/>
        </w:tcBorders>
      </w:tcPr>
    </w:tblStylePr>
  </w:style>
  <w:style w:type="paragraph" w:styleId="Header">
    <w:name w:val="header"/>
    <w:aliases w:val="~Header"/>
    <w:basedOn w:val="NoSpacing"/>
    <w:link w:val="HeaderChar"/>
    <w:uiPriority w:val="36"/>
    <w:rsid w:val="003075F9"/>
    <w:rPr>
      <w:sz w:val="14"/>
      <w:szCs w:val="14"/>
    </w:rPr>
  </w:style>
  <w:style w:type="character" w:customStyle="1" w:styleId="HeaderChar">
    <w:name w:val="Header Char"/>
    <w:aliases w:val="~Header Char"/>
    <w:basedOn w:val="DefaultParagraphFont"/>
    <w:link w:val="Header"/>
    <w:uiPriority w:val="36"/>
    <w:rsid w:val="003075F9"/>
    <w:rPr>
      <w:rFonts w:eastAsiaTheme="minorEastAsia"/>
      <w:sz w:val="14"/>
      <w:szCs w:val="14"/>
      <w:lang w:val="en-GB"/>
    </w:rPr>
  </w:style>
  <w:style w:type="character" w:customStyle="1" w:styleId="Heading2Char">
    <w:name w:val="Heading 2 Char"/>
    <w:aliases w:val="~SubHeading Char"/>
    <w:basedOn w:val="DefaultParagraphFont"/>
    <w:link w:val="Heading2"/>
    <w:uiPriority w:val="2"/>
    <w:rsid w:val="003075F9"/>
    <w:rPr>
      <w:rFonts w:ascii="Arial" w:eastAsiaTheme="minorEastAsia" w:hAnsi="Arial" w:cs="Arial"/>
      <w:b/>
      <w:bCs/>
      <w:color w:val="2FB6BC" w:themeColor="accent1"/>
      <w:sz w:val="22"/>
      <w:szCs w:val="22"/>
    </w:rPr>
  </w:style>
  <w:style w:type="character" w:customStyle="1" w:styleId="Heading3Char">
    <w:name w:val="Heading 3 Char"/>
    <w:aliases w:val="~MinorSubHeading Char"/>
    <w:basedOn w:val="DefaultParagraphFont"/>
    <w:link w:val="Heading3"/>
    <w:uiPriority w:val="2"/>
    <w:rsid w:val="003075F9"/>
    <w:rPr>
      <w:rFonts w:ascii="Arial" w:eastAsiaTheme="minorEastAsia" w:hAnsi="Arial" w:cs="Arial"/>
      <w:b/>
      <w:bCs/>
      <w:color w:val="2FB6BC" w:themeColor="accent1"/>
    </w:rPr>
  </w:style>
  <w:style w:type="character" w:customStyle="1" w:styleId="Heading4Char">
    <w:name w:val="Heading 4 Char"/>
    <w:aliases w:val="~Level4Heading Char"/>
    <w:basedOn w:val="DefaultParagraphFont"/>
    <w:link w:val="Heading4"/>
    <w:uiPriority w:val="2"/>
    <w:rsid w:val="006E7AB6"/>
    <w:rPr>
      <w:rFonts w:ascii="Arial" w:eastAsiaTheme="minorEastAsia" w:hAnsi="Arial" w:cs="Arial"/>
      <w:color w:val="2FB6BC" w:themeColor="accent1"/>
    </w:rPr>
  </w:style>
  <w:style w:type="character" w:customStyle="1" w:styleId="Heading5Char">
    <w:name w:val="Heading 5 Char"/>
    <w:basedOn w:val="DefaultParagraphFont"/>
    <w:link w:val="Heading5"/>
    <w:uiPriority w:val="34"/>
    <w:semiHidden/>
    <w:rsid w:val="003075F9"/>
    <w:rPr>
      <w:rFonts w:eastAsiaTheme="majorEastAsia" w:cstheme="majorBidi"/>
      <w:color w:val="2FB6BC" w:themeColor="accent1"/>
      <w:sz w:val="22"/>
      <w:szCs w:val="22"/>
      <w:lang w:val="en-GB"/>
    </w:rPr>
  </w:style>
  <w:style w:type="character" w:customStyle="1" w:styleId="Heading6Char">
    <w:name w:val="Heading 6 Char"/>
    <w:basedOn w:val="DefaultParagraphFont"/>
    <w:link w:val="Heading6"/>
    <w:uiPriority w:val="34"/>
    <w:semiHidden/>
    <w:rsid w:val="003075F9"/>
    <w:rPr>
      <w:rFonts w:eastAsiaTheme="majorEastAsia" w:cstheme="majorBidi"/>
      <w:i/>
      <w:iCs/>
      <w:color w:val="2FB6BC" w:themeColor="accent1"/>
      <w:sz w:val="22"/>
      <w:szCs w:val="22"/>
      <w:lang w:val="en-GB"/>
    </w:rPr>
  </w:style>
  <w:style w:type="character" w:customStyle="1" w:styleId="Heading7Char">
    <w:name w:val="Heading 7 Char"/>
    <w:basedOn w:val="DefaultParagraphFont"/>
    <w:link w:val="Heading7"/>
    <w:uiPriority w:val="34"/>
    <w:semiHidden/>
    <w:rsid w:val="003075F9"/>
    <w:rPr>
      <w:rFonts w:eastAsiaTheme="majorEastAsia" w:cstheme="majorBidi"/>
      <w:iCs/>
      <w:color w:val="2FB6BC" w:themeColor="accent1"/>
      <w:sz w:val="22"/>
      <w:szCs w:val="22"/>
      <w:lang w:val="en-GB"/>
    </w:rPr>
  </w:style>
  <w:style w:type="character" w:customStyle="1" w:styleId="Heading8Char">
    <w:name w:val="Heading 8 Char"/>
    <w:basedOn w:val="DefaultParagraphFont"/>
    <w:link w:val="Heading8"/>
    <w:uiPriority w:val="34"/>
    <w:semiHidden/>
    <w:rsid w:val="003075F9"/>
    <w:rPr>
      <w:rFonts w:asciiTheme="majorHAnsi" w:eastAsiaTheme="majorEastAsia" w:hAnsiTheme="majorHAnsi" w:cstheme="majorBidi"/>
      <w:lang w:val="en-GB"/>
    </w:rPr>
  </w:style>
  <w:style w:type="character" w:customStyle="1" w:styleId="Heading9Char">
    <w:name w:val="Heading 9 Char"/>
    <w:basedOn w:val="DefaultParagraphFont"/>
    <w:link w:val="Heading9"/>
    <w:uiPriority w:val="34"/>
    <w:semiHidden/>
    <w:rsid w:val="003075F9"/>
    <w:rPr>
      <w:rFonts w:asciiTheme="majorHAnsi" w:eastAsiaTheme="majorEastAsia" w:hAnsiTheme="majorHAnsi" w:cstheme="majorBidi"/>
      <w:i/>
      <w:iCs/>
      <w:lang w:val="en-GB"/>
    </w:rPr>
  </w:style>
  <w:style w:type="character" w:styleId="HTMLAcronym">
    <w:name w:val="HTML Acronym"/>
    <w:basedOn w:val="DefaultParagraphFont"/>
    <w:uiPriority w:val="99"/>
    <w:semiHidden/>
    <w:unhideWhenUsed/>
    <w:rsid w:val="003075F9"/>
    <w:rPr>
      <w:bCs w:val="0"/>
      <w:szCs w:val="20"/>
      <w:lang w:val="en-GB"/>
    </w:rPr>
  </w:style>
  <w:style w:type="paragraph" w:styleId="HTMLAddress">
    <w:name w:val="HTML Address"/>
    <w:basedOn w:val="Normal"/>
    <w:link w:val="HTMLAddressChar"/>
    <w:uiPriority w:val="99"/>
    <w:semiHidden/>
    <w:unhideWhenUsed/>
    <w:rsid w:val="003075F9"/>
    <w:pPr>
      <w:spacing w:before="0" w:after="0" w:line="240" w:lineRule="auto"/>
    </w:pPr>
    <w:rPr>
      <w:i/>
      <w:iCs/>
    </w:rPr>
  </w:style>
  <w:style w:type="character" w:customStyle="1" w:styleId="HTMLAddressChar">
    <w:name w:val="HTML Address Char"/>
    <w:basedOn w:val="DefaultParagraphFont"/>
    <w:link w:val="HTMLAddress"/>
    <w:uiPriority w:val="99"/>
    <w:semiHidden/>
    <w:rsid w:val="003075F9"/>
    <w:rPr>
      <w:rFonts w:eastAsiaTheme="minorEastAsia"/>
      <w:i/>
      <w:iCs/>
      <w:lang w:val="en-GB"/>
    </w:rPr>
  </w:style>
  <w:style w:type="character" w:styleId="HTMLCite">
    <w:name w:val="HTML Cite"/>
    <w:basedOn w:val="DefaultParagraphFont"/>
    <w:uiPriority w:val="99"/>
    <w:semiHidden/>
    <w:unhideWhenUsed/>
    <w:rsid w:val="003075F9"/>
    <w:rPr>
      <w:bCs w:val="0"/>
      <w:i/>
      <w:iCs/>
      <w:szCs w:val="20"/>
      <w:lang w:val="en-GB"/>
    </w:rPr>
  </w:style>
  <w:style w:type="character" w:styleId="HTMLCode">
    <w:name w:val="HTML Code"/>
    <w:basedOn w:val="DefaultParagraphFont"/>
    <w:uiPriority w:val="99"/>
    <w:semiHidden/>
    <w:unhideWhenUsed/>
    <w:rsid w:val="003075F9"/>
    <w:rPr>
      <w:rFonts w:ascii="Consolas" w:hAnsi="Consolas"/>
      <w:bCs w:val="0"/>
      <w:sz w:val="20"/>
      <w:szCs w:val="20"/>
      <w:lang w:val="en-GB"/>
    </w:rPr>
  </w:style>
  <w:style w:type="character" w:styleId="HTMLDefinition">
    <w:name w:val="HTML Definition"/>
    <w:basedOn w:val="DefaultParagraphFont"/>
    <w:uiPriority w:val="99"/>
    <w:semiHidden/>
    <w:unhideWhenUsed/>
    <w:rsid w:val="003075F9"/>
    <w:rPr>
      <w:bCs w:val="0"/>
      <w:i/>
      <w:iCs/>
      <w:szCs w:val="20"/>
      <w:lang w:val="en-GB"/>
    </w:rPr>
  </w:style>
  <w:style w:type="character" w:styleId="HTMLKeyboard">
    <w:name w:val="HTML Keyboard"/>
    <w:basedOn w:val="DefaultParagraphFont"/>
    <w:uiPriority w:val="99"/>
    <w:semiHidden/>
    <w:unhideWhenUsed/>
    <w:rsid w:val="003075F9"/>
    <w:rPr>
      <w:rFonts w:ascii="Consolas" w:hAnsi="Consolas"/>
      <w:bCs w:val="0"/>
      <w:sz w:val="20"/>
      <w:szCs w:val="20"/>
      <w:lang w:val="en-GB"/>
    </w:rPr>
  </w:style>
  <w:style w:type="paragraph" w:styleId="HTMLPreformatted">
    <w:name w:val="HTML Preformatted"/>
    <w:basedOn w:val="Normal"/>
    <w:link w:val="HTMLPreformattedChar"/>
    <w:uiPriority w:val="99"/>
    <w:semiHidden/>
    <w:unhideWhenUsed/>
    <w:rsid w:val="003075F9"/>
    <w:pPr>
      <w:spacing w:before="0"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3075F9"/>
    <w:rPr>
      <w:rFonts w:ascii="Consolas" w:eastAsiaTheme="minorEastAsia" w:hAnsi="Consolas"/>
      <w:lang w:val="en-GB"/>
    </w:rPr>
  </w:style>
  <w:style w:type="character" w:styleId="HTMLSample">
    <w:name w:val="HTML Sample"/>
    <w:basedOn w:val="DefaultParagraphFont"/>
    <w:uiPriority w:val="99"/>
    <w:semiHidden/>
    <w:unhideWhenUsed/>
    <w:rsid w:val="003075F9"/>
    <w:rPr>
      <w:rFonts w:ascii="Consolas" w:hAnsi="Consolas"/>
      <w:bCs w:val="0"/>
      <w:sz w:val="24"/>
      <w:szCs w:val="24"/>
      <w:lang w:val="en-GB"/>
    </w:rPr>
  </w:style>
  <w:style w:type="character" w:styleId="HTMLTypewriter">
    <w:name w:val="HTML Typewriter"/>
    <w:basedOn w:val="DefaultParagraphFont"/>
    <w:uiPriority w:val="99"/>
    <w:semiHidden/>
    <w:unhideWhenUsed/>
    <w:rsid w:val="003075F9"/>
    <w:rPr>
      <w:rFonts w:ascii="Consolas" w:hAnsi="Consolas"/>
      <w:bCs w:val="0"/>
      <w:sz w:val="20"/>
      <w:szCs w:val="20"/>
      <w:lang w:val="en-GB"/>
    </w:rPr>
  </w:style>
  <w:style w:type="character" w:styleId="HTMLVariable">
    <w:name w:val="HTML Variable"/>
    <w:basedOn w:val="DefaultParagraphFont"/>
    <w:uiPriority w:val="99"/>
    <w:semiHidden/>
    <w:unhideWhenUsed/>
    <w:rsid w:val="003075F9"/>
    <w:rPr>
      <w:bCs w:val="0"/>
      <w:i/>
      <w:iCs/>
      <w:szCs w:val="20"/>
      <w:lang w:val="en-GB"/>
    </w:rPr>
  </w:style>
  <w:style w:type="character" w:styleId="Hyperlink">
    <w:name w:val="Hyperlink"/>
    <w:aliases w:val="~HyperLink"/>
    <w:basedOn w:val="DefaultParagraphFont"/>
    <w:uiPriority w:val="99"/>
    <w:unhideWhenUsed/>
    <w:rsid w:val="003075F9"/>
    <w:rPr>
      <w:bCs w:val="0"/>
      <w:color w:val="2FB6BC" w:themeColor="accent1"/>
      <w:szCs w:val="20"/>
      <w:u w:val="single"/>
      <w:lang w:val="en-GB"/>
    </w:rPr>
  </w:style>
  <w:style w:type="paragraph" w:styleId="Index1">
    <w:name w:val="index 1"/>
    <w:basedOn w:val="Normal"/>
    <w:next w:val="Normal"/>
    <w:autoRedefine/>
    <w:uiPriority w:val="99"/>
    <w:semiHidden/>
    <w:unhideWhenUsed/>
    <w:rsid w:val="003075F9"/>
    <w:pPr>
      <w:spacing w:before="0" w:after="0" w:line="240" w:lineRule="auto"/>
      <w:ind w:left="200" w:hanging="200"/>
    </w:pPr>
  </w:style>
  <w:style w:type="paragraph" w:styleId="Index2">
    <w:name w:val="index 2"/>
    <w:basedOn w:val="Normal"/>
    <w:next w:val="Normal"/>
    <w:autoRedefine/>
    <w:uiPriority w:val="99"/>
    <w:semiHidden/>
    <w:unhideWhenUsed/>
    <w:rsid w:val="003075F9"/>
    <w:pPr>
      <w:spacing w:before="0" w:after="0" w:line="240" w:lineRule="auto"/>
      <w:ind w:left="400" w:hanging="200"/>
    </w:pPr>
  </w:style>
  <w:style w:type="paragraph" w:styleId="Index3">
    <w:name w:val="index 3"/>
    <w:basedOn w:val="Normal"/>
    <w:next w:val="Normal"/>
    <w:autoRedefine/>
    <w:uiPriority w:val="99"/>
    <w:semiHidden/>
    <w:unhideWhenUsed/>
    <w:rsid w:val="003075F9"/>
    <w:pPr>
      <w:spacing w:before="0" w:after="0" w:line="240" w:lineRule="auto"/>
      <w:ind w:left="600" w:hanging="200"/>
    </w:pPr>
  </w:style>
  <w:style w:type="paragraph" w:styleId="Index4">
    <w:name w:val="index 4"/>
    <w:basedOn w:val="Normal"/>
    <w:next w:val="Normal"/>
    <w:autoRedefine/>
    <w:uiPriority w:val="99"/>
    <w:semiHidden/>
    <w:unhideWhenUsed/>
    <w:rsid w:val="003075F9"/>
    <w:pPr>
      <w:spacing w:before="0" w:after="0" w:line="240" w:lineRule="auto"/>
      <w:ind w:left="800" w:hanging="200"/>
    </w:pPr>
  </w:style>
  <w:style w:type="paragraph" w:styleId="Index5">
    <w:name w:val="index 5"/>
    <w:basedOn w:val="Normal"/>
    <w:next w:val="Normal"/>
    <w:autoRedefine/>
    <w:uiPriority w:val="99"/>
    <w:semiHidden/>
    <w:unhideWhenUsed/>
    <w:rsid w:val="003075F9"/>
    <w:pPr>
      <w:spacing w:before="0" w:after="0" w:line="240" w:lineRule="auto"/>
      <w:ind w:left="1000" w:hanging="200"/>
    </w:pPr>
  </w:style>
  <w:style w:type="paragraph" w:styleId="Index6">
    <w:name w:val="index 6"/>
    <w:basedOn w:val="Normal"/>
    <w:next w:val="Normal"/>
    <w:autoRedefine/>
    <w:uiPriority w:val="99"/>
    <w:semiHidden/>
    <w:unhideWhenUsed/>
    <w:rsid w:val="003075F9"/>
    <w:pPr>
      <w:spacing w:before="0" w:after="0" w:line="240" w:lineRule="auto"/>
      <w:ind w:left="1200" w:hanging="200"/>
    </w:pPr>
  </w:style>
  <w:style w:type="paragraph" w:styleId="Index7">
    <w:name w:val="index 7"/>
    <w:basedOn w:val="Normal"/>
    <w:next w:val="Normal"/>
    <w:autoRedefine/>
    <w:uiPriority w:val="99"/>
    <w:semiHidden/>
    <w:unhideWhenUsed/>
    <w:rsid w:val="003075F9"/>
    <w:pPr>
      <w:spacing w:before="0" w:after="0" w:line="240" w:lineRule="auto"/>
      <w:ind w:left="1400" w:hanging="200"/>
    </w:pPr>
  </w:style>
  <w:style w:type="paragraph" w:styleId="Index8">
    <w:name w:val="index 8"/>
    <w:basedOn w:val="Normal"/>
    <w:next w:val="Normal"/>
    <w:autoRedefine/>
    <w:uiPriority w:val="99"/>
    <w:semiHidden/>
    <w:unhideWhenUsed/>
    <w:rsid w:val="003075F9"/>
    <w:pPr>
      <w:spacing w:before="0" w:after="0" w:line="240" w:lineRule="auto"/>
      <w:ind w:left="1600" w:hanging="200"/>
    </w:pPr>
  </w:style>
  <w:style w:type="paragraph" w:styleId="Index9">
    <w:name w:val="index 9"/>
    <w:basedOn w:val="Normal"/>
    <w:next w:val="Normal"/>
    <w:autoRedefine/>
    <w:uiPriority w:val="99"/>
    <w:semiHidden/>
    <w:unhideWhenUsed/>
    <w:rsid w:val="003075F9"/>
    <w:pPr>
      <w:spacing w:before="0" w:after="0" w:line="240" w:lineRule="auto"/>
      <w:ind w:left="1800" w:hanging="200"/>
    </w:pPr>
  </w:style>
  <w:style w:type="paragraph" w:styleId="IndexHeading">
    <w:name w:val="index heading"/>
    <w:basedOn w:val="Normal"/>
    <w:next w:val="Index1"/>
    <w:uiPriority w:val="99"/>
    <w:semiHidden/>
    <w:unhideWhenUsed/>
    <w:rsid w:val="003075F9"/>
    <w:rPr>
      <w:rFonts w:asciiTheme="majorHAnsi" w:eastAsiaTheme="majorEastAsia" w:hAnsiTheme="majorHAnsi" w:cstheme="majorBidi"/>
      <w:b/>
      <w:bCs/>
    </w:rPr>
  </w:style>
  <w:style w:type="character" w:styleId="IntenseEmphasis">
    <w:name w:val="Intense Emphasis"/>
    <w:basedOn w:val="DefaultParagraphFont"/>
    <w:uiPriority w:val="39"/>
    <w:semiHidden/>
    <w:qFormat/>
    <w:rsid w:val="003075F9"/>
    <w:rPr>
      <w:bCs w:val="0"/>
      <w:i/>
      <w:iCs/>
      <w:color w:val="2FB6BC" w:themeColor="accent1"/>
      <w:szCs w:val="20"/>
      <w:lang w:val="en-GB"/>
    </w:rPr>
  </w:style>
  <w:style w:type="paragraph" w:styleId="IntenseQuote">
    <w:name w:val="Intense Quote"/>
    <w:basedOn w:val="Normal"/>
    <w:next w:val="Normal"/>
    <w:link w:val="IntenseQuoteChar"/>
    <w:uiPriority w:val="39"/>
    <w:semiHidden/>
    <w:qFormat/>
    <w:rsid w:val="003075F9"/>
    <w:pPr>
      <w:pBdr>
        <w:top w:val="single" w:sz="4" w:space="10" w:color="2FB6BC" w:themeColor="accent1"/>
        <w:bottom w:val="single" w:sz="4" w:space="10" w:color="2FB6BC" w:themeColor="accent1"/>
      </w:pBdr>
      <w:spacing w:before="360" w:after="360"/>
      <w:ind w:left="864" w:right="864"/>
      <w:jc w:val="center"/>
    </w:pPr>
    <w:rPr>
      <w:i/>
      <w:iCs/>
      <w:color w:val="2FB6BC" w:themeColor="accent1"/>
    </w:rPr>
  </w:style>
  <w:style w:type="character" w:customStyle="1" w:styleId="IntenseQuoteChar">
    <w:name w:val="Intense Quote Char"/>
    <w:basedOn w:val="DefaultParagraphFont"/>
    <w:link w:val="IntenseQuote"/>
    <w:uiPriority w:val="39"/>
    <w:semiHidden/>
    <w:rsid w:val="003075F9"/>
    <w:rPr>
      <w:rFonts w:eastAsiaTheme="minorEastAsia"/>
      <w:i/>
      <w:iCs/>
      <w:color w:val="2FB6BC" w:themeColor="accent1"/>
      <w:lang w:val="en-GB"/>
    </w:rPr>
  </w:style>
  <w:style w:type="character" w:styleId="IntenseReference">
    <w:name w:val="Intense Reference"/>
    <w:basedOn w:val="DefaultParagraphFont"/>
    <w:uiPriority w:val="39"/>
    <w:semiHidden/>
    <w:qFormat/>
    <w:rsid w:val="003075F9"/>
    <w:rPr>
      <w:b/>
      <w:bCs/>
      <w:smallCaps/>
      <w:color w:val="2FB6BC" w:themeColor="accent1"/>
      <w:spacing w:val="5"/>
      <w:szCs w:val="20"/>
      <w:lang w:val="en-GB"/>
    </w:rPr>
  </w:style>
  <w:style w:type="table" w:styleId="LightGrid">
    <w:name w:val="Light Grid"/>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2FB6BC" w:themeColor="accent1"/>
        <w:left w:val="single" w:sz="8" w:space="0" w:color="2FB6BC" w:themeColor="accent1"/>
        <w:bottom w:val="single" w:sz="8" w:space="0" w:color="2FB6BC" w:themeColor="accent1"/>
        <w:right w:val="single" w:sz="8" w:space="0" w:color="2FB6BC" w:themeColor="accent1"/>
        <w:insideH w:val="single" w:sz="8" w:space="0" w:color="2FB6BC" w:themeColor="accent1"/>
        <w:insideV w:val="single" w:sz="8" w:space="0" w:color="2FB6B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B6BC" w:themeColor="accent1"/>
          <w:left w:val="single" w:sz="8" w:space="0" w:color="2FB6BC" w:themeColor="accent1"/>
          <w:bottom w:val="single" w:sz="18" w:space="0" w:color="2FB6BC" w:themeColor="accent1"/>
          <w:right w:val="single" w:sz="8" w:space="0" w:color="2FB6BC" w:themeColor="accent1"/>
          <w:insideH w:val="nil"/>
          <w:insideV w:val="single" w:sz="8" w:space="0" w:color="2FB6B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B6BC" w:themeColor="accent1"/>
          <w:left w:val="single" w:sz="8" w:space="0" w:color="2FB6BC" w:themeColor="accent1"/>
          <w:bottom w:val="single" w:sz="8" w:space="0" w:color="2FB6BC" w:themeColor="accent1"/>
          <w:right w:val="single" w:sz="8" w:space="0" w:color="2FB6BC" w:themeColor="accent1"/>
          <w:insideH w:val="nil"/>
          <w:insideV w:val="single" w:sz="8" w:space="0" w:color="2FB6B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tcPr>
    </w:tblStylePr>
    <w:tblStylePr w:type="band1Vert">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shd w:val="clear" w:color="auto" w:fill="C8EFF1" w:themeFill="accent1" w:themeFillTint="3F"/>
      </w:tcPr>
    </w:tblStylePr>
    <w:tblStylePr w:type="band1Horz">
      <w:tblPr/>
      <w:tcPr>
        <w:tcBorders>
          <w:top w:val="single" w:sz="8" w:space="0" w:color="2FB6BC" w:themeColor="accent1"/>
          <w:left w:val="single" w:sz="8" w:space="0" w:color="2FB6BC" w:themeColor="accent1"/>
          <w:bottom w:val="single" w:sz="8" w:space="0" w:color="2FB6BC" w:themeColor="accent1"/>
          <w:right w:val="single" w:sz="8" w:space="0" w:color="2FB6BC" w:themeColor="accent1"/>
          <w:insideV w:val="single" w:sz="8" w:space="0" w:color="2FB6BC" w:themeColor="accent1"/>
        </w:tcBorders>
        <w:shd w:val="clear" w:color="auto" w:fill="C8EFF1" w:themeFill="accent1" w:themeFillTint="3F"/>
      </w:tcPr>
    </w:tblStylePr>
    <w:tblStylePr w:type="band2Horz">
      <w:tblPr/>
      <w:tcPr>
        <w:tcBorders>
          <w:top w:val="single" w:sz="8" w:space="0" w:color="2FB6BC" w:themeColor="accent1"/>
          <w:left w:val="single" w:sz="8" w:space="0" w:color="2FB6BC" w:themeColor="accent1"/>
          <w:bottom w:val="single" w:sz="8" w:space="0" w:color="2FB6BC" w:themeColor="accent1"/>
          <w:right w:val="single" w:sz="8" w:space="0" w:color="2FB6BC" w:themeColor="accent1"/>
          <w:insideV w:val="single" w:sz="8" w:space="0" w:color="2FB6BC" w:themeColor="accent1"/>
        </w:tcBorders>
      </w:tcPr>
    </w:tblStylePr>
  </w:style>
  <w:style w:type="table" w:styleId="LightGrid-Accent2">
    <w:name w:val="Light Grid Accent 2"/>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009695" w:themeColor="accent2"/>
        <w:left w:val="single" w:sz="8" w:space="0" w:color="009695" w:themeColor="accent2"/>
        <w:bottom w:val="single" w:sz="8" w:space="0" w:color="009695" w:themeColor="accent2"/>
        <w:right w:val="single" w:sz="8" w:space="0" w:color="009695" w:themeColor="accent2"/>
        <w:insideH w:val="single" w:sz="8" w:space="0" w:color="009695" w:themeColor="accent2"/>
        <w:insideV w:val="single" w:sz="8" w:space="0" w:color="00969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95" w:themeColor="accent2"/>
          <w:left w:val="single" w:sz="8" w:space="0" w:color="009695" w:themeColor="accent2"/>
          <w:bottom w:val="single" w:sz="18" w:space="0" w:color="009695" w:themeColor="accent2"/>
          <w:right w:val="single" w:sz="8" w:space="0" w:color="009695" w:themeColor="accent2"/>
          <w:insideH w:val="nil"/>
          <w:insideV w:val="single" w:sz="8" w:space="0" w:color="00969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95" w:themeColor="accent2"/>
          <w:left w:val="single" w:sz="8" w:space="0" w:color="009695" w:themeColor="accent2"/>
          <w:bottom w:val="single" w:sz="8" w:space="0" w:color="009695" w:themeColor="accent2"/>
          <w:right w:val="single" w:sz="8" w:space="0" w:color="009695" w:themeColor="accent2"/>
          <w:insideH w:val="nil"/>
          <w:insideV w:val="single" w:sz="8" w:space="0" w:color="00969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tcPr>
    </w:tblStylePr>
    <w:tblStylePr w:type="band1Vert">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shd w:val="clear" w:color="auto" w:fill="A6FFFE" w:themeFill="accent2" w:themeFillTint="3F"/>
      </w:tcPr>
    </w:tblStylePr>
    <w:tblStylePr w:type="band1Horz">
      <w:tblPr/>
      <w:tcPr>
        <w:tcBorders>
          <w:top w:val="single" w:sz="8" w:space="0" w:color="009695" w:themeColor="accent2"/>
          <w:left w:val="single" w:sz="8" w:space="0" w:color="009695" w:themeColor="accent2"/>
          <w:bottom w:val="single" w:sz="8" w:space="0" w:color="009695" w:themeColor="accent2"/>
          <w:right w:val="single" w:sz="8" w:space="0" w:color="009695" w:themeColor="accent2"/>
          <w:insideV w:val="single" w:sz="8" w:space="0" w:color="009695" w:themeColor="accent2"/>
        </w:tcBorders>
        <w:shd w:val="clear" w:color="auto" w:fill="A6FFFE" w:themeFill="accent2" w:themeFillTint="3F"/>
      </w:tcPr>
    </w:tblStylePr>
    <w:tblStylePr w:type="band2Horz">
      <w:tblPr/>
      <w:tcPr>
        <w:tcBorders>
          <w:top w:val="single" w:sz="8" w:space="0" w:color="009695" w:themeColor="accent2"/>
          <w:left w:val="single" w:sz="8" w:space="0" w:color="009695" w:themeColor="accent2"/>
          <w:bottom w:val="single" w:sz="8" w:space="0" w:color="009695" w:themeColor="accent2"/>
          <w:right w:val="single" w:sz="8" w:space="0" w:color="009695" w:themeColor="accent2"/>
          <w:insideV w:val="single" w:sz="8" w:space="0" w:color="009695" w:themeColor="accent2"/>
        </w:tcBorders>
      </w:tcPr>
    </w:tblStylePr>
  </w:style>
  <w:style w:type="table" w:styleId="LightGrid-Accent3">
    <w:name w:val="Light Grid Accent 3"/>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2B86C7" w:themeColor="accent3"/>
        <w:left w:val="single" w:sz="8" w:space="0" w:color="2B86C7" w:themeColor="accent3"/>
        <w:bottom w:val="single" w:sz="8" w:space="0" w:color="2B86C7" w:themeColor="accent3"/>
        <w:right w:val="single" w:sz="8" w:space="0" w:color="2B86C7" w:themeColor="accent3"/>
        <w:insideH w:val="single" w:sz="8" w:space="0" w:color="2B86C7" w:themeColor="accent3"/>
        <w:insideV w:val="single" w:sz="8" w:space="0" w:color="2B86C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86C7" w:themeColor="accent3"/>
          <w:left w:val="single" w:sz="8" w:space="0" w:color="2B86C7" w:themeColor="accent3"/>
          <w:bottom w:val="single" w:sz="18" w:space="0" w:color="2B86C7" w:themeColor="accent3"/>
          <w:right w:val="single" w:sz="8" w:space="0" w:color="2B86C7" w:themeColor="accent3"/>
          <w:insideH w:val="nil"/>
          <w:insideV w:val="single" w:sz="8" w:space="0" w:color="2B86C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86C7" w:themeColor="accent3"/>
          <w:left w:val="single" w:sz="8" w:space="0" w:color="2B86C7" w:themeColor="accent3"/>
          <w:bottom w:val="single" w:sz="8" w:space="0" w:color="2B86C7" w:themeColor="accent3"/>
          <w:right w:val="single" w:sz="8" w:space="0" w:color="2B86C7" w:themeColor="accent3"/>
          <w:insideH w:val="nil"/>
          <w:insideV w:val="single" w:sz="8" w:space="0" w:color="2B86C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tcPr>
    </w:tblStylePr>
    <w:tblStylePr w:type="band1Vert">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shd w:val="clear" w:color="auto" w:fill="C8E1F3" w:themeFill="accent3" w:themeFillTint="3F"/>
      </w:tcPr>
    </w:tblStylePr>
    <w:tblStylePr w:type="band1Horz">
      <w:tblPr/>
      <w:tcPr>
        <w:tcBorders>
          <w:top w:val="single" w:sz="8" w:space="0" w:color="2B86C7" w:themeColor="accent3"/>
          <w:left w:val="single" w:sz="8" w:space="0" w:color="2B86C7" w:themeColor="accent3"/>
          <w:bottom w:val="single" w:sz="8" w:space="0" w:color="2B86C7" w:themeColor="accent3"/>
          <w:right w:val="single" w:sz="8" w:space="0" w:color="2B86C7" w:themeColor="accent3"/>
          <w:insideV w:val="single" w:sz="8" w:space="0" w:color="2B86C7" w:themeColor="accent3"/>
        </w:tcBorders>
        <w:shd w:val="clear" w:color="auto" w:fill="C8E1F3" w:themeFill="accent3" w:themeFillTint="3F"/>
      </w:tcPr>
    </w:tblStylePr>
    <w:tblStylePr w:type="band2Horz">
      <w:tblPr/>
      <w:tcPr>
        <w:tcBorders>
          <w:top w:val="single" w:sz="8" w:space="0" w:color="2B86C7" w:themeColor="accent3"/>
          <w:left w:val="single" w:sz="8" w:space="0" w:color="2B86C7" w:themeColor="accent3"/>
          <w:bottom w:val="single" w:sz="8" w:space="0" w:color="2B86C7" w:themeColor="accent3"/>
          <w:right w:val="single" w:sz="8" w:space="0" w:color="2B86C7" w:themeColor="accent3"/>
          <w:insideV w:val="single" w:sz="8" w:space="0" w:color="2B86C7" w:themeColor="accent3"/>
        </w:tcBorders>
      </w:tcPr>
    </w:tblStylePr>
  </w:style>
  <w:style w:type="table" w:styleId="LightGrid-Accent4">
    <w:name w:val="Light Grid Accent 4"/>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insideH w:val="single" w:sz="8" w:space="0" w:color="216B99" w:themeColor="accent4"/>
        <w:insideV w:val="single" w:sz="8" w:space="0" w:color="216B9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16B99" w:themeColor="accent4"/>
          <w:left w:val="single" w:sz="8" w:space="0" w:color="216B99" w:themeColor="accent4"/>
          <w:bottom w:val="single" w:sz="18" w:space="0" w:color="216B99" w:themeColor="accent4"/>
          <w:right w:val="single" w:sz="8" w:space="0" w:color="216B99" w:themeColor="accent4"/>
          <w:insideH w:val="nil"/>
          <w:insideV w:val="single" w:sz="8" w:space="0" w:color="216B9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16B99" w:themeColor="accent4"/>
          <w:left w:val="single" w:sz="8" w:space="0" w:color="216B99" w:themeColor="accent4"/>
          <w:bottom w:val="single" w:sz="8" w:space="0" w:color="216B99" w:themeColor="accent4"/>
          <w:right w:val="single" w:sz="8" w:space="0" w:color="216B99" w:themeColor="accent4"/>
          <w:insideH w:val="nil"/>
          <w:insideV w:val="single" w:sz="8" w:space="0" w:color="216B9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tblStylePr w:type="band1Vert">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shd w:val="clear" w:color="auto" w:fill="BCDCF0" w:themeFill="accent4" w:themeFillTint="3F"/>
      </w:tcPr>
    </w:tblStylePr>
    <w:tblStylePr w:type="band1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insideV w:val="single" w:sz="8" w:space="0" w:color="216B99" w:themeColor="accent4"/>
        </w:tcBorders>
        <w:shd w:val="clear" w:color="auto" w:fill="BCDCF0" w:themeFill="accent4" w:themeFillTint="3F"/>
      </w:tcPr>
    </w:tblStylePr>
    <w:tblStylePr w:type="band2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insideV w:val="single" w:sz="8" w:space="0" w:color="216B99" w:themeColor="accent4"/>
        </w:tcBorders>
      </w:tcPr>
    </w:tblStylePr>
  </w:style>
  <w:style w:type="table" w:styleId="LightGrid-Accent5">
    <w:name w:val="Light Grid Accent 5"/>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insideH w:val="single" w:sz="8" w:space="0" w:color="41AC4C" w:themeColor="accent5"/>
        <w:insideV w:val="single" w:sz="8" w:space="0" w:color="41AC4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1AC4C" w:themeColor="accent5"/>
          <w:left w:val="single" w:sz="8" w:space="0" w:color="41AC4C" w:themeColor="accent5"/>
          <w:bottom w:val="single" w:sz="18" w:space="0" w:color="41AC4C" w:themeColor="accent5"/>
          <w:right w:val="single" w:sz="8" w:space="0" w:color="41AC4C" w:themeColor="accent5"/>
          <w:insideH w:val="nil"/>
          <w:insideV w:val="single" w:sz="8" w:space="0" w:color="41AC4C"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1AC4C" w:themeColor="accent5"/>
          <w:left w:val="single" w:sz="8" w:space="0" w:color="41AC4C" w:themeColor="accent5"/>
          <w:bottom w:val="single" w:sz="8" w:space="0" w:color="41AC4C" w:themeColor="accent5"/>
          <w:right w:val="single" w:sz="8" w:space="0" w:color="41AC4C" w:themeColor="accent5"/>
          <w:insideH w:val="nil"/>
          <w:insideV w:val="single" w:sz="8" w:space="0" w:color="41AC4C"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tblStylePr w:type="band1Vert">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shd w:val="clear" w:color="auto" w:fill="CDECD0" w:themeFill="accent5" w:themeFillTint="3F"/>
      </w:tcPr>
    </w:tblStylePr>
    <w:tblStylePr w:type="band1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insideV w:val="single" w:sz="8" w:space="0" w:color="41AC4C" w:themeColor="accent5"/>
        </w:tcBorders>
        <w:shd w:val="clear" w:color="auto" w:fill="CDECD0" w:themeFill="accent5" w:themeFillTint="3F"/>
      </w:tcPr>
    </w:tblStylePr>
    <w:tblStylePr w:type="band2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insideV w:val="single" w:sz="8" w:space="0" w:color="41AC4C" w:themeColor="accent5"/>
        </w:tcBorders>
      </w:tcPr>
    </w:tblStylePr>
  </w:style>
  <w:style w:type="table" w:styleId="LightGrid-Accent6">
    <w:name w:val="Light Grid Accent 6"/>
    <w:basedOn w:val="TableNormal"/>
    <w:uiPriority w:val="62"/>
    <w:semiHidden/>
    <w:unhideWhenUsed/>
    <w:rsid w:val="003075F9"/>
    <w:pPr>
      <w:spacing w:after="0" w:line="240" w:lineRule="auto"/>
    </w:pPr>
    <w:rPr>
      <w:rFonts w:eastAsiaTheme="minorEastAsia"/>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insideH w:val="single" w:sz="8" w:space="0" w:color="8E3F91" w:themeColor="accent6"/>
        <w:insideV w:val="single" w:sz="8" w:space="0" w:color="8E3F9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E3F91" w:themeColor="accent6"/>
          <w:left w:val="single" w:sz="8" w:space="0" w:color="8E3F91" w:themeColor="accent6"/>
          <w:bottom w:val="single" w:sz="18" w:space="0" w:color="8E3F91" w:themeColor="accent6"/>
          <w:right w:val="single" w:sz="8" w:space="0" w:color="8E3F91" w:themeColor="accent6"/>
          <w:insideH w:val="nil"/>
          <w:insideV w:val="single" w:sz="8" w:space="0" w:color="8E3F9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E3F91" w:themeColor="accent6"/>
          <w:left w:val="single" w:sz="8" w:space="0" w:color="8E3F91" w:themeColor="accent6"/>
          <w:bottom w:val="single" w:sz="8" w:space="0" w:color="8E3F91" w:themeColor="accent6"/>
          <w:right w:val="single" w:sz="8" w:space="0" w:color="8E3F91" w:themeColor="accent6"/>
          <w:insideH w:val="nil"/>
          <w:insideV w:val="single" w:sz="8" w:space="0" w:color="8E3F9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tblStylePr w:type="band1Vert">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shd w:val="clear" w:color="auto" w:fill="E7CAE8" w:themeFill="accent6" w:themeFillTint="3F"/>
      </w:tcPr>
    </w:tblStylePr>
    <w:tblStylePr w:type="band1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insideV w:val="single" w:sz="8" w:space="0" w:color="8E3F91" w:themeColor="accent6"/>
        </w:tcBorders>
        <w:shd w:val="clear" w:color="auto" w:fill="E7CAE8" w:themeFill="accent6" w:themeFillTint="3F"/>
      </w:tcPr>
    </w:tblStylePr>
    <w:tblStylePr w:type="band2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insideV w:val="single" w:sz="8" w:space="0" w:color="8E3F91" w:themeColor="accent6"/>
        </w:tcBorders>
      </w:tcPr>
    </w:tblStylePr>
  </w:style>
  <w:style w:type="table" w:styleId="LightList">
    <w:name w:val="Light List"/>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2FB6BC" w:themeColor="accent1"/>
        <w:left w:val="single" w:sz="8" w:space="0" w:color="2FB6BC" w:themeColor="accent1"/>
        <w:bottom w:val="single" w:sz="8" w:space="0" w:color="2FB6BC" w:themeColor="accent1"/>
        <w:right w:val="single" w:sz="8" w:space="0" w:color="2FB6BC" w:themeColor="accent1"/>
      </w:tblBorders>
    </w:tblPr>
    <w:tblStylePr w:type="firstRow">
      <w:pPr>
        <w:spacing w:before="0" w:after="0" w:line="240" w:lineRule="auto"/>
      </w:pPr>
      <w:rPr>
        <w:b/>
        <w:bCs/>
        <w:color w:val="FFFFFF" w:themeColor="background1"/>
      </w:rPr>
      <w:tblPr/>
      <w:tcPr>
        <w:shd w:val="clear" w:color="auto" w:fill="2FB6BC" w:themeFill="accent1"/>
      </w:tcPr>
    </w:tblStylePr>
    <w:tblStylePr w:type="lastRow">
      <w:pPr>
        <w:spacing w:before="0" w:after="0" w:line="240" w:lineRule="auto"/>
      </w:pPr>
      <w:rPr>
        <w:b/>
        <w:bCs/>
      </w:rPr>
      <w:tblPr/>
      <w:tcPr>
        <w:tcBorders>
          <w:top w:val="double" w:sz="6" w:space="0" w:color="2FB6BC" w:themeColor="accent1"/>
          <w:left w:val="single" w:sz="8" w:space="0" w:color="2FB6BC" w:themeColor="accent1"/>
          <w:bottom w:val="single" w:sz="8" w:space="0" w:color="2FB6BC" w:themeColor="accent1"/>
          <w:right w:val="single" w:sz="8" w:space="0" w:color="2FB6BC" w:themeColor="accent1"/>
        </w:tcBorders>
      </w:tcPr>
    </w:tblStylePr>
    <w:tblStylePr w:type="firstCol">
      <w:rPr>
        <w:b/>
        <w:bCs/>
      </w:rPr>
    </w:tblStylePr>
    <w:tblStylePr w:type="lastCol">
      <w:rPr>
        <w:b/>
        <w:bCs/>
      </w:rPr>
    </w:tblStylePr>
    <w:tblStylePr w:type="band1Vert">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tcPr>
    </w:tblStylePr>
    <w:tblStylePr w:type="band1Horz">
      <w:tblPr/>
      <w:tcPr>
        <w:tcBorders>
          <w:top w:val="single" w:sz="8" w:space="0" w:color="2FB6BC" w:themeColor="accent1"/>
          <w:left w:val="single" w:sz="8" w:space="0" w:color="2FB6BC" w:themeColor="accent1"/>
          <w:bottom w:val="single" w:sz="8" w:space="0" w:color="2FB6BC" w:themeColor="accent1"/>
          <w:right w:val="single" w:sz="8" w:space="0" w:color="2FB6BC" w:themeColor="accent1"/>
        </w:tcBorders>
      </w:tcPr>
    </w:tblStylePr>
  </w:style>
  <w:style w:type="table" w:styleId="LightList-Accent2">
    <w:name w:val="Light List Accent 2"/>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009695" w:themeColor="accent2"/>
        <w:left w:val="single" w:sz="8" w:space="0" w:color="009695" w:themeColor="accent2"/>
        <w:bottom w:val="single" w:sz="8" w:space="0" w:color="009695" w:themeColor="accent2"/>
        <w:right w:val="single" w:sz="8" w:space="0" w:color="009695" w:themeColor="accent2"/>
      </w:tblBorders>
    </w:tblPr>
    <w:tblStylePr w:type="firstRow">
      <w:pPr>
        <w:spacing w:before="0" w:after="0" w:line="240" w:lineRule="auto"/>
      </w:pPr>
      <w:rPr>
        <w:b/>
        <w:bCs/>
        <w:color w:val="FFFFFF" w:themeColor="background1"/>
      </w:rPr>
      <w:tblPr/>
      <w:tcPr>
        <w:shd w:val="clear" w:color="auto" w:fill="009695" w:themeFill="accent2"/>
      </w:tcPr>
    </w:tblStylePr>
    <w:tblStylePr w:type="lastRow">
      <w:pPr>
        <w:spacing w:before="0" w:after="0" w:line="240" w:lineRule="auto"/>
      </w:pPr>
      <w:rPr>
        <w:b/>
        <w:bCs/>
      </w:rPr>
      <w:tblPr/>
      <w:tcPr>
        <w:tcBorders>
          <w:top w:val="double" w:sz="6" w:space="0" w:color="009695" w:themeColor="accent2"/>
          <w:left w:val="single" w:sz="8" w:space="0" w:color="009695" w:themeColor="accent2"/>
          <w:bottom w:val="single" w:sz="8" w:space="0" w:color="009695" w:themeColor="accent2"/>
          <w:right w:val="single" w:sz="8" w:space="0" w:color="009695" w:themeColor="accent2"/>
        </w:tcBorders>
      </w:tcPr>
    </w:tblStylePr>
    <w:tblStylePr w:type="firstCol">
      <w:rPr>
        <w:b/>
        <w:bCs/>
      </w:rPr>
    </w:tblStylePr>
    <w:tblStylePr w:type="lastCol">
      <w:rPr>
        <w:b/>
        <w:bCs/>
      </w:rPr>
    </w:tblStylePr>
    <w:tblStylePr w:type="band1Vert">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tcPr>
    </w:tblStylePr>
    <w:tblStylePr w:type="band1Horz">
      <w:tblPr/>
      <w:tcPr>
        <w:tcBorders>
          <w:top w:val="single" w:sz="8" w:space="0" w:color="009695" w:themeColor="accent2"/>
          <w:left w:val="single" w:sz="8" w:space="0" w:color="009695" w:themeColor="accent2"/>
          <w:bottom w:val="single" w:sz="8" w:space="0" w:color="009695" w:themeColor="accent2"/>
          <w:right w:val="single" w:sz="8" w:space="0" w:color="009695" w:themeColor="accent2"/>
        </w:tcBorders>
      </w:tcPr>
    </w:tblStylePr>
  </w:style>
  <w:style w:type="table" w:styleId="LightList-Accent3">
    <w:name w:val="Light List Accent 3"/>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2B86C7" w:themeColor="accent3"/>
        <w:left w:val="single" w:sz="8" w:space="0" w:color="2B86C7" w:themeColor="accent3"/>
        <w:bottom w:val="single" w:sz="8" w:space="0" w:color="2B86C7" w:themeColor="accent3"/>
        <w:right w:val="single" w:sz="8" w:space="0" w:color="2B86C7" w:themeColor="accent3"/>
      </w:tblBorders>
    </w:tblPr>
    <w:tblStylePr w:type="firstRow">
      <w:pPr>
        <w:spacing w:before="0" w:after="0" w:line="240" w:lineRule="auto"/>
      </w:pPr>
      <w:rPr>
        <w:b/>
        <w:bCs/>
        <w:color w:val="FFFFFF" w:themeColor="background1"/>
      </w:rPr>
      <w:tblPr/>
      <w:tcPr>
        <w:shd w:val="clear" w:color="auto" w:fill="2B86C7" w:themeFill="accent3"/>
      </w:tcPr>
    </w:tblStylePr>
    <w:tblStylePr w:type="lastRow">
      <w:pPr>
        <w:spacing w:before="0" w:after="0" w:line="240" w:lineRule="auto"/>
      </w:pPr>
      <w:rPr>
        <w:b/>
        <w:bCs/>
      </w:rPr>
      <w:tblPr/>
      <w:tcPr>
        <w:tcBorders>
          <w:top w:val="double" w:sz="6" w:space="0" w:color="2B86C7" w:themeColor="accent3"/>
          <w:left w:val="single" w:sz="8" w:space="0" w:color="2B86C7" w:themeColor="accent3"/>
          <w:bottom w:val="single" w:sz="8" w:space="0" w:color="2B86C7" w:themeColor="accent3"/>
          <w:right w:val="single" w:sz="8" w:space="0" w:color="2B86C7" w:themeColor="accent3"/>
        </w:tcBorders>
      </w:tcPr>
    </w:tblStylePr>
    <w:tblStylePr w:type="firstCol">
      <w:rPr>
        <w:b/>
        <w:bCs/>
      </w:rPr>
    </w:tblStylePr>
    <w:tblStylePr w:type="lastCol">
      <w:rPr>
        <w:b/>
        <w:bCs/>
      </w:rPr>
    </w:tblStylePr>
    <w:tblStylePr w:type="band1Vert">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tcPr>
    </w:tblStylePr>
    <w:tblStylePr w:type="band1Horz">
      <w:tblPr/>
      <w:tcPr>
        <w:tcBorders>
          <w:top w:val="single" w:sz="8" w:space="0" w:color="2B86C7" w:themeColor="accent3"/>
          <w:left w:val="single" w:sz="8" w:space="0" w:color="2B86C7" w:themeColor="accent3"/>
          <w:bottom w:val="single" w:sz="8" w:space="0" w:color="2B86C7" w:themeColor="accent3"/>
          <w:right w:val="single" w:sz="8" w:space="0" w:color="2B86C7" w:themeColor="accent3"/>
        </w:tcBorders>
      </w:tcPr>
    </w:tblStylePr>
  </w:style>
  <w:style w:type="table" w:styleId="LightList-Accent4">
    <w:name w:val="Light List Accent 4"/>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tblBorders>
    </w:tblPr>
    <w:tblStylePr w:type="firstRow">
      <w:pPr>
        <w:spacing w:before="0" w:after="0" w:line="240" w:lineRule="auto"/>
      </w:pPr>
      <w:rPr>
        <w:b/>
        <w:bCs/>
        <w:color w:val="FFFFFF" w:themeColor="background1"/>
      </w:rPr>
      <w:tblPr/>
      <w:tcPr>
        <w:shd w:val="clear" w:color="auto" w:fill="216B99" w:themeFill="accent4"/>
      </w:tcPr>
    </w:tblStylePr>
    <w:tblStylePr w:type="lastRow">
      <w:pPr>
        <w:spacing w:before="0" w:after="0" w:line="240" w:lineRule="auto"/>
      </w:pPr>
      <w:rPr>
        <w:b/>
        <w:bCs/>
      </w:rPr>
      <w:tblPr/>
      <w:tcPr>
        <w:tcBorders>
          <w:top w:val="double" w:sz="6" w:space="0" w:color="216B99" w:themeColor="accent4"/>
          <w:left w:val="single" w:sz="8" w:space="0" w:color="216B99" w:themeColor="accent4"/>
          <w:bottom w:val="single" w:sz="8" w:space="0" w:color="216B99" w:themeColor="accent4"/>
          <w:right w:val="single" w:sz="8" w:space="0" w:color="216B99" w:themeColor="accent4"/>
        </w:tcBorders>
      </w:tcPr>
    </w:tblStylePr>
    <w:tblStylePr w:type="firstCol">
      <w:rPr>
        <w:b/>
        <w:bCs/>
      </w:rPr>
    </w:tblStylePr>
    <w:tblStylePr w:type="lastCol">
      <w:rPr>
        <w:b/>
        <w:bCs/>
      </w:rPr>
    </w:tblStylePr>
    <w:tblStylePr w:type="band1Vert">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tblStylePr w:type="band1Horz">
      <w:tblPr/>
      <w:tcPr>
        <w:tcBorders>
          <w:top w:val="single" w:sz="8" w:space="0" w:color="216B99" w:themeColor="accent4"/>
          <w:left w:val="single" w:sz="8" w:space="0" w:color="216B99" w:themeColor="accent4"/>
          <w:bottom w:val="single" w:sz="8" w:space="0" w:color="216B99" w:themeColor="accent4"/>
          <w:right w:val="single" w:sz="8" w:space="0" w:color="216B99" w:themeColor="accent4"/>
        </w:tcBorders>
      </w:tcPr>
    </w:tblStylePr>
  </w:style>
  <w:style w:type="table" w:styleId="LightList-Accent5">
    <w:name w:val="Light List Accent 5"/>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tblBorders>
    </w:tblPr>
    <w:tblStylePr w:type="firstRow">
      <w:pPr>
        <w:spacing w:before="0" w:after="0" w:line="240" w:lineRule="auto"/>
      </w:pPr>
      <w:rPr>
        <w:b/>
        <w:bCs/>
        <w:color w:val="FFFFFF" w:themeColor="background1"/>
      </w:rPr>
      <w:tblPr/>
      <w:tcPr>
        <w:shd w:val="clear" w:color="auto" w:fill="41AC4C" w:themeFill="accent5"/>
      </w:tcPr>
    </w:tblStylePr>
    <w:tblStylePr w:type="lastRow">
      <w:pPr>
        <w:spacing w:before="0" w:after="0" w:line="240" w:lineRule="auto"/>
      </w:pPr>
      <w:rPr>
        <w:b/>
        <w:bCs/>
      </w:rPr>
      <w:tblPr/>
      <w:tcPr>
        <w:tcBorders>
          <w:top w:val="double" w:sz="6" w:space="0" w:color="41AC4C" w:themeColor="accent5"/>
          <w:left w:val="single" w:sz="8" w:space="0" w:color="41AC4C" w:themeColor="accent5"/>
          <w:bottom w:val="single" w:sz="8" w:space="0" w:color="41AC4C" w:themeColor="accent5"/>
          <w:right w:val="single" w:sz="8" w:space="0" w:color="41AC4C" w:themeColor="accent5"/>
        </w:tcBorders>
      </w:tcPr>
    </w:tblStylePr>
    <w:tblStylePr w:type="firstCol">
      <w:rPr>
        <w:b/>
        <w:bCs/>
      </w:rPr>
    </w:tblStylePr>
    <w:tblStylePr w:type="lastCol">
      <w:rPr>
        <w:b/>
        <w:bCs/>
      </w:rPr>
    </w:tblStylePr>
    <w:tblStylePr w:type="band1Vert">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tblStylePr w:type="band1Horz">
      <w:tblPr/>
      <w:tcPr>
        <w:tcBorders>
          <w:top w:val="single" w:sz="8" w:space="0" w:color="41AC4C" w:themeColor="accent5"/>
          <w:left w:val="single" w:sz="8" w:space="0" w:color="41AC4C" w:themeColor="accent5"/>
          <w:bottom w:val="single" w:sz="8" w:space="0" w:color="41AC4C" w:themeColor="accent5"/>
          <w:right w:val="single" w:sz="8" w:space="0" w:color="41AC4C" w:themeColor="accent5"/>
        </w:tcBorders>
      </w:tcPr>
    </w:tblStylePr>
  </w:style>
  <w:style w:type="table" w:styleId="LightList-Accent6">
    <w:name w:val="Light List Accent 6"/>
    <w:basedOn w:val="TableNormal"/>
    <w:uiPriority w:val="61"/>
    <w:semiHidden/>
    <w:unhideWhenUsed/>
    <w:rsid w:val="003075F9"/>
    <w:pPr>
      <w:spacing w:after="0" w:line="240" w:lineRule="auto"/>
    </w:pPr>
    <w:rPr>
      <w:rFonts w:eastAsiaTheme="minorEastAsia"/>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tblBorders>
    </w:tblPr>
    <w:tblStylePr w:type="firstRow">
      <w:pPr>
        <w:spacing w:before="0" w:after="0" w:line="240" w:lineRule="auto"/>
      </w:pPr>
      <w:rPr>
        <w:b/>
        <w:bCs/>
        <w:color w:val="FFFFFF" w:themeColor="background1"/>
      </w:rPr>
      <w:tblPr/>
      <w:tcPr>
        <w:shd w:val="clear" w:color="auto" w:fill="8E3F91" w:themeFill="accent6"/>
      </w:tcPr>
    </w:tblStylePr>
    <w:tblStylePr w:type="lastRow">
      <w:pPr>
        <w:spacing w:before="0" w:after="0" w:line="240" w:lineRule="auto"/>
      </w:pPr>
      <w:rPr>
        <w:b/>
        <w:bCs/>
      </w:rPr>
      <w:tblPr/>
      <w:tcPr>
        <w:tcBorders>
          <w:top w:val="double" w:sz="6" w:space="0" w:color="8E3F91" w:themeColor="accent6"/>
          <w:left w:val="single" w:sz="8" w:space="0" w:color="8E3F91" w:themeColor="accent6"/>
          <w:bottom w:val="single" w:sz="8" w:space="0" w:color="8E3F91" w:themeColor="accent6"/>
          <w:right w:val="single" w:sz="8" w:space="0" w:color="8E3F91" w:themeColor="accent6"/>
        </w:tcBorders>
      </w:tcPr>
    </w:tblStylePr>
    <w:tblStylePr w:type="firstCol">
      <w:rPr>
        <w:b/>
        <w:bCs/>
      </w:rPr>
    </w:tblStylePr>
    <w:tblStylePr w:type="lastCol">
      <w:rPr>
        <w:b/>
        <w:bCs/>
      </w:rPr>
    </w:tblStylePr>
    <w:tblStylePr w:type="band1Vert">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tblStylePr w:type="band1Horz">
      <w:tblPr/>
      <w:tcPr>
        <w:tcBorders>
          <w:top w:val="single" w:sz="8" w:space="0" w:color="8E3F91" w:themeColor="accent6"/>
          <w:left w:val="single" w:sz="8" w:space="0" w:color="8E3F91" w:themeColor="accent6"/>
          <w:bottom w:val="single" w:sz="8" w:space="0" w:color="8E3F91" w:themeColor="accent6"/>
          <w:right w:val="single" w:sz="8" w:space="0" w:color="8E3F91" w:themeColor="accent6"/>
        </w:tcBorders>
      </w:tcPr>
    </w:tblStylePr>
  </w:style>
  <w:style w:type="table" w:styleId="LightShading">
    <w:name w:val="Light Shading"/>
    <w:basedOn w:val="TableNormal"/>
    <w:uiPriority w:val="60"/>
    <w:semiHidden/>
    <w:unhideWhenUsed/>
    <w:rsid w:val="003075F9"/>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075F9"/>
    <w:pPr>
      <w:spacing w:after="0" w:line="240" w:lineRule="auto"/>
    </w:pPr>
    <w:rPr>
      <w:rFonts w:eastAsiaTheme="minorEastAsia"/>
      <w:color w:val="23888C" w:themeColor="accent1" w:themeShade="BF"/>
    </w:rPr>
    <w:tblPr>
      <w:tblStyleRowBandSize w:val="1"/>
      <w:tblStyleColBandSize w:val="1"/>
      <w:tblBorders>
        <w:top w:val="single" w:sz="8" w:space="0" w:color="2FB6BC" w:themeColor="accent1"/>
        <w:bottom w:val="single" w:sz="8" w:space="0" w:color="2FB6BC" w:themeColor="accent1"/>
      </w:tblBorders>
    </w:tblPr>
    <w:tblStylePr w:type="firstRow">
      <w:pPr>
        <w:spacing w:before="0" w:after="0" w:line="240" w:lineRule="auto"/>
      </w:pPr>
      <w:rPr>
        <w:b/>
        <w:bCs/>
      </w:rPr>
      <w:tblPr/>
      <w:tcPr>
        <w:tcBorders>
          <w:top w:val="single" w:sz="8" w:space="0" w:color="2FB6BC" w:themeColor="accent1"/>
          <w:left w:val="nil"/>
          <w:bottom w:val="single" w:sz="8" w:space="0" w:color="2FB6BC" w:themeColor="accent1"/>
          <w:right w:val="nil"/>
          <w:insideH w:val="nil"/>
          <w:insideV w:val="nil"/>
        </w:tcBorders>
      </w:tcPr>
    </w:tblStylePr>
    <w:tblStylePr w:type="lastRow">
      <w:pPr>
        <w:spacing w:before="0" w:after="0" w:line="240" w:lineRule="auto"/>
      </w:pPr>
      <w:rPr>
        <w:b/>
        <w:bCs/>
      </w:rPr>
      <w:tblPr/>
      <w:tcPr>
        <w:tcBorders>
          <w:top w:val="single" w:sz="8" w:space="0" w:color="2FB6BC" w:themeColor="accent1"/>
          <w:left w:val="nil"/>
          <w:bottom w:val="single" w:sz="8" w:space="0" w:color="2FB6B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FF1" w:themeFill="accent1" w:themeFillTint="3F"/>
      </w:tcPr>
    </w:tblStylePr>
    <w:tblStylePr w:type="band1Horz">
      <w:tblPr/>
      <w:tcPr>
        <w:tcBorders>
          <w:left w:val="nil"/>
          <w:right w:val="nil"/>
          <w:insideH w:val="nil"/>
          <w:insideV w:val="nil"/>
        </w:tcBorders>
        <w:shd w:val="clear" w:color="auto" w:fill="C8EFF1" w:themeFill="accent1" w:themeFillTint="3F"/>
      </w:tcPr>
    </w:tblStylePr>
  </w:style>
  <w:style w:type="table" w:styleId="LightShading-Accent2">
    <w:name w:val="Light Shading Accent 2"/>
    <w:basedOn w:val="TableNormal"/>
    <w:uiPriority w:val="60"/>
    <w:semiHidden/>
    <w:unhideWhenUsed/>
    <w:rsid w:val="003075F9"/>
    <w:pPr>
      <w:spacing w:after="0" w:line="240" w:lineRule="auto"/>
    </w:pPr>
    <w:rPr>
      <w:rFonts w:eastAsiaTheme="minorEastAsia"/>
      <w:color w:val="00706F" w:themeColor="accent2" w:themeShade="BF"/>
    </w:rPr>
    <w:tblPr>
      <w:tblStyleRowBandSize w:val="1"/>
      <w:tblStyleColBandSize w:val="1"/>
      <w:tblBorders>
        <w:top w:val="single" w:sz="8" w:space="0" w:color="009695" w:themeColor="accent2"/>
        <w:bottom w:val="single" w:sz="8" w:space="0" w:color="009695" w:themeColor="accent2"/>
      </w:tblBorders>
    </w:tblPr>
    <w:tblStylePr w:type="firstRow">
      <w:pPr>
        <w:spacing w:before="0" w:after="0" w:line="240" w:lineRule="auto"/>
      </w:pPr>
      <w:rPr>
        <w:b/>
        <w:bCs/>
      </w:rPr>
      <w:tblPr/>
      <w:tcPr>
        <w:tcBorders>
          <w:top w:val="single" w:sz="8" w:space="0" w:color="009695" w:themeColor="accent2"/>
          <w:left w:val="nil"/>
          <w:bottom w:val="single" w:sz="8" w:space="0" w:color="009695" w:themeColor="accent2"/>
          <w:right w:val="nil"/>
          <w:insideH w:val="nil"/>
          <w:insideV w:val="nil"/>
        </w:tcBorders>
      </w:tcPr>
    </w:tblStylePr>
    <w:tblStylePr w:type="lastRow">
      <w:pPr>
        <w:spacing w:before="0" w:after="0" w:line="240" w:lineRule="auto"/>
      </w:pPr>
      <w:rPr>
        <w:b/>
        <w:bCs/>
      </w:rPr>
      <w:tblPr/>
      <w:tcPr>
        <w:tcBorders>
          <w:top w:val="single" w:sz="8" w:space="0" w:color="009695" w:themeColor="accent2"/>
          <w:left w:val="nil"/>
          <w:bottom w:val="single" w:sz="8" w:space="0" w:color="00969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FE" w:themeFill="accent2" w:themeFillTint="3F"/>
      </w:tcPr>
    </w:tblStylePr>
    <w:tblStylePr w:type="band1Horz">
      <w:tblPr/>
      <w:tcPr>
        <w:tcBorders>
          <w:left w:val="nil"/>
          <w:right w:val="nil"/>
          <w:insideH w:val="nil"/>
          <w:insideV w:val="nil"/>
        </w:tcBorders>
        <w:shd w:val="clear" w:color="auto" w:fill="A6FFFE" w:themeFill="accent2" w:themeFillTint="3F"/>
      </w:tcPr>
    </w:tblStylePr>
  </w:style>
  <w:style w:type="table" w:styleId="LightShading-Accent3">
    <w:name w:val="Light Shading Accent 3"/>
    <w:basedOn w:val="TableNormal"/>
    <w:uiPriority w:val="60"/>
    <w:semiHidden/>
    <w:unhideWhenUsed/>
    <w:rsid w:val="003075F9"/>
    <w:pPr>
      <w:spacing w:after="0" w:line="240" w:lineRule="auto"/>
    </w:pPr>
    <w:rPr>
      <w:rFonts w:eastAsiaTheme="minorEastAsia"/>
      <w:color w:val="206394" w:themeColor="accent3" w:themeShade="BF"/>
    </w:rPr>
    <w:tblPr>
      <w:tblStyleRowBandSize w:val="1"/>
      <w:tblStyleColBandSize w:val="1"/>
      <w:tblBorders>
        <w:top w:val="single" w:sz="8" w:space="0" w:color="2B86C7" w:themeColor="accent3"/>
        <w:bottom w:val="single" w:sz="8" w:space="0" w:color="2B86C7" w:themeColor="accent3"/>
      </w:tblBorders>
    </w:tblPr>
    <w:tblStylePr w:type="firstRow">
      <w:pPr>
        <w:spacing w:before="0" w:after="0" w:line="240" w:lineRule="auto"/>
      </w:pPr>
      <w:rPr>
        <w:b/>
        <w:bCs/>
      </w:rPr>
      <w:tblPr/>
      <w:tcPr>
        <w:tcBorders>
          <w:top w:val="single" w:sz="8" w:space="0" w:color="2B86C7" w:themeColor="accent3"/>
          <w:left w:val="nil"/>
          <w:bottom w:val="single" w:sz="8" w:space="0" w:color="2B86C7" w:themeColor="accent3"/>
          <w:right w:val="nil"/>
          <w:insideH w:val="nil"/>
          <w:insideV w:val="nil"/>
        </w:tcBorders>
      </w:tcPr>
    </w:tblStylePr>
    <w:tblStylePr w:type="lastRow">
      <w:pPr>
        <w:spacing w:before="0" w:after="0" w:line="240" w:lineRule="auto"/>
      </w:pPr>
      <w:rPr>
        <w:b/>
        <w:bCs/>
      </w:rPr>
      <w:tblPr/>
      <w:tcPr>
        <w:tcBorders>
          <w:top w:val="single" w:sz="8" w:space="0" w:color="2B86C7" w:themeColor="accent3"/>
          <w:left w:val="nil"/>
          <w:bottom w:val="single" w:sz="8" w:space="0" w:color="2B86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8E1F3" w:themeFill="accent3" w:themeFillTint="3F"/>
      </w:tcPr>
    </w:tblStylePr>
    <w:tblStylePr w:type="band1Horz">
      <w:tblPr/>
      <w:tcPr>
        <w:tcBorders>
          <w:left w:val="nil"/>
          <w:right w:val="nil"/>
          <w:insideH w:val="nil"/>
          <w:insideV w:val="nil"/>
        </w:tcBorders>
        <w:shd w:val="clear" w:color="auto" w:fill="C8E1F3" w:themeFill="accent3" w:themeFillTint="3F"/>
      </w:tcPr>
    </w:tblStylePr>
  </w:style>
  <w:style w:type="table" w:styleId="LightShading-Accent4">
    <w:name w:val="Light Shading Accent 4"/>
    <w:basedOn w:val="TableNormal"/>
    <w:uiPriority w:val="60"/>
    <w:semiHidden/>
    <w:unhideWhenUsed/>
    <w:rsid w:val="003075F9"/>
    <w:pPr>
      <w:spacing w:after="0" w:line="240" w:lineRule="auto"/>
    </w:pPr>
    <w:rPr>
      <w:rFonts w:eastAsiaTheme="minorEastAsia"/>
      <w:color w:val="184F72" w:themeColor="accent4" w:themeShade="BF"/>
    </w:rPr>
    <w:tblPr>
      <w:tblStyleRowBandSize w:val="1"/>
      <w:tblStyleColBandSize w:val="1"/>
      <w:tblBorders>
        <w:top w:val="single" w:sz="8" w:space="0" w:color="216B99" w:themeColor="accent4"/>
        <w:bottom w:val="single" w:sz="8" w:space="0" w:color="216B99" w:themeColor="accent4"/>
      </w:tblBorders>
    </w:tblPr>
    <w:tblStylePr w:type="firstRow">
      <w:pPr>
        <w:spacing w:before="0" w:after="0" w:line="240" w:lineRule="auto"/>
      </w:pPr>
      <w:rPr>
        <w:b/>
        <w:bCs/>
      </w:rPr>
      <w:tblPr/>
      <w:tcPr>
        <w:tcBorders>
          <w:top w:val="single" w:sz="8" w:space="0" w:color="216B99" w:themeColor="accent4"/>
          <w:left w:val="nil"/>
          <w:bottom w:val="single" w:sz="8" w:space="0" w:color="216B99" w:themeColor="accent4"/>
          <w:right w:val="nil"/>
          <w:insideH w:val="nil"/>
          <w:insideV w:val="nil"/>
        </w:tcBorders>
      </w:tcPr>
    </w:tblStylePr>
    <w:tblStylePr w:type="lastRow">
      <w:pPr>
        <w:spacing w:before="0" w:after="0" w:line="240" w:lineRule="auto"/>
      </w:pPr>
      <w:rPr>
        <w:b/>
        <w:bCs/>
      </w:rPr>
      <w:tblPr/>
      <w:tcPr>
        <w:tcBorders>
          <w:top w:val="single" w:sz="8" w:space="0" w:color="216B99" w:themeColor="accent4"/>
          <w:left w:val="nil"/>
          <w:bottom w:val="single" w:sz="8" w:space="0" w:color="216B9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DCF0" w:themeFill="accent4" w:themeFillTint="3F"/>
      </w:tcPr>
    </w:tblStylePr>
    <w:tblStylePr w:type="band1Horz">
      <w:tblPr/>
      <w:tcPr>
        <w:tcBorders>
          <w:left w:val="nil"/>
          <w:right w:val="nil"/>
          <w:insideH w:val="nil"/>
          <w:insideV w:val="nil"/>
        </w:tcBorders>
        <w:shd w:val="clear" w:color="auto" w:fill="BCDCF0" w:themeFill="accent4" w:themeFillTint="3F"/>
      </w:tcPr>
    </w:tblStylePr>
  </w:style>
  <w:style w:type="table" w:styleId="LightShading-Accent5">
    <w:name w:val="Light Shading Accent 5"/>
    <w:basedOn w:val="TableNormal"/>
    <w:uiPriority w:val="60"/>
    <w:semiHidden/>
    <w:unhideWhenUsed/>
    <w:rsid w:val="003075F9"/>
    <w:pPr>
      <w:spacing w:after="0" w:line="240" w:lineRule="auto"/>
    </w:pPr>
    <w:rPr>
      <w:rFonts w:eastAsiaTheme="minorEastAsia"/>
      <w:color w:val="308038" w:themeColor="accent5" w:themeShade="BF"/>
    </w:rPr>
    <w:tblPr>
      <w:tblStyleRowBandSize w:val="1"/>
      <w:tblStyleColBandSize w:val="1"/>
      <w:tblBorders>
        <w:top w:val="single" w:sz="8" w:space="0" w:color="41AC4C" w:themeColor="accent5"/>
        <w:bottom w:val="single" w:sz="8" w:space="0" w:color="41AC4C" w:themeColor="accent5"/>
      </w:tblBorders>
    </w:tblPr>
    <w:tblStylePr w:type="firstRow">
      <w:pPr>
        <w:spacing w:before="0" w:after="0" w:line="240" w:lineRule="auto"/>
      </w:pPr>
      <w:rPr>
        <w:b/>
        <w:bCs/>
      </w:rPr>
      <w:tblPr/>
      <w:tcPr>
        <w:tcBorders>
          <w:top w:val="single" w:sz="8" w:space="0" w:color="41AC4C" w:themeColor="accent5"/>
          <w:left w:val="nil"/>
          <w:bottom w:val="single" w:sz="8" w:space="0" w:color="41AC4C" w:themeColor="accent5"/>
          <w:right w:val="nil"/>
          <w:insideH w:val="nil"/>
          <w:insideV w:val="nil"/>
        </w:tcBorders>
      </w:tcPr>
    </w:tblStylePr>
    <w:tblStylePr w:type="lastRow">
      <w:pPr>
        <w:spacing w:before="0" w:after="0" w:line="240" w:lineRule="auto"/>
      </w:pPr>
      <w:rPr>
        <w:b/>
        <w:bCs/>
      </w:rPr>
      <w:tblPr/>
      <w:tcPr>
        <w:tcBorders>
          <w:top w:val="single" w:sz="8" w:space="0" w:color="41AC4C" w:themeColor="accent5"/>
          <w:left w:val="nil"/>
          <w:bottom w:val="single" w:sz="8" w:space="0" w:color="41AC4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CD0" w:themeFill="accent5" w:themeFillTint="3F"/>
      </w:tcPr>
    </w:tblStylePr>
    <w:tblStylePr w:type="band1Horz">
      <w:tblPr/>
      <w:tcPr>
        <w:tcBorders>
          <w:left w:val="nil"/>
          <w:right w:val="nil"/>
          <w:insideH w:val="nil"/>
          <w:insideV w:val="nil"/>
        </w:tcBorders>
        <w:shd w:val="clear" w:color="auto" w:fill="CDECD0" w:themeFill="accent5" w:themeFillTint="3F"/>
      </w:tcPr>
    </w:tblStylePr>
  </w:style>
  <w:style w:type="table" w:styleId="LightShading-Accent6">
    <w:name w:val="Light Shading Accent 6"/>
    <w:basedOn w:val="TableNormal"/>
    <w:uiPriority w:val="60"/>
    <w:semiHidden/>
    <w:unhideWhenUsed/>
    <w:rsid w:val="003075F9"/>
    <w:pPr>
      <w:spacing w:after="0" w:line="240" w:lineRule="auto"/>
    </w:pPr>
    <w:rPr>
      <w:rFonts w:eastAsiaTheme="minorEastAsia"/>
      <w:color w:val="6A2F6C" w:themeColor="accent6" w:themeShade="BF"/>
    </w:rPr>
    <w:tblPr>
      <w:tblStyleRowBandSize w:val="1"/>
      <w:tblStyleColBandSize w:val="1"/>
      <w:tblBorders>
        <w:top w:val="single" w:sz="8" w:space="0" w:color="8E3F91" w:themeColor="accent6"/>
        <w:bottom w:val="single" w:sz="8" w:space="0" w:color="8E3F91" w:themeColor="accent6"/>
      </w:tblBorders>
    </w:tblPr>
    <w:tblStylePr w:type="firstRow">
      <w:pPr>
        <w:spacing w:before="0" w:after="0" w:line="240" w:lineRule="auto"/>
      </w:pPr>
      <w:rPr>
        <w:b/>
        <w:bCs/>
      </w:rPr>
      <w:tblPr/>
      <w:tcPr>
        <w:tcBorders>
          <w:top w:val="single" w:sz="8" w:space="0" w:color="8E3F91" w:themeColor="accent6"/>
          <w:left w:val="nil"/>
          <w:bottom w:val="single" w:sz="8" w:space="0" w:color="8E3F91" w:themeColor="accent6"/>
          <w:right w:val="nil"/>
          <w:insideH w:val="nil"/>
          <w:insideV w:val="nil"/>
        </w:tcBorders>
      </w:tcPr>
    </w:tblStylePr>
    <w:tblStylePr w:type="lastRow">
      <w:pPr>
        <w:spacing w:before="0" w:after="0" w:line="240" w:lineRule="auto"/>
      </w:pPr>
      <w:rPr>
        <w:b/>
        <w:bCs/>
      </w:rPr>
      <w:tblPr/>
      <w:tcPr>
        <w:tcBorders>
          <w:top w:val="single" w:sz="8" w:space="0" w:color="8E3F91" w:themeColor="accent6"/>
          <w:left w:val="nil"/>
          <w:bottom w:val="single" w:sz="8" w:space="0" w:color="8E3F9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CAE8" w:themeFill="accent6" w:themeFillTint="3F"/>
      </w:tcPr>
    </w:tblStylePr>
    <w:tblStylePr w:type="band1Horz">
      <w:tblPr/>
      <w:tcPr>
        <w:tcBorders>
          <w:left w:val="nil"/>
          <w:right w:val="nil"/>
          <w:insideH w:val="nil"/>
          <w:insideV w:val="nil"/>
        </w:tcBorders>
        <w:shd w:val="clear" w:color="auto" w:fill="E7CAE8" w:themeFill="accent6" w:themeFillTint="3F"/>
      </w:tcPr>
    </w:tblStylePr>
  </w:style>
  <w:style w:type="character" w:styleId="LineNumber">
    <w:name w:val="line number"/>
    <w:basedOn w:val="DefaultParagraphFont"/>
    <w:uiPriority w:val="99"/>
    <w:semiHidden/>
    <w:unhideWhenUsed/>
    <w:rsid w:val="003075F9"/>
    <w:rPr>
      <w:bCs w:val="0"/>
      <w:szCs w:val="20"/>
      <w:lang w:val="en-GB"/>
    </w:rPr>
  </w:style>
  <w:style w:type="paragraph" w:styleId="List">
    <w:name w:val="List"/>
    <w:basedOn w:val="Normal"/>
    <w:uiPriority w:val="99"/>
    <w:semiHidden/>
    <w:unhideWhenUsed/>
    <w:rsid w:val="003075F9"/>
    <w:pPr>
      <w:ind w:left="283" w:hanging="283"/>
      <w:contextualSpacing/>
    </w:pPr>
  </w:style>
  <w:style w:type="paragraph" w:styleId="List2">
    <w:name w:val="List 2"/>
    <w:basedOn w:val="Normal"/>
    <w:uiPriority w:val="99"/>
    <w:semiHidden/>
    <w:unhideWhenUsed/>
    <w:rsid w:val="003075F9"/>
    <w:pPr>
      <w:ind w:left="566" w:hanging="283"/>
      <w:contextualSpacing/>
    </w:pPr>
  </w:style>
  <w:style w:type="paragraph" w:styleId="List3">
    <w:name w:val="List 3"/>
    <w:basedOn w:val="Normal"/>
    <w:uiPriority w:val="99"/>
    <w:semiHidden/>
    <w:unhideWhenUsed/>
    <w:rsid w:val="003075F9"/>
    <w:pPr>
      <w:ind w:left="849" w:hanging="283"/>
      <w:contextualSpacing/>
    </w:pPr>
  </w:style>
  <w:style w:type="paragraph" w:styleId="List4">
    <w:name w:val="List 4"/>
    <w:basedOn w:val="Normal"/>
    <w:uiPriority w:val="99"/>
    <w:semiHidden/>
    <w:rsid w:val="003075F9"/>
    <w:pPr>
      <w:ind w:left="1132" w:hanging="283"/>
      <w:contextualSpacing/>
    </w:pPr>
  </w:style>
  <w:style w:type="paragraph" w:styleId="List5">
    <w:name w:val="List 5"/>
    <w:basedOn w:val="Normal"/>
    <w:uiPriority w:val="99"/>
    <w:semiHidden/>
    <w:rsid w:val="003075F9"/>
    <w:pPr>
      <w:ind w:left="1415" w:hanging="283"/>
      <w:contextualSpacing/>
    </w:pPr>
  </w:style>
  <w:style w:type="paragraph" w:styleId="ListBullet">
    <w:name w:val="List Bullet"/>
    <w:basedOn w:val="Normal"/>
    <w:uiPriority w:val="99"/>
    <w:semiHidden/>
    <w:unhideWhenUsed/>
    <w:rsid w:val="003075F9"/>
    <w:pPr>
      <w:numPr>
        <w:numId w:val="10"/>
      </w:numPr>
      <w:contextualSpacing/>
    </w:pPr>
  </w:style>
  <w:style w:type="paragraph" w:styleId="ListBullet2">
    <w:name w:val="List Bullet 2"/>
    <w:basedOn w:val="Normal"/>
    <w:uiPriority w:val="99"/>
    <w:semiHidden/>
    <w:unhideWhenUsed/>
    <w:rsid w:val="003075F9"/>
    <w:pPr>
      <w:numPr>
        <w:numId w:val="11"/>
      </w:numPr>
      <w:contextualSpacing/>
    </w:pPr>
  </w:style>
  <w:style w:type="paragraph" w:styleId="ListBullet3">
    <w:name w:val="List Bullet 3"/>
    <w:basedOn w:val="Normal"/>
    <w:uiPriority w:val="99"/>
    <w:semiHidden/>
    <w:unhideWhenUsed/>
    <w:rsid w:val="003075F9"/>
    <w:pPr>
      <w:numPr>
        <w:numId w:val="12"/>
      </w:numPr>
      <w:contextualSpacing/>
    </w:pPr>
  </w:style>
  <w:style w:type="paragraph" w:styleId="ListBullet4">
    <w:name w:val="List Bullet 4"/>
    <w:basedOn w:val="Normal"/>
    <w:uiPriority w:val="99"/>
    <w:semiHidden/>
    <w:unhideWhenUsed/>
    <w:rsid w:val="003075F9"/>
    <w:pPr>
      <w:numPr>
        <w:numId w:val="13"/>
      </w:numPr>
      <w:contextualSpacing/>
    </w:pPr>
  </w:style>
  <w:style w:type="paragraph" w:styleId="ListBullet5">
    <w:name w:val="List Bullet 5"/>
    <w:basedOn w:val="Normal"/>
    <w:uiPriority w:val="99"/>
    <w:semiHidden/>
    <w:unhideWhenUsed/>
    <w:rsid w:val="003075F9"/>
    <w:pPr>
      <w:numPr>
        <w:numId w:val="14"/>
      </w:numPr>
      <w:contextualSpacing/>
    </w:pPr>
  </w:style>
  <w:style w:type="paragraph" w:styleId="ListContinue">
    <w:name w:val="List Continue"/>
    <w:basedOn w:val="Normal"/>
    <w:uiPriority w:val="99"/>
    <w:semiHidden/>
    <w:unhideWhenUsed/>
    <w:rsid w:val="003075F9"/>
    <w:pPr>
      <w:spacing w:after="120"/>
      <w:ind w:left="283"/>
      <w:contextualSpacing/>
    </w:pPr>
  </w:style>
  <w:style w:type="paragraph" w:styleId="ListContinue2">
    <w:name w:val="List Continue 2"/>
    <w:basedOn w:val="Normal"/>
    <w:uiPriority w:val="99"/>
    <w:semiHidden/>
    <w:unhideWhenUsed/>
    <w:rsid w:val="003075F9"/>
    <w:pPr>
      <w:spacing w:after="120"/>
      <w:ind w:left="566"/>
      <w:contextualSpacing/>
    </w:pPr>
  </w:style>
  <w:style w:type="paragraph" w:styleId="ListContinue3">
    <w:name w:val="List Continue 3"/>
    <w:basedOn w:val="Normal"/>
    <w:uiPriority w:val="99"/>
    <w:semiHidden/>
    <w:unhideWhenUsed/>
    <w:rsid w:val="003075F9"/>
    <w:pPr>
      <w:spacing w:after="120"/>
      <w:ind w:left="849"/>
      <w:contextualSpacing/>
    </w:pPr>
  </w:style>
  <w:style w:type="paragraph" w:styleId="ListContinue4">
    <w:name w:val="List Continue 4"/>
    <w:basedOn w:val="Normal"/>
    <w:uiPriority w:val="99"/>
    <w:semiHidden/>
    <w:unhideWhenUsed/>
    <w:rsid w:val="003075F9"/>
    <w:pPr>
      <w:spacing w:after="120"/>
      <w:ind w:left="1132"/>
      <w:contextualSpacing/>
    </w:pPr>
  </w:style>
  <w:style w:type="paragraph" w:styleId="ListContinue5">
    <w:name w:val="List Continue 5"/>
    <w:basedOn w:val="Normal"/>
    <w:uiPriority w:val="99"/>
    <w:semiHidden/>
    <w:unhideWhenUsed/>
    <w:rsid w:val="003075F9"/>
    <w:pPr>
      <w:spacing w:after="120"/>
      <w:ind w:left="1415"/>
      <w:contextualSpacing/>
    </w:pPr>
  </w:style>
  <w:style w:type="paragraph" w:styleId="ListNumber">
    <w:name w:val="List Number"/>
    <w:basedOn w:val="Normal"/>
    <w:uiPriority w:val="99"/>
    <w:semiHidden/>
    <w:rsid w:val="003075F9"/>
    <w:pPr>
      <w:numPr>
        <w:numId w:val="15"/>
      </w:numPr>
      <w:contextualSpacing/>
    </w:pPr>
  </w:style>
  <w:style w:type="paragraph" w:styleId="ListNumber2">
    <w:name w:val="List Number 2"/>
    <w:basedOn w:val="Normal"/>
    <w:uiPriority w:val="99"/>
    <w:semiHidden/>
    <w:unhideWhenUsed/>
    <w:rsid w:val="003075F9"/>
    <w:pPr>
      <w:numPr>
        <w:numId w:val="16"/>
      </w:numPr>
      <w:contextualSpacing/>
    </w:pPr>
  </w:style>
  <w:style w:type="paragraph" w:styleId="ListNumber3">
    <w:name w:val="List Number 3"/>
    <w:basedOn w:val="Normal"/>
    <w:uiPriority w:val="99"/>
    <w:semiHidden/>
    <w:unhideWhenUsed/>
    <w:rsid w:val="003075F9"/>
    <w:pPr>
      <w:numPr>
        <w:numId w:val="17"/>
      </w:numPr>
      <w:contextualSpacing/>
    </w:pPr>
  </w:style>
  <w:style w:type="paragraph" w:styleId="ListNumber4">
    <w:name w:val="List Number 4"/>
    <w:basedOn w:val="Normal"/>
    <w:uiPriority w:val="99"/>
    <w:semiHidden/>
    <w:unhideWhenUsed/>
    <w:rsid w:val="003075F9"/>
    <w:pPr>
      <w:numPr>
        <w:numId w:val="18"/>
      </w:numPr>
      <w:contextualSpacing/>
    </w:pPr>
  </w:style>
  <w:style w:type="paragraph" w:styleId="ListNumber5">
    <w:name w:val="List Number 5"/>
    <w:basedOn w:val="Normal"/>
    <w:uiPriority w:val="99"/>
    <w:semiHidden/>
    <w:unhideWhenUsed/>
    <w:rsid w:val="003075F9"/>
    <w:pPr>
      <w:numPr>
        <w:numId w:val="19"/>
      </w:numPr>
      <w:contextualSpacing/>
    </w:pPr>
  </w:style>
  <w:style w:type="paragraph" w:styleId="ListParagraph">
    <w:name w:val="List Paragraph"/>
    <w:basedOn w:val="Normal"/>
    <w:uiPriority w:val="34"/>
    <w:qFormat/>
    <w:rsid w:val="003075F9"/>
    <w:pPr>
      <w:ind w:left="720"/>
      <w:contextualSpacing/>
    </w:pPr>
  </w:style>
  <w:style w:type="table" w:customStyle="1" w:styleId="ListTable1Light1">
    <w:name w:val="List Table 1 Light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7BD9DE" w:themeColor="accent1" w:themeTint="99"/>
        </w:tcBorders>
      </w:tcPr>
    </w:tblStylePr>
    <w:tblStylePr w:type="lastRow">
      <w:rPr>
        <w:b/>
        <w:bCs/>
      </w:rPr>
      <w:tblPr/>
      <w:tcPr>
        <w:tcBorders>
          <w:top w:val="single" w:sz="4" w:space="0" w:color="7BD9DE" w:themeColor="accent1" w:themeTint="99"/>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ListTable1Light-Accent21">
    <w:name w:val="List Table 1 Light - Accent 2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27FFFD" w:themeColor="accent2" w:themeTint="99"/>
        </w:tcBorders>
      </w:tcPr>
    </w:tblStylePr>
    <w:tblStylePr w:type="lastRow">
      <w:rPr>
        <w:b/>
        <w:bCs/>
      </w:rPr>
      <w:tblPr/>
      <w:tcPr>
        <w:tcBorders>
          <w:top w:val="single" w:sz="4" w:space="0" w:color="27FFFD" w:themeColor="accent2" w:themeTint="99"/>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ListTable1Light-Accent31">
    <w:name w:val="List Table 1 Light - Accent 3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7AB6E2" w:themeColor="accent3" w:themeTint="99"/>
        </w:tcBorders>
      </w:tcPr>
    </w:tblStylePr>
    <w:tblStylePr w:type="lastRow">
      <w:rPr>
        <w:b/>
        <w:bCs/>
      </w:rPr>
      <w:tblPr/>
      <w:tcPr>
        <w:tcBorders>
          <w:top w:val="single" w:sz="4" w:space="0" w:color="7AB6E2" w:themeColor="accent3" w:themeTint="99"/>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ListTable1Light-Accent41">
    <w:name w:val="List Table 1 Light - Accent 4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5EACDC" w:themeColor="accent4" w:themeTint="99"/>
        </w:tcBorders>
      </w:tcPr>
    </w:tblStylePr>
    <w:tblStylePr w:type="lastRow">
      <w:rPr>
        <w:b/>
        <w:bCs/>
      </w:rPr>
      <w:tblPr/>
      <w:tcPr>
        <w:tcBorders>
          <w:top w:val="sing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ListTable1Light-Accent51">
    <w:name w:val="List Table 1 Light - Accent 5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88D28F" w:themeColor="accent5" w:themeTint="99"/>
        </w:tcBorders>
      </w:tcPr>
    </w:tblStylePr>
    <w:tblStylePr w:type="lastRow">
      <w:rPr>
        <w:b/>
        <w:bCs/>
      </w:rPr>
      <w:tblPr/>
      <w:tcPr>
        <w:tcBorders>
          <w:top w:val="sing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ListTable1Light-Accent61">
    <w:name w:val="List Table 1 Light - Accent 61"/>
    <w:basedOn w:val="TableNormal"/>
    <w:uiPriority w:val="46"/>
    <w:rsid w:val="003075F9"/>
    <w:pPr>
      <w:spacing w:after="0" w:line="240" w:lineRule="auto"/>
    </w:pPr>
    <w:rPr>
      <w:rFonts w:eastAsiaTheme="minorEastAsia"/>
    </w:rPr>
    <w:tblPr>
      <w:tblStyleRowBandSize w:val="1"/>
      <w:tblStyleColBandSize w:val="1"/>
    </w:tblPr>
    <w:tblStylePr w:type="firstRow">
      <w:rPr>
        <w:b/>
        <w:bCs/>
      </w:rPr>
      <w:tblPr/>
      <w:tcPr>
        <w:tcBorders>
          <w:bottom w:val="single" w:sz="4" w:space="0" w:color="C580C8" w:themeColor="accent6" w:themeTint="99"/>
        </w:tcBorders>
      </w:tcPr>
    </w:tblStylePr>
    <w:tblStylePr w:type="lastRow">
      <w:rPr>
        <w:b/>
        <w:bCs/>
      </w:rPr>
      <w:tblPr/>
      <w:tcPr>
        <w:tcBorders>
          <w:top w:val="sing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ListTable21">
    <w:name w:val="List Table 21"/>
    <w:basedOn w:val="TableNormal"/>
    <w:uiPriority w:val="47"/>
    <w:rsid w:val="003075F9"/>
    <w:pPr>
      <w:spacing w:after="0" w:line="240" w:lineRule="auto"/>
    </w:pPr>
    <w:rPr>
      <w:rFonts w:eastAsiaTheme="minorEastAsia"/>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1">
    <w:name w:val="List Table 2 - Accent 11"/>
    <w:basedOn w:val="TableNormal"/>
    <w:uiPriority w:val="47"/>
    <w:rsid w:val="003075F9"/>
    <w:pPr>
      <w:spacing w:after="0" w:line="240" w:lineRule="auto"/>
    </w:pPr>
    <w:rPr>
      <w:rFonts w:eastAsiaTheme="minorEastAsia"/>
    </w:rPr>
    <w:tblPr>
      <w:tblStyleRowBandSize w:val="1"/>
      <w:tblStyleColBandSize w:val="1"/>
      <w:tblBorders>
        <w:top w:val="single" w:sz="4" w:space="0" w:color="7BD9DE" w:themeColor="accent1" w:themeTint="99"/>
        <w:bottom w:val="single" w:sz="4" w:space="0" w:color="7BD9DE" w:themeColor="accent1" w:themeTint="99"/>
        <w:insideH w:val="single" w:sz="4" w:space="0" w:color="7BD9DE"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ListTable2-Accent21">
    <w:name w:val="List Table 2 - Accent 21"/>
    <w:basedOn w:val="TableNormal"/>
    <w:uiPriority w:val="47"/>
    <w:rsid w:val="003075F9"/>
    <w:pPr>
      <w:spacing w:after="0" w:line="240" w:lineRule="auto"/>
    </w:pPr>
    <w:rPr>
      <w:rFonts w:eastAsiaTheme="minorEastAsia"/>
    </w:rPr>
    <w:tblPr>
      <w:tblStyleRowBandSize w:val="1"/>
      <w:tblStyleColBandSize w:val="1"/>
      <w:tblBorders>
        <w:top w:val="single" w:sz="4" w:space="0" w:color="27FFFD" w:themeColor="accent2" w:themeTint="99"/>
        <w:bottom w:val="single" w:sz="4" w:space="0" w:color="27FFFD" w:themeColor="accent2" w:themeTint="99"/>
        <w:insideH w:val="single" w:sz="4" w:space="0" w:color="27FFFD"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ListTable2-Accent31">
    <w:name w:val="List Table 2 - Accent 31"/>
    <w:basedOn w:val="TableNormal"/>
    <w:uiPriority w:val="47"/>
    <w:rsid w:val="003075F9"/>
    <w:pPr>
      <w:spacing w:after="0" w:line="240" w:lineRule="auto"/>
    </w:pPr>
    <w:rPr>
      <w:rFonts w:eastAsiaTheme="minorEastAsia"/>
    </w:rPr>
    <w:tblPr>
      <w:tblStyleRowBandSize w:val="1"/>
      <w:tblStyleColBandSize w:val="1"/>
      <w:tblBorders>
        <w:top w:val="single" w:sz="4" w:space="0" w:color="7AB6E2" w:themeColor="accent3" w:themeTint="99"/>
        <w:bottom w:val="single" w:sz="4" w:space="0" w:color="7AB6E2" w:themeColor="accent3" w:themeTint="99"/>
        <w:insideH w:val="single" w:sz="4" w:space="0" w:color="7AB6E2"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ListTable2-Accent41">
    <w:name w:val="List Table 2 - Accent 41"/>
    <w:basedOn w:val="TableNormal"/>
    <w:uiPriority w:val="47"/>
    <w:rsid w:val="003075F9"/>
    <w:pPr>
      <w:spacing w:after="0" w:line="240" w:lineRule="auto"/>
    </w:pPr>
    <w:rPr>
      <w:rFonts w:eastAsiaTheme="minorEastAsia"/>
    </w:rPr>
    <w:tblPr>
      <w:tblStyleRowBandSize w:val="1"/>
      <w:tblStyleColBandSize w:val="1"/>
      <w:tblBorders>
        <w:top w:val="single" w:sz="4" w:space="0" w:color="5EACDC" w:themeColor="accent4" w:themeTint="99"/>
        <w:bottom w:val="single" w:sz="4" w:space="0" w:color="5EACDC" w:themeColor="accent4" w:themeTint="99"/>
        <w:insideH w:val="single" w:sz="4" w:space="0" w:color="5EACD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ListTable2-Accent51">
    <w:name w:val="List Table 2 - Accent 51"/>
    <w:basedOn w:val="TableNormal"/>
    <w:uiPriority w:val="47"/>
    <w:rsid w:val="003075F9"/>
    <w:pPr>
      <w:spacing w:after="0" w:line="240" w:lineRule="auto"/>
    </w:pPr>
    <w:rPr>
      <w:rFonts w:eastAsiaTheme="minorEastAsia"/>
    </w:rPr>
    <w:tblPr>
      <w:tblStyleRowBandSize w:val="1"/>
      <w:tblStyleColBandSize w:val="1"/>
      <w:tblBorders>
        <w:top w:val="single" w:sz="4" w:space="0" w:color="88D28F" w:themeColor="accent5" w:themeTint="99"/>
        <w:bottom w:val="single" w:sz="4" w:space="0" w:color="88D28F" w:themeColor="accent5" w:themeTint="99"/>
        <w:insideH w:val="single" w:sz="4" w:space="0" w:color="88D28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ListTable2-Accent61">
    <w:name w:val="List Table 2 - Accent 61"/>
    <w:basedOn w:val="TableNormal"/>
    <w:uiPriority w:val="47"/>
    <w:rsid w:val="003075F9"/>
    <w:pPr>
      <w:spacing w:after="0" w:line="240" w:lineRule="auto"/>
    </w:pPr>
    <w:rPr>
      <w:rFonts w:eastAsiaTheme="minorEastAsia"/>
    </w:rPr>
    <w:tblPr>
      <w:tblStyleRowBandSize w:val="1"/>
      <w:tblStyleColBandSize w:val="1"/>
      <w:tblBorders>
        <w:top w:val="single" w:sz="4" w:space="0" w:color="C580C8" w:themeColor="accent6" w:themeTint="99"/>
        <w:bottom w:val="single" w:sz="4" w:space="0" w:color="C580C8" w:themeColor="accent6" w:themeTint="99"/>
        <w:insideH w:val="single" w:sz="4" w:space="0" w:color="C580C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ListTable31">
    <w:name w:val="List Table 31"/>
    <w:basedOn w:val="TableNormal"/>
    <w:uiPriority w:val="48"/>
    <w:rsid w:val="003075F9"/>
    <w:pPr>
      <w:spacing w:after="0" w:line="240" w:lineRule="auto"/>
    </w:pPr>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1">
    <w:name w:val="List Table 3 - Accent 11"/>
    <w:basedOn w:val="TableNormal"/>
    <w:uiPriority w:val="48"/>
    <w:rsid w:val="003075F9"/>
    <w:pPr>
      <w:spacing w:after="0" w:line="240" w:lineRule="auto"/>
    </w:pPr>
    <w:rPr>
      <w:rFonts w:eastAsiaTheme="minorEastAsia"/>
    </w:rPr>
    <w:tblPr>
      <w:tblStyleRowBandSize w:val="1"/>
      <w:tblStyleColBandSize w:val="1"/>
      <w:tblBorders>
        <w:top w:val="single" w:sz="4" w:space="0" w:color="2FB6BC" w:themeColor="accent1"/>
        <w:left w:val="single" w:sz="4" w:space="0" w:color="2FB6BC" w:themeColor="accent1"/>
        <w:bottom w:val="single" w:sz="4" w:space="0" w:color="2FB6BC" w:themeColor="accent1"/>
        <w:right w:val="single" w:sz="4" w:space="0" w:color="2FB6BC" w:themeColor="accent1"/>
      </w:tblBorders>
    </w:tblPr>
    <w:tblStylePr w:type="firstRow">
      <w:rPr>
        <w:b/>
        <w:bCs/>
        <w:color w:val="FFFFFF" w:themeColor="background1"/>
      </w:rPr>
      <w:tblPr/>
      <w:tcPr>
        <w:shd w:val="clear" w:color="auto" w:fill="2FB6BC" w:themeFill="accent1"/>
      </w:tcPr>
    </w:tblStylePr>
    <w:tblStylePr w:type="lastRow">
      <w:rPr>
        <w:b/>
        <w:bCs/>
      </w:rPr>
      <w:tblPr/>
      <w:tcPr>
        <w:tcBorders>
          <w:top w:val="double" w:sz="4" w:space="0" w:color="2FB6B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FB6BC" w:themeColor="accent1"/>
          <w:right w:val="single" w:sz="4" w:space="0" w:color="2FB6BC" w:themeColor="accent1"/>
        </w:tcBorders>
      </w:tcPr>
    </w:tblStylePr>
    <w:tblStylePr w:type="band1Horz">
      <w:tblPr/>
      <w:tcPr>
        <w:tcBorders>
          <w:top w:val="single" w:sz="4" w:space="0" w:color="2FB6BC" w:themeColor="accent1"/>
          <w:bottom w:val="single" w:sz="4" w:space="0" w:color="2FB6B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FB6BC" w:themeColor="accent1"/>
          <w:left w:val="nil"/>
        </w:tcBorders>
      </w:tcPr>
    </w:tblStylePr>
    <w:tblStylePr w:type="swCell">
      <w:tblPr/>
      <w:tcPr>
        <w:tcBorders>
          <w:top w:val="double" w:sz="4" w:space="0" w:color="2FB6BC" w:themeColor="accent1"/>
          <w:right w:val="nil"/>
        </w:tcBorders>
      </w:tcPr>
    </w:tblStylePr>
  </w:style>
  <w:style w:type="table" w:customStyle="1" w:styleId="ListTable3-Accent21">
    <w:name w:val="List Table 3 - Accent 21"/>
    <w:basedOn w:val="TableNormal"/>
    <w:uiPriority w:val="48"/>
    <w:rsid w:val="003075F9"/>
    <w:pPr>
      <w:spacing w:after="0" w:line="240" w:lineRule="auto"/>
    </w:pPr>
    <w:rPr>
      <w:rFonts w:eastAsiaTheme="minorEastAsia"/>
    </w:rPr>
    <w:tblPr>
      <w:tblStyleRowBandSize w:val="1"/>
      <w:tblStyleColBandSize w:val="1"/>
      <w:tblBorders>
        <w:top w:val="single" w:sz="4" w:space="0" w:color="009695" w:themeColor="accent2"/>
        <w:left w:val="single" w:sz="4" w:space="0" w:color="009695" w:themeColor="accent2"/>
        <w:bottom w:val="single" w:sz="4" w:space="0" w:color="009695" w:themeColor="accent2"/>
        <w:right w:val="single" w:sz="4" w:space="0" w:color="009695" w:themeColor="accent2"/>
      </w:tblBorders>
    </w:tblPr>
    <w:tblStylePr w:type="firstRow">
      <w:rPr>
        <w:b/>
        <w:bCs/>
        <w:color w:val="FFFFFF" w:themeColor="background1"/>
      </w:rPr>
      <w:tblPr/>
      <w:tcPr>
        <w:shd w:val="clear" w:color="auto" w:fill="009695" w:themeFill="accent2"/>
      </w:tcPr>
    </w:tblStylePr>
    <w:tblStylePr w:type="lastRow">
      <w:rPr>
        <w:b/>
        <w:bCs/>
      </w:rPr>
      <w:tblPr/>
      <w:tcPr>
        <w:tcBorders>
          <w:top w:val="double" w:sz="4" w:space="0" w:color="00969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95" w:themeColor="accent2"/>
          <w:right w:val="single" w:sz="4" w:space="0" w:color="009695" w:themeColor="accent2"/>
        </w:tcBorders>
      </w:tcPr>
    </w:tblStylePr>
    <w:tblStylePr w:type="band1Horz">
      <w:tblPr/>
      <w:tcPr>
        <w:tcBorders>
          <w:top w:val="single" w:sz="4" w:space="0" w:color="009695" w:themeColor="accent2"/>
          <w:bottom w:val="single" w:sz="4" w:space="0" w:color="00969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95" w:themeColor="accent2"/>
          <w:left w:val="nil"/>
        </w:tcBorders>
      </w:tcPr>
    </w:tblStylePr>
    <w:tblStylePr w:type="swCell">
      <w:tblPr/>
      <w:tcPr>
        <w:tcBorders>
          <w:top w:val="double" w:sz="4" w:space="0" w:color="009695" w:themeColor="accent2"/>
          <w:right w:val="nil"/>
        </w:tcBorders>
      </w:tcPr>
    </w:tblStylePr>
  </w:style>
  <w:style w:type="table" w:customStyle="1" w:styleId="ListTable3-Accent31">
    <w:name w:val="List Table 3 - Accent 31"/>
    <w:basedOn w:val="TableNormal"/>
    <w:uiPriority w:val="48"/>
    <w:rsid w:val="003075F9"/>
    <w:pPr>
      <w:spacing w:after="0" w:line="240" w:lineRule="auto"/>
    </w:pPr>
    <w:rPr>
      <w:rFonts w:eastAsiaTheme="minorEastAsia"/>
    </w:rPr>
    <w:tblPr>
      <w:tblStyleRowBandSize w:val="1"/>
      <w:tblStyleColBandSize w:val="1"/>
      <w:tblBorders>
        <w:top w:val="single" w:sz="4" w:space="0" w:color="2B86C7" w:themeColor="accent3"/>
        <w:left w:val="single" w:sz="4" w:space="0" w:color="2B86C7" w:themeColor="accent3"/>
        <w:bottom w:val="single" w:sz="4" w:space="0" w:color="2B86C7" w:themeColor="accent3"/>
        <w:right w:val="single" w:sz="4" w:space="0" w:color="2B86C7" w:themeColor="accent3"/>
      </w:tblBorders>
    </w:tblPr>
    <w:tblStylePr w:type="firstRow">
      <w:rPr>
        <w:b/>
        <w:bCs/>
        <w:color w:val="FFFFFF" w:themeColor="background1"/>
      </w:rPr>
      <w:tblPr/>
      <w:tcPr>
        <w:shd w:val="clear" w:color="auto" w:fill="2B86C7" w:themeFill="accent3"/>
      </w:tcPr>
    </w:tblStylePr>
    <w:tblStylePr w:type="lastRow">
      <w:rPr>
        <w:b/>
        <w:bCs/>
      </w:rPr>
      <w:tblPr/>
      <w:tcPr>
        <w:tcBorders>
          <w:top w:val="double" w:sz="4" w:space="0" w:color="2B86C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86C7" w:themeColor="accent3"/>
          <w:right w:val="single" w:sz="4" w:space="0" w:color="2B86C7" w:themeColor="accent3"/>
        </w:tcBorders>
      </w:tcPr>
    </w:tblStylePr>
    <w:tblStylePr w:type="band1Horz">
      <w:tblPr/>
      <w:tcPr>
        <w:tcBorders>
          <w:top w:val="single" w:sz="4" w:space="0" w:color="2B86C7" w:themeColor="accent3"/>
          <w:bottom w:val="single" w:sz="4" w:space="0" w:color="2B86C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86C7" w:themeColor="accent3"/>
          <w:left w:val="nil"/>
        </w:tcBorders>
      </w:tcPr>
    </w:tblStylePr>
    <w:tblStylePr w:type="swCell">
      <w:tblPr/>
      <w:tcPr>
        <w:tcBorders>
          <w:top w:val="double" w:sz="4" w:space="0" w:color="2B86C7" w:themeColor="accent3"/>
          <w:right w:val="nil"/>
        </w:tcBorders>
      </w:tcPr>
    </w:tblStylePr>
  </w:style>
  <w:style w:type="table" w:customStyle="1" w:styleId="ListTable3-Accent41">
    <w:name w:val="List Table 3 - Accent 41"/>
    <w:basedOn w:val="TableNormal"/>
    <w:uiPriority w:val="48"/>
    <w:rsid w:val="003075F9"/>
    <w:pPr>
      <w:spacing w:after="0" w:line="240" w:lineRule="auto"/>
    </w:pPr>
    <w:rPr>
      <w:rFonts w:eastAsiaTheme="minorEastAsia"/>
    </w:rPr>
    <w:tblPr>
      <w:tblStyleRowBandSize w:val="1"/>
      <w:tblStyleColBandSize w:val="1"/>
      <w:tblBorders>
        <w:top w:val="single" w:sz="4" w:space="0" w:color="216B99" w:themeColor="accent4"/>
        <w:left w:val="single" w:sz="4" w:space="0" w:color="216B99" w:themeColor="accent4"/>
        <w:bottom w:val="single" w:sz="4" w:space="0" w:color="216B99" w:themeColor="accent4"/>
        <w:right w:val="single" w:sz="4" w:space="0" w:color="216B99" w:themeColor="accent4"/>
      </w:tblBorders>
    </w:tblPr>
    <w:tblStylePr w:type="firstRow">
      <w:rPr>
        <w:b/>
        <w:bCs/>
        <w:color w:val="FFFFFF" w:themeColor="background1"/>
      </w:rPr>
      <w:tblPr/>
      <w:tcPr>
        <w:shd w:val="clear" w:color="auto" w:fill="216B99" w:themeFill="accent4"/>
      </w:tcPr>
    </w:tblStylePr>
    <w:tblStylePr w:type="lastRow">
      <w:rPr>
        <w:b/>
        <w:bCs/>
      </w:rPr>
      <w:tblPr/>
      <w:tcPr>
        <w:tcBorders>
          <w:top w:val="double" w:sz="4" w:space="0" w:color="216B9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16B99" w:themeColor="accent4"/>
          <w:right w:val="single" w:sz="4" w:space="0" w:color="216B99" w:themeColor="accent4"/>
        </w:tcBorders>
      </w:tcPr>
    </w:tblStylePr>
    <w:tblStylePr w:type="band1Horz">
      <w:tblPr/>
      <w:tcPr>
        <w:tcBorders>
          <w:top w:val="single" w:sz="4" w:space="0" w:color="216B99" w:themeColor="accent4"/>
          <w:bottom w:val="single" w:sz="4" w:space="0" w:color="216B9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16B99" w:themeColor="accent4"/>
          <w:left w:val="nil"/>
        </w:tcBorders>
      </w:tcPr>
    </w:tblStylePr>
    <w:tblStylePr w:type="swCell">
      <w:tblPr/>
      <w:tcPr>
        <w:tcBorders>
          <w:top w:val="double" w:sz="4" w:space="0" w:color="216B99" w:themeColor="accent4"/>
          <w:right w:val="nil"/>
        </w:tcBorders>
      </w:tcPr>
    </w:tblStylePr>
  </w:style>
  <w:style w:type="table" w:customStyle="1" w:styleId="ListTable3-Accent51">
    <w:name w:val="List Table 3 - Accent 51"/>
    <w:basedOn w:val="TableNormal"/>
    <w:uiPriority w:val="48"/>
    <w:rsid w:val="003075F9"/>
    <w:pPr>
      <w:spacing w:after="0" w:line="240" w:lineRule="auto"/>
    </w:pPr>
    <w:rPr>
      <w:rFonts w:eastAsiaTheme="minorEastAsia"/>
    </w:rPr>
    <w:tblPr>
      <w:tblStyleRowBandSize w:val="1"/>
      <w:tblStyleColBandSize w:val="1"/>
      <w:tblBorders>
        <w:top w:val="single" w:sz="4" w:space="0" w:color="41AC4C" w:themeColor="accent5"/>
        <w:left w:val="single" w:sz="4" w:space="0" w:color="41AC4C" w:themeColor="accent5"/>
        <w:bottom w:val="single" w:sz="4" w:space="0" w:color="41AC4C" w:themeColor="accent5"/>
        <w:right w:val="single" w:sz="4" w:space="0" w:color="41AC4C" w:themeColor="accent5"/>
      </w:tblBorders>
    </w:tblPr>
    <w:tblStylePr w:type="firstRow">
      <w:rPr>
        <w:b/>
        <w:bCs/>
        <w:color w:val="FFFFFF" w:themeColor="background1"/>
      </w:rPr>
      <w:tblPr/>
      <w:tcPr>
        <w:shd w:val="clear" w:color="auto" w:fill="41AC4C" w:themeFill="accent5"/>
      </w:tcPr>
    </w:tblStylePr>
    <w:tblStylePr w:type="lastRow">
      <w:rPr>
        <w:b/>
        <w:bCs/>
      </w:rPr>
      <w:tblPr/>
      <w:tcPr>
        <w:tcBorders>
          <w:top w:val="double" w:sz="4" w:space="0" w:color="41AC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AC4C" w:themeColor="accent5"/>
          <w:right w:val="single" w:sz="4" w:space="0" w:color="41AC4C" w:themeColor="accent5"/>
        </w:tcBorders>
      </w:tcPr>
    </w:tblStylePr>
    <w:tblStylePr w:type="band1Horz">
      <w:tblPr/>
      <w:tcPr>
        <w:tcBorders>
          <w:top w:val="single" w:sz="4" w:space="0" w:color="41AC4C" w:themeColor="accent5"/>
          <w:bottom w:val="single" w:sz="4" w:space="0" w:color="41AC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AC4C" w:themeColor="accent5"/>
          <w:left w:val="nil"/>
        </w:tcBorders>
      </w:tcPr>
    </w:tblStylePr>
    <w:tblStylePr w:type="swCell">
      <w:tblPr/>
      <w:tcPr>
        <w:tcBorders>
          <w:top w:val="double" w:sz="4" w:space="0" w:color="41AC4C" w:themeColor="accent5"/>
          <w:right w:val="nil"/>
        </w:tcBorders>
      </w:tcPr>
    </w:tblStylePr>
  </w:style>
  <w:style w:type="table" w:customStyle="1" w:styleId="ListTable3-Accent61">
    <w:name w:val="List Table 3 - Accent 61"/>
    <w:basedOn w:val="TableNormal"/>
    <w:uiPriority w:val="48"/>
    <w:rsid w:val="003075F9"/>
    <w:pPr>
      <w:spacing w:after="0" w:line="240" w:lineRule="auto"/>
    </w:pPr>
    <w:rPr>
      <w:rFonts w:eastAsiaTheme="minorEastAsia"/>
    </w:rPr>
    <w:tblPr>
      <w:tblStyleRowBandSize w:val="1"/>
      <w:tblStyleColBandSize w:val="1"/>
      <w:tblBorders>
        <w:top w:val="single" w:sz="4" w:space="0" w:color="8E3F91" w:themeColor="accent6"/>
        <w:left w:val="single" w:sz="4" w:space="0" w:color="8E3F91" w:themeColor="accent6"/>
        <w:bottom w:val="single" w:sz="4" w:space="0" w:color="8E3F91" w:themeColor="accent6"/>
        <w:right w:val="single" w:sz="4" w:space="0" w:color="8E3F91" w:themeColor="accent6"/>
      </w:tblBorders>
    </w:tblPr>
    <w:tblStylePr w:type="firstRow">
      <w:rPr>
        <w:b/>
        <w:bCs/>
        <w:color w:val="FFFFFF" w:themeColor="background1"/>
      </w:rPr>
      <w:tblPr/>
      <w:tcPr>
        <w:shd w:val="clear" w:color="auto" w:fill="8E3F91" w:themeFill="accent6"/>
      </w:tcPr>
    </w:tblStylePr>
    <w:tblStylePr w:type="lastRow">
      <w:rPr>
        <w:b/>
        <w:bCs/>
      </w:rPr>
      <w:tblPr/>
      <w:tcPr>
        <w:tcBorders>
          <w:top w:val="double" w:sz="4" w:space="0" w:color="8E3F9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E3F91" w:themeColor="accent6"/>
          <w:right w:val="single" w:sz="4" w:space="0" w:color="8E3F91" w:themeColor="accent6"/>
        </w:tcBorders>
      </w:tcPr>
    </w:tblStylePr>
    <w:tblStylePr w:type="band1Horz">
      <w:tblPr/>
      <w:tcPr>
        <w:tcBorders>
          <w:top w:val="single" w:sz="4" w:space="0" w:color="8E3F91" w:themeColor="accent6"/>
          <w:bottom w:val="single" w:sz="4" w:space="0" w:color="8E3F9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E3F91" w:themeColor="accent6"/>
          <w:left w:val="nil"/>
        </w:tcBorders>
      </w:tcPr>
    </w:tblStylePr>
    <w:tblStylePr w:type="swCell">
      <w:tblPr/>
      <w:tcPr>
        <w:tcBorders>
          <w:top w:val="double" w:sz="4" w:space="0" w:color="8E3F91" w:themeColor="accent6"/>
          <w:right w:val="nil"/>
        </w:tcBorders>
      </w:tcPr>
    </w:tblStylePr>
  </w:style>
  <w:style w:type="table" w:customStyle="1" w:styleId="ListTable41">
    <w:name w:val="List Table 41"/>
    <w:basedOn w:val="TableNormal"/>
    <w:uiPriority w:val="49"/>
    <w:rsid w:val="003075F9"/>
    <w:pPr>
      <w:spacing w:after="0" w:line="240" w:lineRule="auto"/>
    </w:pPr>
    <w:rPr>
      <w:rFonts w:eastAsiaTheme="minorEastAsi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1">
    <w:name w:val="List Table 4 - Accent 11"/>
    <w:basedOn w:val="TableNormal"/>
    <w:uiPriority w:val="49"/>
    <w:rsid w:val="003075F9"/>
    <w:pPr>
      <w:spacing w:after="0" w:line="240" w:lineRule="auto"/>
    </w:pPr>
    <w:rPr>
      <w:rFonts w:eastAsiaTheme="minorEastAsia"/>
    </w:rPr>
    <w:tblPr>
      <w:tblStyleRowBandSize w:val="1"/>
      <w:tblStyleColBandSize w:val="1"/>
      <w:tblBorders>
        <w:top w:val="single" w:sz="4" w:space="0" w:color="7BD9DE" w:themeColor="accent1" w:themeTint="99"/>
        <w:left w:val="single" w:sz="4" w:space="0" w:color="7BD9DE" w:themeColor="accent1" w:themeTint="99"/>
        <w:bottom w:val="single" w:sz="4" w:space="0" w:color="7BD9DE" w:themeColor="accent1" w:themeTint="99"/>
        <w:right w:val="single" w:sz="4" w:space="0" w:color="7BD9DE" w:themeColor="accent1" w:themeTint="99"/>
        <w:insideH w:val="single" w:sz="4" w:space="0" w:color="7BD9DE" w:themeColor="accent1" w:themeTint="99"/>
      </w:tblBorders>
    </w:tblPr>
    <w:tblStylePr w:type="firstRow">
      <w:rPr>
        <w:b/>
        <w:bCs/>
        <w:color w:val="FFFFFF" w:themeColor="background1"/>
      </w:rPr>
      <w:tblPr/>
      <w:tcPr>
        <w:tcBorders>
          <w:top w:val="single" w:sz="4" w:space="0" w:color="2FB6BC" w:themeColor="accent1"/>
          <w:left w:val="single" w:sz="4" w:space="0" w:color="2FB6BC" w:themeColor="accent1"/>
          <w:bottom w:val="single" w:sz="4" w:space="0" w:color="2FB6BC" w:themeColor="accent1"/>
          <w:right w:val="single" w:sz="4" w:space="0" w:color="2FB6BC" w:themeColor="accent1"/>
          <w:insideH w:val="nil"/>
        </w:tcBorders>
        <w:shd w:val="clear" w:color="auto" w:fill="2FB6BC" w:themeFill="accent1"/>
      </w:tcPr>
    </w:tblStylePr>
    <w:tblStylePr w:type="lastRow">
      <w:rPr>
        <w:b/>
        <w:bCs/>
      </w:rPr>
      <w:tblPr/>
      <w:tcPr>
        <w:tcBorders>
          <w:top w:val="double" w:sz="4" w:space="0" w:color="7BD9DE" w:themeColor="accent1" w:themeTint="99"/>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ListTable4-Accent21">
    <w:name w:val="List Table 4 - Accent 21"/>
    <w:basedOn w:val="TableNormal"/>
    <w:uiPriority w:val="49"/>
    <w:rsid w:val="003075F9"/>
    <w:pPr>
      <w:spacing w:after="0" w:line="240" w:lineRule="auto"/>
    </w:pPr>
    <w:rPr>
      <w:rFonts w:eastAsiaTheme="minorEastAsia"/>
    </w:rPr>
    <w:tblPr>
      <w:tblStyleRowBandSize w:val="1"/>
      <w:tblStyleColBandSize w:val="1"/>
      <w:tblBorders>
        <w:top w:val="single" w:sz="4" w:space="0" w:color="27FFFD" w:themeColor="accent2" w:themeTint="99"/>
        <w:left w:val="single" w:sz="4" w:space="0" w:color="27FFFD" w:themeColor="accent2" w:themeTint="99"/>
        <w:bottom w:val="single" w:sz="4" w:space="0" w:color="27FFFD" w:themeColor="accent2" w:themeTint="99"/>
        <w:right w:val="single" w:sz="4" w:space="0" w:color="27FFFD" w:themeColor="accent2" w:themeTint="99"/>
        <w:insideH w:val="single" w:sz="4" w:space="0" w:color="27FFFD" w:themeColor="accent2" w:themeTint="99"/>
      </w:tblBorders>
    </w:tblPr>
    <w:tblStylePr w:type="firstRow">
      <w:rPr>
        <w:b/>
        <w:bCs/>
        <w:color w:val="FFFFFF" w:themeColor="background1"/>
      </w:rPr>
      <w:tblPr/>
      <w:tcPr>
        <w:tcBorders>
          <w:top w:val="single" w:sz="4" w:space="0" w:color="009695" w:themeColor="accent2"/>
          <w:left w:val="single" w:sz="4" w:space="0" w:color="009695" w:themeColor="accent2"/>
          <w:bottom w:val="single" w:sz="4" w:space="0" w:color="009695" w:themeColor="accent2"/>
          <w:right w:val="single" w:sz="4" w:space="0" w:color="009695" w:themeColor="accent2"/>
          <w:insideH w:val="nil"/>
        </w:tcBorders>
        <w:shd w:val="clear" w:color="auto" w:fill="009695" w:themeFill="accent2"/>
      </w:tcPr>
    </w:tblStylePr>
    <w:tblStylePr w:type="lastRow">
      <w:rPr>
        <w:b/>
        <w:bCs/>
      </w:rPr>
      <w:tblPr/>
      <w:tcPr>
        <w:tcBorders>
          <w:top w:val="double" w:sz="4" w:space="0" w:color="27FFFD" w:themeColor="accent2" w:themeTint="99"/>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ListTable4-Accent31">
    <w:name w:val="List Table 4 - Accent 31"/>
    <w:basedOn w:val="TableNormal"/>
    <w:uiPriority w:val="49"/>
    <w:rsid w:val="003075F9"/>
    <w:pPr>
      <w:spacing w:after="0" w:line="240" w:lineRule="auto"/>
    </w:pPr>
    <w:rPr>
      <w:rFonts w:eastAsiaTheme="minorEastAsia"/>
    </w:rPr>
    <w:tblPr>
      <w:tblStyleRowBandSize w:val="1"/>
      <w:tblStyleColBandSize w:val="1"/>
      <w:tblBorders>
        <w:top w:val="single" w:sz="4" w:space="0" w:color="7AB6E2" w:themeColor="accent3" w:themeTint="99"/>
        <w:left w:val="single" w:sz="4" w:space="0" w:color="7AB6E2" w:themeColor="accent3" w:themeTint="99"/>
        <w:bottom w:val="single" w:sz="4" w:space="0" w:color="7AB6E2" w:themeColor="accent3" w:themeTint="99"/>
        <w:right w:val="single" w:sz="4" w:space="0" w:color="7AB6E2" w:themeColor="accent3" w:themeTint="99"/>
        <w:insideH w:val="single" w:sz="4" w:space="0" w:color="7AB6E2" w:themeColor="accent3" w:themeTint="99"/>
      </w:tblBorders>
    </w:tblPr>
    <w:tblStylePr w:type="firstRow">
      <w:rPr>
        <w:b/>
        <w:bCs/>
        <w:color w:val="FFFFFF" w:themeColor="background1"/>
      </w:rPr>
      <w:tblPr/>
      <w:tcPr>
        <w:tcBorders>
          <w:top w:val="single" w:sz="4" w:space="0" w:color="2B86C7" w:themeColor="accent3"/>
          <w:left w:val="single" w:sz="4" w:space="0" w:color="2B86C7" w:themeColor="accent3"/>
          <w:bottom w:val="single" w:sz="4" w:space="0" w:color="2B86C7" w:themeColor="accent3"/>
          <w:right w:val="single" w:sz="4" w:space="0" w:color="2B86C7" w:themeColor="accent3"/>
          <w:insideH w:val="nil"/>
        </w:tcBorders>
        <w:shd w:val="clear" w:color="auto" w:fill="2B86C7" w:themeFill="accent3"/>
      </w:tcPr>
    </w:tblStylePr>
    <w:tblStylePr w:type="lastRow">
      <w:rPr>
        <w:b/>
        <w:bCs/>
      </w:rPr>
      <w:tblPr/>
      <w:tcPr>
        <w:tcBorders>
          <w:top w:val="double" w:sz="4" w:space="0" w:color="7AB6E2" w:themeColor="accent3" w:themeTint="99"/>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ListTable4-Accent41">
    <w:name w:val="List Table 4 - Accent 41"/>
    <w:basedOn w:val="TableNormal"/>
    <w:uiPriority w:val="49"/>
    <w:rsid w:val="003075F9"/>
    <w:pPr>
      <w:spacing w:after="0" w:line="240" w:lineRule="auto"/>
    </w:pPr>
    <w:rPr>
      <w:rFonts w:eastAsiaTheme="minorEastAsia"/>
    </w:rPr>
    <w:tblPr>
      <w:tblStyleRowBandSize w:val="1"/>
      <w:tblStyleColBandSize w:val="1"/>
      <w:tblBorders>
        <w:top w:val="single" w:sz="4" w:space="0" w:color="5EACDC" w:themeColor="accent4" w:themeTint="99"/>
        <w:left w:val="single" w:sz="4" w:space="0" w:color="5EACDC" w:themeColor="accent4" w:themeTint="99"/>
        <w:bottom w:val="single" w:sz="4" w:space="0" w:color="5EACDC" w:themeColor="accent4" w:themeTint="99"/>
        <w:right w:val="single" w:sz="4" w:space="0" w:color="5EACDC" w:themeColor="accent4" w:themeTint="99"/>
        <w:insideH w:val="single" w:sz="4" w:space="0" w:color="5EACDC" w:themeColor="accent4" w:themeTint="99"/>
      </w:tblBorders>
    </w:tblPr>
    <w:tblStylePr w:type="firstRow">
      <w:rPr>
        <w:b/>
        <w:bCs/>
        <w:color w:val="FFFFFF" w:themeColor="background1"/>
      </w:rPr>
      <w:tblPr/>
      <w:tcPr>
        <w:tcBorders>
          <w:top w:val="single" w:sz="4" w:space="0" w:color="216B99" w:themeColor="accent4"/>
          <w:left w:val="single" w:sz="4" w:space="0" w:color="216B99" w:themeColor="accent4"/>
          <w:bottom w:val="single" w:sz="4" w:space="0" w:color="216B99" w:themeColor="accent4"/>
          <w:right w:val="single" w:sz="4" w:space="0" w:color="216B99" w:themeColor="accent4"/>
          <w:insideH w:val="nil"/>
        </w:tcBorders>
        <w:shd w:val="clear" w:color="auto" w:fill="216B99" w:themeFill="accent4"/>
      </w:tcPr>
    </w:tblStylePr>
    <w:tblStylePr w:type="lastRow">
      <w:rPr>
        <w:b/>
        <w:bCs/>
      </w:rPr>
      <w:tblPr/>
      <w:tcPr>
        <w:tcBorders>
          <w:top w:val="double" w:sz="4" w:space="0" w:color="5EACDC" w:themeColor="accent4" w:themeTint="99"/>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ListTable4-Accent51">
    <w:name w:val="List Table 4 - Accent 51"/>
    <w:basedOn w:val="TableNormal"/>
    <w:uiPriority w:val="49"/>
    <w:rsid w:val="003075F9"/>
    <w:pPr>
      <w:spacing w:after="0" w:line="240" w:lineRule="auto"/>
    </w:pPr>
    <w:rPr>
      <w:rFonts w:eastAsiaTheme="minorEastAsia"/>
    </w:rPr>
    <w:tblPr>
      <w:tblStyleRowBandSize w:val="1"/>
      <w:tblStyleColBandSize w:val="1"/>
      <w:tblBorders>
        <w:top w:val="single" w:sz="4" w:space="0" w:color="88D28F" w:themeColor="accent5" w:themeTint="99"/>
        <w:left w:val="single" w:sz="4" w:space="0" w:color="88D28F" w:themeColor="accent5" w:themeTint="99"/>
        <w:bottom w:val="single" w:sz="4" w:space="0" w:color="88D28F" w:themeColor="accent5" w:themeTint="99"/>
        <w:right w:val="single" w:sz="4" w:space="0" w:color="88D28F" w:themeColor="accent5" w:themeTint="99"/>
        <w:insideH w:val="single" w:sz="4" w:space="0" w:color="88D28F" w:themeColor="accent5" w:themeTint="99"/>
      </w:tblBorders>
    </w:tblPr>
    <w:tblStylePr w:type="firstRow">
      <w:rPr>
        <w:b/>
        <w:bCs/>
        <w:color w:val="FFFFFF" w:themeColor="background1"/>
      </w:rPr>
      <w:tblPr/>
      <w:tcPr>
        <w:tcBorders>
          <w:top w:val="single" w:sz="4" w:space="0" w:color="41AC4C" w:themeColor="accent5"/>
          <w:left w:val="single" w:sz="4" w:space="0" w:color="41AC4C" w:themeColor="accent5"/>
          <w:bottom w:val="single" w:sz="4" w:space="0" w:color="41AC4C" w:themeColor="accent5"/>
          <w:right w:val="single" w:sz="4" w:space="0" w:color="41AC4C" w:themeColor="accent5"/>
          <w:insideH w:val="nil"/>
        </w:tcBorders>
        <w:shd w:val="clear" w:color="auto" w:fill="41AC4C" w:themeFill="accent5"/>
      </w:tcPr>
    </w:tblStylePr>
    <w:tblStylePr w:type="lastRow">
      <w:rPr>
        <w:b/>
        <w:bCs/>
      </w:rPr>
      <w:tblPr/>
      <w:tcPr>
        <w:tcBorders>
          <w:top w:val="double" w:sz="4" w:space="0" w:color="88D28F" w:themeColor="accent5" w:themeTint="99"/>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ListTable4-Accent61">
    <w:name w:val="List Table 4 - Accent 61"/>
    <w:basedOn w:val="TableNormal"/>
    <w:uiPriority w:val="49"/>
    <w:rsid w:val="003075F9"/>
    <w:pPr>
      <w:spacing w:after="0" w:line="240" w:lineRule="auto"/>
    </w:pPr>
    <w:rPr>
      <w:rFonts w:eastAsiaTheme="minorEastAsia"/>
    </w:rPr>
    <w:tblPr>
      <w:tblStyleRowBandSize w:val="1"/>
      <w:tblStyleColBandSize w:val="1"/>
      <w:tblBorders>
        <w:top w:val="single" w:sz="4" w:space="0" w:color="C580C8" w:themeColor="accent6" w:themeTint="99"/>
        <w:left w:val="single" w:sz="4" w:space="0" w:color="C580C8" w:themeColor="accent6" w:themeTint="99"/>
        <w:bottom w:val="single" w:sz="4" w:space="0" w:color="C580C8" w:themeColor="accent6" w:themeTint="99"/>
        <w:right w:val="single" w:sz="4" w:space="0" w:color="C580C8" w:themeColor="accent6" w:themeTint="99"/>
        <w:insideH w:val="single" w:sz="4" w:space="0" w:color="C580C8" w:themeColor="accent6" w:themeTint="99"/>
      </w:tblBorders>
    </w:tblPr>
    <w:tblStylePr w:type="firstRow">
      <w:rPr>
        <w:b/>
        <w:bCs/>
        <w:color w:val="FFFFFF" w:themeColor="background1"/>
      </w:rPr>
      <w:tblPr/>
      <w:tcPr>
        <w:tcBorders>
          <w:top w:val="single" w:sz="4" w:space="0" w:color="8E3F91" w:themeColor="accent6"/>
          <w:left w:val="single" w:sz="4" w:space="0" w:color="8E3F91" w:themeColor="accent6"/>
          <w:bottom w:val="single" w:sz="4" w:space="0" w:color="8E3F91" w:themeColor="accent6"/>
          <w:right w:val="single" w:sz="4" w:space="0" w:color="8E3F91" w:themeColor="accent6"/>
          <w:insideH w:val="nil"/>
        </w:tcBorders>
        <w:shd w:val="clear" w:color="auto" w:fill="8E3F91" w:themeFill="accent6"/>
      </w:tcPr>
    </w:tblStylePr>
    <w:tblStylePr w:type="lastRow">
      <w:rPr>
        <w:b/>
        <w:bCs/>
      </w:rPr>
      <w:tblPr/>
      <w:tcPr>
        <w:tcBorders>
          <w:top w:val="double" w:sz="4" w:space="0" w:color="C580C8" w:themeColor="accent6" w:themeTint="99"/>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ListTable5Dark1">
    <w:name w:val="List Table 5 Dark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2FB6BC" w:themeColor="accent1"/>
        <w:left w:val="single" w:sz="24" w:space="0" w:color="2FB6BC" w:themeColor="accent1"/>
        <w:bottom w:val="single" w:sz="24" w:space="0" w:color="2FB6BC" w:themeColor="accent1"/>
        <w:right w:val="single" w:sz="24" w:space="0" w:color="2FB6BC" w:themeColor="accent1"/>
      </w:tblBorders>
    </w:tblPr>
    <w:tcPr>
      <w:shd w:val="clear" w:color="auto" w:fill="2FB6BC"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009695" w:themeColor="accent2"/>
        <w:left w:val="single" w:sz="24" w:space="0" w:color="009695" w:themeColor="accent2"/>
        <w:bottom w:val="single" w:sz="24" w:space="0" w:color="009695" w:themeColor="accent2"/>
        <w:right w:val="single" w:sz="24" w:space="0" w:color="009695" w:themeColor="accent2"/>
      </w:tblBorders>
    </w:tblPr>
    <w:tcPr>
      <w:shd w:val="clear" w:color="auto" w:fill="00969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2B86C7" w:themeColor="accent3"/>
        <w:left w:val="single" w:sz="24" w:space="0" w:color="2B86C7" w:themeColor="accent3"/>
        <w:bottom w:val="single" w:sz="24" w:space="0" w:color="2B86C7" w:themeColor="accent3"/>
        <w:right w:val="single" w:sz="24" w:space="0" w:color="2B86C7" w:themeColor="accent3"/>
      </w:tblBorders>
    </w:tblPr>
    <w:tcPr>
      <w:shd w:val="clear" w:color="auto" w:fill="2B86C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216B99" w:themeColor="accent4"/>
        <w:left w:val="single" w:sz="24" w:space="0" w:color="216B99" w:themeColor="accent4"/>
        <w:bottom w:val="single" w:sz="24" w:space="0" w:color="216B99" w:themeColor="accent4"/>
        <w:right w:val="single" w:sz="24" w:space="0" w:color="216B99" w:themeColor="accent4"/>
      </w:tblBorders>
    </w:tblPr>
    <w:tcPr>
      <w:shd w:val="clear" w:color="auto" w:fill="216B9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41AC4C" w:themeColor="accent5"/>
        <w:left w:val="single" w:sz="24" w:space="0" w:color="41AC4C" w:themeColor="accent5"/>
        <w:bottom w:val="single" w:sz="24" w:space="0" w:color="41AC4C" w:themeColor="accent5"/>
        <w:right w:val="single" w:sz="24" w:space="0" w:color="41AC4C" w:themeColor="accent5"/>
      </w:tblBorders>
    </w:tblPr>
    <w:tcPr>
      <w:shd w:val="clear" w:color="auto" w:fill="41AC4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uiPriority w:val="50"/>
    <w:rsid w:val="003075F9"/>
    <w:pPr>
      <w:spacing w:after="0" w:line="240" w:lineRule="auto"/>
    </w:pPr>
    <w:rPr>
      <w:rFonts w:eastAsiaTheme="minorEastAsia"/>
      <w:color w:val="FFFFFF" w:themeColor="background1"/>
    </w:rPr>
    <w:tblPr>
      <w:tblStyleRowBandSize w:val="1"/>
      <w:tblStyleColBandSize w:val="1"/>
      <w:tblBorders>
        <w:top w:val="single" w:sz="24" w:space="0" w:color="8E3F91" w:themeColor="accent6"/>
        <w:left w:val="single" w:sz="24" w:space="0" w:color="8E3F91" w:themeColor="accent6"/>
        <w:bottom w:val="single" w:sz="24" w:space="0" w:color="8E3F91" w:themeColor="accent6"/>
        <w:right w:val="single" w:sz="24" w:space="0" w:color="8E3F91" w:themeColor="accent6"/>
      </w:tblBorders>
    </w:tblPr>
    <w:tcPr>
      <w:shd w:val="clear" w:color="auto" w:fill="8E3F9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uiPriority w:val="51"/>
    <w:rsid w:val="003075F9"/>
    <w:pPr>
      <w:spacing w:after="0" w:line="240" w:lineRule="auto"/>
    </w:pPr>
    <w:rPr>
      <w:rFonts w:eastAsiaTheme="minorEastAsia"/>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1">
    <w:name w:val="List Table 6 Colorful - Accent 11"/>
    <w:basedOn w:val="TableNormal"/>
    <w:uiPriority w:val="51"/>
    <w:rsid w:val="003075F9"/>
    <w:pPr>
      <w:spacing w:after="0" w:line="240" w:lineRule="auto"/>
    </w:pPr>
    <w:rPr>
      <w:rFonts w:eastAsiaTheme="minorEastAsia"/>
      <w:color w:val="23888C" w:themeColor="accent1" w:themeShade="BF"/>
    </w:rPr>
    <w:tblPr>
      <w:tblStyleRowBandSize w:val="1"/>
      <w:tblStyleColBandSize w:val="1"/>
      <w:tblBorders>
        <w:top w:val="single" w:sz="4" w:space="0" w:color="2FB6BC" w:themeColor="accent1"/>
        <w:bottom w:val="single" w:sz="4" w:space="0" w:color="2FB6BC" w:themeColor="accent1"/>
      </w:tblBorders>
    </w:tblPr>
    <w:tblStylePr w:type="firstRow">
      <w:rPr>
        <w:b/>
        <w:bCs/>
      </w:rPr>
      <w:tblPr/>
      <w:tcPr>
        <w:tcBorders>
          <w:bottom w:val="single" w:sz="4" w:space="0" w:color="2FB6BC" w:themeColor="accent1"/>
        </w:tcBorders>
      </w:tcPr>
    </w:tblStylePr>
    <w:tblStylePr w:type="lastRow">
      <w:rPr>
        <w:b/>
        <w:bCs/>
      </w:rPr>
      <w:tblPr/>
      <w:tcPr>
        <w:tcBorders>
          <w:top w:val="double" w:sz="4" w:space="0" w:color="2FB6BC" w:themeColor="accent1"/>
        </w:tcBorders>
      </w:tcPr>
    </w:tblStylePr>
    <w:tblStylePr w:type="firstCol">
      <w:rPr>
        <w:b/>
        <w:bCs/>
      </w:rPr>
    </w:tblStylePr>
    <w:tblStylePr w:type="lastCol">
      <w:rPr>
        <w:b/>
        <w:bCs/>
      </w:rPr>
    </w:tblStylePr>
    <w:tblStylePr w:type="band1Vert">
      <w:tblPr/>
      <w:tcPr>
        <w:shd w:val="clear" w:color="auto" w:fill="D3F2F4" w:themeFill="accent1" w:themeFillTint="33"/>
      </w:tcPr>
    </w:tblStylePr>
    <w:tblStylePr w:type="band1Horz">
      <w:tblPr/>
      <w:tcPr>
        <w:shd w:val="clear" w:color="auto" w:fill="D3F2F4" w:themeFill="accent1" w:themeFillTint="33"/>
      </w:tcPr>
    </w:tblStylePr>
  </w:style>
  <w:style w:type="table" w:customStyle="1" w:styleId="ListTable6Colorful-Accent21">
    <w:name w:val="List Table 6 Colorful - Accent 21"/>
    <w:basedOn w:val="TableNormal"/>
    <w:uiPriority w:val="51"/>
    <w:rsid w:val="003075F9"/>
    <w:pPr>
      <w:spacing w:after="0" w:line="240" w:lineRule="auto"/>
    </w:pPr>
    <w:rPr>
      <w:rFonts w:eastAsiaTheme="minorEastAsia"/>
      <w:color w:val="00706F" w:themeColor="accent2" w:themeShade="BF"/>
    </w:rPr>
    <w:tblPr>
      <w:tblStyleRowBandSize w:val="1"/>
      <w:tblStyleColBandSize w:val="1"/>
      <w:tblBorders>
        <w:top w:val="single" w:sz="4" w:space="0" w:color="009695" w:themeColor="accent2"/>
        <w:bottom w:val="single" w:sz="4" w:space="0" w:color="009695" w:themeColor="accent2"/>
      </w:tblBorders>
    </w:tblPr>
    <w:tblStylePr w:type="firstRow">
      <w:rPr>
        <w:b/>
        <w:bCs/>
      </w:rPr>
      <w:tblPr/>
      <w:tcPr>
        <w:tcBorders>
          <w:bottom w:val="single" w:sz="4" w:space="0" w:color="009695" w:themeColor="accent2"/>
        </w:tcBorders>
      </w:tcPr>
    </w:tblStylePr>
    <w:tblStylePr w:type="lastRow">
      <w:rPr>
        <w:b/>
        <w:bCs/>
      </w:rPr>
      <w:tblPr/>
      <w:tcPr>
        <w:tcBorders>
          <w:top w:val="double" w:sz="4" w:space="0" w:color="009695" w:themeColor="accent2"/>
        </w:tcBorders>
      </w:tcPr>
    </w:tblStylePr>
    <w:tblStylePr w:type="firstCol">
      <w:rPr>
        <w:b/>
        <w:bCs/>
      </w:rPr>
    </w:tblStylePr>
    <w:tblStylePr w:type="lastCol">
      <w:rPr>
        <w:b/>
        <w:bCs/>
      </w:rPr>
    </w:tblStylePr>
    <w:tblStylePr w:type="band1Vert">
      <w:tblPr/>
      <w:tcPr>
        <w:shd w:val="clear" w:color="auto" w:fill="B7FFFE" w:themeFill="accent2" w:themeFillTint="33"/>
      </w:tcPr>
    </w:tblStylePr>
    <w:tblStylePr w:type="band1Horz">
      <w:tblPr/>
      <w:tcPr>
        <w:shd w:val="clear" w:color="auto" w:fill="B7FFFE" w:themeFill="accent2" w:themeFillTint="33"/>
      </w:tcPr>
    </w:tblStylePr>
  </w:style>
  <w:style w:type="table" w:customStyle="1" w:styleId="ListTable6Colorful-Accent31">
    <w:name w:val="List Table 6 Colorful - Accent 31"/>
    <w:basedOn w:val="TableNormal"/>
    <w:uiPriority w:val="51"/>
    <w:rsid w:val="003075F9"/>
    <w:pPr>
      <w:spacing w:after="0" w:line="240" w:lineRule="auto"/>
    </w:pPr>
    <w:rPr>
      <w:rFonts w:eastAsiaTheme="minorEastAsia"/>
      <w:color w:val="206394" w:themeColor="accent3" w:themeShade="BF"/>
    </w:rPr>
    <w:tblPr>
      <w:tblStyleRowBandSize w:val="1"/>
      <w:tblStyleColBandSize w:val="1"/>
      <w:tblBorders>
        <w:top w:val="single" w:sz="4" w:space="0" w:color="2B86C7" w:themeColor="accent3"/>
        <w:bottom w:val="single" w:sz="4" w:space="0" w:color="2B86C7" w:themeColor="accent3"/>
      </w:tblBorders>
    </w:tblPr>
    <w:tblStylePr w:type="firstRow">
      <w:rPr>
        <w:b/>
        <w:bCs/>
      </w:rPr>
      <w:tblPr/>
      <w:tcPr>
        <w:tcBorders>
          <w:bottom w:val="single" w:sz="4" w:space="0" w:color="2B86C7" w:themeColor="accent3"/>
        </w:tcBorders>
      </w:tcPr>
    </w:tblStylePr>
    <w:tblStylePr w:type="lastRow">
      <w:rPr>
        <w:b/>
        <w:bCs/>
      </w:rPr>
      <w:tblPr/>
      <w:tcPr>
        <w:tcBorders>
          <w:top w:val="double" w:sz="4" w:space="0" w:color="2B86C7" w:themeColor="accent3"/>
        </w:tcBorders>
      </w:tcPr>
    </w:tblStylePr>
    <w:tblStylePr w:type="firstCol">
      <w:rPr>
        <w:b/>
        <w:bCs/>
      </w:rPr>
    </w:tblStylePr>
    <w:tblStylePr w:type="lastCol">
      <w:rPr>
        <w:b/>
        <w:bCs/>
      </w:rPr>
    </w:tblStylePr>
    <w:tblStylePr w:type="band1Vert">
      <w:tblPr/>
      <w:tcPr>
        <w:shd w:val="clear" w:color="auto" w:fill="D2E6F5" w:themeFill="accent3" w:themeFillTint="33"/>
      </w:tcPr>
    </w:tblStylePr>
    <w:tblStylePr w:type="band1Horz">
      <w:tblPr/>
      <w:tcPr>
        <w:shd w:val="clear" w:color="auto" w:fill="D2E6F5" w:themeFill="accent3" w:themeFillTint="33"/>
      </w:tcPr>
    </w:tblStylePr>
  </w:style>
  <w:style w:type="table" w:customStyle="1" w:styleId="ListTable6Colorful-Accent41">
    <w:name w:val="List Table 6 Colorful - Accent 41"/>
    <w:basedOn w:val="TableNormal"/>
    <w:uiPriority w:val="51"/>
    <w:rsid w:val="003075F9"/>
    <w:pPr>
      <w:spacing w:after="0" w:line="240" w:lineRule="auto"/>
    </w:pPr>
    <w:rPr>
      <w:rFonts w:eastAsiaTheme="minorEastAsia"/>
      <w:color w:val="184F72" w:themeColor="accent4" w:themeShade="BF"/>
    </w:rPr>
    <w:tblPr>
      <w:tblStyleRowBandSize w:val="1"/>
      <w:tblStyleColBandSize w:val="1"/>
      <w:tblBorders>
        <w:top w:val="single" w:sz="4" w:space="0" w:color="216B99" w:themeColor="accent4"/>
        <w:bottom w:val="single" w:sz="4" w:space="0" w:color="216B99" w:themeColor="accent4"/>
      </w:tblBorders>
    </w:tblPr>
    <w:tblStylePr w:type="firstRow">
      <w:rPr>
        <w:b/>
        <w:bCs/>
      </w:rPr>
      <w:tblPr/>
      <w:tcPr>
        <w:tcBorders>
          <w:bottom w:val="single" w:sz="4" w:space="0" w:color="216B99" w:themeColor="accent4"/>
        </w:tcBorders>
      </w:tcPr>
    </w:tblStylePr>
    <w:tblStylePr w:type="lastRow">
      <w:rPr>
        <w:b/>
        <w:bCs/>
      </w:rPr>
      <w:tblPr/>
      <w:tcPr>
        <w:tcBorders>
          <w:top w:val="double" w:sz="4" w:space="0" w:color="216B99" w:themeColor="accent4"/>
        </w:tcBorders>
      </w:tcPr>
    </w:tblStylePr>
    <w:tblStylePr w:type="firstCol">
      <w:rPr>
        <w:b/>
        <w:bCs/>
      </w:rPr>
    </w:tblStylePr>
    <w:tblStylePr w:type="lastCol">
      <w:rPr>
        <w:b/>
        <w:bCs/>
      </w:rPr>
    </w:tblStylePr>
    <w:tblStylePr w:type="band1Vert">
      <w:tblPr/>
      <w:tcPr>
        <w:shd w:val="clear" w:color="auto" w:fill="C9E3F3" w:themeFill="accent4" w:themeFillTint="33"/>
      </w:tcPr>
    </w:tblStylePr>
    <w:tblStylePr w:type="band1Horz">
      <w:tblPr/>
      <w:tcPr>
        <w:shd w:val="clear" w:color="auto" w:fill="C9E3F3" w:themeFill="accent4" w:themeFillTint="33"/>
      </w:tcPr>
    </w:tblStylePr>
  </w:style>
  <w:style w:type="table" w:customStyle="1" w:styleId="ListTable6Colorful-Accent51">
    <w:name w:val="List Table 6 Colorful - Accent 51"/>
    <w:basedOn w:val="TableNormal"/>
    <w:uiPriority w:val="51"/>
    <w:rsid w:val="003075F9"/>
    <w:pPr>
      <w:spacing w:after="0" w:line="240" w:lineRule="auto"/>
    </w:pPr>
    <w:rPr>
      <w:rFonts w:eastAsiaTheme="minorEastAsia"/>
      <w:color w:val="308038" w:themeColor="accent5" w:themeShade="BF"/>
    </w:rPr>
    <w:tblPr>
      <w:tblStyleRowBandSize w:val="1"/>
      <w:tblStyleColBandSize w:val="1"/>
      <w:tblBorders>
        <w:top w:val="single" w:sz="4" w:space="0" w:color="41AC4C" w:themeColor="accent5"/>
        <w:bottom w:val="single" w:sz="4" w:space="0" w:color="41AC4C" w:themeColor="accent5"/>
      </w:tblBorders>
    </w:tblPr>
    <w:tblStylePr w:type="firstRow">
      <w:rPr>
        <w:b/>
        <w:bCs/>
      </w:rPr>
      <w:tblPr/>
      <w:tcPr>
        <w:tcBorders>
          <w:bottom w:val="single" w:sz="4" w:space="0" w:color="41AC4C" w:themeColor="accent5"/>
        </w:tcBorders>
      </w:tcPr>
    </w:tblStylePr>
    <w:tblStylePr w:type="lastRow">
      <w:rPr>
        <w:b/>
        <w:bCs/>
      </w:rPr>
      <w:tblPr/>
      <w:tcPr>
        <w:tcBorders>
          <w:top w:val="double" w:sz="4" w:space="0" w:color="41AC4C" w:themeColor="accent5"/>
        </w:tcBorders>
      </w:tcPr>
    </w:tblStylePr>
    <w:tblStylePr w:type="firstCol">
      <w:rPr>
        <w:b/>
        <w:bCs/>
      </w:rPr>
    </w:tblStylePr>
    <w:tblStylePr w:type="lastCol">
      <w:rPr>
        <w:b/>
        <w:bCs/>
      </w:rPr>
    </w:tblStylePr>
    <w:tblStylePr w:type="band1Vert">
      <w:tblPr/>
      <w:tcPr>
        <w:shd w:val="clear" w:color="auto" w:fill="D7F0D9" w:themeFill="accent5" w:themeFillTint="33"/>
      </w:tcPr>
    </w:tblStylePr>
    <w:tblStylePr w:type="band1Horz">
      <w:tblPr/>
      <w:tcPr>
        <w:shd w:val="clear" w:color="auto" w:fill="D7F0D9" w:themeFill="accent5" w:themeFillTint="33"/>
      </w:tcPr>
    </w:tblStylePr>
  </w:style>
  <w:style w:type="table" w:customStyle="1" w:styleId="ListTable6Colorful-Accent61">
    <w:name w:val="List Table 6 Colorful - Accent 61"/>
    <w:basedOn w:val="TableNormal"/>
    <w:uiPriority w:val="51"/>
    <w:rsid w:val="003075F9"/>
    <w:pPr>
      <w:spacing w:after="0" w:line="240" w:lineRule="auto"/>
    </w:pPr>
    <w:rPr>
      <w:rFonts w:eastAsiaTheme="minorEastAsia"/>
      <w:color w:val="6A2F6C" w:themeColor="accent6" w:themeShade="BF"/>
    </w:rPr>
    <w:tblPr>
      <w:tblStyleRowBandSize w:val="1"/>
      <w:tblStyleColBandSize w:val="1"/>
      <w:tblBorders>
        <w:top w:val="single" w:sz="4" w:space="0" w:color="8E3F91" w:themeColor="accent6"/>
        <w:bottom w:val="single" w:sz="4" w:space="0" w:color="8E3F91" w:themeColor="accent6"/>
      </w:tblBorders>
    </w:tblPr>
    <w:tblStylePr w:type="firstRow">
      <w:rPr>
        <w:b/>
        <w:bCs/>
      </w:rPr>
      <w:tblPr/>
      <w:tcPr>
        <w:tcBorders>
          <w:bottom w:val="single" w:sz="4" w:space="0" w:color="8E3F91" w:themeColor="accent6"/>
        </w:tcBorders>
      </w:tcPr>
    </w:tblStylePr>
    <w:tblStylePr w:type="lastRow">
      <w:rPr>
        <w:b/>
        <w:bCs/>
      </w:rPr>
      <w:tblPr/>
      <w:tcPr>
        <w:tcBorders>
          <w:top w:val="double" w:sz="4" w:space="0" w:color="8E3F91" w:themeColor="accent6"/>
        </w:tcBorders>
      </w:tcPr>
    </w:tblStylePr>
    <w:tblStylePr w:type="firstCol">
      <w:rPr>
        <w:b/>
        <w:bCs/>
      </w:rPr>
    </w:tblStylePr>
    <w:tblStylePr w:type="lastCol">
      <w:rPr>
        <w:b/>
        <w:bCs/>
      </w:rPr>
    </w:tblStylePr>
    <w:tblStylePr w:type="band1Vert">
      <w:tblPr/>
      <w:tcPr>
        <w:shd w:val="clear" w:color="auto" w:fill="EBD4EC" w:themeFill="accent6" w:themeFillTint="33"/>
      </w:tcPr>
    </w:tblStylePr>
    <w:tblStylePr w:type="band1Horz">
      <w:tblPr/>
      <w:tcPr>
        <w:shd w:val="clear" w:color="auto" w:fill="EBD4EC" w:themeFill="accent6" w:themeFillTint="33"/>
      </w:tcPr>
    </w:tblStylePr>
  </w:style>
  <w:style w:type="table" w:customStyle="1" w:styleId="ListTable7Colorful1">
    <w:name w:val="List Table 7 Colorful1"/>
    <w:basedOn w:val="TableNormal"/>
    <w:uiPriority w:val="52"/>
    <w:rsid w:val="003075F9"/>
    <w:pPr>
      <w:spacing w:after="0" w:line="240" w:lineRule="auto"/>
    </w:pPr>
    <w:rPr>
      <w:rFonts w:eastAsiaTheme="minorEastAsia"/>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uiPriority w:val="52"/>
    <w:rsid w:val="003075F9"/>
    <w:pPr>
      <w:spacing w:after="0" w:line="240" w:lineRule="auto"/>
    </w:pPr>
    <w:rPr>
      <w:rFonts w:eastAsiaTheme="minorEastAsia"/>
      <w:color w:val="23888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FB6BC"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FB6B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FB6B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FB6BC" w:themeColor="accent1"/>
        </w:tcBorders>
        <w:shd w:val="clear" w:color="auto" w:fill="FFFFFF" w:themeFill="background1"/>
      </w:tcPr>
    </w:tblStylePr>
    <w:tblStylePr w:type="band1Vert">
      <w:tblPr/>
      <w:tcPr>
        <w:shd w:val="clear" w:color="auto" w:fill="D3F2F4" w:themeFill="accent1" w:themeFillTint="33"/>
      </w:tcPr>
    </w:tblStylePr>
    <w:tblStylePr w:type="band1Horz">
      <w:tblPr/>
      <w:tcPr>
        <w:shd w:val="clear" w:color="auto" w:fill="D3F2F4"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uiPriority w:val="52"/>
    <w:rsid w:val="003075F9"/>
    <w:pPr>
      <w:spacing w:after="0" w:line="240" w:lineRule="auto"/>
    </w:pPr>
    <w:rPr>
      <w:rFonts w:eastAsiaTheme="minorEastAsia"/>
      <w:color w:val="00706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9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9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9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95" w:themeColor="accent2"/>
        </w:tcBorders>
        <w:shd w:val="clear" w:color="auto" w:fill="FFFFFF" w:themeFill="background1"/>
      </w:tcPr>
    </w:tblStylePr>
    <w:tblStylePr w:type="band1Vert">
      <w:tblPr/>
      <w:tcPr>
        <w:shd w:val="clear" w:color="auto" w:fill="B7FFFE" w:themeFill="accent2" w:themeFillTint="33"/>
      </w:tcPr>
    </w:tblStylePr>
    <w:tblStylePr w:type="band1Horz">
      <w:tblPr/>
      <w:tcPr>
        <w:shd w:val="clear" w:color="auto" w:fill="B7FFFE"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uiPriority w:val="52"/>
    <w:rsid w:val="003075F9"/>
    <w:pPr>
      <w:spacing w:after="0" w:line="240" w:lineRule="auto"/>
    </w:pPr>
    <w:rPr>
      <w:rFonts w:eastAsiaTheme="minorEastAsia"/>
      <w:color w:val="206394"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86C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86C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86C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86C7" w:themeColor="accent3"/>
        </w:tcBorders>
        <w:shd w:val="clear" w:color="auto" w:fill="FFFFFF" w:themeFill="background1"/>
      </w:tcPr>
    </w:tblStylePr>
    <w:tblStylePr w:type="band1Vert">
      <w:tblPr/>
      <w:tcPr>
        <w:shd w:val="clear" w:color="auto" w:fill="D2E6F5" w:themeFill="accent3" w:themeFillTint="33"/>
      </w:tcPr>
    </w:tblStylePr>
    <w:tblStylePr w:type="band1Horz">
      <w:tblPr/>
      <w:tcPr>
        <w:shd w:val="clear" w:color="auto" w:fill="D2E6F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uiPriority w:val="52"/>
    <w:rsid w:val="003075F9"/>
    <w:pPr>
      <w:spacing w:after="0" w:line="240" w:lineRule="auto"/>
    </w:pPr>
    <w:rPr>
      <w:rFonts w:eastAsiaTheme="minorEastAsia"/>
      <w:color w:val="184F7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16B9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16B9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16B9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16B99" w:themeColor="accent4"/>
        </w:tcBorders>
        <w:shd w:val="clear" w:color="auto" w:fill="FFFFFF" w:themeFill="background1"/>
      </w:tcPr>
    </w:tblStylePr>
    <w:tblStylePr w:type="band1Vert">
      <w:tblPr/>
      <w:tcPr>
        <w:shd w:val="clear" w:color="auto" w:fill="C9E3F3" w:themeFill="accent4" w:themeFillTint="33"/>
      </w:tcPr>
    </w:tblStylePr>
    <w:tblStylePr w:type="band1Horz">
      <w:tblPr/>
      <w:tcPr>
        <w:shd w:val="clear" w:color="auto" w:fill="C9E3F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3075F9"/>
    <w:pPr>
      <w:spacing w:after="0" w:line="240" w:lineRule="auto"/>
    </w:pPr>
    <w:rPr>
      <w:rFonts w:eastAsiaTheme="minorEastAsia"/>
      <w:color w:val="30803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1AC4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1AC4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1AC4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1AC4C" w:themeColor="accent5"/>
        </w:tcBorders>
        <w:shd w:val="clear" w:color="auto" w:fill="FFFFFF" w:themeFill="background1"/>
      </w:tcPr>
    </w:tblStylePr>
    <w:tblStylePr w:type="band1Vert">
      <w:tblPr/>
      <w:tcPr>
        <w:shd w:val="clear" w:color="auto" w:fill="D7F0D9" w:themeFill="accent5" w:themeFillTint="33"/>
      </w:tcPr>
    </w:tblStylePr>
    <w:tblStylePr w:type="band1Horz">
      <w:tblPr/>
      <w:tcPr>
        <w:shd w:val="clear" w:color="auto" w:fill="D7F0D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uiPriority w:val="52"/>
    <w:rsid w:val="003075F9"/>
    <w:pPr>
      <w:spacing w:after="0" w:line="240" w:lineRule="auto"/>
    </w:pPr>
    <w:rPr>
      <w:rFonts w:eastAsiaTheme="minorEastAsia"/>
      <w:color w:val="6A2F6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E3F9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E3F9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E3F9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E3F91" w:themeColor="accent6"/>
        </w:tcBorders>
        <w:shd w:val="clear" w:color="auto" w:fill="FFFFFF" w:themeFill="background1"/>
      </w:tcPr>
    </w:tblStylePr>
    <w:tblStylePr w:type="band1Vert">
      <w:tblPr/>
      <w:tcPr>
        <w:shd w:val="clear" w:color="auto" w:fill="EBD4EC" w:themeFill="accent6" w:themeFillTint="33"/>
      </w:tcPr>
    </w:tblStylePr>
    <w:tblStylePr w:type="band1Horz">
      <w:tblPr/>
      <w:tcPr>
        <w:shd w:val="clear" w:color="auto" w:fill="EBD4E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075F9"/>
    <w:pPr>
      <w:tabs>
        <w:tab w:val="left" w:pos="480"/>
        <w:tab w:val="left" w:pos="960"/>
        <w:tab w:val="left" w:pos="1440"/>
        <w:tab w:val="left" w:pos="1920"/>
        <w:tab w:val="left" w:pos="2400"/>
        <w:tab w:val="left" w:pos="2880"/>
        <w:tab w:val="left" w:pos="3360"/>
        <w:tab w:val="left" w:pos="3840"/>
        <w:tab w:val="left" w:pos="4320"/>
      </w:tabs>
      <w:spacing w:before="120" w:after="0" w:line="264" w:lineRule="auto"/>
    </w:pPr>
    <w:rPr>
      <w:rFonts w:ascii="Consolas" w:eastAsiaTheme="minorEastAsia" w:hAnsi="Consolas"/>
    </w:rPr>
  </w:style>
  <w:style w:type="character" w:customStyle="1" w:styleId="MacroTextChar">
    <w:name w:val="Macro Text Char"/>
    <w:basedOn w:val="DefaultParagraphFont"/>
    <w:link w:val="MacroText"/>
    <w:uiPriority w:val="99"/>
    <w:semiHidden/>
    <w:rsid w:val="003075F9"/>
    <w:rPr>
      <w:rFonts w:ascii="Consolas" w:eastAsiaTheme="minorEastAsia" w:hAnsi="Consolas"/>
      <w:lang w:val="en-GB"/>
    </w:rPr>
  </w:style>
  <w:style w:type="table" w:styleId="MediumGrid1">
    <w:name w:val="Medium Grid 1"/>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single" w:sz="8" w:space="0" w:color="5AD0D5" w:themeColor="accent1" w:themeTint="BF"/>
        <w:insideV w:val="single" w:sz="8" w:space="0" w:color="5AD0D5" w:themeColor="accent1" w:themeTint="BF"/>
      </w:tblBorders>
    </w:tblPr>
    <w:tcPr>
      <w:shd w:val="clear" w:color="auto" w:fill="C8EFF1" w:themeFill="accent1" w:themeFillTint="3F"/>
    </w:tcPr>
    <w:tblStylePr w:type="firstRow">
      <w:rPr>
        <w:b/>
        <w:bCs/>
      </w:rPr>
    </w:tblStylePr>
    <w:tblStylePr w:type="lastRow">
      <w:rPr>
        <w:b/>
        <w:bCs/>
      </w:rPr>
      <w:tblPr/>
      <w:tcPr>
        <w:tcBorders>
          <w:top w:val="single" w:sz="18" w:space="0" w:color="5AD0D5" w:themeColor="accent1" w:themeTint="BF"/>
        </w:tcBorders>
      </w:tcPr>
    </w:tblStylePr>
    <w:tblStylePr w:type="firstCol">
      <w:rPr>
        <w:b/>
        <w:bCs/>
      </w:rPr>
    </w:tblStylePr>
    <w:tblStylePr w:type="lastCol">
      <w:rPr>
        <w:b/>
        <w:bCs/>
      </w:rPr>
    </w:tblStylePr>
    <w:tblStylePr w:type="band1Vert">
      <w:tblPr/>
      <w:tcPr>
        <w:shd w:val="clear" w:color="auto" w:fill="91E0E3" w:themeFill="accent1" w:themeFillTint="7F"/>
      </w:tcPr>
    </w:tblStylePr>
    <w:tblStylePr w:type="band1Horz">
      <w:tblPr/>
      <w:tcPr>
        <w:shd w:val="clear" w:color="auto" w:fill="91E0E3" w:themeFill="accent1" w:themeFillTint="7F"/>
      </w:tcPr>
    </w:tblStylePr>
  </w:style>
  <w:style w:type="table" w:styleId="MediumGrid1-Accent2">
    <w:name w:val="Medium Grid 1 Accent 2"/>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single" w:sz="8" w:space="0" w:color="00F0EE" w:themeColor="accent2" w:themeTint="BF"/>
        <w:insideV w:val="single" w:sz="8" w:space="0" w:color="00F0EE" w:themeColor="accent2" w:themeTint="BF"/>
      </w:tblBorders>
    </w:tblPr>
    <w:tcPr>
      <w:shd w:val="clear" w:color="auto" w:fill="A6FFFE" w:themeFill="accent2" w:themeFillTint="3F"/>
    </w:tcPr>
    <w:tblStylePr w:type="firstRow">
      <w:rPr>
        <w:b/>
        <w:bCs/>
      </w:rPr>
    </w:tblStylePr>
    <w:tblStylePr w:type="lastRow">
      <w:rPr>
        <w:b/>
        <w:bCs/>
      </w:rPr>
      <w:tblPr/>
      <w:tcPr>
        <w:tcBorders>
          <w:top w:val="single" w:sz="18" w:space="0" w:color="00F0EE" w:themeColor="accent2" w:themeTint="BF"/>
        </w:tcBorders>
      </w:tcPr>
    </w:tblStylePr>
    <w:tblStylePr w:type="firstCol">
      <w:rPr>
        <w:b/>
        <w:bCs/>
      </w:rPr>
    </w:tblStylePr>
    <w:tblStylePr w:type="lastCol">
      <w:rPr>
        <w:b/>
        <w:bCs/>
      </w:rPr>
    </w:tblStylePr>
    <w:tblStylePr w:type="band1Vert">
      <w:tblPr/>
      <w:tcPr>
        <w:shd w:val="clear" w:color="auto" w:fill="4BFFFD" w:themeFill="accent2" w:themeFillTint="7F"/>
      </w:tcPr>
    </w:tblStylePr>
    <w:tblStylePr w:type="band1Horz">
      <w:tblPr/>
      <w:tcPr>
        <w:shd w:val="clear" w:color="auto" w:fill="4BFFFD" w:themeFill="accent2" w:themeFillTint="7F"/>
      </w:tcPr>
    </w:tblStylePr>
  </w:style>
  <w:style w:type="table" w:styleId="MediumGrid1-Accent3">
    <w:name w:val="Medium Grid 1 Accent 3"/>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single" w:sz="8" w:space="0" w:color="59A4DB" w:themeColor="accent3" w:themeTint="BF"/>
        <w:insideV w:val="single" w:sz="8" w:space="0" w:color="59A4DB" w:themeColor="accent3" w:themeTint="BF"/>
      </w:tblBorders>
    </w:tblPr>
    <w:tcPr>
      <w:shd w:val="clear" w:color="auto" w:fill="C8E1F3" w:themeFill="accent3" w:themeFillTint="3F"/>
    </w:tcPr>
    <w:tblStylePr w:type="firstRow">
      <w:rPr>
        <w:b/>
        <w:bCs/>
      </w:rPr>
    </w:tblStylePr>
    <w:tblStylePr w:type="lastRow">
      <w:rPr>
        <w:b/>
        <w:bCs/>
      </w:rPr>
      <w:tblPr/>
      <w:tcPr>
        <w:tcBorders>
          <w:top w:val="single" w:sz="18" w:space="0" w:color="59A4DB" w:themeColor="accent3" w:themeTint="BF"/>
        </w:tcBorders>
      </w:tcPr>
    </w:tblStylePr>
    <w:tblStylePr w:type="firstCol">
      <w:rPr>
        <w:b/>
        <w:bCs/>
      </w:rPr>
    </w:tblStylePr>
    <w:tblStylePr w:type="lastCol">
      <w:rPr>
        <w:b/>
        <w:bCs/>
      </w:rPr>
    </w:tblStylePr>
    <w:tblStylePr w:type="band1Vert">
      <w:tblPr/>
      <w:tcPr>
        <w:shd w:val="clear" w:color="auto" w:fill="91C3E7" w:themeFill="accent3" w:themeFillTint="7F"/>
      </w:tcPr>
    </w:tblStylePr>
    <w:tblStylePr w:type="band1Horz">
      <w:tblPr/>
      <w:tcPr>
        <w:shd w:val="clear" w:color="auto" w:fill="91C3E7" w:themeFill="accent3" w:themeFillTint="7F"/>
      </w:tcPr>
    </w:tblStylePr>
  </w:style>
  <w:style w:type="table" w:styleId="MediumGrid1-Accent4">
    <w:name w:val="Medium Grid 1 Accent 4"/>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single" w:sz="8" w:space="0" w:color="3797D4" w:themeColor="accent4" w:themeTint="BF"/>
        <w:insideV w:val="single" w:sz="8" w:space="0" w:color="3797D4" w:themeColor="accent4" w:themeTint="BF"/>
      </w:tblBorders>
    </w:tblPr>
    <w:tcPr>
      <w:shd w:val="clear" w:color="auto" w:fill="BCDCF0" w:themeFill="accent4" w:themeFillTint="3F"/>
    </w:tcPr>
    <w:tblStylePr w:type="firstRow">
      <w:rPr>
        <w:b/>
        <w:bCs/>
      </w:rPr>
    </w:tblStylePr>
    <w:tblStylePr w:type="lastRow">
      <w:rPr>
        <w:b/>
        <w:bCs/>
      </w:rPr>
      <w:tblPr/>
      <w:tcPr>
        <w:tcBorders>
          <w:top w:val="single" w:sz="18" w:space="0" w:color="3797D4" w:themeColor="accent4" w:themeTint="BF"/>
        </w:tcBorders>
      </w:tcPr>
    </w:tblStylePr>
    <w:tblStylePr w:type="firstCol">
      <w:rPr>
        <w:b/>
        <w:bCs/>
      </w:rPr>
    </w:tblStylePr>
    <w:tblStylePr w:type="lastCol">
      <w:rPr>
        <w:b/>
        <w:bCs/>
      </w:rPr>
    </w:tblStylePr>
    <w:tblStylePr w:type="band1Vert">
      <w:tblPr/>
      <w:tcPr>
        <w:shd w:val="clear" w:color="auto" w:fill="7ABAE2" w:themeFill="accent4" w:themeFillTint="7F"/>
      </w:tcPr>
    </w:tblStylePr>
    <w:tblStylePr w:type="band1Horz">
      <w:tblPr/>
      <w:tcPr>
        <w:shd w:val="clear" w:color="auto" w:fill="7ABAE2" w:themeFill="accent4" w:themeFillTint="7F"/>
      </w:tcPr>
    </w:tblStylePr>
  </w:style>
  <w:style w:type="table" w:styleId="MediumGrid1-Accent5">
    <w:name w:val="Medium Grid 1 Accent 5"/>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single" w:sz="8" w:space="0" w:color="6AC673" w:themeColor="accent5" w:themeTint="BF"/>
        <w:insideV w:val="single" w:sz="8" w:space="0" w:color="6AC673" w:themeColor="accent5" w:themeTint="BF"/>
      </w:tblBorders>
    </w:tblPr>
    <w:tcPr>
      <w:shd w:val="clear" w:color="auto" w:fill="CDECD0" w:themeFill="accent5" w:themeFillTint="3F"/>
    </w:tcPr>
    <w:tblStylePr w:type="firstRow">
      <w:rPr>
        <w:b/>
        <w:bCs/>
      </w:rPr>
    </w:tblStylePr>
    <w:tblStylePr w:type="lastRow">
      <w:rPr>
        <w:b/>
        <w:bCs/>
      </w:rPr>
      <w:tblPr/>
      <w:tcPr>
        <w:tcBorders>
          <w:top w:val="single" w:sz="18" w:space="0" w:color="6AC673" w:themeColor="accent5" w:themeTint="BF"/>
        </w:tcBorders>
      </w:tcPr>
    </w:tblStylePr>
    <w:tblStylePr w:type="firstCol">
      <w:rPr>
        <w:b/>
        <w:bCs/>
      </w:rPr>
    </w:tblStylePr>
    <w:tblStylePr w:type="lastCol">
      <w:rPr>
        <w:b/>
        <w:bCs/>
      </w:rPr>
    </w:tblStylePr>
    <w:tblStylePr w:type="band1Vert">
      <w:tblPr/>
      <w:tcPr>
        <w:shd w:val="clear" w:color="auto" w:fill="9CD9A2" w:themeFill="accent5" w:themeFillTint="7F"/>
      </w:tcPr>
    </w:tblStylePr>
    <w:tblStylePr w:type="band1Horz">
      <w:tblPr/>
      <w:tcPr>
        <w:shd w:val="clear" w:color="auto" w:fill="9CD9A2" w:themeFill="accent5" w:themeFillTint="7F"/>
      </w:tcPr>
    </w:tblStylePr>
  </w:style>
  <w:style w:type="table" w:styleId="MediumGrid1-Accent6">
    <w:name w:val="Medium Grid 1 Accent 6"/>
    <w:basedOn w:val="TableNormal"/>
    <w:uiPriority w:val="67"/>
    <w:semiHidden/>
    <w:unhideWhenUsed/>
    <w:rsid w:val="003075F9"/>
    <w:pPr>
      <w:spacing w:after="0" w:line="240" w:lineRule="auto"/>
    </w:pPr>
    <w:rPr>
      <w:rFonts w:eastAsiaTheme="minorEastAsia"/>
    </w:rPr>
    <w:tblPr>
      <w:tblStyleRowBandSize w:val="1"/>
      <w:tblStyleColBandSize w:val="1"/>
      <w:tbl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single" w:sz="8" w:space="0" w:color="B661BA" w:themeColor="accent6" w:themeTint="BF"/>
        <w:insideV w:val="single" w:sz="8" w:space="0" w:color="B661BA" w:themeColor="accent6" w:themeTint="BF"/>
      </w:tblBorders>
    </w:tblPr>
    <w:tcPr>
      <w:shd w:val="clear" w:color="auto" w:fill="E7CAE8" w:themeFill="accent6" w:themeFillTint="3F"/>
    </w:tcPr>
    <w:tblStylePr w:type="firstRow">
      <w:rPr>
        <w:b/>
        <w:bCs/>
      </w:rPr>
    </w:tblStylePr>
    <w:tblStylePr w:type="lastRow">
      <w:rPr>
        <w:b/>
        <w:bCs/>
      </w:rPr>
      <w:tblPr/>
      <w:tcPr>
        <w:tcBorders>
          <w:top w:val="single" w:sz="18" w:space="0" w:color="B661BA" w:themeColor="accent6" w:themeTint="BF"/>
        </w:tcBorders>
      </w:tcPr>
    </w:tblStylePr>
    <w:tblStylePr w:type="firstCol">
      <w:rPr>
        <w:b/>
        <w:bCs/>
      </w:rPr>
    </w:tblStylePr>
    <w:tblStylePr w:type="lastCol">
      <w:rPr>
        <w:b/>
        <w:bCs/>
      </w:rPr>
    </w:tblStylePr>
    <w:tblStylePr w:type="band1Vert">
      <w:tblPr/>
      <w:tcPr>
        <w:shd w:val="clear" w:color="auto" w:fill="CF95D1" w:themeFill="accent6" w:themeFillTint="7F"/>
      </w:tcPr>
    </w:tblStylePr>
    <w:tblStylePr w:type="band1Horz">
      <w:tblPr/>
      <w:tcPr>
        <w:shd w:val="clear" w:color="auto" w:fill="CF95D1" w:themeFill="accent6" w:themeFillTint="7F"/>
      </w:tcPr>
    </w:tblStylePr>
  </w:style>
  <w:style w:type="table" w:styleId="MediumGrid2">
    <w:name w:val="Medium Grid 2"/>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B6BC" w:themeColor="accent1"/>
        <w:left w:val="single" w:sz="8" w:space="0" w:color="2FB6BC" w:themeColor="accent1"/>
        <w:bottom w:val="single" w:sz="8" w:space="0" w:color="2FB6BC" w:themeColor="accent1"/>
        <w:right w:val="single" w:sz="8" w:space="0" w:color="2FB6BC" w:themeColor="accent1"/>
        <w:insideH w:val="single" w:sz="8" w:space="0" w:color="2FB6BC" w:themeColor="accent1"/>
        <w:insideV w:val="single" w:sz="8" w:space="0" w:color="2FB6BC" w:themeColor="accent1"/>
      </w:tblBorders>
    </w:tblPr>
    <w:tcPr>
      <w:shd w:val="clear" w:color="auto" w:fill="C8EFF1" w:themeFill="accent1" w:themeFillTint="3F"/>
    </w:tcPr>
    <w:tblStylePr w:type="firstRow">
      <w:rPr>
        <w:b/>
        <w:bCs/>
        <w:color w:val="000000" w:themeColor="text1"/>
      </w:rPr>
      <w:tblPr/>
      <w:tcPr>
        <w:shd w:val="clear" w:color="auto" w:fill="E9F8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F2F4" w:themeFill="accent1" w:themeFillTint="33"/>
      </w:tcPr>
    </w:tblStylePr>
    <w:tblStylePr w:type="band1Vert">
      <w:tblPr/>
      <w:tcPr>
        <w:shd w:val="clear" w:color="auto" w:fill="91E0E3" w:themeFill="accent1" w:themeFillTint="7F"/>
      </w:tcPr>
    </w:tblStylePr>
    <w:tblStylePr w:type="band1Horz">
      <w:tblPr/>
      <w:tcPr>
        <w:tcBorders>
          <w:insideH w:val="single" w:sz="6" w:space="0" w:color="2FB6BC" w:themeColor="accent1"/>
          <w:insideV w:val="single" w:sz="6" w:space="0" w:color="2FB6BC" w:themeColor="accent1"/>
        </w:tcBorders>
        <w:shd w:val="clear" w:color="auto" w:fill="91E0E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95" w:themeColor="accent2"/>
        <w:left w:val="single" w:sz="8" w:space="0" w:color="009695" w:themeColor="accent2"/>
        <w:bottom w:val="single" w:sz="8" w:space="0" w:color="009695" w:themeColor="accent2"/>
        <w:right w:val="single" w:sz="8" w:space="0" w:color="009695" w:themeColor="accent2"/>
        <w:insideH w:val="single" w:sz="8" w:space="0" w:color="009695" w:themeColor="accent2"/>
        <w:insideV w:val="single" w:sz="8" w:space="0" w:color="009695" w:themeColor="accent2"/>
      </w:tblBorders>
    </w:tblPr>
    <w:tcPr>
      <w:shd w:val="clear" w:color="auto" w:fill="A6FFFE" w:themeFill="accent2" w:themeFillTint="3F"/>
    </w:tcPr>
    <w:tblStylePr w:type="firstRow">
      <w:rPr>
        <w:b/>
        <w:bCs/>
        <w:color w:val="000000" w:themeColor="text1"/>
      </w:rPr>
      <w:tblPr/>
      <w:tcPr>
        <w:shd w:val="clear" w:color="auto" w:fill="DBFFFE"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FFE" w:themeFill="accent2" w:themeFillTint="33"/>
      </w:tcPr>
    </w:tblStylePr>
    <w:tblStylePr w:type="band1Vert">
      <w:tblPr/>
      <w:tcPr>
        <w:shd w:val="clear" w:color="auto" w:fill="4BFFFD" w:themeFill="accent2" w:themeFillTint="7F"/>
      </w:tcPr>
    </w:tblStylePr>
    <w:tblStylePr w:type="band1Horz">
      <w:tblPr/>
      <w:tcPr>
        <w:tcBorders>
          <w:insideH w:val="single" w:sz="6" w:space="0" w:color="009695" w:themeColor="accent2"/>
          <w:insideV w:val="single" w:sz="6" w:space="0" w:color="009695" w:themeColor="accent2"/>
        </w:tcBorders>
        <w:shd w:val="clear" w:color="auto" w:fill="4BFFF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86C7" w:themeColor="accent3"/>
        <w:left w:val="single" w:sz="8" w:space="0" w:color="2B86C7" w:themeColor="accent3"/>
        <w:bottom w:val="single" w:sz="8" w:space="0" w:color="2B86C7" w:themeColor="accent3"/>
        <w:right w:val="single" w:sz="8" w:space="0" w:color="2B86C7" w:themeColor="accent3"/>
        <w:insideH w:val="single" w:sz="8" w:space="0" w:color="2B86C7" w:themeColor="accent3"/>
        <w:insideV w:val="single" w:sz="8" w:space="0" w:color="2B86C7" w:themeColor="accent3"/>
      </w:tblBorders>
    </w:tblPr>
    <w:tcPr>
      <w:shd w:val="clear" w:color="auto" w:fill="C8E1F3" w:themeFill="accent3" w:themeFillTint="3F"/>
    </w:tcPr>
    <w:tblStylePr w:type="firstRow">
      <w:rPr>
        <w:b/>
        <w:bCs/>
        <w:color w:val="000000" w:themeColor="text1"/>
      </w:rPr>
      <w:tblPr/>
      <w:tcPr>
        <w:shd w:val="clear" w:color="auto" w:fill="E9F3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6F5" w:themeFill="accent3" w:themeFillTint="33"/>
      </w:tcPr>
    </w:tblStylePr>
    <w:tblStylePr w:type="band1Vert">
      <w:tblPr/>
      <w:tcPr>
        <w:shd w:val="clear" w:color="auto" w:fill="91C3E7" w:themeFill="accent3" w:themeFillTint="7F"/>
      </w:tcPr>
    </w:tblStylePr>
    <w:tblStylePr w:type="band1Horz">
      <w:tblPr/>
      <w:tcPr>
        <w:tcBorders>
          <w:insideH w:val="single" w:sz="6" w:space="0" w:color="2B86C7" w:themeColor="accent3"/>
          <w:insideV w:val="single" w:sz="6" w:space="0" w:color="2B86C7" w:themeColor="accent3"/>
        </w:tcBorders>
        <w:shd w:val="clear" w:color="auto" w:fill="91C3E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insideH w:val="single" w:sz="8" w:space="0" w:color="216B99" w:themeColor="accent4"/>
        <w:insideV w:val="single" w:sz="8" w:space="0" w:color="216B99" w:themeColor="accent4"/>
      </w:tblBorders>
    </w:tblPr>
    <w:tcPr>
      <w:shd w:val="clear" w:color="auto" w:fill="BCDCF0" w:themeFill="accent4" w:themeFillTint="3F"/>
    </w:tcPr>
    <w:tblStylePr w:type="firstRow">
      <w:rPr>
        <w:b/>
        <w:bCs/>
        <w:color w:val="000000" w:themeColor="text1"/>
      </w:rPr>
      <w:tblPr/>
      <w:tcPr>
        <w:shd w:val="clear" w:color="auto" w:fill="E4F1F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3F3" w:themeFill="accent4" w:themeFillTint="33"/>
      </w:tcPr>
    </w:tblStylePr>
    <w:tblStylePr w:type="band1Vert">
      <w:tblPr/>
      <w:tcPr>
        <w:shd w:val="clear" w:color="auto" w:fill="7ABAE2" w:themeFill="accent4" w:themeFillTint="7F"/>
      </w:tcPr>
    </w:tblStylePr>
    <w:tblStylePr w:type="band1Horz">
      <w:tblPr/>
      <w:tcPr>
        <w:tcBorders>
          <w:insideH w:val="single" w:sz="6" w:space="0" w:color="216B99" w:themeColor="accent4"/>
          <w:insideV w:val="single" w:sz="6" w:space="0" w:color="216B99" w:themeColor="accent4"/>
        </w:tcBorders>
        <w:shd w:val="clear" w:color="auto" w:fill="7ABAE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insideH w:val="single" w:sz="8" w:space="0" w:color="41AC4C" w:themeColor="accent5"/>
        <w:insideV w:val="single" w:sz="8" w:space="0" w:color="41AC4C" w:themeColor="accent5"/>
      </w:tblBorders>
    </w:tblPr>
    <w:tcPr>
      <w:shd w:val="clear" w:color="auto" w:fill="CDECD0" w:themeFill="accent5" w:themeFillTint="3F"/>
    </w:tcPr>
    <w:tblStylePr w:type="firstRow">
      <w:rPr>
        <w:b/>
        <w:bCs/>
        <w:color w:val="000000" w:themeColor="text1"/>
      </w:rPr>
      <w:tblPr/>
      <w:tcPr>
        <w:shd w:val="clear" w:color="auto" w:fill="EBF7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F0D9" w:themeFill="accent5" w:themeFillTint="33"/>
      </w:tcPr>
    </w:tblStylePr>
    <w:tblStylePr w:type="band1Vert">
      <w:tblPr/>
      <w:tcPr>
        <w:shd w:val="clear" w:color="auto" w:fill="9CD9A2" w:themeFill="accent5" w:themeFillTint="7F"/>
      </w:tcPr>
    </w:tblStylePr>
    <w:tblStylePr w:type="band1Horz">
      <w:tblPr/>
      <w:tcPr>
        <w:tcBorders>
          <w:insideH w:val="single" w:sz="6" w:space="0" w:color="41AC4C" w:themeColor="accent5"/>
          <w:insideV w:val="single" w:sz="6" w:space="0" w:color="41AC4C" w:themeColor="accent5"/>
        </w:tcBorders>
        <w:shd w:val="clear" w:color="auto" w:fill="9CD9A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insideH w:val="single" w:sz="8" w:space="0" w:color="8E3F91" w:themeColor="accent6"/>
        <w:insideV w:val="single" w:sz="8" w:space="0" w:color="8E3F91" w:themeColor="accent6"/>
      </w:tblBorders>
    </w:tblPr>
    <w:tcPr>
      <w:shd w:val="clear" w:color="auto" w:fill="E7CAE8" w:themeFill="accent6" w:themeFillTint="3F"/>
    </w:tcPr>
    <w:tblStylePr w:type="firstRow">
      <w:rPr>
        <w:b/>
        <w:bCs/>
        <w:color w:val="000000" w:themeColor="text1"/>
      </w:rPr>
      <w:tblPr/>
      <w:tcPr>
        <w:shd w:val="clear" w:color="auto" w:fill="F5EA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D4EC" w:themeFill="accent6" w:themeFillTint="33"/>
      </w:tcPr>
    </w:tblStylePr>
    <w:tblStylePr w:type="band1Vert">
      <w:tblPr/>
      <w:tcPr>
        <w:shd w:val="clear" w:color="auto" w:fill="CF95D1" w:themeFill="accent6" w:themeFillTint="7F"/>
      </w:tcPr>
    </w:tblStylePr>
    <w:tblStylePr w:type="band1Horz">
      <w:tblPr/>
      <w:tcPr>
        <w:tcBorders>
          <w:insideH w:val="single" w:sz="6" w:space="0" w:color="8E3F91" w:themeColor="accent6"/>
          <w:insideV w:val="single" w:sz="6" w:space="0" w:color="8E3F91" w:themeColor="accent6"/>
        </w:tcBorders>
        <w:shd w:val="clear" w:color="auto" w:fill="CF95D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F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FB6BC"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FB6BC"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FB6BC"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FB6BC"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E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E0E3" w:themeFill="accent1" w:themeFillTint="7F"/>
      </w:tcPr>
    </w:tblStylePr>
  </w:style>
  <w:style w:type="table" w:styleId="MediumGrid3-Accent2">
    <w:name w:val="Medium Grid 3 Accent 2"/>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9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9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9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9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FD" w:themeFill="accent2" w:themeFillTint="7F"/>
      </w:tcPr>
    </w:tblStylePr>
  </w:style>
  <w:style w:type="table" w:styleId="MediumGrid3-Accent3">
    <w:name w:val="Medium Grid 3 Accent 3"/>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E1F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86C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86C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86C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86C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C3E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C3E7" w:themeFill="accent3" w:themeFillTint="7F"/>
      </w:tcPr>
    </w:tblStylePr>
  </w:style>
  <w:style w:type="table" w:styleId="MediumGrid3-Accent4">
    <w:name w:val="Medium Grid 3 Accent 4"/>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DCF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16B9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16B9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16B9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16B9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BAE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BAE2" w:themeFill="accent4" w:themeFillTint="7F"/>
      </w:tcPr>
    </w:tblStylePr>
  </w:style>
  <w:style w:type="table" w:styleId="MediumGrid3-Accent5">
    <w:name w:val="Medium Grid 3 Accent 5"/>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CD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1AC4C"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1AC4C"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1AC4C"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1AC4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D9A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D9A2" w:themeFill="accent5" w:themeFillTint="7F"/>
      </w:tcPr>
    </w:tblStylePr>
  </w:style>
  <w:style w:type="table" w:styleId="MediumGrid3-Accent6">
    <w:name w:val="Medium Grid 3 Accent 6"/>
    <w:basedOn w:val="TableNormal"/>
    <w:uiPriority w:val="69"/>
    <w:semiHidden/>
    <w:unhideWhenUsed/>
    <w:rsid w:val="003075F9"/>
    <w:pPr>
      <w:spacing w:after="0" w:line="240" w:lineRule="auto"/>
    </w:pPr>
    <w:rPr>
      <w:rFonts w:eastAsiaTheme="minorEastAsi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7CAE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E3F9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E3F9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E3F9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E3F9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F95D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F95D1" w:themeFill="accent6" w:themeFillTint="7F"/>
      </w:tcPr>
    </w:tblStylePr>
  </w:style>
  <w:style w:type="table" w:styleId="MediumList1">
    <w:name w:val="Medium List 1"/>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7575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2FB6BC" w:themeColor="accent1"/>
        <w:bottom w:val="single" w:sz="8" w:space="0" w:color="2FB6BC" w:themeColor="accent1"/>
      </w:tblBorders>
    </w:tblPr>
    <w:tblStylePr w:type="firstRow">
      <w:rPr>
        <w:rFonts w:asciiTheme="majorHAnsi" w:eastAsiaTheme="majorEastAsia" w:hAnsiTheme="majorHAnsi" w:cstheme="majorBidi"/>
      </w:rPr>
      <w:tblPr/>
      <w:tcPr>
        <w:tcBorders>
          <w:top w:val="nil"/>
          <w:bottom w:val="single" w:sz="8" w:space="0" w:color="2FB6BC" w:themeColor="accent1"/>
        </w:tcBorders>
      </w:tcPr>
    </w:tblStylePr>
    <w:tblStylePr w:type="lastRow">
      <w:rPr>
        <w:b/>
        <w:bCs/>
        <w:color w:val="575756" w:themeColor="text2"/>
      </w:rPr>
      <w:tblPr/>
      <w:tcPr>
        <w:tcBorders>
          <w:top w:val="single" w:sz="8" w:space="0" w:color="2FB6BC" w:themeColor="accent1"/>
          <w:bottom w:val="single" w:sz="8" w:space="0" w:color="2FB6BC" w:themeColor="accent1"/>
        </w:tcBorders>
      </w:tcPr>
    </w:tblStylePr>
    <w:tblStylePr w:type="firstCol">
      <w:rPr>
        <w:b/>
        <w:bCs/>
      </w:rPr>
    </w:tblStylePr>
    <w:tblStylePr w:type="lastCol">
      <w:rPr>
        <w:b/>
        <w:bCs/>
      </w:rPr>
      <w:tblPr/>
      <w:tcPr>
        <w:tcBorders>
          <w:top w:val="single" w:sz="8" w:space="0" w:color="2FB6BC" w:themeColor="accent1"/>
          <w:bottom w:val="single" w:sz="8" w:space="0" w:color="2FB6BC" w:themeColor="accent1"/>
        </w:tcBorders>
      </w:tcPr>
    </w:tblStylePr>
    <w:tblStylePr w:type="band1Vert">
      <w:tblPr/>
      <w:tcPr>
        <w:shd w:val="clear" w:color="auto" w:fill="C8EFF1" w:themeFill="accent1" w:themeFillTint="3F"/>
      </w:tcPr>
    </w:tblStylePr>
    <w:tblStylePr w:type="band1Horz">
      <w:tblPr/>
      <w:tcPr>
        <w:shd w:val="clear" w:color="auto" w:fill="C8EFF1" w:themeFill="accent1" w:themeFillTint="3F"/>
      </w:tcPr>
    </w:tblStylePr>
  </w:style>
  <w:style w:type="table" w:styleId="MediumList1-Accent2">
    <w:name w:val="Medium List 1 Accent 2"/>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009695" w:themeColor="accent2"/>
        <w:bottom w:val="single" w:sz="8" w:space="0" w:color="009695" w:themeColor="accent2"/>
      </w:tblBorders>
    </w:tblPr>
    <w:tblStylePr w:type="firstRow">
      <w:rPr>
        <w:rFonts w:asciiTheme="majorHAnsi" w:eastAsiaTheme="majorEastAsia" w:hAnsiTheme="majorHAnsi" w:cstheme="majorBidi"/>
      </w:rPr>
      <w:tblPr/>
      <w:tcPr>
        <w:tcBorders>
          <w:top w:val="nil"/>
          <w:bottom w:val="single" w:sz="8" w:space="0" w:color="009695" w:themeColor="accent2"/>
        </w:tcBorders>
      </w:tcPr>
    </w:tblStylePr>
    <w:tblStylePr w:type="lastRow">
      <w:rPr>
        <w:b/>
        <w:bCs/>
        <w:color w:val="575756" w:themeColor="text2"/>
      </w:rPr>
      <w:tblPr/>
      <w:tcPr>
        <w:tcBorders>
          <w:top w:val="single" w:sz="8" w:space="0" w:color="009695" w:themeColor="accent2"/>
          <w:bottom w:val="single" w:sz="8" w:space="0" w:color="009695" w:themeColor="accent2"/>
        </w:tcBorders>
      </w:tcPr>
    </w:tblStylePr>
    <w:tblStylePr w:type="firstCol">
      <w:rPr>
        <w:b/>
        <w:bCs/>
      </w:rPr>
    </w:tblStylePr>
    <w:tblStylePr w:type="lastCol">
      <w:rPr>
        <w:b/>
        <w:bCs/>
      </w:rPr>
      <w:tblPr/>
      <w:tcPr>
        <w:tcBorders>
          <w:top w:val="single" w:sz="8" w:space="0" w:color="009695" w:themeColor="accent2"/>
          <w:bottom w:val="single" w:sz="8" w:space="0" w:color="009695" w:themeColor="accent2"/>
        </w:tcBorders>
      </w:tcPr>
    </w:tblStylePr>
    <w:tblStylePr w:type="band1Vert">
      <w:tblPr/>
      <w:tcPr>
        <w:shd w:val="clear" w:color="auto" w:fill="A6FFFE" w:themeFill="accent2" w:themeFillTint="3F"/>
      </w:tcPr>
    </w:tblStylePr>
    <w:tblStylePr w:type="band1Horz">
      <w:tblPr/>
      <w:tcPr>
        <w:shd w:val="clear" w:color="auto" w:fill="A6FFFE" w:themeFill="accent2" w:themeFillTint="3F"/>
      </w:tcPr>
    </w:tblStylePr>
  </w:style>
  <w:style w:type="table" w:styleId="MediumList1-Accent3">
    <w:name w:val="Medium List 1 Accent 3"/>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2B86C7" w:themeColor="accent3"/>
        <w:bottom w:val="single" w:sz="8" w:space="0" w:color="2B86C7" w:themeColor="accent3"/>
      </w:tblBorders>
    </w:tblPr>
    <w:tblStylePr w:type="firstRow">
      <w:rPr>
        <w:rFonts w:asciiTheme="majorHAnsi" w:eastAsiaTheme="majorEastAsia" w:hAnsiTheme="majorHAnsi" w:cstheme="majorBidi"/>
      </w:rPr>
      <w:tblPr/>
      <w:tcPr>
        <w:tcBorders>
          <w:top w:val="nil"/>
          <w:bottom w:val="single" w:sz="8" w:space="0" w:color="2B86C7" w:themeColor="accent3"/>
        </w:tcBorders>
      </w:tcPr>
    </w:tblStylePr>
    <w:tblStylePr w:type="lastRow">
      <w:rPr>
        <w:b/>
        <w:bCs/>
        <w:color w:val="575756" w:themeColor="text2"/>
      </w:rPr>
      <w:tblPr/>
      <w:tcPr>
        <w:tcBorders>
          <w:top w:val="single" w:sz="8" w:space="0" w:color="2B86C7" w:themeColor="accent3"/>
          <w:bottom w:val="single" w:sz="8" w:space="0" w:color="2B86C7" w:themeColor="accent3"/>
        </w:tcBorders>
      </w:tcPr>
    </w:tblStylePr>
    <w:tblStylePr w:type="firstCol">
      <w:rPr>
        <w:b/>
        <w:bCs/>
      </w:rPr>
    </w:tblStylePr>
    <w:tblStylePr w:type="lastCol">
      <w:rPr>
        <w:b/>
        <w:bCs/>
      </w:rPr>
      <w:tblPr/>
      <w:tcPr>
        <w:tcBorders>
          <w:top w:val="single" w:sz="8" w:space="0" w:color="2B86C7" w:themeColor="accent3"/>
          <w:bottom w:val="single" w:sz="8" w:space="0" w:color="2B86C7" w:themeColor="accent3"/>
        </w:tcBorders>
      </w:tcPr>
    </w:tblStylePr>
    <w:tblStylePr w:type="band1Vert">
      <w:tblPr/>
      <w:tcPr>
        <w:shd w:val="clear" w:color="auto" w:fill="C8E1F3" w:themeFill="accent3" w:themeFillTint="3F"/>
      </w:tcPr>
    </w:tblStylePr>
    <w:tblStylePr w:type="band1Horz">
      <w:tblPr/>
      <w:tcPr>
        <w:shd w:val="clear" w:color="auto" w:fill="C8E1F3" w:themeFill="accent3" w:themeFillTint="3F"/>
      </w:tcPr>
    </w:tblStylePr>
  </w:style>
  <w:style w:type="table" w:styleId="MediumList1-Accent4">
    <w:name w:val="Medium List 1 Accent 4"/>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216B99" w:themeColor="accent4"/>
        <w:bottom w:val="single" w:sz="8" w:space="0" w:color="216B99" w:themeColor="accent4"/>
      </w:tblBorders>
    </w:tblPr>
    <w:tblStylePr w:type="firstRow">
      <w:rPr>
        <w:rFonts w:asciiTheme="majorHAnsi" w:eastAsiaTheme="majorEastAsia" w:hAnsiTheme="majorHAnsi" w:cstheme="majorBidi"/>
      </w:rPr>
      <w:tblPr/>
      <w:tcPr>
        <w:tcBorders>
          <w:top w:val="nil"/>
          <w:bottom w:val="single" w:sz="8" w:space="0" w:color="216B99" w:themeColor="accent4"/>
        </w:tcBorders>
      </w:tcPr>
    </w:tblStylePr>
    <w:tblStylePr w:type="lastRow">
      <w:rPr>
        <w:b/>
        <w:bCs/>
        <w:color w:val="575756" w:themeColor="text2"/>
      </w:rPr>
      <w:tblPr/>
      <w:tcPr>
        <w:tcBorders>
          <w:top w:val="single" w:sz="8" w:space="0" w:color="216B99" w:themeColor="accent4"/>
          <w:bottom w:val="single" w:sz="8" w:space="0" w:color="216B99" w:themeColor="accent4"/>
        </w:tcBorders>
      </w:tcPr>
    </w:tblStylePr>
    <w:tblStylePr w:type="firstCol">
      <w:rPr>
        <w:b/>
        <w:bCs/>
      </w:rPr>
    </w:tblStylePr>
    <w:tblStylePr w:type="lastCol">
      <w:rPr>
        <w:b/>
        <w:bCs/>
      </w:rPr>
      <w:tblPr/>
      <w:tcPr>
        <w:tcBorders>
          <w:top w:val="single" w:sz="8" w:space="0" w:color="216B99" w:themeColor="accent4"/>
          <w:bottom w:val="single" w:sz="8" w:space="0" w:color="216B99" w:themeColor="accent4"/>
        </w:tcBorders>
      </w:tcPr>
    </w:tblStylePr>
    <w:tblStylePr w:type="band1Vert">
      <w:tblPr/>
      <w:tcPr>
        <w:shd w:val="clear" w:color="auto" w:fill="BCDCF0" w:themeFill="accent4" w:themeFillTint="3F"/>
      </w:tcPr>
    </w:tblStylePr>
    <w:tblStylePr w:type="band1Horz">
      <w:tblPr/>
      <w:tcPr>
        <w:shd w:val="clear" w:color="auto" w:fill="BCDCF0" w:themeFill="accent4" w:themeFillTint="3F"/>
      </w:tcPr>
    </w:tblStylePr>
  </w:style>
  <w:style w:type="table" w:styleId="MediumList1-Accent5">
    <w:name w:val="Medium List 1 Accent 5"/>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41AC4C" w:themeColor="accent5"/>
        <w:bottom w:val="single" w:sz="8" w:space="0" w:color="41AC4C" w:themeColor="accent5"/>
      </w:tblBorders>
    </w:tblPr>
    <w:tblStylePr w:type="firstRow">
      <w:rPr>
        <w:rFonts w:asciiTheme="majorHAnsi" w:eastAsiaTheme="majorEastAsia" w:hAnsiTheme="majorHAnsi" w:cstheme="majorBidi"/>
      </w:rPr>
      <w:tblPr/>
      <w:tcPr>
        <w:tcBorders>
          <w:top w:val="nil"/>
          <w:bottom w:val="single" w:sz="8" w:space="0" w:color="41AC4C" w:themeColor="accent5"/>
        </w:tcBorders>
      </w:tcPr>
    </w:tblStylePr>
    <w:tblStylePr w:type="lastRow">
      <w:rPr>
        <w:b/>
        <w:bCs/>
        <w:color w:val="575756" w:themeColor="text2"/>
      </w:rPr>
      <w:tblPr/>
      <w:tcPr>
        <w:tcBorders>
          <w:top w:val="single" w:sz="8" w:space="0" w:color="41AC4C" w:themeColor="accent5"/>
          <w:bottom w:val="single" w:sz="8" w:space="0" w:color="41AC4C" w:themeColor="accent5"/>
        </w:tcBorders>
      </w:tcPr>
    </w:tblStylePr>
    <w:tblStylePr w:type="firstCol">
      <w:rPr>
        <w:b/>
        <w:bCs/>
      </w:rPr>
    </w:tblStylePr>
    <w:tblStylePr w:type="lastCol">
      <w:rPr>
        <w:b/>
        <w:bCs/>
      </w:rPr>
      <w:tblPr/>
      <w:tcPr>
        <w:tcBorders>
          <w:top w:val="single" w:sz="8" w:space="0" w:color="41AC4C" w:themeColor="accent5"/>
          <w:bottom w:val="single" w:sz="8" w:space="0" w:color="41AC4C" w:themeColor="accent5"/>
        </w:tcBorders>
      </w:tcPr>
    </w:tblStylePr>
    <w:tblStylePr w:type="band1Vert">
      <w:tblPr/>
      <w:tcPr>
        <w:shd w:val="clear" w:color="auto" w:fill="CDECD0" w:themeFill="accent5" w:themeFillTint="3F"/>
      </w:tcPr>
    </w:tblStylePr>
    <w:tblStylePr w:type="band1Horz">
      <w:tblPr/>
      <w:tcPr>
        <w:shd w:val="clear" w:color="auto" w:fill="CDECD0" w:themeFill="accent5" w:themeFillTint="3F"/>
      </w:tcPr>
    </w:tblStylePr>
  </w:style>
  <w:style w:type="table" w:styleId="MediumList1-Accent6">
    <w:name w:val="Medium List 1 Accent 6"/>
    <w:basedOn w:val="TableNormal"/>
    <w:uiPriority w:val="65"/>
    <w:semiHidden/>
    <w:unhideWhenUsed/>
    <w:rsid w:val="003075F9"/>
    <w:pPr>
      <w:spacing w:after="0" w:line="240" w:lineRule="auto"/>
    </w:pPr>
    <w:rPr>
      <w:rFonts w:eastAsiaTheme="minorEastAsia"/>
      <w:color w:val="000000" w:themeColor="text1"/>
    </w:rPr>
    <w:tblPr>
      <w:tblStyleRowBandSize w:val="1"/>
      <w:tblStyleColBandSize w:val="1"/>
      <w:tblBorders>
        <w:top w:val="single" w:sz="8" w:space="0" w:color="8E3F91" w:themeColor="accent6"/>
        <w:bottom w:val="single" w:sz="8" w:space="0" w:color="8E3F91" w:themeColor="accent6"/>
      </w:tblBorders>
    </w:tblPr>
    <w:tblStylePr w:type="firstRow">
      <w:rPr>
        <w:rFonts w:asciiTheme="majorHAnsi" w:eastAsiaTheme="majorEastAsia" w:hAnsiTheme="majorHAnsi" w:cstheme="majorBidi"/>
      </w:rPr>
      <w:tblPr/>
      <w:tcPr>
        <w:tcBorders>
          <w:top w:val="nil"/>
          <w:bottom w:val="single" w:sz="8" w:space="0" w:color="8E3F91" w:themeColor="accent6"/>
        </w:tcBorders>
      </w:tcPr>
    </w:tblStylePr>
    <w:tblStylePr w:type="lastRow">
      <w:rPr>
        <w:b/>
        <w:bCs/>
        <w:color w:val="575756" w:themeColor="text2"/>
      </w:rPr>
      <w:tblPr/>
      <w:tcPr>
        <w:tcBorders>
          <w:top w:val="single" w:sz="8" w:space="0" w:color="8E3F91" w:themeColor="accent6"/>
          <w:bottom w:val="single" w:sz="8" w:space="0" w:color="8E3F91" w:themeColor="accent6"/>
        </w:tcBorders>
      </w:tcPr>
    </w:tblStylePr>
    <w:tblStylePr w:type="firstCol">
      <w:rPr>
        <w:b/>
        <w:bCs/>
      </w:rPr>
    </w:tblStylePr>
    <w:tblStylePr w:type="lastCol">
      <w:rPr>
        <w:b/>
        <w:bCs/>
      </w:rPr>
      <w:tblPr/>
      <w:tcPr>
        <w:tcBorders>
          <w:top w:val="single" w:sz="8" w:space="0" w:color="8E3F91" w:themeColor="accent6"/>
          <w:bottom w:val="single" w:sz="8" w:space="0" w:color="8E3F91" w:themeColor="accent6"/>
        </w:tcBorders>
      </w:tcPr>
    </w:tblStylePr>
    <w:tblStylePr w:type="band1Vert">
      <w:tblPr/>
      <w:tcPr>
        <w:shd w:val="clear" w:color="auto" w:fill="E7CAE8" w:themeFill="accent6" w:themeFillTint="3F"/>
      </w:tcPr>
    </w:tblStylePr>
    <w:tblStylePr w:type="band1Horz">
      <w:tblPr/>
      <w:tcPr>
        <w:shd w:val="clear" w:color="auto" w:fill="E7CAE8" w:themeFill="accent6" w:themeFillTint="3F"/>
      </w:tcPr>
    </w:tblStylePr>
  </w:style>
  <w:style w:type="table" w:styleId="MediumList2">
    <w:name w:val="Medium List 2"/>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FB6BC" w:themeColor="accent1"/>
        <w:left w:val="single" w:sz="8" w:space="0" w:color="2FB6BC" w:themeColor="accent1"/>
        <w:bottom w:val="single" w:sz="8" w:space="0" w:color="2FB6BC" w:themeColor="accent1"/>
        <w:right w:val="single" w:sz="8" w:space="0" w:color="2FB6BC" w:themeColor="accent1"/>
      </w:tblBorders>
    </w:tblPr>
    <w:tblStylePr w:type="firstRow">
      <w:rPr>
        <w:sz w:val="24"/>
        <w:szCs w:val="24"/>
      </w:rPr>
      <w:tblPr/>
      <w:tcPr>
        <w:tcBorders>
          <w:top w:val="nil"/>
          <w:left w:val="nil"/>
          <w:bottom w:val="single" w:sz="24" w:space="0" w:color="2FB6BC" w:themeColor="accent1"/>
          <w:right w:val="nil"/>
          <w:insideH w:val="nil"/>
          <w:insideV w:val="nil"/>
        </w:tcBorders>
        <w:shd w:val="clear" w:color="auto" w:fill="FFFFFF" w:themeFill="background1"/>
      </w:tcPr>
    </w:tblStylePr>
    <w:tblStylePr w:type="lastRow">
      <w:tblPr/>
      <w:tcPr>
        <w:tcBorders>
          <w:top w:val="single" w:sz="8" w:space="0" w:color="2FB6BC"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FB6BC" w:themeColor="accent1"/>
          <w:insideH w:val="nil"/>
          <w:insideV w:val="nil"/>
        </w:tcBorders>
        <w:shd w:val="clear" w:color="auto" w:fill="FFFFFF" w:themeFill="background1"/>
      </w:tcPr>
    </w:tblStylePr>
    <w:tblStylePr w:type="lastCol">
      <w:tblPr/>
      <w:tcPr>
        <w:tcBorders>
          <w:top w:val="nil"/>
          <w:left w:val="single" w:sz="8" w:space="0" w:color="2FB6BC"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FF1" w:themeFill="accent1" w:themeFillTint="3F"/>
      </w:tcPr>
    </w:tblStylePr>
    <w:tblStylePr w:type="band1Horz">
      <w:tblPr/>
      <w:tcPr>
        <w:tcBorders>
          <w:top w:val="nil"/>
          <w:bottom w:val="nil"/>
          <w:insideH w:val="nil"/>
          <w:insideV w:val="nil"/>
        </w:tcBorders>
        <w:shd w:val="clear" w:color="auto" w:fill="C8EFF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95" w:themeColor="accent2"/>
        <w:left w:val="single" w:sz="8" w:space="0" w:color="009695" w:themeColor="accent2"/>
        <w:bottom w:val="single" w:sz="8" w:space="0" w:color="009695" w:themeColor="accent2"/>
        <w:right w:val="single" w:sz="8" w:space="0" w:color="009695" w:themeColor="accent2"/>
      </w:tblBorders>
    </w:tblPr>
    <w:tblStylePr w:type="firstRow">
      <w:rPr>
        <w:sz w:val="24"/>
        <w:szCs w:val="24"/>
      </w:rPr>
      <w:tblPr/>
      <w:tcPr>
        <w:tcBorders>
          <w:top w:val="nil"/>
          <w:left w:val="nil"/>
          <w:bottom w:val="single" w:sz="24" w:space="0" w:color="009695" w:themeColor="accent2"/>
          <w:right w:val="nil"/>
          <w:insideH w:val="nil"/>
          <w:insideV w:val="nil"/>
        </w:tcBorders>
        <w:shd w:val="clear" w:color="auto" w:fill="FFFFFF" w:themeFill="background1"/>
      </w:tcPr>
    </w:tblStylePr>
    <w:tblStylePr w:type="lastRow">
      <w:tblPr/>
      <w:tcPr>
        <w:tcBorders>
          <w:top w:val="single" w:sz="8" w:space="0" w:color="00969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95" w:themeColor="accent2"/>
          <w:insideH w:val="nil"/>
          <w:insideV w:val="nil"/>
        </w:tcBorders>
        <w:shd w:val="clear" w:color="auto" w:fill="FFFFFF" w:themeFill="background1"/>
      </w:tcPr>
    </w:tblStylePr>
    <w:tblStylePr w:type="lastCol">
      <w:tblPr/>
      <w:tcPr>
        <w:tcBorders>
          <w:top w:val="nil"/>
          <w:left w:val="single" w:sz="8" w:space="0" w:color="00969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FE" w:themeFill="accent2" w:themeFillTint="3F"/>
      </w:tcPr>
    </w:tblStylePr>
    <w:tblStylePr w:type="band1Horz">
      <w:tblPr/>
      <w:tcPr>
        <w:tcBorders>
          <w:top w:val="nil"/>
          <w:bottom w:val="nil"/>
          <w:insideH w:val="nil"/>
          <w:insideV w:val="nil"/>
        </w:tcBorders>
        <w:shd w:val="clear" w:color="auto" w:fill="A6F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86C7" w:themeColor="accent3"/>
        <w:left w:val="single" w:sz="8" w:space="0" w:color="2B86C7" w:themeColor="accent3"/>
        <w:bottom w:val="single" w:sz="8" w:space="0" w:color="2B86C7" w:themeColor="accent3"/>
        <w:right w:val="single" w:sz="8" w:space="0" w:color="2B86C7" w:themeColor="accent3"/>
      </w:tblBorders>
    </w:tblPr>
    <w:tblStylePr w:type="firstRow">
      <w:rPr>
        <w:sz w:val="24"/>
        <w:szCs w:val="24"/>
      </w:rPr>
      <w:tblPr/>
      <w:tcPr>
        <w:tcBorders>
          <w:top w:val="nil"/>
          <w:left w:val="nil"/>
          <w:bottom w:val="single" w:sz="24" w:space="0" w:color="2B86C7" w:themeColor="accent3"/>
          <w:right w:val="nil"/>
          <w:insideH w:val="nil"/>
          <w:insideV w:val="nil"/>
        </w:tcBorders>
        <w:shd w:val="clear" w:color="auto" w:fill="FFFFFF" w:themeFill="background1"/>
      </w:tcPr>
    </w:tblStylePr>
    <w:tblStylePr w:type="lastRow">
      <w:tblPr/>
      <w:tcPr>
        <w:tcBorders>
          <w:top w:val="single" w:sz="8" w:space="0" w:color="2B86C7"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86C7" w:themeColor="accent3"/>
          <w:insideH w:val="nil"/>
          <w:insideV w:val="nil"/>
        </w:tcBorders>
        <w:shd w:val="clear" w:color="auto" w:fill="FFFFFF" w:themeFill="background1"/>
      </w:tcPr>
    </w:tblStylePr>
    <w:tblStylePr w:type="lastCol">
      <w:tblPr/>
      <w:tcPr>
        <w:tcBorders>
          <w:top w:val="nil"/>
          <w:left w:val="single" w:sz="8" w:space="0" w:color="2B86C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E1F3" w:themeFill="accent3" w:themeFillTint="3F"/>
      </w:tcPr>
    </w:tblStylePr>
    <w:tblStylePr w:type="band1Horz">
      <w:tblPr/>
      <w:tcPr>
        <w:tcBorders>
          <w:top w:val="nil"/>
          <w:bottom w:val="nil"/>
          <w:insideH w:val="nil"/>
          <w:insideV w:val="nil"/>
        </w:tcBorders>
        <w:shd w:val="clear" w:color="auto" w:fill="C8E1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16B99" w:themeColor="accent4"/>
        <w:left w:val="single" w:sz="8" w:space="0" w:color="216B99" w:themeColor="accent4"/>
        <w:bottom w:val="single" w:sz="8" w:space="0" w:color="216B99" w:themeColor="accent4"/>
        <w:right w:val="single" w:sz="8" w:space="0" w:color="216B99" w:themeColor="accent4"/>
      </w:tblBorders>
    </w:tblPr>
    <w:tblStylePr w:type="firstRow">
      <w:rPr>
        <w:sz w:val="24"/>
        <w:szCs w:val="24"/>
      </w:rPr>
      <w:tblPr/>
      <w:tcPr>
        <w:tcBorders>
          <w:top w:val="nil"/>
          <w:left w:val="nil"/>
          <w:bottom w:val="single" w:sz="24" w:space="0" w:color="216B99" w:themeColor="accent4"/>
          <w:right w:val="nil"/>
          <w:insideH w:val="nil"/>
          <w:insideV w:val="nil"/>
        </w:tcBorders>
        <w:shd w:val="clear" w:color="auto" w:fill="FFFFFF" w:themeFill="background1"/>
      </w:tcPr>
    </w:tblStylePr>
    <w:tblStylePr w:type="lastRow">
      <w:tblPr/>
      <w:tcPr>
        <w:tcBorders>
          <w:top w:val="single" w:sz="8" w:space="0" w:color="216B9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16B99" w:themeColor="accent4"/>
          <w:insideH w:val="nil"/>
          <w:insideV w:val="nil"/>
        </w:tcBorders>
        <w:shd w:val="clear" w:color="auto" w:fill="FFFFFF" w:themeFill="background1"/>
      </w:tcPr>
    </w:tblStylePr>
    <w:tblStylePr w:type="lastCol">
      <w:tblPr/>
      <w:tcPr>
        <w:tcBorders>
          <w:top w:val="nil"/>
          <w:left w:val="single" w:sz="8" w:space="0" w:color="216B9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DCF0" w:themeFill="accent4" w:themeFillTint="3F"/>
      </w:tcPr>
    </w:tblStylePr>
    <w:tblStylePr w:type="band1Horz">
      <w:tblPr/>
      <w:tcPr>
        <w:tcBorders>
          <w:top w:val="nil"/>
          <w:bottom w:val="nil"/>
          <w:insideH w:val="nil"/>
          <w:insideV w:val="nil"/>
        </w:tcBorders>
        <w:shd w:val="clear" w:color="auto" w:fill="BCDCF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1AC4C" w:themeColor="accent5"/>
        <w:left w:val="single" w:sz="8" w:space="0" w:color="41AC4C" w:themeColor="accent5"/>
        <w:bottom w:val="single" w:sz="8" w:space="0" w:color="41AC4C" w:themeColor="accent5"/>
        <w:right w:val="single" w:sz="8" w:space="0" w:color="41AC4C" w:themeColor="accent5"/>
      </w:tblBorders>
    </w:tblPr>
    <w:tblStylePr w:type="firstRow">
      <w:rPr>
        <w:sz w:val="24"/>
        <w:szCs w:val="24"/>
      </w:rPr>
      <w:tblPr/>
      <w:tcPr>
        <w:tcBorders>
          <w:top w:val="nil"/>
          <w:left w:val="nil"/>
          <w:bottom w:val="single" w:sz="24" w:space="0" w:color="41AC4C" w:themeColor="accent5"/>
          <w:right w:val="nil"/>
          <w:insideH w:val="nil"/>
          <w:insideV w:val="nil"/>
        </w:tcBorders>
        <w:shd w:val="clear" w:color="auto" w:fill="FFFFFF" w:themeFill="background1"/>
      </w:tcPr>
    </w:tblStylePr>
    <w:tblStylePr w:type="lastRow">
      <w:tblPr/>
      <w:tcPr>
        <w:tcBorders>
          <w:top w:val="single" w:sz="8" w:space="0" w:color="41AC4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1AC4C" w:themeColor="accent5"/>
          <w:insideH w:val="nil"/>
          <w:insideV w:val="nil"/>
        </w:tcBorders>
        <w:shd w:val="clear" w:color="auto" w:fill="FFFFFF" w:themeFill="background1"/>
      </w:tcPr>
    </w:tblStylePr>
    <w:tblStylePr w:type="lastCol">
      <w:tblPr/>
      <w:tcPr>
        <w:tcBorders>
          <w:top w:val="nil"/>
          <w:left w:val="single" w:sz="8" w:space="0" w:color="41AC4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CD0" w:themeFill="accent5" w:themeFillTint="3F"/>
      </w:tcPr>
    </w:tblStylePr>
    <w:tblStylePr w:type="band1Horz">
      <w:tblPr/>
      <w:tcPr>
        <w:tcBorders>
          <w:top w:val="nil"/>
          <w:bottom w:val="nil"/>
          <w:insideH w:val="nil"/>
          <w:insideV w:val="nil"/>
        </w:tcBorders>
        <w:shd w:val="clear" w:color="auto" w:fill="CDECD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075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E3F91" w:themeColor="accent6"/>
        <w:left w:val="single" w:sz="8" w:space="0" w:color="8E3F91" w:themeColor="accent6"/>
        <w:bottom w:val="single" w:sz="8" w:space="0" w:color="8E3F91" w:themeColor="accent6"/>
        <w:right w:val="single" w:sz="8" w:space="0" w:color="8E3F91" w:themeColor="accent6"/>
      </w:tblBorders>
    </w:tblPr>
    <w:tblStylePr w:type="firstRow">
      <w:rPr>
        <w:sz w:val="24"/>
        <w:szCs w:val="24"/>
      </w:rPr>
      <w:tblPr/>
      <w:tcPr>
        <w:tcBorders>
          <w:top w:val="nil"/>
          <w:left w:val="nil"/>
          <w:bottom w:val="single" w:sz="24" w:space="0" w:color="8E3F91" w:themeColor="accent6"/>
          <w:right w:val="nil"/>
          <w:insideH w:val="nil"/>
          <w:insideV w:val="nil"/>
        </w:tcBorders>
        <w:shd w:val="clear" w:color="auto" w:fill="FFFFFF" w:themeFill="background1"/>
      </w:tcPr>
    </w:tblStylePr>
    <w:tblStylePr w:type="lastRow">
      <w:tblPr/>
      <w:tcPr>
        <w:tcBorders>
          <w:top w:val="single" w:sz="8" w:space="0" w:color="8E3F9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E3F91" w:themeColor="accent6"/>
          <w:insideH w:val="nil"/>
          <w:insideV w:val="nil"/>
        </w:tcBorders>
        <w:shd w:val="clear" w:color="auto" w:fill="FFFFFF" w:themeFill="background1"/>
      </w:tcPr>
    </w:tblStylePr>
    <w:tblStylePr w:type="lastCol">
      <w:tblPr/>
      <w:tcPr>
        <w:tcBorders>
          <w:top w:val="nil"/>
          <w:left w:val="single" w:sz="8" w:space="0" w:color="8E3F9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CAE8" w:themeFill="accent6" w:themeFillTint="3F"/>
      </w:tcPr>
    </w:tblStylePr>
    <w:tblStylePr w:type="band1Horz">
      <w:tblPr/>
      <w:tcPr>
        <w:tcBorders>
          <w:top w:val="nil"/>
          <w:bottom w:val="nil"/>
          <w:insideH w:val="nil"/>
          <w:insideV w:val="nil"/>
        </w:tcBorders>
        <w:shd w:val="clear" w:color="auto" w:fill="E7CAE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single" w:sz="8" w:space="0" w:color="5AD0D5" w:themeColor="accent1" w:themeTint="BF"/>
      </w:tblBorders>
    </w:tblPr>
    <w:tblStylePr w:type="firstRow">
      <w:pPr>
        <w:spacing w:before="0" w:after="0" w:line="240" w:lineRule="auto"/>
      </w:pPr>
      <w:rPr>
        <w:b/>
        <w:bCs/>
        <w:color w:val="FFFFFF" w:themeColor="background1"/>
      </w:rPr>
      <w:tblPr/>
      <w:tcPr>
        <w:tcBorders>
          <w:top w:val="single" w:sz="8"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nil"/>
          <w:insideV w:val="nil"/>
        </w:tcBorders>
        <w:shd w:val="clear" w:color="auto" w:fill="2FB6BC" w:themeFill="accent1"/>
      </w:tcPr>
    </w:tblStylePr>
    <w:tblStylePr w:type="lastRow">
      <w:pPr>
        <w:spacing w:before="0" w:after="0" w:line="240" w:lineRule="auto"/>
      </w:pPr>
      <w:rPr>
        <w:b/>
        <w:bCs/>
      </w:rPr>
      <w:tblPr/>
      <w:tcPr>
        <w:tcBorders>
          <w:top w:val="double" w:sz="6" w:space="0" w:color="5AD0D5" w:themeColor="accent1" w:themeTint="BF"/>
          <w:left w:val="single" w:sz="8" w:space="0" w:color="5AD0D5" w:themeColor="accent1" w:themeTint="BF"/>
          <w:bottom w:val="single" w:sz="8" w:space="0" w:color="5AD0D5" w:themeColor="accent1" w:themeTint="BF"/>
          <w:right w:val="single" w:sz="8" w:space="0" w:color="5AD0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C8EFF1" w:themeFill="accent1" w:themeFillTint="3F"/>
      </w:tcPr>
    </w:tblStylePr>
    <w:tblStylePr w:type="band1Horz">
      <w:tblPr/>
      <w:tcPr>
        <w:tcBorders>
          <w:insideH w:val="nil"/>
          <w:insideV w:val="nil"/>
        </w:tcBorders>
        <w:shd w:val="clear" w:color="auto" w:fill="C8EFF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single" w:sz="8" w:space="0" w:color="00F0EE" w:themeColor="accent2" w:themeTint="BF"/>
      </w:tblBorders>
    </w:tblPr>
    <w:tblStylePr w:type="firstRow">
      <w:pPr>
        <w:spacing w:before="0" w:after="0" w:line="240" w:lineRule="auto"/>
      </w:pPr>
      <w:rPr>
        <w:b/>
        <w:bCs/>
        <w:color w:val="FFFFFF" w:themeColor="background1"/>
      </w:rPr>
      <w:tblPr/>
      <w:tcPr>
        <w:tcBorders>
          <w:top w:val="single" w:sz="8"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nil"/>
          <w:insideV w:val="nil"/>
        </w:tcBorders>
        <w:shd w:val="clear" w:color="auto" w:fill="009695" w:themeFill="accent2"/>
      </w:tcPr>
    </w:tblStylePr>
    <w:tblStylePr w:type="lastRow">
      <w:pPr>
        <w:spacing w:before="0" w:after="0" w:line="240" w:lineRule="auto"/>
      </w:pPr>
      <w:rPr>
        <w:b/>
        <w:bCs/>
      </w:rPr>
      <w:tblPr/>
      <w:tcPr>
        <w:tcBorders>
          <w:top w:val="double" w:sz="6" w:space="0" w:color="00F0EE" w:themeColor="accent2" w:themeTint="BF"/>
          <w:left w:val="single" w:sz="8" w:space="0" w:color="00F0EE" w:themeColor="accent2" w:themeTint="BF"/>
          <w:bottom w:val="single" w:sz="8" w:space="0" w:color="00F0EE" w:themeColor="accent2" w:themeTint="BF"/>
          <w:right w:val="single" w:sz="8" w:space="0" w:color="00F0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A6FFFE" w:themeFill="accent2" w:themeFillTint="3F"/>
      </w:tcPr>
    </w:tblStylePr>
    <w:tblStylePr w:type="band1Horz">
      <w:tblPr/>
      <w:tcPr>
        <w:tcBorders>
          <w:insideH w:val="nil"/>
          <w:insideV w:val="nil"/>
        </w:tcBorders>
        <w:shd w:val="clear" w:color="auto" w:fill="A6FFF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single" w:sz="8" w:space="0" w:color="59A4DB" w:themeColor="accent3" w:themeTint="BF"/>
      </w:tblBorders>
    </w:tblPr>
    <w:tblStylePr w:type="firstRow">
      <w:pPr>
        <w:spacing w:before="0" w:after="0" w:line="240" w:lineRule="auto"/>
      </w:pPr>
      <w:rPr>
        <w:b/>
        <w:bCs/>
        <w:color w:val="FFFFFF" w:themeColor="background1"/>
      </w:rPr>
      <w:tblPr/>
      <w:tcPr>
        <w:tcBorders>
          <w:top w:val="single" w:sz="8"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nil"/>
          <w:insideV w:val="nil"/>
        </w:tcBorders>
        <w:shd w:val="clear" w:color="auto" w:fill="2B86C7" w:themeFill="accent3"/>
      </w:tcPr>
    </w:tblStylePr>
    <w:tblStylePr w:type="lastRow">
      <w:pPr>
        <w:spacing w:before="0" w:after="0" w:line="240" w:lineRule="auto"/>
      </w:pPr>
      <w:rPr>
        <w:b/>
        <w:bCs/>
      </w:rPr>
      <w:tblPr/>
      <w:tcPr>
        <w:tcBorders>
          <w:top w:val="double" w:sz="6" w:space="0" w:color="59A4DB" w:themeColor="accent3" w:themeTint="BF"/>
          <w:left w:val="single" w:sz="8" w:space="0" w:color="59A4DB" w:themeColor="accent3" w:themeTint="BF"/>
          <w:bottom w:val="single" w:sz="8" w:space="0" w:color="59A4DB" w:themeColor="accent3" w:themeTint="BF"/>
          <w:right w:val="single" w:sz="8" w:space="0" w:color="59A4DB" w:themeColor="accent3" w:themeTint="BF"/>
          <w:insideH w:val="nil"/>
          <w:insideV w:val="nil"/>
        </w:tcBorders>
      </w:tcPr>
    </w:tblStylePr>
    <w:tblStylePr w:type="firstCol">
      <w:rPr>
        <w:b/>
        <w:bCs/>
      </w:rPr>
    </w:tblStylePr>
    <w:tblStylePr w:type="lastCol">
      <w:rPr>
        <w:b/>
        <w:bCs/>
      </w:rPr>
    </w:tblStylePr>
    <w:tblStylePr w:type="band1Vert">
      <w:tblPr/>
      <w:tcPr>
        <w:shd w:val="clear" w:color="auto" w:fill="C8E1F3" w:themeFill="accent3" w:themeFillTint="3F"/>
      </w:tcPr>
    </w:tblStylePr>
    <w:tblStylePr w:type="band1Horz">
      <w:tblPr/>
      <w:tcPr>
        <w:tcBorders>
          <w:insideH w:val="nil"/>
          <w:insideV w:val="nil"/>
        </w:tcBorders>
        <w:shd w:val="clear" w:color="auto" w:fill="C8E1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single" w:sz="8" w:space="0" w:color="3797D4" w:themeColor="accent4" w:themeTint="BF"/>
      </w:tblBorders>
    </w:tblPr>
    <w:tblStylePr w:type="firstRow">
      <w:pPr>
        <w:spacing w:before="0" w:after="0" w:line="240" w:lineRule="auto"/>
      </w:pPr>
      <w:rPr>
        <w:b/>
        <w:bCs/>
        <w:color w:val="FFFFFF" w:themeColor="background1"/>
      </w:rPr>
      <w:tblPr/>
      <w:tcPr>
        <w:tcBorders>
          <w:top w:val="single" w:sz="8"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nil"/>
          <w:insideV w:val="nil"/>
        </w:tcBorders>
        <w:shd w:val="clear" w:color="auto" w:fill="216B99" w:themeFill="accent4"/>
      </w:tcPr>
    </w:tblStylePr>
    <w:tblStylePr w:type="lastRow">
      <w:pPr>
        <w:spacing w:before="0" w:after="0" w:line="240" w:lineRule="auto"/>
      </w:pPr>
      <w:rPr>
        <w:b/>
        <w:bCs/>
      </w:rPr>
      <w:tblPr/>
      <w:tcPr>
        <w:tcBorders>
          <w:top w:val="double" w:sz="6" w:space="0" w:color="3797D4" w:themeColor="accent4" w:themeTint="BF"/>
          <w:left w:val="single" w:sz="8" w:space="0" w:color="3797D4" w:themeColor="accent4" w:themeTint="BF"/>
          <w:bottom w:val="single" w:sz="8" w:space="0" w:color="3797D4" w:themeColor="accent4" w:themeTint="BF"/>
          <w:right w:val="single" w:sz="8" w:space="0" w:color="3797D4"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DCF0" w:themeFill="accent4" w:themeFillTint="3F"/>
      </w:tcPr>
    </w:tblStylePr>
    <w:tblStylePr w:type="band1Horz">
      <w:tblPr/>
      <w:tcPr>
        <w:tcBorders>
          <w:insideH w:val="nil"/>
          <w:insideV w:val="nil"/>
        </w:tcBorders>
        <w:shd w:val="clear" w:color="auto" w:fill="BCDCF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single" w:sz="8" w:space="0" w:color="6AC673" w:themeColor="accent5" w:themeTint="BF"/>
      </w:tblBorders>
    </w:tblPr>
    <w:tblStylePr w:type="firstRow">
      <w:pPr>
        <w:spacing w:before="0" w:after="0" w:line="240" w:lineRule="auto"/>
      </w:pPr>
      <w:rPr>
        <w:b/>
        <w:bCs/>
        <w:color w:val="FFFFFF" w:themeColor="background1"/>
      </w:rPr>
      <w:tblPr/>
      <w:tcPr>
        <w:tcBorders>
          <w:top w:val="single" w:sz="8"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nil"/>
          <w:insideV w:val="nil"/>
        </w:tcBorders>
        <w:shd w:val="clear" w:color="auto" w:fill="41AC4C" w:themeFill="accent5"/>
      </w:tcPr>
    </w:tblStylePr>
    <w:tblStylePr w:type="lastRow">
      <w:pPr>
        <w:spacing w:before="0" w:after="0" w:line="240" w:lineRule="auto"/>
      </w:pPr>
      <w:rPr>
        <w:b/>
        <w:bCs/>
      </w:rPr>
      <w:tblPr/>
      <w:tcPr>
        <w:tcBorders>
          <w:top w:val="double" w:sz="6" w:space="0" w:color="6AC673" w:themeColor="accent5" w:themeTint="BF"/>
          <w:left w:val="single" w:sz="8" w:space="0" w:color="6AC673" w:themeColor="accent5" w:themeTint="BF"/>
          <w:bottom w:val="single" w:sz="8" w:space="0" w:color="6AC673" w:themeColor="accent5" w:themeTint="BF"/>
          <w:right w:val="single" w:sz="8" w:space="0" w:color="6AC673"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CD0" w:themeFill="accent5" w:themeFillTint="3F"/>
      </w:tcPr>
    </w:tblStylePr>
    <w:tblStylePr w:type="band1Horz">
      <w:tblPr/>
      <w:tcPr>
        <w:tcBorders>
          <w:insideH w:val="nil"/>
          <w:insideV w:val="nil"/>
        </w:tcBorders>
        <w:shd w:val="clear" w:color="auto" w:fill="CDECD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075F9"/>
    <w:pPr>
      <w:spacing w:after="0" w:line="240" w:lineRule="auto"/>
    </w:pPr>
    <w:rPr>
      <w:rFonts w:eastAsiaTheme="minorEastAsia"/>
    </w:rPr>
    <w:tblPr>
      <w:tblStyleRowBandSize w:val="1"/>
      <w:tblStyleColBandSize w:val="1"/>
      <w:tbl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single" w:sz="8" w:space="0" w:color="B661BA" w:themeColor="accent6" w:themeTint="BF"/>
      </w:tblBorders>
    </w:tblPr>
    <w:tblStylePr w:type="firstRow">
      <w:pPr>
        <w:spacing w:before="0" w:after="0" w:line="240" w:lineRule="auto"/>
      </w:pPr>
      <w:rPr>
        <w:b/>
        <w:bCs/>
        <w:color w:val="FFFFFF" w:themeColor="background1"/>
      </w:rPr>
      <w:tblPr/>
      <w:tcPr>
        <w:tcBorders>
          <w:top w:val="single" w:sz="8"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nil"/>
          <w:insideV w:val="nil"/>
        </w:tcBorders>
        <w:shd w:val="clear" w:color="auto" w:fill="8E3F91" w:themeFill="accent6"/>
      </w:tcPr>
    </w:tblStylePr>
    <w:tblStylePr w:type="lastRow">
      <w:pPr>
        <w:spacing w:before="0" w:after="0" w:line="240" w:lineRule="auto"/>
      </w:pPr>
      <w:rPr>
        <w:b/>
        <w:bCs/>
      </w:rPr>
      <w:tblPr/>
      <w:tcPr>
        <w:tcBorders>
          <w:top w:val="double" w:sz="6" w:space="0" w:color="B661BA" w:themeColor="accent6" w:themeTint="BF"/>
          <w:left w:val="single" w:sz="8" w:space="0" w:color="B661BA" w:themeColor="accent6" w:themeTint="BF"/>
          <w:bottom w:val="single" w:sz="8" w:space="0" w:color="B661BA" w:themeColor="accent6" w:themeTint="BF"/>
          <w:right w:val="single" w:sz="8" w:space="0" w:color="B661B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7CAE8" w:themeFill="accent6" w:themeFillTint="3F"/>
      </w:tcPr>
    </w:tblStylePr>
    <w:tblStylePr w:type="band1Horz">
      <w:tblPr/>
      <w:tcPr>
        <w:tcBorders>
          <w:insideH w:val="nil"/>
          <w:insideV w:val="nil"/>
        </w:tcBorders>
        <w:shd w:val="clear" w:color="auto" w:fill="E7CAE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3075F9"/>
    <w:pPr>
      <w:spacing w:before="120" w:after="0" w:line="240" w:lineRule="auto"/>
    </w:pPr>
    <w:rPr>
      <w:rFonts w:eastAsiaTheme="minorEastAsia"/>
      <w:color w:val="808080" w:themeColor="background1" w:themeShade="8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FB6BC"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FB6BC" w:themeFill="accent1"/>
      </w:tcPr>
    </w:tblStylePr>
    <w:tblStylePr w:type="lastCol">
      <w:rPr>
        <w:b/>
        <w:bCs/>
        <w:color w:val="FFFFFF" w:themeColor="background1"/>
      </w:rPr>
      <w:tblPr/>
      <w:tcPr>
        <w:tcBorders>
          <w:left w:val="nil"/>
          <w:right w:val="nil"/>
          <w:insideH w:val="nil"/>
          <w:insideV w:val="nil"/>
        </w:tcBorders>
        <w:shd w:val="clear" w:color="auto" w:fill="2FB6BC"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9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695" w:themeFill="accent2"/>
      </w:tcPr>
    </w:tblStylePr>
    <w:tblStylePr w:type="lastCol">
      <w:rPr>
        <w:b/>
        <w:bCs/>
        <w:color w:val="FFFFFF" w:themeColor="background1"/>
      </w:rPr>
      <w:tblPr/>
      <w:tcPr>
        <w:tcBorders>
          <w:left w:val="nil"/>
          <w:right w:val="nil"/>
          <w:insideH w:val="nil"/>
          <w:insideV w:val="nil"/>
        </w:tcBorders>
        <w:shd w:val="clear" w:color="auto" w:fill="00969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86C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86C7" w:themeFill="accent3"/>
      </w:tcPr>
    </w:tblStylePr>
    <w:tblStylePr w:type="lastCol">
      <w:rPr>
        <w:b/>
        <w:bCs/>
        <w:color w:val="FFFFFF" w:themeColor="background1"/>
      </w:rPr>
      <w:tblPr/>
      <w:tcPr>
        <w:tcBorders>
          <w:left w:val="nil"/>
          <w:right w:val="nil"/>
          <w:insideH w:val="nil"/>
          <w:insideV w:val="nil"/>
        </w:tcBorders>
        <w:shd w:val="clear" w:color="auto" w:fill="2B86C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16B9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16B99" w:themeFill="accent4"/>
      </w:tcPr>
    </w:tblStylePr>
    <w:tblStylePr w:type="lastCol">
      <w:rPr>
        <w:b/>
        <w:bCs/>
        <w:color w:val="FFFFFF" w:themeColor="background1"/>
      </w:rPr>
      <w:tblPr/>
      <w:tcPr>
        <w:tcBorders>
          <w:left w:val="nil"/>
          <w:right w:val="nil"/>
          <w:insideH w:val="nil"/>
          <w:insideV w:val="nil"/>
        </w:tcBorders>
        <w:shd w:val="clear" w:color="auto" w:fill="216B9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1AC4C"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1AC4C" w:themeFill="accent5"/>
      </w:tcPr>
    </w:tblStylePr>
    <w:tblStylePr w:type="lastCol">
      <w:rPr>
        <w:b/>
        <w:bCs/>
        <w:color w:val="FFFFFF" w:themeColor="background1"/>
      </w:rPr>
      <w:tblPr/>
      <w:tcPr>
        <w:tcBorders>
          <w:left w:val="nil"/>
          <w:right w:val="nil"/>
          <w:insideH w:val="nil"/>
          <w:insideV w:val="nil"/>
        </w:tcBorders>
        <w:shd w:val="clear" w:color="auto" w:fill="41AC4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3075F9"/>
    <w:pPr>
      <w:spacing w:after="0" w:line="240" w:lineRule="auto"/>
    </w:pPr>
    <w:rPr>
      <w:rFonts w:eastAsiaTheme="minorEastAsi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E3F9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E3F91" w:themeFill="accent6"/>
      </w:tcPr>
    </w:tblStylePr>
    <w:tblStylePr w:type="lastCol">
      <w:rPr>
        <w:b/>
        <w:bCs/>
        <w:color w:val="FFFFFF" w:themeColor="background1"/>
      </w:rPr>
      <w:tblPr/>
      <w:tcPr>
        <w:tcBorders>
          <w:left w:val="nil"/>
          <w:right w:val="nil"/>
          <w:insideH w:val="nil"/>
          <w:insideV w:val="nil"/>
        </w:tcBorders>
        <w:shd w:val="clear" w:color="auto" w:fill="8E3F9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3075F9"/>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075F9"/>
    <w:rPr>
      <w:rFonts w:asciiTheme="majorHAnsi" w:eastAsiaTheme="majorEastAsia" w:hAnsiTheme="majorHAnsi" w:cstheme="majorBidi"/>
      <w:sz w:val="24"/>
      <w:szCs w:val="24"/>
      <w:shd w:val="pct20" w:color="auto" w:fill="auto"/>
      <w:lang w:val="en-GB"/>
    </w:rPr>
  </w:style>
  <w:style w:type="paragraph" w:styleId="NormalWeb">
    <w:name w:val="Normal (Web)"/>
    <w:basedOn w:val="Normal"/>
    <w:uiPriority w:val="99"/>
    <w:semiHidden/>
    <w:unhideWhenUsed/>
    <w:rsid w:val="003075F9"/>
    <w:rPr>
      <w:rFonts w:ascii="Times New Roman" w:hAnsi="Times New Roman" w:cs="Times New Roman"/>
      <w:sz w:val="24"/>
      <w:szCs w:val="24"/>
    </w:rPr>
  </w:style>
  <w:style w:type="paragraph" w:styleId="NormalIndent">
    <w:name w:val="Normal Indent"/>
    <w:basedOn w:val="Normal"/>
    <w:uiPriority w:val="99"/>
    <w:semiHidden/>
    <w:unhideWhenUsed/>
    <w:rsid w:val="003075F9"/>
    <w:pPr>
      <w:ind w:left="720"/>
    </w:pPr>
  </w:style>
  <w:style w:type="paragraph" w:styleId="NoteHeading">
    <w:name w:val="Note Heading"/>
    <w:basedOn w:val="Normal"/>
    <w:next w:val="Normal"/>
    <w:link w:val="NoteHeadingChar"/>
    <w:uiPriority w:val="99"/>
    <w:semiHidden/>
    <w:unhideWhenUsed/>
    <w:rsid w:val="003075F9"/>
    <w:pPr>
      <w:spacing w:before="0" w:after="0" w:line="240" w:lineRule="auto"/>
    </w:pPr>
  </w:style>
  <w:style w:type="character" w:customStyle="1" w:styleId="NoteHeadingChar">
    <w:name w:val="Note Heading Char"/>
    <w:basedOn w:val="DefaultParagraphFont"/>
    <w:link w:val="NoteHeading"/>
    <w:uiPriority w:val="99"/>
    <w:semiHidden/>
    <w:rsid w:val="003075F9"/>
    <w:rPr>
      <w:rFonts w:eastAsiaTheme="minorEastAsia"/>
      <w:lang w:val="en-GB"/>
    </w:rPr>
  </w:style>
  <w:style w:type="character" w:styleId="PageNumber0">
    <w:name w:val="page number"/>
    <w:basedOn w:val="DefaultParagraphFont"/>
    <w:uiPriority w:val="99"/>
    <w:semiHidden/>
    <w:unhideWhenUsed/>
    <w:rsid w:val="003075F9"/>
    <w:rPr>
      <w:bCs w:val="0"/>
      <w:szCs w:val="20"/>
      <w:lang w:val="en-GB"/>
    </w:rPr>
  </w:style>
  <w:style w:type="character" w:styleId="PlaceholderText">
    <w:name w:val="Placeholder Text"/>
    <w:basedOn w:val="DefaultParagraphFont"/>
    <w:uiPriority w:val="99"/>
    <w:rsid w:val="003075F9"/>
    <w:rPr>
      <w:bCs w:val="0"/>
      <w:color w:val="808080"/>
      <w:szCs w:val="20"/>
      <w:lang w:val="en-GB"/>
    </w:rPr>
  </w:style>
  <w:style w:type="table" w:customStyle="1" w:styleId="PlainTable11">
    <w:name w:val="Plain Table 11"/>
    <w:basedOn w:val="TableNormal"/>
    <w:uiPriority w:val="41"/>
    <w:rsid w:val="003075F9"/>
    <w:pPr>
      <w:spacing w:after="0" w:line="240" w:lineRule="auto"/>
    </w:pPr>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3075F9"/>
    <w:pPr>
      <w:spacing w:after="0" w:line="240" w:lineRule="auto"/>
    </w:pPr>
    <w:rPr>
      <w:rFonts w:eastAsiaTheme="minorEastAsi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3075F9"/>
    <w:pPr>
      <w:spacing w:after="0" w:line="240" w:lineRule="auto"/>
    </w:pPr>
    <w:rPr>
      <w:rFonts w:eastAsiaTheme="minorEastAsi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3075F9"/>
    <w:pPr>
      <w:spacing w:after="0" w:line="240" w:lineRule="auto"/>
    </w:pPr>
    <w:rPr>
      <w:rFonts w:eastAsiaTheme="minorEastAsi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3075F9"/>
    <w:pPr>
      <w:spacing w:after="0" w:line="240" w:lineRule="auto"/>
    </w:pPr>
    <w:rPr>
      <w:rFonts w:eastAsiaTheme="minorEastAsia"/>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075F9"/>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075F9"/>
    <w:rPr>
      <w:rFonts w:ascii="Consolas" w:eastAsiaTheme="minorEastAsia" w:hAnsi="Consolas"/>
      <w:sz w:val="21"/>
      <w:szCs w:val="21"/>
      <w:lang w:val="en-GB"/>
    </w:rPr>
  </w:style>
  <w:style w:type="paragraph" w:styleId="Salutation">
    <w:name w:val="Salutation"/>
    <w:basedOn w:val="Normal"/>
    <w:next w:val="Normal"/>
    <w:link w:val="SalutationChar"/>
    <w:uiPriority w:val="99"/>
    <w:semiHidden/>
    <w:rsid w:val="003075F9"/>
  </w:style>
  <w:style w:type="character" w:customStyle="1" w:styleId="SalutationChar">
    <w:name w:val="Salutation Char"/>
    <w:basedOn w:val="DefaultParagraphFont"/>
    <w:link w:val="Salutation"/>
    <w:uiPriority w:val="99"/>
    <w:semiHidden/>
    <w:rsid w:val="003075F9"/>
    <w:rPr>
      <w:rFonts w:eastAsiaTheme="minorEastAsia"/>
      <w:lang w:val="en-GB"/>
    </w:rPr>
  </w:style>
  <w:style w:type="paragraph" w:styleId="Signature">
    <w:name w:val="Signature"/>
    <w:basedOn w:val="Normal"/>
    <w:link w:val="SignatureChar"/>
    <w:uiPriority w:val="99"/>
    <w:semiHidden/>
    <w:unhideWhenUsed/>
    <w:rsid w:val="003075F9"/>
    <w:pPr>
      <w:spacing w:before="0" w:after="0" w:line="240" w:lineRule="auto"/>
      <w:ind w:left="4252"/>
    </w:pPr>
  </w:style>
  <w:style w:type="character" w:customStyle="1" w:styleId="SignatureChar">
    <w:name w:val="Signature Char"/>
    <w:basedOn w:val="DefaultParagraphFont"/>
    <w:link w:val="Signature"/>
    <w:uiPriority w:val="99"/>
    <w:semiHidden/>
    <w:rsid w:val="003075F9"/>
    <w:rPr>
      <w:rFonts w:eastAsiaTheme="minorEastAsia"/>
      <w:lang w:val="en-GB"/>
    </w:rPr>
  </w:style>
  <w:style w:type="character" w:styleId="Strong">
    <w:name w:val="Strong"/>
    <w:basedOn w:val="DefaultParagraphFont"/>
    <w:uiPriority w:val="39"/>
    <w:semiHidden/>
    <w:qFormat/>
    <w:rsid w:val="003075F9"/>
    <w:rPr>
      <w:b/>
      <w:bCs/>
      <w:szCs w:val="20"/>
      <w:lang w:val="en-GB"/>
    </w:rPr>
  </w:style>
  <w:style w:type="paragraph" w:styleId="Subtitle">
    <w:name w:val="Subtitle"/>
    <w:basedOn w:val="Normal"/>
    <w:next w:val="Normal"/>
    <w:link w:val="SubtitleChar"/>
    <w:uiPriority w:val="39"/>
    <w:semiHidden/>
    <w:qFormat/>
    <w:rsid w:val="003075F9"/>
    <w:pPr>
      <w:numPr>
        <w:ilvl w:val="1"/>
      </w:numPr>
    </w:pPr>
    <w:rPr>
      <w:color w:val="5A5A5A" w:themeColor="text1" w:themeTint="A5"/>
      <w:spacing w:val="15"/>
      <w:sz w:val="22"/>
      <w:szCs w:val="22"/>
    </w:rPr>
  </w:style>
  <w:style w:type="character" w:customStyle="1" w:styleId="SubtitleChar">
    <w:name w:val="Subtitle Char"/>
    <w:basedOn w:val="DefaultParagraphFont"/>
    <w:link w:val="Subtitle"/>
    <w:uiPriority w:val="39"/>
    <w:semiHidden/>
    <w:rsid w:val="003075F9"/>
    <w:rPr>
      <w:rFonts w:eastAsiaTheme="minorEastAsia"/>
      <w:color w:val="5A5A5A" w:themeColor="text1" w:themeTint="A5"/>
      <w:spacing w:val="15"/>
      <w:sz w:val="22"/>
      <w:szCs w:val="22"/>
      <w:lang w:val="en-GB"/>
    </w:rPr>
  </w:style>
  <w:style w:type="character" w:styleId="SubtleEmphasis">
    <w:name w:val="Subtle Emphasis"/>
    <w:basedOn w:val="DefaultParagraphFont"/>
    <w:uiPriority w:val="39"/>
    <w:semiHidden/>
    <w:qFormat/>
    <w:rsid w:val="003075F9"/>
    <w:rPr>
      <w:bCs w:val="0"/>
      <w:i/>
      <w:iCs/>
      <w:color w:val="404040" w:themeColor="text1" w:themeTint="BF"/>
      <w:szCs w:val="20"/>
      <w:lang w:val="en-GB"/>
    </w:rPr>
  </w:style>
  <w:style w:type="character" w:styleId="SubtleReference">
    <w:name w:val="Subtle Reference"/>
    <w:basedOn w:val="DefaultParagraphFont"/>
    <w:uiPriority w:val="39"/>
    <w:semiHidden/>
    <w:qFormat/>
    <w:rsid w:val="003075F9"/>
    <w:rPr>
      <w:bCs w:val="0"/>
      <w:smallCaps/>
      <w:color w:val="5A5A5A" w:themeColor="text1" w:themeTint="A5"/>
      <w:szCs w:val="20"/>
      <w:lang w:val="en-GB"/>
    </w:rPr>
  </w:style>
  <w:style w:type="table" w:styleId="Table3Deffects1">
    <w:name w:val="Table 3D effects 1"/>
    <w:basedOn w:val="TableNormal"/>
    <w:uiPriority w:val="99"/>
    <w:semiHidden/>
    <w:unhideWhenUsed/>
    <w:rsid w:val="003075F9"/>
    <w:pPr>
      <w:spacing w:before="120" w:line="264" w:lineRule="auto"/>
    </w:pPr>
    <w:rPr>
      <w:rFonts w:eastAsiaTheme="minorEastAsia"/>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075F9"/>
    <w:pPr>
      <w:spacing w:before="120" w:line="264" w:lineRule="auto"/>
    </w:pPr>
    <w:rPr>
      <w:rFonts w:eastAsiaTheme="minorEastAsia"/>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075F9"/>
    <w:pPr>
      <w:spacing w:before="120" w:line="264" w:lineRule="auto"/>
    </w:pPr>
    <w:rPr>
      <w:rFonts w:eastAsiaTheme="minorEastAsia"/>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075F9"/>
    <w:pPr>
      <w:spacing w:before="120" w:line="264" w:lineRule="auto"/>
    </w:pPr>
    <w:rPr>
      <w:rFonts w:eastAsiaTheme="minorEastAsia"/>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075F9"/>
    <w:pPr>
      <w:spacing w:before="120" w:line="264" w:lineRule="auto"/>
    </w:pPr>
    <w:rPr>
      <w:rFonts w:eastAsiaTheme="minorEastAsia"/>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075F9"/>
    <w:pPr>
      <w:spacing w:before="120" w:line="264" w:lineRule="auto"/>
    </w:pPr>
    <w:rPr>
      <w:rFonts w:eastAsiaTheme="minorEastAsia"/>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075F9"/>
    <w:pPr>
      <w:spacing w:before="120" w:line="264" w:lineRule="auto"/>
    </w:pPr>
    <w:rPr>
      <w:rFonts w:eastAsiaTheme="minorEastAsia"/>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075F9"/>
    <w:pPr>
      <w:spacing w:before="120" w:line="264" w:lineRule="auto"/>
    </w:pPr>
    <w:rPr>
      <w:rFonts w:eastAsiaTheme="minorEastAsia"/>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075F9"/>
    <w:pPr>
      <w:spacing w:before="120" w:line="264" w:lineRule="auto"/>
    </w:pPr>
    <w:rPr>
      <w:rFonts w:eastAsiaTheme="minorEastAsia"/>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075F9"/>
    <w:pPr>
      <w:spacing w:before="120" w:line="264" w:lineRule="auto"/>
    </w:pPr>
    <w:rPr>
      <w:rFonts w:eastAsiaTheme="minorEastAsia"/>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075F9"/>
    <w:pPr>
      <w:spacing w:before="120" w:line="264" w:lineRule="auto"/>
    </w:pPr>
    <w:rPr>
      <w:rFonts w:eastAsiaTheme="minorEastAsia"/>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075F9"/>
    <w:pPr>
      <w:spacing w:before="120" w:line="264" w:lineRule="auto"/>
    </w:pPr>
    <w:rPr>
      <w:rFonts w:eastAsiaTheme="minorEastAsia"/>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075F9"/>
    <w:pPr>
      <w:spacing w:before="120" w:line="264" w:lineRule="auto"/>
    </w:pPr>
    <w:rPr>
      <w:rFonts w:eastAsiaTheme="minorEastAsia"/>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075F9"/>
    <w:pPr>
      <w:spacing w:before="120" w:line="264" w:lineRule="auto"/>
    </w:pPr>
    <w:rPr>
      <w:rFonts w:eastAsiaTheme="minorEastAsia"/>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075F9"/>
    <w:pPr>
      <w:spacing w:before="120" w:line="264" w:lineRule="auto"/>
    </w:pPr>
    <w:rPr>
      <w:rFonts w:eastAsiaTheme="minorEastAsia"/>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075F9"/>
    <w:pPr>
      <w:spacing w:before="120" w:line="264" w:lineRule="auto"/>
    </w:pPr>
    <w:rPr>
      <w:rFonts w:eastAsiaTheme="minorEastAsi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075F9"/>
    <w:pPr>
      <w:spacing w:before="120" w:line="264" w:lineRule="auto"/>
    </w:pPr>
    <w:rPr>
      <w:rFonts w:eastAsiaTheme="minorEastAsi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3075F9"/>
    <w:pPr>
      <w:spacing w:before="120"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3075F9"/>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075F9"/>
    <w:pPr>
      <w:spacing w:before="120" w:line="264" w:lineRule="auto"/>
    </w:pPr>
    <w:rPr>
      <w:rFonts w:eastAsiaTheme="minorEastAsia"/>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075F9"/>
    <w:pPr>
      <w:spacing w:before="120" w:line="264" w:lineRule="auto"/>
    </w:pPr>
    <w:rPr>
      <w:rFonts w:eastAsiaTheme="minorEastAsia"/>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075F9"/>
    <w:pPr>
      <w:spacing w:before="120" w:line="264" w:lineRule="auto"/>
    </w:pPr>
    <w:rPr>
      <w:rFonts w:eastAsiaTheme="minorEastAsia"/>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075F9"/>
    <w:pPr>
      <w:spacing w:before="120" w:line="264" w:lineRule="auto"/>
    </w:pPr>
    <w:rPr>
      <w:rFonts w:eastAsiaTheme="minorEastAsia"/>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075F9"/>
    <w:pPr>
      <w:spacing w:before="120" w:line="264" w:lineRule="auto"/>
    </w:pPr>
    <w:rPr>
      <w:rFonts w:eastAsiaTheme="minorEastAsi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uiPriority w:val="40"/>
    <w:rsid w:val="003075F9"/>
    <w:pPr>
      <w:spacing w:after="0" w:line="240" w:lineRule="auto"/>
    </w:pPr>
    <w:rPr>
      <w:rFonts w:eastAsiaTheme="minorEastAsi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075F9"/>
    <w:pPr>
      <w:spacing w:before="120" w:line="264" w:lineRule="auto"/>
    </w:pPr>
    <w:rPr>
      <w:rFonts w:eastAsiaTheme="minorEastAsia"/>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075F9"/>
    <w:pPr>
      <w:spacing w:before="120" w:line="264" w:lineRule="auto"/>
    </w:pPr>
    <w:rPr>
      <w:rFonts w:eastAsiaTheme="minorEastAsia"/>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075F9"/>
    <w:pPr>
      <w:spacing w:before="120" w:line="264" w:lineRule="auto"/>
    </w:pPr>
    <w:rPr>
      <w:rFonts w:eastAsiaTheme="minorEastAsia"/>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075F9"/>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075F9"/>
    <w:pPr>
      <w:spacing w:before="120" w:line="264"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075F9"/>
    <w:pPr>
      <w:spacing w:before="120" w:line="264" w:lineRule="auto"/>
    </w:pPr>
    <w:rPr>
      <w:rFonts w:eastAsiaTheme="minorEastAsi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075F9"/>
    <w:pPr>
      <w:spacing w:before="120" w:line="264" w:lineRule="auto"/>
    </w:pPr>
    <w:rPr>
      <w:rFonts w:eastAsiaTheme="minorEastAsia"/>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3075F9"/>
    <w:pPr>
      <w:spacing w:after="0"/>
      <w:ind w:left="200" w:hanging="200"/>
    </w:pPr>
  </w:style>
  <w:style w:type="paragraph" w:styleId="TableofFigures">
    <w:name w:val="table of figures"/>
    <w:basedOn w:val="Normal"/>
    <w:next w:val="Normal"/>
    <w:uiPriority w:val="99"/>
    <w:unhideWhenUsed/>
    <w:rsid w:val="003075F9"/>
    <w:pPr>
      <w:tabs>
        <w:tab w:val="right" w:pos="8505"/>
      </w:tabs>
      <w:spacing w:before="40" w:after="40" w:line="276" w:lineRule="auto"/>
      <w:ind w:right="403"/>
    </w:pPr>
    <w:rPr>
      <w:rFonts w:cs="System"/>
      <w:noProof/>
    </w:rPr>
  </w:style>
  <w:style w:type="table" w:styleId="TableProfessional">
    <w:name w:val="Table Professional"/>
    <w:basedOn w:val="TableNormal"/>
    <w:uiPriority w:val="99"/>
    <w:semiHidden/>
    <w:unhideWhenUsed/>
    <w:rsid w:val="003075F9"/>
    <w:pPr>
      <w:spacing w:before="120" w:line="264" w:lineRule="auto"/>
    </w:pPr>
    <w:rPr>
      <w:rFonts w:eastAsiaTheme="minorEastAs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075F9"/>
    <w:pPr>
      <w:spacing w:before="120" w:line="264" w:lineRule="auto"/>
    </w:pPr>
    <w:rPr>
      <w:rFonts w:eastAsiaTheme="minorEastAsia"/>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075F9"/>
    <w:pPr>
      <w:spacing w:before="120" w:line="264" w:lineRule="auto"/>
    </w:pPr>
    <w:rPr>
      <w:rFonts w:eastAsiaTheme="minorEastAsia"/>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075F9"/>
    <w:pPr>
      <w:spacing w:before="120" w:line="264" w:lineRule="auto"/>
    </w:pPr>
    <w:rPr>
      <w:rFonts w:eastAsiaTheme="minorEastAsia"/>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075F9"/>
    <w:pPr>
      <w:spacing w:before="120" w:line="264" w:lineRule="auto"/>
    </w:pPr>
    <w:rPr>
      <w:rFonts w:eastAsiaTheme="minorEastAsia"/>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075F9"/>
    <w:pPr>
      <w:spacing w:before="120" w:line="264" w:lineRule="auto"/>
    </w:pPr>
    <w:rPr>
      <w:rFonts w:eastAsiaTheme="minorEastAsia"/>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075F9"/>
    <w:pPr>
      <w:spacing w:before="120" w:line="264"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075F9"/>
    <w:pPr>
      <w:spacing w:before="120" w:line="264" w:lineRule="auto"/>
    </w:pPr>
    <w:rPr>
      <w:rFonts w:eastAsiaTheme="minorEastAsia"/>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075F9"/>
    <w:pPr>
      <w:spacing w:before="120" w:line="264" w:lineRule="auto"/>
    </w:pPr>
    <w:rPr>
      <w:rFonts w:eastAsiaTheme="minorEastAsi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075F9"/>
    <w:pPr>
      <w:spacing w:before="120" w:line="264" w:lineRule="auto"/>
    </w:pPr>
    <w:rPr>
      <w:rFonts w:eastAsiaTheme="minorEastAsia"/>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39"/>
    <w:semiHidden/>
    <w:qFormat/>
    <w:rsid w:val="003075F9"/>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39"/>
    <w:semiHidden/>
    <w:rsid w:val="003075F9"/>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3075F9"/>
    <w:rPr>
      <w:rFonts w:asciiTheme="majorHAnsi" w:eastAsiaTheme="majorEastAsia" w:hAnsiTheme="majorHAnsi" w:cstheme="majorBidi"/>
      <w:b/>
      <w:bCs/>
      <w:sz w:val="24"/>
      <w:szCs w:val="24"/>
    </w:rPr>
  </w:style>
  <w:style w:type="paragraph" w:styleId="TOC1">
    <w:name w:val="toc 1"/>
    <w:aliases w:val="~SectionHeadings"/>
    <w:basedOn w:val="NoSpacing"/>
    <w:next w:val="Normal"/>
    <w:uiPriority w:val="39"/>
    <w:rsid w:val="006E7AB6"/>
    <w:pPr>
      <w:tabs>
        <w:tab w:val="left" w:pos="567"/>
        <w:tab w:val="right" w:pos="8504"/>
      </w:tabs>
      <w:spacing w:before="360" w:after="120"/>
      <w:ind w:left="567" w:right="403" w:hanging="567"/>
    </w:pPr>
    <w:rPr>
      <w:rFonts w:asciiTheme="majorHAnsi" w:hAnsiTheme="majorHAnsi"/>
      <w:noProof/>
      <w:color w:val="2FB6BC" w:themeColor="accent1"/>
      <w:sz w:val="24"/>
      <w:szCs w:val="32"/>
    </w:rPr>
  </w:style>
  <w:style w:type="paragraph" w:styleId="TOC2">
    <w:name w:val="toc 2"/>
    <w:aliases w:val="~SubHeadings"/>
    <w:basedOn w:val="TOC1"/>
    <w:next w:val="Normal"/>
    <w:uiPriority w:val="39"/>
    <w:rsid w:val="003075F9"/>
    <w:pPr>
      <w:tabs>
        <w:tab w:val="clear" w:pos="567"/>
        <w:tab w:val="left" w:pos="1219"/>
      </w:tabs>
      <w:spacing w:before="0" w:after="60"/>
      <w:ind w:left="1219" w:hanging="652"/>
    </w:pPr>
    <w:rPr>
      <w:color w:val="auto"/>
      <w:sz w:val="20"/>
      <w:szCs w:val="20"/>
    </w:rPr>
  </w:style>
  <w:style w:type="paragraph" w:styleId="TOC3">
    <w:name w:val="toc 3"/>
    <w:aliases w:val="~MinorSubheadings"/>
    <w:basedOn w:val="TOC2"/>
    <w:next w:val="Normal"/>
    <w:autoRedefine/>
    <w:uiPriority w:val="39"/>
    <w:rsid w:val="003075F9"/>
    <w:pPr>
      <w:tabs>
        <w:tab w:val="clear" w:pos="1219"/>
        <w:tab w:val="left" w:pos="2155"/>
      </w:tabs>
      <w:ind w:left="2155" w:hanging="936"/>
    </w:pPr>
  </w:style>
  <w:style w:type="paragraph" w:styleId="TOC4">
    <w:name w:val="toc 4"/>
    <w:aliases w:val="~FourthHeadLevel"/>
    <w:basedOn w:val="TOC3"/>
    <w:next w:val="Normal"/>
    <w:uiPriority w:val="39"/>
    <w:rsid w:val="003075F9"/>
    <w:pPr>
      <w:tabs>
        <w:tab w:val="clear" w:pos="2155"/>
        <w:tab w:val="left" w:pos="3402"/>
      </w:tabs>
      <w:ind w:left="3402" w:hanging="1247"/>
    </w:pPr>
  </w:style>
  <w:style w:type="paragraph" w:styleId="TOC5">
    <w:name w:val="toc 5"/>
    <w:aliases w:val="~ExecSumHeading"/>
    <w:basedOn w:val="TOC1"/>
    <w:next w:val="Normal"/>
    <w:uiPriority w:val="39"/>
    <w:rsid w:val="003075F9"/>
    <w:pPr>
      <w:spacing w:before="0"/>
    </w:pPr>
  </w:style>
  <w:style w:type="paragraph" w:styleId="TOC6">
    <w:name w:val="toc 6"/>
    <w:aliases w:val="~AppDivider"/>
    <w:basedOn w:val="TOC1"/>
    <w:next w:val="Normal"/>
    <w:uiPriority w:val="39"/>
    <w:rsid w:val="003075F9"/>
  </w:style>
  <w:style w:type="paragraph" w:styleId="TOC7">
    <w:name w:val="toc 7"/>
    <w:aliases w:val="~AppHeadings"/>
    <w:basedOn w:val="TOC1"/>
    <w:next w:val="Normal"/>
    <w:uiPriority w:val="39"/>
    <w:rsid w:val="003075F9"/>
  </w:style>
  <w:style w:type="paragraph" w:styleId="TOC8">
    <w:name w:val="toc 8"/>
    <w:aliases w:val="~AppSubHeadings"/>
    <w:basedOn w:val="TOC2"/>
    <w:next w:val="Normal"/>
    <w:uiPriority w:val="39"/>
    <w:rsid w:val="003075F9"/>
  </w:style>
  <w:style w:type="paragraph" w:styleId="TOC9">
    <w:name w:val="toc 9"/>
    <w:aliases w:val="~AppMinorSubHeadings,~AppDividerPg"/>
    <w:basedOn w:val="Normal"/>
    <w:next w:val="Normal"/>
    <w:uiPriority w:val="39"/>
    <w:unhideWhenUsed/>
    <w:rsid w:val="003075F9"/>
    <w:pPr>
      <w:tabs>
        <w:tab w:val="left" w:pos="567"/>
        <w:tab w:val="right" w:pos="8504"/>
      </w:tabs>
      <w:spacing w:before="0" w:after="60" w:line="240" w:lineRule="auto"/>
      <w:ind w:left="567" w:right="284" w:hanging="567"/>
    </w:pPr>
    <w:rPr>
      <w:rFonts w:ascii="Arial" w:hAnsi="Arial"/>
    </w:rPr>
  </w:style>
  <w:style w:type="paragraph" w:styleId="TOCHeading">
    <w:name w:val="TOC Heading"/>
    <w:basedOn w:val="Heading1"/>
    <w:next w:val="Normal"/>
    <w:uiPriority w:val="38"/>
    <w:semiHidden/>
    <w:rsid w:val="003075F9"/>
    <w:pPr>
      <w:keepLines/>
      <w:tabs>
        <w:tab w:val="clear" w:pos="567"/>
      </w:tabs>
      <w:spacing w:before="480" w:after="0"/>
      <w:jc w:val="both"/>
      <w:outlineLvl w:val="9"/>
    </w:pPr>
    <w:rPr>
      <w:rFonts w:eastAsiaTheme="majorEastAsia" w:cstheme="majorBidi"/>
      <w:sz w:val="28"/>
      <w:szCs w:val="28"/>
    </w:rPr>
  </w:style>
  <w:style w:type="character" w:customStyle="1" w:styleId="Hashtag1">
    <w:name w:val="Hashtag1"/>
    <w:basedOn w:val="DefaultParagraphFont"/>
    <w:uiPriority w:val="99"/>
    <w:semiHidden/>
    <w:unhideWhenUsed/>
    <w:rsid w:val="006E7AB6"/>
    <w:rPr>
      <w:color w:val="2B579A"/>
      <w:shd w:val="clear" w:color="auto" w:fill="E6E6E6"/>
      <w:lang w:val="en-GB"/>
    </w:rPr>
  </w:style>
  <w:style w:type="character" w:customStyle="1" w:styleId="Mention1">
    <w:name w:val="Mention1"/>
    <w:basedOn w:val="DefaultParagraphFont"/>
    <w:uiPriority w:val="99"/>
    <w:unhideWhenUsed/>
    <w:rsid w:val="006E7AB6"/>
    <w:rPr>
      <w:color w:val="2B579A"/>
      <w:shd w:val="clear" w:color="auto" w:fill="E6E6E6"/>
      <w:lang w:val="en-GB"/>
    </w:rPr>
  </w:style>
  <w:style w:type="character" w:customStyle="1" w:styleId="SmartHyperlink1">
    <w:name w:val="Smart Hyperlink1"/>
    <w:basedOn w:val="DefaultParagraphFont"/>
    <w:uiPriority w:val="99"/>
    <w:semiHidden/>
    <w:unhideWhenUsed/>
    <w:rsid w:val="006E7AB6"/>
    <w:rPr>
      <w:u w:val="dotted"/>
      <w:lang w:val="en-GB"/>
    </w:rPr>
  </w:style>
  <w:style w:type="paragraph" w:customStyle="1" w:styleId="HeaderRight">
    <w:name w:val="Header Right"/>
    <w:basedOn w:val="Header"/>
    <w:uiPriority w:val="39"/>
    <w:semiHidden/>
    <w:qFormat/>
    <w:rsid w:val="00ED39CC"/>
    <w:pPr>
      <w:jc w:val="right"/>
    </w:pPr>
  </w:style>
  <w:style w:type="character" w:customStyle="1" w:styleId="UnresolvedMention1">
    <w:name w:val="Unresolved Mention1"/>
    <w:basedOn w:val="DefaultParagraphFont"/>
    <w:uiPriority w:val="99"/>
    <w:unhideWhenUsed/>
    <w:rsid w:val="0036756A"/>
    <w:rPr>
      <w:color w:val="605E5C"/>
      <w:shd w:val="clear" w:color="auto" w:fill="E1DFDD"/>
      <w:lang w:val="en-GB"/>
    </w:rPr>
  </w:style>
  <w:style w:type="paragraph" w:customStyle="1" w:styleId="Confidentia">
    <w:name w:val="~Confidentia"/>
    <w:basedOn w:val="RefConfidential"/>
    <w:semiHidden/>
    <w:rsid w:val="002916DA"/>
    <w:pPr>
      <w:framePr w:hSpace="181" w:wrap="around" w:vAnchor="page" w:hAnchor="page" w:x="3743" w:y="10094"/>
    </w:pPr>
  </w:style>
  <w:style w:type="paragraph" w:customStyle="1" w:styleId="SmallSpacer">
    <w:name w:val="Small Spacer"/>
    <w:basedOn w:val="Footer"/>
    <w:uiPriority w:val="39"/>
    <w:semiHidden/>
    <w:qFormat/>
    <w:rsid w:val="001513FD"/>
    <w:pPr>
      <w:spacing w:line="14" w:lineRule="exact"/>
    </w:pPr>
  </w:style>
  <w:style w:type="paragraph" w:customStyle="1" w:styleId="TableNumBullet1">
    <w:name w:val="~TableNumBullet1"/>
    <w:basedOn w:val="TableTextLeft"/>
    <w:uiPriority w:val="8"/>
    <w:qFormat/>
    <w:rsid w:val="002D3C8D"/>
    <w:pPr>
      <w:numPr>
        <w:numId w:val="30"/>
      </w:numPr>
    </w:pPr>
  </w:style>
  <w:style w:type="paragraph" w:customStyle="1" w:styleId="TableNumBullet2">
    <w:name w:val="~TableNumBullet2"/>
    <w:basedOn w:val="TableTextLeft"/>
    <w:uiPriority w:val="8"/>
    <w:qFormat/>
    <w:rsid w:val="002D3C8D"/>
    <w:pPr>
      <w:numPr>
        <w:ilvl w:val="1"/>
        <w:numId w:val="30"/>
      </w:numPr>
    </w:pPr>
  </w:style>
  <w:style w:type="paragraph" w:customStyle="1" w:styleId="TableNumBullet3">
    <w:name w:val="~TableNumBullet3"/>
    <w:basedOn w:val="TableTextLeft"/>
    <w:uiPriority w:val="8"/>
    <w:qFormat/>
    <w:rsid w:val="002D3C8D"/>
    <w:pPr>
      <w:numPr>
        <w:ilvl w:val="2"/>
        <w:numId w:val="30"/>
      </w:numPr>
    </w:pPr>
  </w:style>
  <w:style w:type="paragraph" w:customStyle="1" w:styleId="Security">
    <w:name w:val="Security"/>
    <w:basedOn w:val="Normal"/>
    <w:uiPriority w:val="19"/>
    <w:semiHidden/>
    <w:qFormat/>
    <w:rsid w:val="009A1EE7"/>
    <w:pPr>
      <w:keepNext/>
      <w:spacing w:before="40" w:after="40" w:line="240" w:lineRule="auto"/>
    </w:pPr>
    <w:rPr>
      <w:b/>
      <w:color w:val="2FB6BC" w:themeColor="accent1"/>
      <w:sz w:val="18"/>
    </w:rPr>
  </w:style>
  <w:style w:type="character" w:customStyle="1" w:styleId="Bullet1Char">
    <w:name w:val="~Bullet1 Char"/>
    <w:link w:val="Bullet1"/>
    <w:locked/>
    <w:rsid w:val="00365D8E"/>
    <w:rPr>
      <w:rFonts w:eastAsia="Calibri"/>
    </w:rPr>
  </w:style>
  <w:style w:type="paragraph" w:customStyle="1" w:styleId="Quote1">
    <w:name w:val="Quote1"/>
    <w:basedOn w:val="Normal"/>
    <w:next w:val="QuoteSource"/>
    <w:uiPriority w:val="6"/>
    <w:qFormat/>
    <w:rsid w:val="001667AF"/>
    <w:pPr>
      <w:keepNext/>
      <w:keepLines/>
      <w:spacing w:before="240" w:after="0"/>
      <w:ind w:right="2835"/>
    </w:pPr>
    <w:rPr>
      <w:b/>
      <w:bCs/>
      <w:color w:val="009695" w:themeColor="accent2"/>
      <w:sz w:val="28"/>
      <w:szCs w:val="28"/>
    </w:rPr>
  </w:style>
  <w:style w:type="paragraph" w:customStyle="1" w:styleId="Quote0">
    <w:name w:val="Quote0"/>
    <w:basedOn w:val="Normal"/>
    <w:next w:val="Normal"/>
    <w:uiPriority w:val="39"/>
    <w:semiHidden/>
    <w:qFormat/>
    <w:rsid w:val="001667AF"/>
    <w:pPr>
      <w:spacing w:before="200"/>
      <w:ind w:left="864" w:right="864"/>
      <w:jc w:val="center"/>
    </w:pPr>
    <w:rPr>
      <w:i/>
      <w:iCs/>
      <w:color w:val="404040" w:themeColor="text1" w:themeTint="BF"/>
    </w:rPr>
  </w:style>
  <w:style w:type="character" w:customStyle="1" w:styleId="QuoteChar1">
    <w:name w:val="Quote Char1"/>
    <w:basedOn w:val="DefaultParagraphFont"/>
    <w:uiPriority w:val="39"/>
    <w:rsid w:val="001667AF"/>
    <w:rPr>
      <w:rFonts w:eastAsiaTheme="minorEastAsia"/>
      <w:i/>
      <w:iCs/>
      <w:color w:val="404040" w:themeColor="text1" w:themeTint="BF"/>
    </w:rPr>
  </w:style>
  <w:style w:type="paragraph" w:styleId="Revision">
    <w:name w:val="Revision"/>
    <w:hidden/>
    <w:uiPriority w:val="99"/>
    <w:semiHidden/>
    <w:rsid w:val="00493C5D"/>
    <w:pPr>
      <w:spacing w:after="0" w:line="240" w:lineRule="auto"/>
    </w:pPr>
    <w:rPr>
      <w:rFonts w:eastAsiaTheme="minorEastAsia"/>
    </w:rPr>
  </w:style>
  <w:style w:type="table" w:customStyle="1" w:styleId="MMTable1">
    <w:name w:val="~MMTable1"/>
    <w:basedOn w:val="TableNormal"/>
    <w:uiPriority w:val="99"/>
    <w:rsid w:val="00493C5D"/>
    <w:pPr>
      <w:spacing w:before="40" w:after="40" w:line="240" w:lineRule="auto"/>
    </w:pPr>
    <w:rPr>
      <w:rFonts w:ascii="Arial" w:eastAsia="SimSun" w:hAnsi="Arial"/>
      <w:sz w:val="16"/>
      <w:szCs w:val="16"/>
    </w:rPr>
    <w:tblPr>
      <w:tblStyleRowBandSize w:val="1"/>
      <w:tblBorders>
        <w:top w:val="single" w:sz="8" w:space="0" w:color="auto"/>
        <w:bottom w:val="single" w:sz="8" w:space="0" w:color="auto"/>
        <w:insideH w:val="single" w:sz="2" w:space="0" w:color="2FB6BC"/>
      </w:tblBorders>
    </w:tblPr>
    <w:tblStylePr w:type="firstRow">
      <w:tblPr/>
      <w:trPr>
        <w:cantSplit/>
        <w:tblHeader/>
      </w:trPr>
      <w:tcPr>
        <w:tcBorders>
          <w:top w:val="nil"/>
          <w:left w:val="nil"/>
          <w:bottom w:val="single" w:sz="8" w:space="0" w:color="auto"/>
          <w:right w:val="nil"/>
          <w:insideH w:val="single" w:sz="4" w:space="0" w:color="auto"/>
          <w:insideV w:val="nil"/>
          <w:tl2br w:val="nil"/>
          <w:tr2bl w:val="nil"/>
        </w:tcBorders>
      </w:tcPr>
    </w:tblStylePr>
    <w:tblStylePr w:type="band1Horz">
      <w:tblPr/>
      <w:tcPr>
        <w:shd w:val="clear" w:color="auto" w:fill="DDDDDC"/>
      </w:tcPr>
    </w:tblStylePr>
  </w:style>
  <w:style w:type="paragraph" w:customStyle="1" w:styleId="AppBodyTextNum1">
    <w:name w:val="~AppBodyTextNum1"/>
    <w:basedOn w:val="Normal"/>
    <w:uiPriority w:val="1"/>
    <w:qFormat/>
    <w:rsid w:val="00F524A8"/>
    <w:pPr>
      <w:tabs>
        <w:tab w:val="num" w:pos="0"/>
      </w:tabs>
      <w:ind w:hanging="1134"/>
    </w:pPr>
  </w:style>
  <w:style w:type="paragraph" w:customStyle="1" w:styleId="AppBodyTextNum2">
    <w:name w:val="~AppBodyTextNum2"/>
    <w:basedOn w:val="Normal"/>
    <w:uiPriority w:val="1"/>
    <w:qFormat/>
    <w:rsid w:val="00F524A8"/>
    <w:pPr>
      <w:tabs>
        <w:tab w:val="num" w:pos="0"/>
      </w:tabs>
      <w:ind w:hanging="1134"/>
    </w:pPr>
  </w:style>
  <w:style w:type="paragraph" w:styleId="Quote">
    <w:name w:val="Quote"/>
    <w:basedOn w:val="Normal"/>
    <w:next w:val="Normal"/>
    <w:link w:val="QuoteChar"/>
    <w:uiPriority w:val="39"/>
    <w:qFormat/>
    <w:rsid w:val="004508EB"/>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39"/>
    <w:rsid w:val="004508EB"/>
    <w:rPr>
      <w:rFonts w:eastAsiaTheme="minorEastAsia"/>
      <w:i/>
      <w:iCs/>
      <w:color w:val="404040" w:themeColor="text1" w:themeTint="BF"/>
    </w:rPr>
  </w:style>
  <w:style w:type="character" w:customStyle="1" w:styleId="SmartLink1">
    <w:name w:val="SmartLink1"/>
    <w:basedOn w:val="DefaultParagraphFont"/>
    <w:uiPriority w:val="99"/>
    <w:semiHidden/>
    <w:unhideWhenUsed/>
    <w:rsid w:val="004508EB"/>
    <w:rPr>
      <w:color w:val="009695" w:themeColor="hyperlink"/>
      <w:u w:val="single"/>
      <w:shd w:val="clear" w:color="auto" w:fill="E1DFDD"/>
    </w:rPr>
  </w:style>
  <w:style w:type="character" w:customStyle="1" w:styleId="SmartLinkError1">
    <w:name w:val="SmartLinkError1"/>
    <w:basedOn w:val="DefaultParagraphFont"/>
    <w:uiPriority w:val="99"/>
    <w:semiHidden/>
    <w:unhideWhenUsed/>
    <w:rsid w:val="002C314A"/>
    <w:rPr>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037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yperlink" Target="http://www.countryside-tangmere.co.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3.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image" Target="media/image2.png"/><Relationship Id="rId28"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rcplondon.ac.uk/projects/outputs/every-breath-we-take-lifelong-impact-air-pollution" TargetMode="External"/><Relationship Id="rId13" Type="http://schemas.openxmlformats.org/officeDocument/2006/relationships/hyperlink" Target="https://england.shelter.org.uk/__data/assets/pdf_file/0010/726166/People_living_in_bad_housing.pdf" TargetMode="External"/><Relationship Id="rId18" Type="http://schemas.openxmlformats.org/officeDocument/2006/relationships/hyperlink" Target="https://www.kingsfund.org.uk/projects/improving-publics-health/access-green-and-open-spaces-and-role-leisure-services" TargetMode="External"/><Relationship Id="rId26" Type="http://schemas.openxmlformats.org/officeDocument/2006/relationships/hyperlink" Target="https://www.ey.com/Publication/vwLUAssets/Employment_landscape_for_young_people_in_the_UK/$FILE/Employment%20landscape%20for%20young%20people%20in%20the%20UK%20-%20final%20report.pdf" TargetMode="External"/><Relationship Id="rId3" Type="http://schemas.openxmlformats.org/officeDocument/2006/relationships/hyperlink" Target="https://assets.publishing.service.gov.uk/government/uploads/system/uploads/attachment_data/file/721642/GEO-LGBT-factsheet.pdf" TargetMode="External"/><Relationship Id="rId21" Type="http://schemas.openxmlformats.org/officeDocument/2006/relationships/hyperlink" Target="http://www.who.int/dietphysicalactivity/factsheet_olderadults/en/" TargetMode="External"/><Relationship Id="rId7" Type="http://schemas.openxmlformats.org/officeDocument/2006/relationships/hyperlink" Target="https://www.bhf.org.uk/about-us/our-policies/preventing-heart-disease/air-pollution" TargetMode="External"/><Relationship Id="rId12" Type="http://schemas.openxmlformats.org/officeDocument/2006/relationships/hyperlink" Target="https://www.jrf.org.uk/report/housing-options-and-solutions-young-people-2020" TargetMode="External"/><Relationship Id="rId17" Type="http://schemas.openxmlformats.org/officeDocument/2006/relationships/hyperlink" Target="http://www.openspace.eca.ed.ac.uk/wp-content/uploads/2015/10/Health-Well-being-and-Open-Space-literature-review.pdf" TargetMode="External"/><Relationship Id="rId25" Type="http://schemas.openxmlformats.org/officeDocument/2006/relationships/hyperlink" Target="http://content.tfl.gov.uk/barriers-to-cycling-for-ethnic-minorities-and-deprived-groups-summary.pdf" TargetMode="External"/><Relationship Id="rId2" Type="http://schemas.openxmlformats.org/officeDocument/2006/relationships/hyperlink" Target="https://www.chichester.gov.uk/CHttpHandler.ashx?id=24759&amp;p=0" TargetMode="External"/><Relationship Id="rId16" Type="http://schemas.openxmlformats.org/officeDocument/2006/relationships/hyperlink" Target="https://www.kingsfund.org.uk/sites/default/files/field/field_publication_file/Gardens_and_health.pdf" TargetMode="External"/><Relationship Id="rId20" Type="http://schemas.openxmlformats.org/officeDocument/2006/relationships/hyperlink" Target="http://www.who.int/dietphysicalactivity/factsheet_olderadults/en/" TargetMode="External"/><Relationship Id="rId29" Type="http://schemas.openxmlformats.org/officeDocument/2006/relationships/hyperlink" Target="https://www.scope.org.uk/press-releases/nearly-half-of-disabled-people-chronically-lonely" TargetMode="External"/><Relationship Id="rId1" Type="http://schemas.openxmlformats.org/officeDocument/2006/relationships/hyperlink" Target="https://www.chichester.gov.uk/CHttpHandler.ashx?id=24759&amp;p=0" TargetMode="External"/><Relationship Id="rId6" Type="http://schemas.openxmlformats.org/officeDocument/2006/relationships/hyperlink" Target="https://www.asthma.org.uk/advice/triggers/pollution/" TargetMode="External"/><Relationship Id="rId11" Type="http://schemas.openxmlformats.org/officeDocument/2006/relationships/hyperlink" Target="https://www.ey.com/Publication/vwLUAssets/Employment_landscape_for_young_people_in_the_UK/$FILE/Employment%20landscape%20for%20young%20people%20in%20the%20UK%20-%20final%20report.pdf" TargetMode="External"/><Relationship Id="rId24" Type="http://schemas.openxmlformats.org/officeDocument/2006/relationships/hyperlink" Target="https://www.bmj.com/content/349/bmj.g4887" TargetMode="External"/><Relationship Id="rId5" Type="http://schemas.openxmlformats.org/officeDocument/2006/relationships/hyperlink" Target="https://www.scope.org.uk/support/parents/challenging-behaviour/reasons" TargetMode="External"/><Relationship Id="rId15" Type="http://schemas.openxmlformats.org/officeDocument/2006/relationships/hyperlink" Target="https://www.globalpartnership.org/benefits-of-education" TargetMode="External"/><Relationship Id="rId23" Type="http://schemas.openxmlformats.org/officeDocument/2006/relationships/hyperlink" Target="https://www.gov.uk/government/publications/health-matters-air-pollution/health-matters-air-pollution" TargetMode="External"/><Relationship Id="rId28" Type="http://schemas.openxmlformats.org/officeDocument/2006/relationships/hyperlink" Target="https://www.ageuk.org.uk/globalassets/age-uk/documents/reports-and-publications/reports-and-briefings/loneliness/loneliness-report_final_2409.pdf" TargetMode="External"/><Relationship Id="rId10" Type="http://schemas.openxmlformats.org/officeDocument/2006/relationships/hyperlink" Target="https://www.sciencedirect.com/science/article/pii/S2214140518303827" TargetMode="External"/><Relationship Id="rId19" Type="http://schemas.openxmlformats.org/officeDocument/2006/relationships/hyperlink" Target="https://www.nhs.uk/live-well/exercise/exercise-as-you-get-older/" TargetMode="External"/><Relationship Id="rId31" Type="http://schemas.openxmlformats.org/officeDocument/2006/relationships/hyperlink" Target="https://www.countryside-tangmere.co.uk/downloads/masterplan-document.pdf" TargetMode="External"/><Relationship Id="rId4" Type="http://schemas.openxmlformats.org/officeDocument/2006/relationships/hyperlink" Target="https://www.ons.gov.uk/peoplepopulationandcommunity/culturalidentity/sexuality/bulletins/sexualidentityuk/2016" TargetMode="External"/><Relationship Id="rId9" Type="http://schemas.openxmlformats.org/officeDocument/2006/relationships/hyperlink" Target="http://www.euro.who.int/__data/assets/pdf_file/0008/136466/e94888.pdf" TargetMode="External"/><Relationship Id="rId14" Type="http://schemas.openxmlformats.org/officeDocument/2006/relationships/hyperlink" Target="https://www.barrowcadbury.org.uk/wp-content/uploads/2018/03/Out-in-the-cold-Scope-report.pdf" TargetMode="External"/><Relationship Id="rId22" Type="http://schemas.openxmlformats.org/officeDocument/2006/relationships/hyperlink" Target="https://assets.publishing.service.gov.uk/government/uploads/system/uploads/attachment_data/file/374914/Framework_13.pdf" TargetMode="External"/><Relationship Id="rId27" Type="http://schemas.openxmlformats.org/officeDocument/2006/relationships/hyperlink" Target="https://mycommunity.org.uk/help-centre/resources/local-services/community-hubs/" TargetMode="External"/><Relationship Id="rId30" Type="http://schemas.openxmlformats.org/officeDocument/2006/relationships/hyperlink" Target="https://www2.merton.gov.uk/Merton%20Story%20FINAL_June_2018.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kh5"/></Relationships>
</file>

<file path=word/_rels/header2.xml.rels><?xml version="1.0" encoding="UTF-8" standalone="yes"?>
<Relationships xmlns="http://schemas.openxmlformats.org/package/2006/relationships"><Relationship Id="rId1" Type="http://schemas.openxmlformats.org/officeDocument/2006/relationships/image" Target="media/image1.kh5"/></Relationships>
</file>

<file path=word/_rels/header3.xml.rels><?xml version="1.0" encoding="UTF-8" standalone="yes"?>
<Relationships xmlns="http://schemas.openxmlformats.org/package/2006/relationships"><Relationship Id="rId1" Type="http://schemas.openxmlformats.org/officeDocument/2006/relationships/image" Target="media/image1.kh5"/></Relationships>
</file>

<file path=word/theme/theme1.xml><?xml version="1.0" encoding="utf-8"?>
<a:theme xmlns:a="http://schemas.openxmlformats.org/drawingml/2006/main" name="Office Theme">
  <a:themeElements>
    <a:clrScheme name="MM Turquoise">
      <a:dk1>
        <a:srgbClr val="000000"/>
      </a:dk1>
      <a:lt1>
        <a:srgbClr val="FFFFFF"/>
      </a:lt1>
      <a:dk2>
        <a:srgbClr val="575756"/>
      </a:dk2>
      <a:lt2>
        <a:srgbClr val="EDEBE6"/>
      </a:lt2>
      <a:accent1>
        <a:srgbClr val="2FB6BC"/>
      </a:accent1>
      <a:accent2>
        <a:srgbClr val="009695"/>
      </a:accent2>
      <a:accent3>
        <a:srgbClr val="2B86C7"/>
      </a:accent3>
      <a:accent4>
        <a:srgbClr val="216B99"/>
      </a:accent4>
      <a:accent5>
        <a:srgbClr val="41AC4C"/>
      </a:accent5>
      <a:accent6>
        <a:srgbClr val="8E3F91"/>
      </a:accent6>
      <a:hlink>
        <a:srgbClr val="009695"/>
      </a:hlink>
      <a:folHlink>
        <a:srgbClr val="2FB6BC"/>
      </a:folHlink>
    </a:clrScheme>
    <a:fontScheme name="MottMacDonald">
      <a:majorFont>
        <a:latin typeface="Arial"/>
        <a:ea typeface="SimSun"/>
        <a:cs typeface="Arial"/>
      </a:majorFont>
      <a:minorFont>
        <a:latin typeface="Arial"/>
        <a:ea typeface="SimSun"/>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0154E43F6C784FA10E8D740A37FC2C" ma:contentTypeVersion="13" ma:contentTypeDescription="Create a new document." ma:contentTypeScope="" ma:versionID="52cdbcecd6b685d648ab60ac3334076d">
  <xsd:schema xmlns:xsd="http://www.w3.org/2001/XMLSchema" xmlns:xs="http://www.w3.org/2001/XMLSchema" xmlns:p="http://schemas.microsoft.com/office/2006/metadata/properties" xmlns:ns3="94cd5a97-bba8-4f3a-9dbc-2558451a3401" xmlns:ns4="8a94a199-a9e5-4a22-ad7d-1cff4f466098" targetNamespace="http://schemas.microsoft.com/office/2006/metadata/properties" ma:root="true" ma:fieldsID="76f15f62ccfad1307f59b2043060a340" ns3:_="" ns4:_="">
    <xsd:import namespace="94cd5a97-bba8-4f3a-9dbc-2558451a3401"/>
    <xsd:import namespace="8a94a199-a9e5-4a22-ad7d-1cff4f46609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d5a97-bba8-4f3a-9dbc-2558451a34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94a199-a9e5-4a22-ad7d-1cff4f46609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CC996-83D1-4F98-9A0B-C36418C5A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d5a97-bba8-4f3a-9dbc-2558451a3401"/>
    <ds:schemaRef ds:uri="8a94a199-a9e5-4a22-ad7d-1cff4f4660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057D11-5753-49EF-977D-672EBA0E57C3}">
  <ds:schemaRefs>
    <ds:schemaRef ds:uri="8a94a199-a9e5-4a22-ad7d-1cff4f466098"/>
    <ds:schemaRef ds:uri="http://purl.org/dc/terms/"/>
    <ds:schemaRef ds:uri="94cd5a97-bba8-4f3a-9dbc-2558451a3401"/>
    <ds:schemaRef ds:uri="http://purl.org/dc/dcmitype/"/>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52D2489-36B6-45F9-89B1-DA0CBDB98012}">
  <ds:schemaRefs>
    <ds:schemaRef ds:uri="http://schemas.microsoft.com/sharepoint/v3/contenttype/forms"/>
  </ds:schemaRefs>
</ds:datastoreItem>
</file>

<file path=customXml/itemProps4.xml><?xml version="1.0" encoding="utf-8"?>
<ds:datastoreItem xmlns:ds="http://schemas.openxmlformats.org/officeDocument/2006/customXml" ds:itemID="{B70539DB-8193-4A31-B34A-BC93193115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12640</Words>
  <Characters>72051</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
    </vt:vector>
  </TitlesOfParts>
  <Company>Chichester District Council</Company>
  <LinksUpToDate>false</LinksUpToDate>
  <CharactersWithSpaces>84522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Kocini, Osman</dc:creator>
  <cp:lastModifiedBy>Hannah Chivers</cp:lastModifiedBy>
  <cp:revision>4</cp:revision>
  <dcterms:created xsi:type="dcterms:W3CDTF">2020-02-07T14:48:00Z</dcterms:created>
  <dcterms:modified xsi:type="dcterms:W3CDTF">2021-03-15T10:07:00Z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0x010100620154E43F6C784FA10E8D740A37FC2C</vt:lpwstr>
  </property>
  <property fmtid="{D5CDD505-2E9C-101B-9397-08002B2CF9AE}" pid="3" name="_dlc_DocIdItemGuid">
    <vt:lpwstr>0f5b6773-93ea-42a4-8b44-b51281a31d56</vt:lpwstr>
  </property>
</Properties>
</file>