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C1A0" w14:textId="77777777" w:rsidR="0005111D" w:rsidRDefault="0005111D">
      <w:pPr>
        <w:pStyle w:val="BodyText"/>
        <w:spacing w:before="2"/>
        <w:rPr>
          <w:rFonts w:ascii="Times New Roman"/>
          <w:sz w:val="19"/>
        </w:rPr>
      </w:pPr>
    </w:p>
    <w:p w14:paraId="6601BDF0" w14:textId="77777777" w:rsidR="0005111D" w:rsidRDefault="00F2780C">
      <w:pPr>
        <w:pStyle w:val="Title"/>
      </w:pPr>
      <w:r>
        <w:t>Regulation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Sussex</w:t>
      </w:r>
    </w:p>
    <w:p w14:paraId="6BE07D79" w14:textId="77777777" w:rsidR="0005111D" w:rsidRDefault="0005111D">
      <w:pPr>
        <w:pStyle w:val="BodyText"/>
        <w:spacing w:before="10"/>
        <w:rPr>
          <w:b/>
          <w:sz w:val="45"/>
        </w:rPr>
      </w:pPr>
    </w:p>
    <w:p w14:paraId="1E3A6A45" w14:textId="5C2ADBEB" w:rsidR="0005111D" w:rsidRDefault="00F2780C">
      <w:pPr>
        <w:pStyle w:val="BodyText"/>
        <w:spacing w:before="1" w:line="276" w:lineRule="auto"/>
        <w:ind w:left="100" w:right="113"/>
      </w:pPr>
      <w:r>
        <w:t>Whereas most Penalty Charge Notices for parking contraventions are affixed to a</w:t>
      </w:r>
      <w:r>
        <w:rPr>
          <w:spacing w:val="-75"/>
        </w:rPr>
        <w:t xml:space="preserve"> </w:t>
      </w:r>
      <w:r>
        <w:t>vehicle or handed to the driver (Regulation 9 PCN), Regulation 10 of The Civil</w:t>
      </w:r>
      <w:r>
        <w:rPr>
          <w:spacing w:val="1"/>
        </w:rPr>
        <w:t xml:space="preserve"> </w:t>
      </w:r>
      <w:r>
        <w:t xml:space="preserve">Enforcement of </w:t>
      </w:r>
      <w:r w:rsidR="00E91ACE">
        <w:t xml:space="preserve">Road Traffic </w:t>
      </w:r>
      <w:r>
        <w:t xml:space="preserve">Contraventions </w:t>
      </w:r>
      <w:r w:rsidR="00E91ACE">
        <w:t xml:space="preserve">(approved Devices, Charging Guidelines and </w:t>
      </w:r>
      <w:r w:rsidR="005F251C">
        <w:t>G</w:t>
      </w:r>
      <w:r w:rsidR="00E91ACE">
        <w:t>eneral Provisions)</w:t>
      </w:r>
      <w:r>
        <w:t xml:space="preserve">(England) </w:t>
      </w:r>
      <w:r w:rsidR="00E91ACE">
        <w:t xml:space="preserve">2022 </w:t>
      </w:r>
      <w:r>
        <w:t>allows a</w:t>
      </w:r>
      <w:r>
        <w:rPr>
          <w:spacing w:val="1"/>
        </w:rPr>
        <w:t xml:space="preserve"> </w:t>
      </w:r>
      <w:r>
        <w:t>PCN to be sent in the post to the registered keeper/owner of a vehicle if the CEO</w:t>
      </w:r>
      <w:r>
        <w:rPr>
          <w:spacing w:val="-75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unable</w:t>
      </w:r>
      <w:r>
        <w:rPr>
          <w:spacing w:val="2"/>
        </w:rPr>
        <w:t xml:space="preserve"> </w:t>
      </w:r>
      <w:r>
        <w:t>to affix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 the vehicle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it 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driver</w:t>
      </w:r>
      <w:r>
        <w:rPr>
          <w:spacing w:val="2"/>
        </w:rPr>
        <w:t xml:space="preserve"> </w:t>
      </w:r>
      <w:r>
        <w:t>at the</w:t>
      </w:r>
      <w:r>
        <w:rPr>
          <w:spacing w:val="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contravention.</w:t>
      </w:r>
    </w:p>
    <w:p w14:paraId="420B8E57" w14:textId="77777777" w:rsidR="0005111D" w:rsidRDefault="00F2780C">
      <w:pPr>
        <w:pStyle w:val="BodyText"/>
        <w:spacing w:before="199" w:line="276" w:lineRule="auto"/>
        <w:ind w:left="100" w:right="225"/>
      </w:pPr>
      <w:r>
        <w:t>West Sussex County Council (WSCC) members approved the use of Regulation</w:t>
      </w:r>
      <w:r>
        <w:rPr>
          <w:spacing w:val="1"/>
        </w:rPr>
        <w:t xml:space="preserve"> </w:t>
      </w:r>
      <w:r>
        <w:t>10 in summer 2017 for on-street parking contraventions and Chichester District</w:t>
      </w:r>
      <w:r>
        <w:rPr>
          <w:spacing w:val="-75"/>
        </w:rPr>
        <w:t xml:space="preserve"> </w:t>
      </w:r>
      <w:r>
        <w:t>Council also sought and obtained approval to issue Regulation 10 PCN’s in car</w:t>
      </w:r>
      <w:r>
        <w:rPr>
          <w:spacing w:val="1"/>
        </w:rPr>
        <w:t xml:space="preserve"> </w:t>
      </w:r>
      <w:r>
        <w:t>parks.</w:t>
      </w:r>
    </w:p>
    <w:p w14:paraId="50607F10" w14:textId="77777777" w:rsidR="0005111D" w:rsidRDefault="00F2780C">
      <w:pPr>
        <w:pStyle w:val="Heading1"/>
        <w:spacing w:before="198"/>
      </w:pPr>
      <w:r>
        <w:t>How</w:t>
      </w:r>
      <w:r>
        <w:rPr>
          <w:spacing w:val="-3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Regulation 10</w:t>
      </w:r>
      <w:r>
        <w:rPr>
          <w:spacing w:val="-2"/>
        </w:rPr>
        <w:t xml:space="preserve"> </w:t>
      </w:r>
      <w:r>
        <w:t>Issued?</w:t>
      </w:r>
    </w:p>
    <w:p w14:paraId="20F77264" w14:textId="77777777" w:rsidR="0005111D" w:rsidRDefault="0005111D">
      <w:pPr>
        <w:pStyle w:val="BodyText"/>
        <w:spacing w:before="11"/>
        <w:rPr>
          <w:b/>
          <w:sz w:val="19"/>
        </w:rPr>
      </w:pPr>
    </w:p>
    <w:p w14:paraId="4FEC172E" w14:textId="77777777" w:rsidR="0005111D" w:rsidRDefault="00F2780C">
      <w:pPr>
        <w:pStyle w:val="BodyText"/>
        <w:spacing w:line="276" w:lineRule="auto"/>
        <w:ind w:left="100" w:right="426"/>
      </w:pPr>
      <w:r>
        <w:t>The Council will obtain the Registered Keepers/Owners details from the Driver</w:t>
      </w:r>
      <w:r>
        <w:rPr>
          <w:spacing w:val="-75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(DVLA)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 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 by</w:t>
      </w:r>
      <w:r>
        <w:rPr>
          <w:spacing w:val="-3"/>
        </w:rPr>
        <w:t xml:space="preserve"> </w:t>
      </w:r>
      <w:r>
        <w:t>post:</w:t>
      </w:r>
    </w:p>
    <w:p w14:paraId="2F422A09" w14:textId="77777777" w:rsidR="0005111D" w:rsidRDefault="00F2780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</w:pPr>
      <w:r>
        <w:t>If the Civil Enforcement Officer (CEO) attempted to serve the PCN by</w:t>
      </w:r>
      <w:r>
        <w:rPr>
          <w:spacing w:val="1"/>
        </w:rPr>
        <w:t xml:space="preserve"> </w:t>
      </w:r>
      <w:r>
        <w:t>affixing it to the vehicle but was prevented from doing so by someone or</w:t>
      </w:r>
      <w:r>
        <w:rPr>
          <w:spacing w:val="-7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PCN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vehicle being</w:t>
      </w:r>
      <w:r>
        <w:rPr>
          <w:spacing w:val="-2"/>
        </w:rPr>
        <w:t xml:space="preserve"> </w:t>
      </w:r>
      <w:r>
        <w:t>driven</w:t>
      </w:r>
      <w:r>
        <w:rPr>
          <w:spacing w:val="-1"/>
        </w:rPr>
        <w:t xml:space="preserve"> </w:t>
      </w:r>
      <w:r>
        <w:t>away.</w:t>
      </w:r>
    </w:p>
    <w:p w14:paraId="18536B72" w14:textId="77777777" w:rsidR="0005111D" w:rsidRDefault="0005111D">
      <w:pPr>
        <w:pStyle w:val="BodyText"/>
        <w:rPr>
          <w:sz w:val="26"/>
        </w:rPr>
      </w:pPr>
    </w:p>
    <w:p w14:paraId="534DB587" w14:textId="77777777" w:rsidR="0005111D" w:rsidRDefault="00F2780C">
      <w:pPr>
        <w:pStyle w:val="Heading1"/>
      </w:pPr>
      <w:r>
        <w:t>Why</w:t>
      </w:r>
      <w:r>
        <w:rPr>
          <w:spacing w:val="-5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10?</w:t>
      </w:r>
    </w:p>
    <w:p w14:paraId="6739CFF6" w14:textId="77777777" w:rsidR="0005111D" w:rsidRDefault="0005111D">
      <w:pPr>
        <w:pStyle w:val="BodyText"/>
        <w:spacing w:before="7"/>
        <w:rPr>
          <w:b/>
          <w:sz w:val="28"/>
        </w:rPr>
      </w:pPr>
    </w:p>
    <w:p w14:paraId="2FEBFAFE" w14:textId="77777777" w:rsidR="0005111D" w:rsidRDefault="00F2780C">
      <w:pPr>
        <w:pStyle w:val="BodyText"/>
        <w:spacing w:line="276" w:lineRule="auto"/>
        <w:ind w:left="100" w:right="200"/>
      </w:pPr>
      <w:r>
        <w:t>Before the introduction of Regulation 10 to West Sussex, motorists who</w:t>
      </w:r>
      <w:r>
        <w:rPr>
          <w:spacing w:val="1"/>
        </w:rPr>
        <w:t xml:space="preserve"> </w:t>
      </w:r>
      <w:r>
        <w:t>prevented a PCN being served by driving away or those who were threatening</w:t>
      </w:r>
      <w:r>
        <w:rPr>
          <w:spacing w:val="1"/>
        </w:rPr>
        <w:t xml:space="preserve"> </w:t>
      </w:r>
      <w:r>
        <w:t>towards CEOs were avoiding any penalty. Regulation 10 PCN’s which are sent in</w:t>
      </w:r>
      <w:r>
        <w:rPr>
          <w:spacing w:val="-75"/>
        </w:rPr>
        <w:t xml:space="preserve"> </w:t>
      </w:r>
      <w:r>
        <w:t>the post will demonstrate that anyone committing a parking contravention is</w:t>
      </w:r>
      <w:r>
        <w:rPr>
          <w:spacing w:val="1"/>
        </w:rPr>
        <w:t xml:space="preserve"> </w:t>
      </w:r>
      <w:r>
        <w:t>subject to the same enforcement and this should promote increased compliance</w:t>
      </w:r>
      <w:r>
        <w:rPr>
          <w:spacing w:val="-75"/>
        </w:rPr>
        <w:t xml:space="preserve"> </w:t>
      </w:r>
      <w:r>
        <w:t>with regulations.</w:t>
      </w:r>
    </w:p>
    <w:p w14:paraId="0B08A7F6" w14:textId="77777777" w:rsidR="0005111D" w:rsidRDefault="0005111D">
      <w:pPr>
        <w:pStyle w:val="BodyText"/>
        <w:spacing w:before="4"/>
        <w:rPr>
          <w:sz w:val="25"/>
        </w:rPr>
      </w:pPr>
    </w:p>
    <w:p w14:paraId="662038FE" w14:textId="40559653" w:rsidR="0005111D" w:rsidRDefault="00F2780C">
      <w:pPr>
        <w:pStyle w:val="BodyText"/>
        <w:spacing w:line="276" w:lineRule="auto"/>
        <w:ind w:left="100" w:right="237"/>
      </w:pPr>
      <w:r>
        <w:t>It is considered that the adoption of the power to issue Regulation 10 PCNs will</w:t>
      </w:r>
      <w:r>
        <w:rPr>
          <w:spacing w:val="-75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evaded</w:t>
      </w:r>
      <w:r>
        <w:rPr>
          <w:spacing w:val="-2"/>
        </w:rPr>
        <w:t xml:space="preserve"> </w:t>
      </w:r>
      <w:r>
        <w:t>PCNs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</w:p>
    <w:p w14:paraId="7D37640D" w14:textId="2E74BBEE" w:rsidR="0005111D" w:rsidRPr="00F2780C" w:rsidRDefault="00F2780C" w:rsidP="00F2780C">
      <w:pPr>
        <w:pStyle w:val="BodyText"/>
        <w:spacing w:line="276" w:lineRule="auto"/>
        <w:ind w:left="100" w:right="143"/>
      </w:pPr>
      <w:r>
        <w:t>parking regulations. This will contribute to improved road safety, reduced public</w:t>
      </w:r>
      <w:r>
        <w:rPr>
          <w:spacing w:val="-75"/>
        </w:rPr>
        <w:t xml:space="preserve"> </w:t>
      </w:r>
      <w:r>
        <w:t>transport journey times and less congestion. Introducing Regulation 10 supports</w:t>
      </w:r>
      <w:r>
        <w:rPr>
          <w:spacing w:val="-75"/>
        </w:rPr>
        <w:t xml:space="preserve"> </w:t>
      </w:r>
      <w:r>
        <w:t>fair and reasonable parking enforcement operation for law abiding motorists and</w:t>
      </w:r>
      <w:r>
        <w:rPr>
          <w:spacing w:val="-75"/>
        </w:rPr>
        <w:t xml:space="preserve"> </w:t>
      </w:r>
      <w:r>
        <w:t>the taxpayer.</w:t>
      </w:r>
      <w:r>
        <w:rPr>
          <w:spacing w:val="1"/>
        </w:rPr>
        <w:t xml:space="preserve"> </w:t>
      </w:r>
      <w:r>
        <w:t>This will also support CEOs, particularly in cases when the PCN</w:t>
      </w:r>
      <w:r>
        <w:rPr>
          <w:spacing w:val="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affixed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is abusive.</w:t>
      </w:r>
    </w:p>
    <w:p w14:paraId="5106499F" w14:textId="77777777" w:rsidR="00F2780C" w:rsidRDefault="00F2780C" w:rsidP="00F2780C">
      <w:pPr>
        <w:pStyle w:val="BodyText"/>
        <w:spacing w:after="1560"/>
        <w:ind w:left="102"/>
        <w:rPr>
          <w:rFonts w:ascii="Calibri"/>
        </w:rPr>
      </w:pPr>
    </w:p>
    <w:p w14:paraId="79433F2F" w14:textId="77777777" w:rsidR="0005111D" w:rsidRDefault="00F2780C">
      <w:pPr>
        <w:pStyle w:val="BodyText"/>
        <w:ind w:left="100"/>
        <w:rPr>
          <w:rFonts w:ascii="Calibri"/>
        </w:rPr>
      </w:pPr>
      <w:r>
        <w:rPr>
          <w:rFonts w:ascii="Calibri"/>
        </w:rPr>
        <w:t>Regulation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10 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Chichester</w:t>
      </w:r>
    </w:p>
    <w:sectPr w:rsidR="0005111D">
      <w:type w:val="continuous"/>
      <w:pgSz w:w="11910" w:h="16840"/>
      <w:pgMar w:top="15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D65DA"/>
    <w:multiLevelType w:val="hybridMultilevel"/>
    <w:tmpl w:val="3072DD06"/>
    <w:lvl w:ilvl="0" w:tplc="C5AC029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604542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8B62CF52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2F2E56C2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4" w:tplc="ECC610E8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5" w:tplc="F356D5D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7352A2DC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7" w:tplc="4852E164">
      <w:numFmt w:val="bullet"/>
      <w:lvlText w:val="•"/>
      <w:lvlJc w:val="left"/>
      <w:pPr>
        <w:ind w:left="6689" w:hanging="361"/>
      </w:pPr>
      <w:rPr>
        <w:rFonts w:hint="default"/>
        <w:lang w:val="en-US" w:eastAsia="en-US" w:bidi="ar-SA"/>
      </w:rPr>
    </w:lvl>
    <w:lvl w:ilvl="8" w:tplc="3C5E2FC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D"/>
    <w:rsid w:val="0005111D"/>
    <w:rsid w:val="000C31CA"/>
    <w:rsid w:val="005F251C"/>
    <w:rsid w:val="00633D7C"/>
    <w:rsid w:val="00E91ACE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7792"/>
  <w15:docId w15:val="{4B3AEE63-90F7-44ED-A5DB-2A17093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89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265" w:right="22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9"/>
      <w:ind w:left="820" w:right="2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10 in West Sussex</vt:lpstr>
    </vt:vector>
  </TitlesOfParts>
  <Company>Chichester District Council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10 in West Sussex</dc:title>
  <dc:creator>Barry Knight</dc:creator>
  <cp:lastModifiedBy>Caroline Jardine</cp:lastModifiedBy>
  <cp:revision>4</cp:revision>
  <dcterms:created xsi:type="dcterms:W3CDTF">2022-09-23T16:30:00Z</dcterms:created>
  <dcterms:modified xsi:type="dcterms:W3CDTF">2022-09-23T16:34:00Z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2021-06-30T00:00:00Z</vt:filetime>
  </property>
</Properties>
</file>