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5.xml" ContentType="application/vnd.openxmlformats-officedocument.wordprocessingml.footer+xml"/>
  <Override PartName="/word/header10.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8664C77" w14:textId="77777777" w:rsidR="002546A6" w:rsidRPr="008D43EA" w:rsidRDefault="00403C87" w:rsidP="009C4A27">
      <w:r w:rsidRPr="00AF16C0">
        <w:rPr>
          <w:noProof/>
        </w:rPr>
        <w:drawing>
          <wp:anchor distT="0" distB="0" distL="114300" distR="114300" simplePos="0" relativeHeight="251661312" behindDoc="1" locked="0" layoutInCell="1" allowOverlap="1" wp14:anchorId="7A6F6251" wp14:editId="46D32D01">
            <wp:simplePos x="0" y="0"/>
            <wp:positionH relativeFrom="page">
              <wp:posOffset>2540</wp:posOffset>
            </wp:positionH>
            <wp:positionV relativeFrom="paragraph">
              <wp:posOffset>-1279470</wp:posOffset>
            </wp:positionV>
            <wp:extent cx="7559040" cy="10692384"/>
            <wp:effectExtent l="0" t="0" r="3810" b="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59040" cy="10692384"/>
                    </a:xfrm>
                    <a:prstGeom prst="rect">
                      <a:avLst/>
                    </a:prstGeom>
                  </pic:spPr>
                </pic:pic>
              </a:graphicData>
            </a:graphic>
            <wp14:sizeRelH relativeFrom="page">
              <wp14:pctWidth>0</wp14:pctWidth>
            </wp14:sizeRelH>
            <wp14:sizeRelV relativeFrom="page">
              <wp14:pctHeight>0</wp14:pctHeight>
            </wp14:sizeRelV>
          </wp:anchor>
        </w:drawing>
      </w:r>
      <w:r w:rsidR="00BE7901" w:rsidRPr="00BE7901">
        <w:rPr>
          <w:noProof/>
        </w:rPr>
        <w:drawing>
          <wp:anchor distT="0" distB="0" distL="114300" distR="114300" simplePos="0" relativeHeight="251659264" behindDoc="1" locked="0" layoutInCell="1" allowOverlap="1" wp14:anchorId="2801C9ED" wp14:editId="070416A1">
            <wp:simplePos x="0" y="0"/>
            <wp:positionH relativeFrom="column">
              <wp:posOffset>0</wp:posOffset>
            </wp:positionH>
            <wp:positionV relativeFrom="paragraph">
              <wp:posOffset>0</wp:posOffset>
            </wp:positionV>
            <wp:extent cx="7559675" cy="10688955"/>
            <wp:effectExtent l="0" t="0" r="0" b="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59675" cy="10688955"/>
                    </a:xfrm>
                    <a:prstGeom prst="rect">
                      <a:avLst/>
                    </a:prstGeom>
                  </pic:spPr>
                </pic:pic>
              </a:graphicData>
            </a:graphic>
            <wp14:sizeRelH relativeFrom="margin">
              <wp14:pctWidth>0</wp14:pctWidth>
            </wp14:sizeRelH>
            <wp14:sizeRelV relativeFrom="margin">
              <wp14:pctHeight>0</wp14:pctHeight>
            </wp14:sizeRelV>
          </wp:anchor>
        </w:drawing>
      </w:r>
    </w:p>
    <w:p w14:paraId="279023F5" w14:textId="77777777" w:rsidR="00A25530" w:rsidRDefault="00D33C23" w:rsidP="00403C87">
      <w:pPr>
        <w:pStyle w:val="JBAReportTitle"/>
        <w:rPr>
          <w:sz w:val="48"/>
          <w:szCs w:val="40"/>
        </w:rPr>
      </w:pPr>
      <w:r>
        <w:rPr>
          <w:sz w:val="48"/>
          <w:szCs w:val="40"/>
        </w:rPr>
        <w:t>Water Neutrality Study:</w:t>
      </w:r>
    </w:p>
    <w:p w14:paraId="5FC046B8" w14:textId="77777777" w:rsidR="007F6E03" w:rsidRDefault="00D33C23" w:rsidP="00D33C23">
      <w:pPr>
        <w:pStyle w:val="JBAReportTitle"/>
      </w:pPr>
      <w:r>
        <w:rPr>
          <w:sz w:val="48"/>
          <w:szCs w:val="40"/>
        </w:rPr>
        <w:t xml:space="preserve">Part </w:t>
      </w:r>
      <w:r w:rsidR="000E5166">
        <w:rPr>
          <w:sz w:val="48"/>
          <w:szCs w:val="40"/>
        </w:rPr>
        <w:t>B</w:t>
      </w:r>
      <w:r>
        <w:rPr>
          <w:sz w:val="48"/>
          <w:szCs w:val="40"/>
        </w:rPr>
        <w:t xml:space="preserve"> – </w:t>
      </w:r>
      <w:r w:rsidR="000E5166">
        <w:rPr>
          <w:sz w:val="48"/>
          <w:szCs w:val="40"/>
        </w:rPr>
        <w:t>In-combination</w:t>
      </w:r>
    </w:p>
    <w:p w14:paraId="6E65DD14" w14:textId="77777777" w:rsidR="007F6E03" w:rsidRPr="00696B71" w:rsidRDefault="007F6E03" w:rsidP="00AA67DC">
      <w:pPr>
        <w:pStyle w:val="JBAReportType"/>
      </w:pPr>
    </w:p>
    <w:p w14:paraId="54DF391B" w14:textId="64C30660" w:rsidR="004A7664" w:rsidRDefault="00AE2456" w:rsidP="00AA67DC">
      <w:pPr>
        <w:pStyle w:val="JBAReportType"/>
      </w:pPr>
      <w:r>
        <w:t>Final</w:t>
      </w:r>
      <w:r w:rsidR="00F61468">
        <w:t xml:space="preserve"> Report</w:t>
      </w:r>
    </w:p>
    <w:p w14:paraId="129EAFEE" w14:textId="4B12E7D2" w:rsidR="004A7664" w:rsidRDefault="0043710C" w:rsidP="007F6E03">
      <w:pPr>
        <w:pStyle w:val="JBAReportDate"/>
      </w:pPr>
      <w:r>
        <w:t>April</w:t>
      </w:r>
      <w:r w:rsidR="00AB22F5">
        <w:t xml:space="preserve"> 2022</w:t>
      </w:r>
    </w:p>
    <w:p w14:paraId="6CCFFF3F" w14:textId="77777777" w:rsidR="00AA67DC" w:rsidRDefault="00E6462B" w:rsidP="007B1BC5">
      <w:pPr>
        <w:pStyle w:val="JBAReportDate"/>
      </w:pPr>
      <w:hyperlink r:id="rId10" w:history="1">
        <w:r w:rsidR="00A25530" w:rsidRPr="00A90593">
          <w:rPr>
            <w:rStyle w:val="Hyperlink"/>
          </w:rPr>
          <w:t>www.jbaconsulting.com</w:t>
        </w:r>
      </w:hyperlink>
    </w:p>
    <w:p w14:paraId="0280002A" w14:textId="77777777" w:rsidR="00AA67DC" w:rsidRDefault="00AA67DC" w:rsidP="0099330C">
      <w:pPr>
        <w:pStyle w:val="JBAContentsheading"/>
      </w:pPr>
    </w:p>
    <w:p w14:paraId="0392EA82" w14:textId="77777777" w:rsidR="00AA67DC" w:rsidRDefault="00AA67DC" w:rsidP="00BE7901"/>
    <w:p w14:paraId="363B26E4" w14:textId="77777777" w:rsidR="005D7F97" w:rsidRDefault="005D7F97" w:rsidP="00F61468">
      <w:pPr>
        <w:pStyle w:val="JBAClientDetails"/>
      </w:pPr>
    </w:p>
    <w:p w14:paraId="164FC300" w14:textId="77777777" w:rsidR="005D7F97" w:rsidRDefault="005D7F97" w:rsidP="00F61468">
      <w:pPr>
        <w:pStyle w:val="JBAClientDetails"/>
      </w:pPr>
    </w:p>
    <w:p w14:paraId="0CF89AD0" w14:textId="77777777" w:rsidR="005D7F97" w:rsidRDefault="005D7F97" w:rsidP="00F61468">
      <w:pPr>
        <w:pStyle w:val="JBAClientDetails"/>
      </w:pPr>
    </w:p>
    <w:p w14:paraId="3857DFCD" w14:textId="77777777" w:rsidR="005D7F97" w:rsidRDefault="005D7F97" w:rsidP="00F61468">
      <w:pPr>
        <w:pStyle w:val="JBAClientDetails"/>
      </w:pPr>
    </w:p>
    <w:p w14:paraId="1E3184D4" w14:textId="77777777" w:rsidR="005D7F97" w:rsidRDefault="005D7F97" w:rsidP="00F61468">
      <w:pPr>
        <w:pStyle w:val="JBAClientDetails"/>
      </w:pPr>
    </w:p>
    <w:p w14:paraId="6CC18C2F" w14:textId="77777777" w:rsidR="005D7F97" w:rsidRDefault="005D7F97" w:rsidP="00F61468">
      <w:pPr>
        <w:pStyle w:val="JBAClientDetails"/>
      </w:pPr>
    </w:p>
    <w:p w14:paraId="582BD8BD" w14:textId="77777777" w:rsidR="005D7F97" w:rsidRDefault="005D7F97" w:rsidP="00F61468">
      <w:pPr>
        <w:pStyle w:val="JBAClientDetails"/>
      </w:pPr>
    </w:p>
    <w:p w14:paraId="2526B9A2" w14:textId="77777777" w:rsidR="005D7F97" w:rsidRDefault="005D7F97" w:rsidP="00F61468">
      <w:pPr>
        <w:pStyle w:val="JBAClientDetails"/>
      </w:pPr>
    </w:p>
    <w:p w14:paraId="59AC2FB3" w14:textId="77777777" w:rsidR="00A25530" w:rsidRDefault="005D7F97" w:rsidP="00F61468">
      <w:pPr>
        <w:pStyle w:val="JBAClientDetails"/>
      </w:pPr>
      <w:r>
        <w:t>Crawley Borough Council</w:t>
      </w:r>
    </w:p>
    <w:p w14:paraId="3DAEDA8B" w14:textId="77777777" w:rsidR="00D33C23" w:rsidRDefault="00D33C23" w:rsidP="00F61468">
      <w:pPr>
        <w:pStyle w:val="JBAClientDetails"/>
      </w:pPr>
      <w:r>
        <w:t>Chichester District Council</w:t>
      </w:r>
    </w:p>
    <w:p w14:paraId="7802CB47" w14:textId="77777777" w:rsidR="00F957E4" w:rsidRDefault="00F957E4" w:rsidP="00F61468">
      <w:pPr>
        <w:pStyle w:val="JBAClientDetails"/>
      </w:pPr>
      <w:r>
        <w:t>Horsham District Council</w:t>
      </w:r>
    </w:p>
    <w:p w14:paraId="1E3D5942" w14:textId="77777777" w:rsidR="00825C6F" w:rsidRPr="00825C6F" w:rsidRDefault="00BE7901" w:rsidP="00742C1F">
      <w:pPr>
        <w:rPr>
          <w:sz w:val="2"/>
          <w:szCs w:val="2"/>
        </w:rPr>
        <w:sectPr w:rsidR="00825C6F" w:rsidRPr="00825C6F" w:rsidSect="009B7C70">
          <w:headerReference w:type="even" r:id="rId11"/>
          <w:headerReference w:type="default" r:id="rId12"/>
          <w:footerReference w:type="even" r:id="rId13"/>
          <w:footerReference w:type="default" r:id="rId14"/>
          <w:headerReference w:type="first" r:id="rId15"/>
          <w:footerReference w:type="first" r:id="rId16"/>
          <w:pgSz w:w="11906" w:h="16838"/>
          <w:pgMar w:top="1985" w:right="454" w:bottom="1418" w:left="454" w:header="454" w:footer="170" w:gutter="0"/>
          <w:pgNumType w:fmt="lowerRoman" w:start="1"/>
          <w:cols w:space="708"/>
          <w:docGrid w:linePitch="360"/>
        </w:sectPr>
      </w:pPr>
      <w:r>
        <w:tab/>
      </w:r>
    </w:p>
    <w:p w14:paraId="3295F332" w14:textId="77777777" w:rsidR="00F61468" w:rsidRDefault="00F61468" w:rsidP="004734A5">
      <w:pPr>
        <w:pStyle w:val="Heading6"/>
      </w:pPr>
    </w:p>
    <w:p w14:paraId="3D9FA42C" w14:textId="77777777" w:rsidR="00F61468" w:rsidRDefault="00D26903" w:rsidP="008A26E8">
      <w:pPr>
        <w:pStyle w:val="JBANewText"/>
        <w:rPr>
          <w:rFonts w:eastAsia="Times New Roman"/>
          <w:b/>
          <w:iCs/>
          <w:color w:val="153B55"/>
        </w:rPr>
      </w:pPr>
      <w:r>
        <w:t>This page is intentionally blank.</w:t>
      </w:r>
      <w:r w:rsidR="00F61468">
        <w:br w:type="page"/>
      </w:r>
    </w:p>
    <w:p w14:paraId="306A121D" w14:textId="77777777" w:rsidR="004734A5" w:rsidRPr="00597D9D" w:rsidRDefault="004734A5" w:rsidP="004734A5">
      <w:pPr>
        <w:pStyle w:val="Heading6"/>
      </w:pPr>
      <w:r>
        <w:lastRenderedPageBreak/>
        <w:t>J</w:t>
      </w:r>
      <w:r w:rsidRPr="006806FE">
        <w:t xml:space="preserve">BA </w:t>
      </w:r>
      <w:r w:rsidRPr="00FA71F5">
        <w:t>Project</w:t>
      </w:r>
      <w:r>
        <w:t xml:space="preserve"> Manager</w:t>
      </w:r>
    </w:p>
    <w:p w14:paraId="7045AC1D" w14:textId="77777777" w:rsidR="005D7F97" w:rsidRPr="005D7F97" w:rsidRDefault="00D33C23" w:rsidP="00A76108">
      <w:pPr>
        <w:pStyle w:val="JBANewText"/>
      </w:pPr>
      <w:r>
        <w:t>Richard Pardoe MSc MEng</w:t>
      </w:r>
      <w:r w:rsidR="00F957E4">
        <w:t xml:space="preserve"> M</w:t>
      </w:r>
      <w:r w:rsidR="007D0D36">
        <w:t>CIWEM C.WEM</w:t>
      </w:r>
    </w:p>
    <w:p w14:paraId="3BE8BC9C" w14:textId="77777777" w:rsidR="00D33C23" w:rsidRDefault="00D33C23" w:rsidP="00A76108">
      <w:pPr>
        <w:pStyle w:val="JBANewText"/>
      </w:pPr>
      <w:r>
        <w:t>Pipe House</w:t>
      </w:r>
    </w:p>
    <w:p w14:paraId="6A98920C" w14:textId="77777777" w:rsidR="00D33C23" w:rsidRDefault="00D33C23" w:rsidP="00A76108">
      <w:pPr>
        <w:pStyle w:val="JBANewText"/>
      </w:pPr>
      <w:r>
        <w:t>Lupton Road</w:t>
      </w:r>
    </w:p>
    <w:p w14:paraId="7A27CD58" w14:textId="77777777" w:rsidR="00D33C23" w:rsidRDefault="00D33C23" w:rsidP="00A76108">
      <w:pPr>
        <w:pStyle w:val="JBANewText"/>
      </w:pPr>
      <w:r>
        <w:t>Wallingford</w:t>
      </w:r>
    </w:p>
    <w:p w14:paraId="63FD93E4" w14:textId="77777777" w:rsidR="005D7F97" w:rsidRPr="005D7F97" w:rsidRDefault="00D33C23" w:rsidP="00A76108">
      <w:pPr>
        <w:pStyle w:val="JBANewText"/>
      </w:pPr>
      <w:r>
        <w:t>OX10 9BS</w:t>
      </w:r>
    </w:p>
    <w:p w14:paraId="121F7376" w14:textId="77777777" w:rsidR="004734A5" w:rsidRDefault="004734A5" w:rsidP="004734A5">
      <w:pPr>
        <w:pStyle w:val="Heading6"/>
      </w:pPr>
      <w:r w:rsidRPr="006D66EB">
        <w:t>Revision</w:t>
      </w:r>
      <w:r w:rsidRPr="008D0CF2">
        <w:t xml:space="preserve"> </w:t>
      </w:r>
      <w:r w:rsidRPr="0031622D">
        <w:t>History</w:t>
      </w:r>
      <w:r>
        <w:t xml:space="preserve"> </w:t>
      </w:r>
    </w:p>
    <w:tbl>
      <w:tblPr>
        <w:tblStyle w:val="JBATable113"/>
        <w:tblW w:w="9623" w:type="dxa"/>
        <w:tblLook w:val="04A0" w:firstRow="1" w:lastRow="0" w:firstColumn="1" w:lastColumn="0" w:noHBand="0" w:noVBand="1"/>
      </w:tblPr>
      <w:tblGrid>
        <w:gridCol w:w="2961"/>
        <w:gridCol w:w="2268"/>
        <w:gridCol w:w="4394"/>
      </w:tblGrid>
      <w:tr w:rsidR="004734A5" w:rsidRPr="009716AD" w14:paraId="148480AF" w14:textId="77777777" w:rsidTr="00F16A3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1" w:type="dxa"/>
          </w:tcPr>
          <w:p w14:paraId="5B9D4357" w14:textId="77777777" w:rsidR="004734A5" w:rsidRPr="009716AD" w:rsidRDefault="004734A5" w:rsidP="005349E0">
            <w:pPr>
              <w:pStyle w:val="JBANewTableTopRowBold"/>
            </w:pPr>
            <w:r>
              <w:t>Revision Ref/Date</w:t>
            </w:r>
          </w:p>
        </w:tc>
        <w:tc>
          <w:tcPr>
            <w:tcW w:w="2268" w:type="dxa"/>
          </w:tcPr>
          <w:p w14:paraId="3B2D59C4" w14:textId="77777777" w:rsidR="004734A5" w:rsidRPr="009716AD" w:rsidRDefault="004734A5" w:rsidP="005349E0">
            <w:pPr>
              <w:pStyle w:val="JBANewTableTopRowBold"/>
              <w:cnfStyle w:val="100000000000" w:firstRow="1" w:lastRow="0" w:firstColumn="0" w:lastColumn="0" w:oddVBand="0" w:evenVBand="0" w:oddHBand="0" w:evenHBand="0" w:firstRowFirstColumn="0" w:firstRowLastColumn="0" w:lastRowFirstColumn="0" w:lastRowLastColumn="0"/>
            </w:pPr>
            <w:r>
              <w:t>Amendments</w:t>
            </w:r>
          </w:p>
        </w:tc>
        <w:tc>
          <w:tcPr>
            <w:tcW w:w="4394" w:type="dxa"/>
          </w:tcPr>
          <w:p w14:paraId="55D98307" w14:textId="77777777" w:rsidR="004734A5" w:rsidRPr="009716AD" w:rsidRDefault="004734A5" w:rsidP="005349E0">
            <w:pPr>
              <w:pStyle w:val="JBANewTableTopRowBold"/>
              <w:cnfStyle w:val="100000000000" w:firstRow="1" w:lastRow="0" w:firstColumn="0" w:lastColumn="0" w:oddVBand="0" w:evenVBand="0" w:oddHBand="0" w:evenHBand="0" w:firstRowFirstColumn="0" w:firstRowLastColumn="0" w:lastRowFirstColumn="0" w:lastRowLastColumn="0"/>
            </w:pPr>
            <w:r>
              <w:t>Issued to</w:t>
            </w:r>
          </w:p>
        </w:tc>
      </w:tr>
      <w:tr w:rsidR="004734A5" w14:paraId="3447809E" w14:textId="77777777" w:rsidTr="00F16A3F">
        <w:tc>
          <w:tcPr>
            <w:cnfStyle w:val="001000000000" w:firstRow="0" w:lastRow="0" w:firstColumn="1" w:lastColumn="0" w:oddVBand="0" w:evenVBand="0" w:oddHBand="0" w:evenHBand="0" w:firstRowFirstColumn="0" w:firstRowLastColumn="0" w:lastRowFirstColumn="0" w:lastRowLastColumn="0"/>
            <w:tcW w:w="2961" w:type="dxa"/>
          </w:tcPr>
          <w:p w14:paraId="3A496495" w14:textId="77777777" w:rsidR="001E12CD" w:rsidRDefault="00F61468" w:rsidP="005349E0">
            <w:pPr>
              <w:pStyle w:val="JBANewTableText"/>
            </w:pPr>
            <w:r>
              <w:t>S</w:t>
            </w:r>
            <w:r w:rsidR="001E12CD">
              <w:t>3</w:t>
            </w:r>
            <w:r>
              <w:t>-P01</w:t>
            </w:r>
          </w:p>
          <w:p w14:paraId="2CA48C03" w14:textId="77777777" w:rsidR="004734A5" w:rsidRPr="00F5641E" w:rsidRDefault="00A135CA" w:rsidP="005349E0">
            <w:pPr>
              <w:pStyle w:val="JBANewTableText"/>
            </w:pPr>
            <w:r>
              <w:t>18/08/21</w:t>
            </w:r>
          </w:p>
        </w:tc>
        <w:tc>
          <w:tcPr>
            <w:tcW w:w="2268" w:type="dxa"/>
          </w:tcPr>
          <w:p w14:paraId="3F9C0770" w14:textId="77777777" w:rsidR="004734A5" w:rsidRPr="009716AD" w:rsidRDefault="004734A5" w:rsidP="00F16A3F">
            <w:pPr>
              <w:pStyle w:val="JBANewTableText"/>
              <w:cnfStyle w:val="000000000000" w:firstRow="0" w:lastRow="0" w:firstColumn="0" w:lastColumn="0" w:oddVBand="0" w:evenVBand="0" w:oddHBand="0" w:evenHBand="0" w:firstRowFirstColumn="0" w:firstRowLastColumn="0" w:lastRowFirstColumn="0" w:lastRowLastColumn="0"/>
            </w:pPr>
            <w:r>
              <w:t>Draft Report</w:t>
            </w:r>
          </w:p>
        </w:tc>
        <w:tc>
          <w:tcPr>
            <w:tcW w:w="4394" w:type="dxa"/>
          </w:tcPr>
          <w:p w14:paraId="5FD61DF1" w14:textId="77777777" w:rsidR="00B570EF" w:rsidRPr="009716AD" w:rsidRDefault="00233272" w:rsidP="00F16A3F">
            <w:pPr>
              <w:pStyle w:val="JBANewTableText"/>
              <w:cnfStyle w:val="000000000000" w:firstRow="0" w:lastRow="0" w:firstColumn="0" w:lastColumn="0" w:oddVBand="0" w:evenVBand="0" w:oddHBand="0" w:evenHBand="0" w:firstRowFirstColumn="0" w:firstRowLastColumn="0" w:lastRowFirstColumn="0" w:lastRowLastColumn="0"/>
            </w:pPr>
            <w:r>
              <w:t>Crawley Borough Council, Natural England, Southern Water</w:t>
            </w:r>
          </w:p>
        </w:tc>
      </w:tr>
      <w:tr w:rsidR="00AB22F5" w14:paraId="47020A4D" w14:textId="77777777" w:rsidTr="00F16A3F">
        <w:tc>
          <w:tcPr>
            <w:cnfStyle w:val="001000000000" w:firstRow="0" w:lastRow="0" w:firstColumn="1" w:lastColumn="0" w:oddVBand="0" w:evenVBand="0" w:oddHBand="0" w:evenHBand="0" w:firstRowFirstColumn="0" w:firstRowLastColumn="0" w:lastRowFirstColumn="0" w:lastRowLastColumn="0"/>
            <w:tcW w:w="2961" w:type="dxa"/>
          </w:tcPr>
          <w:p w14:paraId="361DED9D" w14:textId="77777777" w:rsidR="00AB22F5" w:rsidRDefault="00AB22F5" w:rsidP="005349E0">
            <w:pPr>
              <w:pStyle w:val="JBANewTableText"/>
            </w:pPr>
            <w:r>
              <w:t>S3-P02</w:t>
            </w:r>
          </w:p>
          <w:p w14:paraId="35316D10" w14:textId="77777777" w:rsidR="00A135CA" w:rsidRDefault="00A135CA" w:rsidP="005349E0">
            <w:pPr>
              <w:pStyle w:val="JBANewTableText"/>
            </w:pPr>
            <w:r>
              <w:t>15/02/22</w:t>
            </w:r>
          </w:p>
        </w:tc>
        <w:tc>
          <w:tcPr>
            <w:tcW w:w="2268" w:type="dxa"/>
          </w:tcPr>
          <w:p w14:paraId="4431CE29" w14:textId="77777777" w:rsidR="00AB22F5" w:rsidRDefault="00AB22F5" w:rsidP="00F16A3F">
            <w:pPr>
              <w:pStyle w:val="JBANewTableText"/>
              <w:cnfStyle w:val="000000000000" w:firstRow="0" w:lastRow="0" w:firstColumn="0" w:lastColumn="0" w:oddVBand="0" w:evenVBand="0" w:oddHBand="0" w:evenHBand="0" w:firstRowFirstColumn="0" w:firstRowLastColumn="0" w:lastRowFirstColumn="0" w:lastRowLastColumn="0"/>
            </w:pPr>
            <w:r>
              <w:t>Updated Draft Report</w:t>
            </w:r>
          </w:p>
        </w:tc>
        <w:tc>
          <w:tcPr>
            <w:tcW w:w="4394" w:type="dxa"/>
          </w:tcPr>
          <w:p w14:paraId="45BEE272" w14:textId="77777777" w:rsidR="00AB22F5" w:rsidRDefault="00233272" w:rsidP="00F16A3F">
            <w:pPr>
              <w:pStyle w:val="JBANewTableText"/>
              <w:cnfStyle w:val="000000000000" w:firstRow="0" w:lastRow="0" w:firstColumn="0" w:lastColumn="0" w:oddVBand="0" w:evenVBand="0" w:oddHBand="0" w:evenHBand="0" w:firstRowFirstColumn="0" w:firstRowLastColumn="0" w:lastRowFirstColumn="0" w:lastRowLastColumn="0"/>
            </w:pPr>
            <w:r>
              <w:t>Southern Water</w:t>
            </w:r>
          </w:p>
        </w:tc>
      </w:tr>
      <w:tr w:rsidR="002147F1" w14:paraId="59CFEADF" w14:textId="77777777" w:rsidTr="00F16A3F">
        <w:tc>
          <w:tcPr>
            <w:cnfStyle w:val="001000000000" w:firstRow="0" w:lastRow="0" w:firstColumn="1" w:lastColumn="0" w:oddVBand="0" w:evenVBand="0" w:oddHBand="0" w:evenHBand="0" w:firstRowFirstColumn="0" w:firstRowLastColumn="0" w:lastRowFirstColumn="0" w:lastRowLastColumn="0"/>
            <w:tcW w:w="2961" w:type="dxa"/>
          </w:tcPr>
          <w:p w14:paraId="3452127A" w14:textId="77777777" w:rsidR="002147F1" w:rsidRDefault="002147F1" w:rsidP="005349E0">
            <w:pPr>
              <w:pStyle w:val="JBANewTableText"/>
            </w:pPr>
            <w:r>
              <w:t>S3-P03</w:t>
            </w:r>
          </w:p>
          <w:p w14:paraId="4B9B9861" w14:textId="77777777" w:rsidR="002147F1" w:rsidRDefault="002147F1" w:rsidP="005349E0">
            <w:pPr>
              <w:pStyle w:val="JBANewTableText"/>
            </w:pPr>
            <w:r>
              <w:t>21/02/22</w:t>
            </w:r>
          </w:p>
        </w:tc>
        <w:tc>
          <w:tcPr>
            <w:tcW w:w="2268" w:type="dxa"/>
          </w:tcPr>
          <w:p w14:paraId="2B3194B6" w14:textId="77777777" w:rsidR="002147F1" w:rsidRDefault="002147F1" w:rsidP="00F16A3F">
            <w:pPr>
              <w:pStyle w:val="JBANewTableText"/>
              <w:cnfStyle w:val="000000000000" w:firstRow="0" w:lastRow="0" w:firstColumn="0" w:lastColumn="0" w:oddVBand="0" w:evenVBand="0" w:oddHBand="0" w:evenHBand="0" w:firstRowFirstColumn="0" w:firstRowLastColumn="0" w:lastRowFirstColumn="0" w:lastRowLastColumn="0"/>
            </w:pPr>
            <w:r>
              <w:t>Updated Draft Report</w:t>
            </w:r>
          </w:p>
        </w:tc>
        <w:tc>
          <w:tcPr>
            <w:tcW w:w="4394" w:type="dxa"/>
          </w:tcPr>
          <w:p w14:paraId="2822CAEF" w14:textId="77777777" w:rsidR="002147F1" w:rsidRDefault="002147F1" w:rsidP="00F16A3F">
            <w:pPr>
              <w:pStyle w:val="JBANewTableText"/>
              <w:cnfStyle w:val="000000000000" w:firstRow="0" w:lastRow="0" w:firstColumn="0" w:lastColumn="0" w:oddVBand="0" w:evenVBand="0" w:oddHBand="0" w:evenHBand="0" w:firstRowFirstColumn="0" w:firstRowLastColumn="0" w:lastRowFirstColumn="0" w:lastRowLastColumn="0"/>
            </w:pPr>
            <w:r>
              <w:t>Crawley Borough Council</w:t>
            </w:r>
          </w:p>
        </w:tc>
      </w:tr>
      <w:tr w:rsidR="002717C9" w14:paraId="05AB8775" w14:textId="77777777" w:rsidTr="00F16A3F">
        <w:tc>
          <w:tcPr>
            <w:cnfStyle w:val="001000000000" w:firstRow="0" w:lastRow="0" w:firstColumn="1" w:lastColumn="0" w:oddVBand="0" w:evenVBand="0" w:oddHBand="0" w:evenHBand="0" w:firstRowFirstColumn="0" w:firstRowLastColumn="0" w:lastRowFirstColumn="0" w:lastRowLastColumn="0"/>
            <w:tcW w:w="2961" w:type="dxa"/>
          </w:tcPr>
          <w:p w14:paraId="187241C2" w14:textId="4BD9D8CC" w:rsidR="002717C9" w:rsidRDefault="002717C9" w:rsidP="005349E0">
            <w:pPr>
              <w:pStyle w:val="JBANewTableText"/>
            </w:pPr>
            <w:r>
              <w:t>A1-C0</w:t>
            </w:r>
            <w:r w:rsidR="00D93F02">
              <w:t>4</w:t>
            </w:r>
          </w:p>
          <w:p w14:paraId="725173A9" w14:textId="29685EEB" w:rsidR="00E46333" w:rsidRDefault="00AE2456" w:rsidP="005349E0">
            <w:pPr>
              <w:pStyle w:val="JBANewTableText"/>
            </w:pPr>
            <w:r>
              <w:t>2</w:t>
            </w:r>
            <w:r w:rsidR="00D93F02">
              <w:t>6</w:t>
            </w:r>
            <w:r>
              <w:t>-0</w:t>
            </w:r>
            <w:r w:rsidR="00371867">
              <w:t>4</w:t>
            </w:r>
            <w:r>
              <w:t>-22</w:t>
            </w:r>
          </w:p>
        </w:tc>
        <w:tc>
          <w:tcPr>
            <w:tcW w:w="2268" w:type="dxa"/>
          </w:tcPr>
          <w:p w14:paraId="39CEFF79" w14:textId="77777777" w:rsidR="002717C9" w:rsidRDefault="002717C9" w:rsidP="00F16A3F">
            <w:pPr>
              <w:pStyle w:val="JBANewTableText"/>
              <w:cnfStyle w:val="000000000000" w:firstRow="0" w:lastRow="0" w:firstColumn="0" w:lastColumn="0" w:oddVBand="0" w:evenVBand="0" w:oddHBand="0" w:evenHBand="0" w:firstRowFirstColumn="0" w:firstRowLastColumn="0" w:lastRowFirstColumn="0" w:lastRowLastColumn="0"/>
            </w:pPr>
            <w:r>
              <w:t>Final Report</w:t>
            </w:r>
          </w:p>
        </w:tc>
        <w:tc>
          <w:tcPr>
            <w:tcW w:w="4394" w:type="dxa"/>
          </w:tcPr>
          <w:p w14:paraId="552BA025" w14:textId="77777777" w:rsidR="002717C9" w:rsidRDefault="00233272" w:rsidP="00F16A3F">
            <w:pPr>
              <w:pStyle w:val="JBANewTableText"/>
              <w:cnfStyle w:val="000000000000" w:firstRow="0" w:lastRow="0" w:firstColumn="0" w:lastColumn="0" w:oddVBand="0" w:evenVBand="0" w:oddHBand="0" w:evenHBand="0" w:firstRowFirstColumn="0" w:firstRowLastColumn="0" w:lastRowFirstColumn="0" w:lastRowLastColumn="0"/>
            </w:pPr>
            <w:r>
              <w:t>Crawley Borough Council</w:t>
            </w:r>
          </w:p>
        </w:tc>
      </w:tr>
    </w:tbl>
    <w:p w14:paraId="20784914" w14:textId="77777777" w:rsidR="004734A5" w:rsidRPr="001579D0" w:rsidRDefault="004734A5" w:rsidP="004734A5">
      <w:pPr>
        <w:pStyle w:val="Heading6"/>
      </w:pPr>
      <w:r>
        <w:t>C</w:t>
      </w:r>
      <w:r w:rsidRPr="001E2331">
        <w:t>ontract</w:t>
      </w:r>
    </w:p>
    <w:p w14:paraId="4198593C" w14:textId="77777777" w:rsidR="004734A5" w:rsidRPr="00122A74" w:rsidRDefault="004734A5" w:rsidP="004734A5">
      <w:pPr>
        <w:pStyle w:val="JBAContractTab2"/>
      </w:pPr>
      <w:bookmarkStart w:id="0" w:name="_Hlk495410533"/>
      <w:r w:rsidRPr="00122A74">
        <w:t>Prepared by</w:t>
      </w:r>
      <w:r>
        <w:t xml:space="preserve"> </w:t>
      </w:r>
      <w:r>
        <w:tab/>
      </w:r>
      <w:r>
        <w:tab/>
      </w:r>
      <w:r w:rsidR="00171A7E">
        <w:t>Richard Pardoe MSc MEng</w:t>
      </w:r>
      <w:r w:rsidR="007D0D36">
        <w:t xml:space="preserve"> MCIWEM C.WEM</w:t>
      </w:r>
    </w:p>
    <w:p w14:paraId="0CA42BE4" w14:textId="77777777" w:rsidR="004734A5" w:rsidRDefault="004734A5" w:rsidP="004734A5">
      <w:pPr>
        <w:pStyle w:val="JBAContractTab"/>
      </w:pPr>
      <w:r>
        <w:tab/>
      </w:r>
      <w:r w:rsidR="005647CC">
        <w:t xml:space="preserve">Senior </w:t>
      </w:r>
      <w:r w:rsidR="00171A7E">
        <w:t>Analyst</w:t>
      </w:r>
    </w:p>
    <w:p w14:paraId="11347C2F" w14:textId="77777777" w:rsidR="004734A5" w:rsidRPr="00122A74" w:rsidRDefault="004734A5" w:rsidP="004734A5">
      <w:pPr>
        <w:pStyle w:val="JBAContractTab2"/>
      </w:pPr>
      <w:r w:rsidRPr="00122A74">
        <w:t xml:space="preserve">Reviewed by </w:t>
      </w:r>
      <w:r>
        <w:tab/>
      </w:r>
      <w:r>
        <w:tab/>
      </w:r>
      <w:r w:rsidR="00171A7E">
        <w:t>Paul Eccleston BA CertWEM CEnv MCIWEM C.WEM</w:t>
      </w:r>
    </w:p>
    <w:p w14:paraId="258CCCF3" w14:textId="77777777" w:rsidR="004734A5" w:rsidRDefault="004734A5" w:rsidP="004734A5">
      <w:pPr>
        <w:pStyle w:val="JBAContractTab"/>
      </w:pPr>
      <w:r>
        <w:tab/>
      </w:r>
      <w:r w:rsidR="00171A7E">
        <w:t>Technical Director</w:t>
      </w:r>
    </w:p>
    <w:bookmarkEnd w:id="0"/>
    <w:p w14:paraId="259F50C2" w14:textId="77777777" w:rsidR="004734A5" w:rsidRPr="001E2331" w:rsidRDefault="004734A5" w:rsidP="004734A5">
      <w:pPr>
        <w:pStyle w:val="Heading6"/>
      </w:pPr>
      <w:r>
        <w:t>P</w:t>
      </w:r>
      <w:r w:rsidRPr="001E2331">
        <w:t>urpose</w:t>
      </w:r>
      <w:r>
        <w:t xml:space="preserve"> </w:t>
      </w:r>
    </w:p>
    <w:p w14:paraId="6BE9EB14" w14:textId="50CBE299" w:rsidR="004734A5" w:rsidRPr="00742C1F" w:rsidRDefault="004734A5" w:rsidP="004734A5">
      <w:pPr>
        <w:pStyle w:val="JBANewText"/>
      </w:pPr>
      <w:r w:rsidRPr="001E2331">
        <w:t xml:space="preserve">This document has been prepared as </w:t>
      </w:r>
      <w:r>
        <w:t xml:space="preserve">a </w:t>
      </w:r>
      <w:sdt>
        <w:sdtPr>
          <w:id w:val="464111692"/>
          <w:placeholder>
            <w:docPart w:val="045A4E970C2A491E8B6AD6C21FA5660E"/>
          </w:placeholder>
          <w:dropDownList>
            <w:listItem w:value="Choose a document type"/>
            <w:listItem w:displayText="Draft Report" w:value="Draft Report"/>
            <w:listItem w:displayText="Final Report" w:value="Final Report"/>
            <w:listItem w:displayText="Tender" w:value="Tender"/>
          </w:dropDownList>
        </w:sdtPr>
        <w:sdtEndPr/>
        <w:sdtContent>
          <w:r w:rsidR="0043710C">
            <w:t>Final Report</w:t>
          </w:r>
        </w:sdtContent>
      </w:sdt>
      <w:r w:rsidRPr="002953BA">
        <w:t xml:space="preserve"> </w:t>
      </w:r>
      <w:r w:rsidRPr="001E2331">
        <w:t xml:space="preserve">for </w:t>
      </w:r>
      <w:r w:rsidR="005D7F97">
        <w:t>Crawley Borough Council</w:t>
      </w:r>
      <w:r w:rsidR="0009476F">
        <w:t>, Chichester District Council and Horsham District Council</w:t>
      </w:r>
      <w:r w:rsidR="00B570EF">
        <w:t xml:space="preserve">.  </w:t>
      </w:r>
      <w:r w:rsidRPr="001E2331">
        <w:t xml:space="preserve">JBA Consulting accepts no responsibility or liability for any use that is made of this document other than by </w:t>
      </w:r>
      <w:r w:rsidR="005D7F97">
        <w:t>Crawley Borough Council</w:t>
      </w:r>
      <w:r w:rsidRPr="001E2331">
        <w:t xml:space="preserve"> for the purposes for which it was originally commissioned and prepared.</w:t>
      </w:r>
    </w:p>
    <w:p w14:paraId="07EC5ED9" w14:textId="7CD808BA" w:rsidR="004734A5" w:rsidRDefault="004734A5" w:rsidP="004734A5">
      <w:pPr>
        <w:pStyle w:val="JBANewText"/>
      </w:pPr>
      <w:r w:rsidRPr="00967702">
        <w:t>JBA Consulting has no liability regarding the use of this report</w:t>
      </w:r>
      <w:r>
        <w:t xml:space="preserve"> except to</w:t>
      </w:r>
      <w:r w:rsidR="005D7F97">
        <w:t xml:space="preserve"> Crawley Borough Council.</w:t>
      </w:r>
    </w:p>
    <w:p w14:paraId="11FF529F" w14:textId="77777777" w:rsidR="004734A5" w:rsidRDefault="004734A5" w:rsidP="004734A5">
      <w:pPr>
        <w:pStyle w:val="Heading6"/>
      </w:pPr>
      <w:r>
        <w:t xml:space="preserve">Copyright </w:t>
      </w:r>
    </w:p>
    <w:p w14:paraId="0B11628D" w14:textId="4679B3C4" w:rsidR="004734A5" w:rsidRDefault="004734A5" w:rsidP="004734A5">
      <w:pPr>
        <w:pStyle w:val="JBANewText"/>
      </w:pPr>
      <w:r w:rsidRPr="002953BA">
        <w:t>© Jeremy Benn Associates</w:t>
      </w:r>
      <w:r>
        <w:t xml:space="preserve"> Limited</w:t>
      </w:r>
      <w:r w:rsidRPr="002953BA">
        <w:t xml:space="preserve"> </w:t>
      </w:r>
      <w:r w:rsidRPr="002953BA">
        <w:fldChar w:fldCharType="begin"/>
      </w:r>
      <w:r w:rsidRPr="002953BA">
        <w:instrText xml:space="preserve"> DATE  \@ "yyyy"  \* MERGEFORMAT </w:instrText>
      </w:r>
      <w:r w:rsidRPr="002953BA">
        <w:fldChar w:fldCharType="separate"/>
      </w:r>
      <w:r w:rsidR="00E6462B">
        <w:rPr>
          <w:noProof/>
        </w:rPr>
        <w:t>2022</w:t>
      </w:r>
      <w:r w:rsidRPr="002953BA">
        <w:fldChar w:fldCharType="end"/>
      </w:r>
      <w:r>
        <w:t>.</w:t>
      </w:r>
    </w:p>
    <w:p w14:paraId="105C94A4" w14:textId="77777777" w:rsidR="00F16A3F" w:rsidRDefault="00F16A3F" w:rsidP="004734A5">
      <w:pPr>
        <w:pStyle w:val="JBANewText"/>
      </w:pPr>
    </w:p>
    <w:p w14:paraId="34FE64F5" w14:textId="77777777" w:rsidR="004734A5" w:rsidRDefault="004734A5" w:rsidP="004734A5">
      <w:pPr>
        <w:pStyle w:val="Heading6"/>
      </w:pPr>
      <w:r>
        <w:t>Carbon Footprint</w:t>
      </w:r>
    </w:p>
    <w:p w14:paraId="1E73EB84" w14:textId="4990A78C" w:rsidR="0045053C" w:rsidRDefault="0045053C" w:rsidP="00742C1F">
      <w:pPr>
        <w:pStyle w:val="JBANewText"/>
      </w:pPr>
      <w:r>
        <w:t>A printed copy of the main text in this document will result in a carbon footprint of</w:t>
      </w:r>
      <w:r w:rsidR="00B45E35">
        <w:t xml:space="preserve"> </w:t>
      </w:r>
      <w:r w:rsidR="00B908C8">
        <w:t>231</w:t>
      </w:r>
      <w:r w:rsidR="006F288E">
        <w:t xml:space="preserve">g </w:t>
      </w:r>
      <w:r>
        <w:t xml:space="preserve">if 100% post-consumer recycled paper is used and </w:t>
      </w:r>
      <w:r w:rsidR="006F288E">
        <w:t>2</w:t>
      </w:r>
      <w:r w:rsidR="00B908C8">
        <w:t>94</w:t>
      </w:r>
      <w:r w:rsidR="006F288E">
        <w:t xml:space="preserve">g </w:t>
      </w:r>
      <w:r>
        <w:t>if primary-source paper is used.  These figures assume the report is printed in black and white on A4 paper and in duplex.</w:t>
      </w:r>
    </w:p>
    <w:p w14:paraId="601ED8A1" w14:textId="77777777" w:rsidR="004734A5" w:rsidRDefault="0045053C" w:rsidP="00742C1F">
      <w:pPr>
        <w:pStyle w:val="JBANewText"/>
      </w:pPr>
      <w:r>
        <w:t>JBA is aiming to reduce its per capita carbon emissions.</w:t>
      </w:r>
      <w:r w:rsidR="004734A5" w:rsidRPr="00F746A2">
        <w:br w:type="page"/>
      </w:r>
    </w:p>
    <w:p w14:paraId="1A6982BD" w14:textId="77777777" w:rsidR="004734A5" w:rsidRDefault="004734A5" w:rsidP="004734A5">
      <w:pPr>
        <w:pStyle w:val="Heading6"/>
      </w:pPr>
      <w:r w:rsidRPr="001E2331">
        <w:t xml:space="preserve">Executive </w:t>
      </w:r>
      <w:r>
        <w:t>s</w:t>
      </w:r>
      <w:r w:rsidRPr="00EA7700">
        <w:t>ummary</w:t>
      </w:r>
      <w:r>
        <w:t xml:space="preserve"> </w:t>
      </w:r>
    </w:p>
    <w:p w14:paraId="5CC955DD" w14:textId="647F5BF0" w:rsidR="007202B9" w:rsidRDefault="002717C9" w:rsidP="00F16A3F">
      <w:pPr>
        <w:pStyle w:val="StyleJustified"/>
      </w:pPr>
      <w:r>
        <w:t>S</w:t>
      </w:r>
      <w:r w:rsidR="007202B9" w:rsidRPr="007202B9">
        <w:t>ignificant concern</w:t>
      </w:r>
      <w:r>
        <w:t>s</w:t>
      </w:r>
      <w:r w:rsidR="007202B9" w:rsidRPr="007202B9">
        <w:t xml:space="preserve"> regarding the current </w:t>
      </w:r>
      <w:r w:rsidR="00AB561F">
        <w:t xml:space="preserve">Southern Water </w:t>
      </w:r>
      <w:r w:rsidR="007202B9" w:rsidRPr="007202B9">
        <w:t>abstraction</w:t>
      </w:r>
      <w:r w:rsidR="007202B9">
        <w:t xml:space="preserve"> at </w:t>
      </w:r>
      <w:r w:rsidR="00082C05">
        <w:t>Pulborough</w:t>
      </w:r>
      <w:r w:rsidR="007202B9" w:rsidRPr="007202B9">
        <w:t xml:space="preserve"> (and any </w:t>
      </w:r>
      <w:r w:rsidR="002E31F1">
        <w:t>within licence</w:t>
      </w:r>
      <w:r w:rsidR="007202B9" w:rsidRPr="007202B9">
        <w:t xml:space="preserve"> increase in abstraction required to serve planned development), </w:t>
      </w:r>
      <w:r>
        <w:t>have been raised by the Environment Agency and Natural England</w:t>
      </w:r>
      <w:r w:rsidR="00D80E33">
        <w:t>.  T</w:t>
      </w:r>
      <w:r>
        <w:t>he latter</w:t>
      </w:r>
      <w:r w:rsidR="00D80E33">
        <w:t xml:space="preserve"> has advised that</w:t>
      </w:r>
      <w:r>
        <w:t xml:space="preserve"> </w:t>
      </w:r>
      <w:r w:rsidR="007202B9" w:rsidRPr="007202B9">
        <w:t xml:space="preserve">it cannot conclude with certainty that this process is not having an adverse impact on site integrity through a reduction in water levels and </w:t>
      </w:r>
      <w:r>
        <w:t xml:space="preserve">potential water quality impacts that are leading </w:t>
      </w:r>
      <w:r w:rsidR="00165870">
        <w:t xml:space="preserve">to </w:t>
      </w:r>
      <w:r w:rsidR="007202B9" w:rsidRPr="007202B9">
        <w:t xml:space="preserve">deterioration of habitat at designations including Amberley Wild Brooks SSSI, Pulborough Brooks SSSI </w:t>
      </w:r>
      <w:r>
        <w:t xml:space="preserve">that are part of </w:t>
      </w:r>
      <w:r w:rsidR="007202B9" w:rsidRPr="007202B9">
        <w:t xml:space="preserve">Arun Valley SPA, </w:t>
      </w:r>
      <w:r w:rsidR="00B96964">
        <w:t xml:space="preserve">Arun Valley </w:t>
      </w:r>
      <w:r w:rsidR="007202B9" w:rsidRPr="007202B9">
        <w:t xml:space="preserve">SAC and </w:t>
      </w:r>
      <w:r w:rsidR="00B96964">
        <w:t xml:space="preserve">Arun Valley </w:t>
      </w:r>
      <w:r w:rsidR="007202B9" w:rsidRPr="007202B9">
        <w:t>Ramsar site</w:t>
      </w:r>
      <w:r w:rsidR="007202B9">
        <w:t xml:space="preserve">.  </w:t>
      </w:r>
      <w:r w:rsidR="007202B9" w:rsidRPr="007202B9">
        <w:t>Natural England ha</w:t>
      </w:r>
      <w:r w:rsidR="003902A7">
        <w:t>s</w:t>
      </w:r>
      <w:r w:rsidR="007202B9" w:rsidRPr="007202B9">
        <w:t xml:space="preserve"> advised the Councils </w:t>
      </w:r>
      <w:r w:rsidR="0070293B">
        <w:t xml:space="preserve">within the water resource zone, </w:t>
      </w:r>
      <w:r w:rsidR="007202B9" w:rsidRPr="007202B9">
        <w:t xml:space="preserve">that development in the Sussex North part of the Gatwick sub-region must not add to this adverse effect. </w:t>
      </w:r>
      <w:r w:rsidR="007202B9">
        <w:t xml:space="preserve"> </w:t>
      </w:r>
      <w:r w:rsidR="007202B9" w:rsidRPr="007202B9">
        <w:t xml:space="preserve">Water Neutrality </w:t>
      </w:r>
      <w:r w:rsidR="0009476F">
        <w:t>is required</w:t>
      </w:r>
      <w:r w:rsidR="007202B9" w:rsidRPr="007202B9">
        <w:t xml:space="preserve"> to allow development to proceed without increasing abstraction from </w:t>
      </w:r>
      <w:r w:rsidR="00B71FCA">
        <w:t>Pulborough</w:t>
      </w:r>
      <w:r w:rsidR="002E31F1">
        <w:t xml:space="preserve"> during the interim period whilst an alternative water supply is sought</w:t>
      </w:r>
      <w:r w:rsidR="0091677E">
        <w:t>.</w:t>
      </w:r>
      <w:r w:rsidR="007202B9">
        <w:t xml:space="preserve"> </w:t>
      </w:r>
    </w:p>
    <w:p w14:paraId="32EFEAE2" w14:textId="504C3866" w:rsidR="00BC3ACC" w:rsidRDefault="00385612" w:rsidP="00F16A3F">
      <w:pPr>
        <w:pStyle w:val="StyleJustified"/>
      </w:pPr>
      <w:r>
        <w:t xml:space="preserve">The </w:t>
      </w:r>
      <w:r w:rsidR="00B71FCA">
        <w:t>Pulborough</w:t>
      </w:r>
      <w:r>
        <w:t xml:space="preserve"> </w:t>
      </w:r>
      <w:r w:rsidR="002717C9">
        <w:t xml:space="preserve">groundwater </w:t>
      </w:r>
      <w:r>
        <w:t xml:space="preserve">abstraction supplies water to the Sussex North Water Resource Zone (WRZ). </w:t>
      </w:r>
      <w:r w:rsidR="00AC3745">
        <w:t xml:space="preserve"> </w:t>
      </w:r>
      <w:r>
        <w:t>This zone covers the majority of Crawley (excluding Gatwick Airport</w:t>
      </w:r>
      <w:r w:rsidR="00DE5539">
        <w:t xml:space="preserve"> and Maidenbower</w:t>
      </w:r>
      <w:r>
        <w:t>), Horsham</w:t>
      </w:r>
      <w:r w:rsidR="007A237D">
        <w:t xml:space="preserve"> District</w:t>
      </w:r>
      <w:r w:rsidR="0070293B">
        <w:t>,</w:t>
      </w:r>
      <w:r w:rsidR="0022508C">
        <w:t xml:space="preserve"> </w:t>
      </w:r>
      <w:r>
        <w:t>part of Chichester</w:t>
      </w:r>
      <w:r w:rsidR="002717C9">
        <w:t xml:space="preserve"> local authority area</w:t>
      </w:r>
      <w:r>
        <w:t xml:space="preserve"> and part of the South Downs National Park.  </w:t>
      </w:r>
      <w:r w:rsidR="007D0D36">
        <w:t xml:space="preserve">Part A of this work introduced the concept of water neutrality and </w:t>
      </w:r>
      <w:r>
        <w:t>addresse</w:t>
      </w:r>
      <w:r w:rsidR="007D0D36">
        <w:t>d</w:t>
      </w:r>
      <w:r>
        <w:t xml:space="preserve"> </w:t>
      </w:r>
      <w:r w:rsidR="007D0D36">
        <w:t xml:space="preserve">growth in </w:t>
      </w:r>
      <w:r>
        <w:t>just Crawley and Chichester</w:t>
      </w:r>
      <w:r w:rsidR="0070293B">
        <w:t xml:space="preserve"> individually</w:t>
      </w:r>
      <w:r>
        <w:t xml:space="preserve">.  </w:t>
      </w:r>
      <w:r w:rsidR="00BC3ACC">
        <w:t xml:space="preserve">Part B builds </w:t>
      </w:r>
      <w:r w:rsidR="009428E8">
        <w:t xml:space="preserve">on </w:t>
      </w:r>
      <w:r w:rsidR="00BC3ACC">
        <w:t>this work, combining the growth forecasts of all LPAs in the water resource zone into an overall water demand.  The theoretical contribution that may be achieved from each of the mitigation measures identified in Part A is then presented, alongside the latest information provided by Southern Water on their emerging plans.</w:t>
      </w:r>
    </w:p>
    <w:p w14:paraId="3912B3A6" w14:textId="77777777" w:rsidR="007202B9" w:rsidRDefault="007202B9" w:rsidP="00F16A3F">
      <w:pPr>
        <w:pStyle w:val="StyleJustified"/>
      </w:pPr>
      <w:r>
        <w:t>Water neutrality is defined in this study as:</w:t>
      </w:r>
    </w:p>
    <w:p w14:paraId="1D82AF17" w14:textId="77777777" w:rsidR="007202B9" w:rsidRDefault="007202B9" w:rsidP="00F16A3F">
      <w:pPr>
        <w:pStyle w:val="StyleBoldItalicJustified"/>
      </w:pPr>
      <w:r w:rsidRPr="007202B9">
        <w:t>“For every new development, total water use in the region after the development must be equal to or less than the total water-use in the region before the new development.”</w:t>
      </w:r>
    </w:p>
    <w:p w14:paraId="3983B948" w14:textId="77777777" w:rsidR="00891894" w:rsidRDefault="007202B9" w:rsidP="00F16A3F">
      <w:pPr>
        <w:pStyle w:val="StyleJustified"/>
      </w:pPr>
      <w:r>
        <w:t>This study estimate</w:t>
      </w:r>
      <w:r w:rsidR="0091677E">
        <w:t>d</w:t>
      </w:r>
      <w:r>
        <w:t xml:space="preserve"> the additional water demand from </w:t>
      </w:r>
      <w:r w:rsidR="00891894">
        <w:t>all local authorities in the water resource zone</w:t>
      </w:r>
      <w:r w:rsidR="00E83870">
        <w:t>.</w:t>
      </w:r>
    </w:p>
    <w:p w14:paraId="0D67D447" w14:textId="171C8B4E" w:rsidR="00D4668B" w:rsidRDefault="00D4668B" w:rsidP="00F16A3F">
      <w:pPr>
        <w:pStyle w:val="StyleJustified"/>
      </w:pPr>
      <w:r>
        <w:t>On 14 September 2021 Natural England published a position statement defining an interim position for applications in the Sussex North WRZ.  NE advised that:</w:t>
      </w:r>
    </w:p>
    <w:p w14:paraId="63476874" w14:textId="77777777" w:rsidR="00D4668B" w:rsidRPr="00AC3745" w:rsidRDefault="00D4668B" w:rsidP="00F16A3F">
      <w:pPr>
        <w:pStyle w:val="StyleBoldItalicJustified"/>
      </w:pPr>
      <w:r w:rsidRPr="00AC3745">
        <w:t xml:space="preserve"> “…this matter should be resolved in partnership through Local Plans across the affected authorities, where policy and assessment can be agreed and secured to ensure water use is offset for all new developments within Sussex North.  To achieve this Natural England is working in partnership with the relevant authorities to secure water neutrality collectively through a water neutrality strategy.</w:t>
      </w:r>
    </w:p>
    <w:p w14:paraId="457F20FA" w14:textId="77777777" w:rsidR="00D4668B" w:rsidRPr="00AC3745" w:rsidRDefault="00D4668B" w:rsidP="00F16A3F">
      <w:pPr>
        <w:pStyle w:val="StyleBoldItalicJustified"/>
      </w:pPr>
      <w:r w:rsidRPr="00AC3745">
        <w:t>Whilst this strategy is evolving, Natural England advises that decisions on planning applications should await its completion.  However, if there are applications which a planning authority deems critical to proceed in the absence of the strategy, then Natural England advises that any application needs to demonstrate water neutrality.”</w:t>
      </w:r>
    </w:p>
    <w:p w14:paraId="3920F3CF" w14:textId="3D18F88B" w:rsidR="00D4668B" w:rsidRDefault="00D4668B" w:rsidP="00F16A3F">
      <w:pPr>
        <w:pStyle w:val="StyleJustified"/>
      </w:pPr>
      <w:r>
        <w:t>Further clarification was provided in February 2022:</w:t>
      </w:r>
    </w:p>
    <w:p w14:paraId="40360FA3" w14:textId="77777777" w:rsidR="00D4668B" w:rsidRPr="00D4668B" w:rsidRDefault="00D4668B" w:rsidP="00F16A3F">
      <w:pPr>
        <w:pStyle w:val="StyleBoldItalicJustified"/>
      </w:pPr>
      <w:r w:rsidRPr="00D4668B">
        <w:t>“For the avoidance of doubt, since the 2017 Regulations cannot be applied retrospectively, the requirement for Water Neutrality will not apply to any projects with full planning permission prior to the Natural England Statement being published on 14 September 2021, in addition this would equally apply to not requiring future developments to mitigate the impact of those developments already granted full permission at that point.”</w:t>
      </w:r>
    </w:p>
    <w:p w14:paraId="7502A5F8" w14:textId="0203B1BC" w:rsidR="00D4668B" w:rsidRDefault="00D4668B" w:rsidP="00F16A3F">
      <w:pPr>
        <w:pStyle w:val="StyleJustified"/>
      </w:pPr>
      <w:r>
        <w:t>For this reason, only development that does not yet have full planning consent, or has been granted full consent after 14 September 2021, will be considered in this study.</w:t>
      </w:r>
      <w:r w:rsidR="00EA1919">
        <w:t xml:space="preserve"> </w:t>
      </w:r>
      <w:r w:rsidR="0070293B">
        <w:t xml:space="preserve"> </w:t>
      </w:r>
      <w:r w:rsidR="00EA1919">
        <w:t>This development must demonstrate water neutrality, which is required to ensure that planned growth comes forward in compliance with the Habit</w:t>
      </w:r>
      <w:r w:rsidR="00E03958">
        <w:t>ats Regulations.</w:t>
      </w:r>
    </w:p>
    <w:p w14:paraId="01A61F6C" w14:textId="77777777" w:rsidR="00D4668B" w:rsidRDefault="003C29B9" w:rsidP="00F16A3F">
      <w:pPr>
        <w:pStyle w:val="StyleJustified"/>
      </w:pPr>
      <w:r>
        <w:t>The estimated growth in the water resource zone up to 203</w:t>
      </w:r>
      <w:r w:rsidR="00222F7A">
        <w:t>7</w:t>
      </w:r>
      <w:r>
        <w:t xml:space="preserve"> </w:t>
      </w:r>
      <w:r w:rsidR="00D4668B">
        <w:t xml:space="preserve">from development that did not have full planning consent on 14 September 2021 </w:t>
      </w:r>
      <w:r>
        <w:t xml:space="preserve">is expected to be approximately </w:t>
      </w:r>
      <w:r w:rsidR="00D4668B">
        <w:t>22</w:t>
      </w:r>
      <w:r>
        <w:t>,000 new houses, and 8,</w:t>
      </w:r>
      <w:r w:rsidR="00D4668B">
        <w:t>8</w:t>
      </w:r>
      <w:r>
        <w:t>00 jobs as well as some other infrastructure such as schools.</w:t>
      </w:r>
    </w:p>
    <w:p w14:paraId="5D101D51" w14:textId="43B9DA43" w:rsidR="00BC3ACC" w:rsidRDefault="00BC3ACC" w:rsidP="00F16A3F">
      <w:pPr>
        <w:pStyle w:val="StyleJustified"/>
      </w:pPr>
      <w:r>
        <w:t xml:space="preserve">New water demand during the plan period is found to be </w:t>
      </w:r>
      <w:r w:rsidR="00D4668B">
        <w:t>5.</w:t>
      </w:r>
      <w:r w:rsidR="00DD3EF1">
        <w:t xml:space="preserve">5 </w:t>
      </w:r>
      <w:r>
        <w:t>Ml/d should LPAs adopt a water efficiency target of 100 litres per person per day for new build houses in planning policy.  This can be significantly reduced if a more ambitious target of 85l/p/d or 62l/p/d were adopted</w:t>
      </w:r>
      <w:r w:rsidR="00082C05">
        <w:t xml:space="preserve"> (as discussed in the Part A report)</w:t>
      </w:r>
      <w:r>
        <w:t>.  Th</w:t>
      </w:r>
      <w:r w:rsidR="00165870">
        <w:t>ese</w:t>
      </w:r>
      <w:r>
        <w:t xml:space="preserve"> </w:t>
      </w:r>
      <w:r w:rsidR="00165870">
        <w:t xml:space="preserve">ambitious targets </w:t>
      </w:r>
      <w:r>
        <w:t>could be achieved with a combination of water efficient fittings, and</w:t>
      </w:r>
      <w:r w:rsidR="00DD3EF1">
        <w:t xml:space="preserve">/or </w:t>
      </w:r>
      <w:r>
        <w:t>the requirement for new build housing to incorporate rainwater harvesting and/or greywater recycling schemes where possible.  The onus should be on developers to justify why th</w:t>
      </w:r>
      <w:r w:rsidR="00DD3EF1">
        <w:t>ese</w:t>
      </w:r>
      <w:r>
        <w:t xml:space="preserve"> cannot be </w:t>
      </w:r>
      <w:r w:rsidR="00DD3EF1">
        <w:t>achieved</w:t>
      </w:r>
      <w:r w:rsidR="000A3DF6">
        <w:t xml:space="preserve"> and wording should be clear that only exceptional circumstances will count</w:t>
      </w:r>
      <w:r>
        <w:t xml:space="preserve">. </w:t>
      </w:r>
      <w:r w:rsidR="00082C05">
        <w:t xml:space="preserve"> </w:t>
      </w:r>
      <w:r>
        <w:t>In these cases, developers could be asked to pay a higher contribution to offset the water demand from their development elsewhere.</w:t>
      </w:r>
    </w:p>
    <w:p w14:paraId="313AEADA" w14:textId="6145D271" w:rsidR="00AE2456" w:rsidRDefault="00AE2456" w:rsidP="00F16A3F">
      <w:pPr>
        <w:pStyle w:val="StyleJustified"/>
      </w:pPr>
      <w:r>
        <w:t xml:space="preserve">Should local plans only adopt the water efficiency targets contained in building regulations, then development will be significantly increasing the </w:t>
      </w:r>
      <w:r w:rsidR="00562926">
        <w:t>quantity of offsetting required</w:t>
      </w:r>
      <w:r>
        <w:t xml:space="preserve"> </w:t>
      </w:r>
      <w:r w:rsidR="00562926">
        <w:t xml:space="preserve">to </w:t>
      </w:r>
      <w:r>
        <w:t>achiev</w:t>
      </w:r>
      <w:r w:rsidR="00562926">
        <w:t>e</w:t>
      </w:r>
      <w:r>
        <w:t xml:space="preserve"> water neutrality.</w:t>
      </w:r>
    </w:p>
    <w:p w14:paraId="4E419746" w14:textId="77777777" w:rsidR="00D4668B" w:rsidRDefault="00D4668B" w:rsidP="00F16A3F">
      <w:pPr>
        <w:pStyle w:val="StyleJustified"/>
      </w:pPr>
      <w:r>
        <w:t xml:space="preserve">Southern Water (SW) have accounted for a significant proportion of growth within the Water Resource Management Plan (WRMP), and whilst the Local Plan growth forecasts are higher than originally anticipated, and SW must take additional measures to maintain supply-demand balance taking into account </w:t>
      </w:r>
      <w:r w:rsidR="00DF019E">
        <w:t>the</w:t>
      </w:r>
      <w:r>
        <w:t xml:space="preserve"> likely reduction in abstraction from Pulborough, a significant proportion of planned growth in Sussex North WRZ is already offset in SW’s plan. </w:t>
      </w:r>
    </w:p>
    <w:p w14:paraId="45553E7B" w14:textId="7B973437" w:rsidR="00D4668B" w:rsidRDefault="00D4668B" w:rsidP="00F16A3F">
      <w:pPr>
        <w:pStyle w:val="StyleJustified"/>
      </w:pPr>
      <w:r>
        <w:t>If a water efficiency target of 100 litres per person per day (l/p/d) for all new build houses were applied, the remaining water demand to offset would be 0.</w:t>
      </w:r>
      <w:r w:rsidR="00DD3EF1">
        <w:t>4Ml</w:t>
      </w:r>
      <w:r>
        <w:t xml:space="preserve">/d.  If a more ambitious target of 85l/p/d were adopted, the Local Plans would be water neutral by the end of the plan period, however there would be periods of the plan where water neutrality would not be </w:t>
      </w:r>
      <w:r w:rsidR="00DF019E">
        <w:t>achieved,</w:t>
      </w:r>
      <w:r>
        <w:t xml:space="preserve"> and so further mitigation would still be required. </w:t>
      </w:r>
    </w:p>
    <w:p w14:paraId="724ADDA8" w14:textId="77777777" w:rsidR="00BC3ACC" w:rsidRDefault="00D4668B" w:rsidP="00F16A3F">
      <w:pPr>
        <w:pStyle w:val="StyleJustified"/>
      </w:pPr>
      <w:r>
        <w:t xml:space="preserve">The </w:t>
      </w:r>
      <w:r w:rsidR="00BC3ACC">
        <w:t>remaining demand must be offset during the plan period using a combination of measures summarised below:</w:t>
      </w:r>
    </w:p>
    <w:p w14:paraId="3D26623A" w14:textId="77777777" w:rsidR="00BC3ACC" w:rsidRDefault="00BC3ACC" w:rsidP="00F16A3F">
      <w:pPr>
        <w:pStyle w:val="StyleJustified"/>
        <w:numPr>
          <w:ilvl w:val="0"/>
          <w:numId w:val="36"/>
        </w:numPr>
      </w:pPr>
      <w:r>
        <w:t xml:space="preserve">Household visits – a theoretical maximum of </w:t>
      </w:r>
      <w:r w:rsidR="00D4668B">
        <w:t>2.86</w:t>
      </w:r>
      <w:r>
        <w:t xml:space="preserve">Ml/d – a realistic programme of 2,000 visits per year </w:t>
      </w:r>
      <w:r w:rsidR="00DF019E">
        <w:t xml:space="preserve">(2023 to 2037) </w:t>
      </w:r>
      <w:r>
        <w:t>would contribute 0.</w:t>
      </w:r>
      <w:r w:rsidR="00DF019E">
        <w:t>72</w:t>
      </w:r>
      <w:r w:rsidR="00D4668B">
        <w:t xml:space="preserve"> </w:t>
      </w:r>
      <w:r>
        <w:t>Ml/d</w:t>
      </w:r>
      <w:r w:rsidR="00DF019E">
        <w:t xml:space="preserve"> by the end of the plan period</w:t>
      </w:r>
    </w:p>
    <w:p w14:paraId="04933001" w14:textId="77777777" w:rsidR="00BC3ACC" w:rsidRDefault="00BC3ACC" w:rsidP="00F16A3F">
      <w:pPr>
        <w:pStyle w:val="StyleJustified"/>
        <w:numPr>
          <w:ilvl w:val="0"/>
          <w:numId w:val="36"/>
        </w:numPr>
      </w:pPr>
      <w:r>
        <w:t xml:space="preserve">Extension of leakage reduction – a realistic contribution of 0.36Ml/d </w:t>
      </w:r>
    </w:p>
    <w:p w14:paraId="1DA53D2E" w14:textId="77777777" w:rsidR="00BC3ACC" w:rsidRDefault="00BC3ACC" w:rsidP="00F16A3F">
      <w:pPr>
        <w:pStyle w:val="StyleJustified"/>
        <w:numPr>
          <w:ilvl w:val="0"/>
          <w:numId w:val="36"/>
        </w:numPr>
      </w:pPr>
      <w:r>
        <w:t>Extension of metering programme – a theoretical maximum of 0.85Ml/d</w:t>
      </w:r>
    </w:p>
    <w:p w14:paraId="6728C4A2" w14:textId="77777777" w:rsidR="00BC3ACC" w:rsidRDefault="00BC3ACC" w:rsidP="00F16A3F">
      <w:pPr>
        <w:pStyle w:val="StyleJustified"/>
        <w:numPr>
          <w:ilvl w:val="0"/>
          <w:numId w:val="36"/>
        </w:numPr>
      </w:pPr>
      <w:r>
        <w:t>Non-household visits – 0.16Ml/d</w:t>
      </w:r>
    </w:p>
    <w:p w14:paraId="220C5A2A" w14:textId="77777777" w:rsidR="00BC3ACC" w:rsidRDefault="00BC3ACC" w:rsidP="00F16A3F">
      <w:pPr>
        <w:pStyle w:val="StyleJustified"/>
        <w:numPr>
          <w:ilvl w:val="0"/>
          <w:numId w:val="36"/>
        </w:numPr>
      </w:pPr>
      <w:r>
        <w:t>Non-household rainwater harvesting, or greywater recycling could also provide a significant contribution but would need to be assessed based on specific opportunities</w:t>
      </w:r>
    </w:p>
    <w:p w14:paraId="4EEBB288" w14:textId="72BB2E18" w:rsidR="00BC3ACC" w:rsidRDefault="00BC3ACC" w:rsidP="00F16A3F">
      <w:pPr>
        <w:pStyle w:val="StyleJustified"/>
      </w:pPr>
      <w:r>
        <w:t xml:space="preserve">Water neutrality is required throughout the Local Plan period.  It is expected that Southern Water will address the </w:t>
      </w:r>
      <w:r w:rsidR="009A291B">
        <w:t>supply-demand</w:t>
      </w:r>
      <w:r>
        <w:t xml:space="preserve"> balance, taking into account any sustainability reductions required to prevent environmental damage in the catchment.  This may include new water resources</w:t>
      </w:r>
      <w:r w:rsidR="001D69F1">
        <w:t>, or greater</w:t>
      </w:r>
      <w:r>
        <w:t xml:space="preserve"> use of existing strategic transfers.  This is likely to be included in the next WRMP but may not be delivered until 2028.  Water neutrality will therefore be required at least up until this date and may be required beyond should </w:t>
      </w:r>
      <w:r w:rsidR="00DF019E">
        <w:t xml:space="preserve">it not be possible to deliver the </w:t>
      </w:r>
      <w:r>
        <w:t>measures planned by Southern Water on time.  The water neutrality plan therefore should assume a significant buffer beyond 2028 where additional offsetting measures may be required</w:t>
      </w:r>
      <w:r w:rsidR="00A0548C">
        <w:t xml:space="preserve"> and must be certain for this period</w:t>
      </w:r>
      <w:r>
        <w:t>.</w:t>
      </w:r>
    </w:p>
    <w:p w14:paraId="432CEADD" w14:textId="77777777" w:rsidR="00E47B9D" w:rsidRDefault="00E47B9D" w:rsidP="00F16A3F">
      <w:pPr>
        <w:pStyle w:val="StyleJustified"/>
      </w:pPr>
      <w:r>
        <w:t>Although the contribution from education and engagement is difficult to quantify, they will form an integral part of any neutrality plan, raising awareness of the need to save water, the reason and benefits of fitting water saving devices and the importance of maintaining existing efficient devices.</w:t>
      </w:r>
    </w:p>
    <w:p w14:paraId="2D3B09DC" w14:textId="77777777" w:rsidR="00BC3ACC" w:rsidRDefault="00BC3ACC" w:rsidP="00F16A3F">
      <w:pPr>
        <w:pStyle w:val="StyleJustified"/>
      </w:pPr>
      <w:r>
        <w:t>The next stage of this work is to produce a draft plan for how this will be delivered.  This will include:</w:t>
      </w:r>
    </w:p>
    <w:p w14:paraId="4CF61423" w14:textId="77777777" w:rsidR="00D4668B" w:rsidRDefault="00D4668B" w:rsidP="00F16A3F">
      <w:pPr>
        <w:pStyle w:val="StyleListParagraphJustifiedRight12cm"/>
        <w:numPr>
          <w:ilvl w:val="0"/>
          <w:numId w:val="37"/>
        </w:numPr>
      </w:pPr>
      <w:r w:rsidRPr="00D4668B">
        <w:t>A series of workshops to be held with stakeholders to develop the details of a water neutrality plan.  These will build on the discussions to date and on stakeholder feedback to this report</w:t>
      </w:r>
      <w:r>
        <w:t>.</w:t>
      </w:r>
    </w:p>
    <w:p w14:paraId="176F6D0A" w14:textId="77777777" w:rsidR="00BC3ACC" w:rsidRDefault="00BC3ACC" w:rsidP="00F16A3F">
      <w:pPr>
        <w:pStyle w:val="StyleListParagraphJustifiedRight12cm"/>
        <w:numPr>
          <w:ilvl w:val="0"/>
          <w:numId w:val="37"/>
        </w:numPr>
      </w:pPr>
      <w:r>
        <w:t>A plan, signed up to by stakeholders, defining the measures required to reduce demand and offset growth. Each action must have an identified owner and agreed timescale.</w:t>
      </w:r>
    </w:p>
    <w:p w14:paraId="28B6E8CF" w14:textId="77777777" w:rsidR="00BC3ACC" w:rsidRDefault="00BC3ACC" w:rsidP="00F16A3F">
      <w:pPr>
        <w:pStyle w:val="StyleListParagraphJustifiedRight12cm"/>
        <w:numPr>
          <w:ilvl w:val="0"/>
          <w:numId w:val="37"/>
        </w:numPr>
      </w:pPr>
      <w:r>
        <w:t>A technical document stating our assumptions for each mitigation measure included in the plan, and the evidence base to support it.</w:t>
      </w:r>
    </w:p>
    <w:p w14:paraId="0C0E0E51" w14:textId="1780C6CF" w:rsidR="00BC3ACC" w:rsidRDefault="00BC3ACC" w:rsidP="00F16A3F">
      <w:pPr>
        <w:pStyle w:val="StyleListParagraphJustifiedRight12cm"/>
        <w:numPr>
          <w:ilvl w:val="0"/>
          <w:numId w:val="37"/>
        </w:numPr>
      </w:pPr>
      <w:r>
        <w:t>A water budget showing the expect</w:t>
      </w:r>
      <w:r w:rsidR="007A237D">
        <w:t>ed</w:t>
      </w:r>
      <w:r>
        <w:t xml:space="preserve"> increase in demand year by year, and the contribution required from offsetting measures</w:t>
      </w:r>
      <w:r w:rsidR="00F16A3F">
        <w:t>.</w:t>
      </w:r>
    </w:p>
    <w:p w14:paraId="4257B164" w14:textId="77777777" w:rsidR="00F16A3F" w:rsidRDefault="00F16A3F" w:rsidP="00F16A3F">
      <w:pPr>
        <w:pStyle w:val="StyleJustified"/>
      </w:pPr>
    </w:p>
    <w:p w14:paraId="1247E6FC" w14:textId="77777777" w:rsidR="00D4668B" w:rsidRDefault="00D4668B" w:rsidP="00F16A3F">
      <w:pPr>
        <w:pStyle w:val="StyleJustified"/>
      </w:pPr>
      <w:bookmarkStart w:id="1" w:name="_Hlk95816834"/>
      <w:r>
        <w:t>The measures already planned by Southern Water to reduce household demand go a significant proportion of the way to achieving water neutrality during the plan period.  The size of the remaining demand that must be offset and the scope and complexity of any offsetting scheme depends on the water efficiency target for new build housing.  Water-use should be reduced as low as possible, as early as possible to minimise the need for offsetting later in the plan.</w:t>
      </w:r>
    </w:p>
    <w:p w14:paraId="6B7515CE" w14:textId="77777777" w:rsidR="00D4668B" w:rsidRDefault="00D4668B" w:rsidP="00F16A3F">
      <w:pPr>
        <w:pStyle w:val="StyleJustified"/>
      </w:pPr>
      <w:r>
        <w:t>The carbon reduction that can be achieved through a reduction in water use should not be forgotten and could provide a significant contribution towards net zero climate targets.</w:t>
      </w:r>
    </w:p>
    <w:bookmarkEnd w:id="1"/>
    <w:p w14:paraId="05D26BE3" w14:textId="77777777" w:rsidR="00D4668B" w:rsidRDefault="00D4668B" w:rsidP="00F16A3F">
      <w:pPr>
        <w:pStyle w:val="StyleJustified"/>
      </w:pPr>
    </w:p>
    <w:p w14:paraId="7481943E" w14:textId="77777777" w:rsidR="00BC3ACC" w:rsidRDefault="00BC3ACC" w:rsidP="00F16A3F">
      <w:pPr>
        <w:pStyle w:val="StyleJustified"/>
      </w:pPr>
    </w:p>
    <w:p w14:paraId="2A20F1E1" w14:textId="77777777" w:rsidR="00EC6E36" w:rsidRDefault="00EC6E36">
      <w:pPr>
        <w:ind w:left="0" w:right="0"/>
        <w:rPr>
          <w:rFonts w:eastAsia="Times New Roman"/>
          <w:b/>
          <w:iCs/>
          <w:color w:val="153B55"/>
          <w:sz w:val="24"/>
        </w:rPr>
      </w:pPr>
      <w:r>
        <w:br w:type="page"/>
      </w:r>
    </w:p>
    <w:p w14:paraId="4CEC192F" w14:textId="77777777" w:rsidR="004734A5" w:rsidRDefault="004734A5" w:rsidP="004734A5">
      <w:pPr>
        <w:pStyle w:val="Heading6"/>
      </w:pPr>
      <w:r w:rsidRPr="004852F6">
        <w:t>Contents</w:t>
      </w:r>
      <w:r>
        <w:t xml:space="preserve"> </w:t>
      </w:r>
    </w:p>
    <w:bookmarkStart w:id="2" w:name="_Toc495576306"/>
    <w:bookmarkStart w:id="3" w:name="_Toc496616392"/>
    <w:p w14:paraId="4A9E8F81" w14:textId="6A864ADF" w:rsidR="004F2671" w:rsidRDefault="008F6A2A">
      <w:pPr>
        <w:pStyle w:val="TOC1"/>
        <w:rPr>
          <w:rFonts w:asciiTheme="minorHAnsi" w:eastAsiaTheme="minorEastAsia" w:hAnsiTheme="minorHAnsi" w:cstheme="minorBidi"/>
          <w:bCs w:val="0"/>
          <w:noProof/>
          <w:sz w:val="22"/>
          <w:szCs w:val="22"/>
        </w:rPr>
      </w:pPr>
      <w:r>
        <w:rPr>
          <w:sz w:val="20"/>
        </w:rPr>
        <w:fldChar w:fldCharType="begin"/>
      </w:r>
      <w:r>
        <w:instrText xml:space="preserve"> TOC \o "1-3" \h \z \u\t"heading 7,7" </w:instrText>
      </w:r>
      <w:r>
        <w:rPr>
          <w:sz w:val="20"/>
        </w:rPr>
        <w:fldChar w:fldCharType="separate"/>
      </w:r>
      <w:hyperlink w:anchor="_Toc101856659" w:history="1">
        <w:r w:rsidR="004F2671" w:rsidRPr="00B81D76">
          <w:rPr>
            <w:rStyle w:val="Hyperlink"/>
            <w:noProof/>
          </w:rPr>
          <w:t>1</w:t>
        </w:r>
        <w:r w:rsidR="004F2671">
          <w:rPr>
            <w:rFonts w:asciiTheme="minorHAnsi" w:eastAsiaTheme="minorEastAsia" w:hAnsiTheme="minorHAnsi" w:cstheme="minorBidi"/>
            <w:bCs w:val="0"/>
            <w:noProof/>
            <w:sz w:val="22"/>
            <w:szCs w:val="22"/>
          </w:rPr>
          <w:tab/>
        </w:r>
        <w:r w:rsidR="004F2671" w:rsidRPr="00B81D76">
          <w:rPr>
            <w:rStyle w:val="Hyperlink"/>
            <w:noProof/>
          </w:rPr>
          <w:t>Introduction</w:t>
        </w:r>
        <w:r w:rsidR="004F2671">
          <w:rPr>
            <w:noProof/>
            <w:webHidden/>
          </w:rPr>
          <w:tab/>
        </w:r>
        <w:r w:rsidR="004F2671">
          <w:rPr>
            <w:noProof/>
            <w:webHidden/>
          </w:rPr>
          <w:fldChar w:fldCharType="begin"/>
        </w:r>
        <w:r w:rsidR="004F2671">
          <w:rPr>
            <w:noProof/>
            <w:webHidden/>
          </w:rPr>
          <w:instrText xml:space="preserve"> PAGEREF _Toc101856659 \h </w:instrText>
        </w:r>
        <w:r w:rsidR="004F2671">
          <w:rPr>
            <w:noProof/>
            <w:webHidden/>
          </w:rPr>
        </w:r>
        <w:r w:rsidR="004F2671">
          <w:rPr>
            <w:noProof/>
            <w:webHidden/>
          </w:rPr>
          <w:fldChar w:fldCharType="separate"/>
        </w:r>
        <w:r w:rsidR="00643E47">
          <w:rPr>
            <w:noProof/>
            <w:webHidden/>
          </w:rPr>
          <w:t>1</w:t>
        </w:r>
        <w:r w:rsidR="004F2671">
          <w:rPr>
            <w:noProof/>
            <w:webHidden/>
          </w:rPr>
          <w:fldChar w:fldCharType="end"/>
        </w:r>
      </w:hyperlink>
    </w:p>
    <w:p w14:paraId="3FF42EE4" w14:textId="5948724B" w:rsidR="004F2671" w:rsidRDefault="00E6462B">
      <w:pPr>
        <w:pStyle w:val="TOC2"/>
        <w:rPr>
          <w:rFonts w:asciiTheme="minorHAnsi" w:eastAsiaTheme="minorEastAsia" w:hAnsiTheme="minorHAnsi" w:cstheme="minorBidi"/>
          <w:bCs w:val="0"/>
          <w:noProof/>
          <w:sz w:val="22"/>
          <w:szCs w:val="22"/>
        </w:rPr>
      </w:pPr>
      <w:hyperlink w:anchor="_Toc101856660" w:history="1">
        <w:r w:rsidR="004F2671" w:rsidRPr="00B81D76">
          <w:rPr>
            <w:rStyle w:val="Hyperlink"/>
            <w:noProof/>
          </w:rPr>
          <w:t>1.1</w:t>
        </w:r>
        <w:r w:rsidR="004F2671">
          <w:rPr>
            <w:rFonts w:asciiTheme="minorHAnsi" w:eastAsiaTheme="minorEastAsia" w:hAnsiTheme="minorHAnsi" w:cstheme="minorBidi"/>
            <w:bCs w:val="0"/>
            <w:noProof/>
            <w:sz w:val="22"/>
            <w:szCs w:val="22"/>
          </w:rPr>
          <w:tab/>
        </w:r>
        <w:r w:rsidR="004F2671" w:rsidRPr="00B81D76">
          <w:rPr>
            <w:rStyle w:val="Hyperlink"/>
            <w:noProof/>
          </w:rPr>
          <w:t>Background</w:t>
        </w:r>
        <w:r w:rsidR="004F2671">
          <w:rPr>
            <w:noProof/>
            <w:webHidden/>
          </w:rPr>
          <w:tab/>
        </w:r>
        <w:r w:rsidR="004F2671">
          <w:rPr>
            <w:noProof/>
            <w:webHidden/>
          </w:rPr>
          <w:fldChar w:fldCharType="begin"/>
        </w:r>
        <w:r w:rsidR="004F2671">
          <w:rPr>
            <w:noProof/>
            <w:webHidden/>
          </w:rPr>
          <w:instrText xml:space="preserve"> PAGEREF _Toc101856660 \h </w:instrText>
        </w:r>
        <w:r w:rsidR="004F2671">
          <w:rPr>
            <w:noProof/>
            <w:webHidden/>
          </w:rPr>
        </w:r>
        <w:r w:rsidR="004F2671">
          <w:rPr>
            <w:noProof/>
            <w:webHidden/>
          </w:rPr>
          <w:fldChar w:fldCharType="separate"/>
        </w:r>
        <w:r w:rsidR="00643E47">
          <w:rPr>
            <w:noProof/>
            <w:webHidden/>
          </w:rPr>
          <w:t>1</w:t>
        </w:r>
        <w:r w:rsidR="004F2671">
          <w:rPr>
            <w:noProof/>
            <w:webHidden/>
          </w:rPr>
          <w:fldChar w:fldCharType="end"/>
        </w:r>
      </w:hyperlink>
    </w:p>
    <w:p w14:paraId="15B7B14E" w14:textId="2D98D463" w:rsidR="004F2671" w:rsidRDefault="00E6462B">
      <w:pPr>
        <w:pStyle w:val="TOC2"/>
        <w:rPr>
          <w:rFonts w:asciiTheme="minorHAnsi" w:eastAsiaTheme="minorEastAsia" w:hAnsiTheme="minorHAnsi" w:cstheme="minorBidi"/>
          <w:bCs w:val="0"/>
          <w:noProof/>
          <w:sz w:val="22"/>
          <w:szCs w:val="22"/>
        </w:rPr>
      </w:pPr>
      <w:hyperlink w:anchor="_Toc101856661" w:history="1">
        <w:r w:rsidR="004F2671" w:rsidRPr="00B81D76">
          <w:rPr>
            <w:rStyle w:val="Hyperlink"/>
            <w:noProof/>
          </w:rPr>
          <w:t>1.2</w:t>
        </w:r>
        <w:r w:rsidR="004F2671">
          <w:rPr>
            <w:rFonts w:asciiTheme="minorHAnsi" w:eastAsiaTheme="minorEastAsia" w:hAnsiTheme="minorHAnsi" w:cstheme="minorBidi"/>
            <w:bCs w:val="0"/>
            <w:noProof/>
            <w:sz w:val="22"/>
            <w:szCs w:val="22"/>
          </w:rPr>
          <w:tab/>
        </w:r>
        <w:r w:rsidR="004F2671" w:rsidRPr="00B81D76">
          <w:rPr>
            <w:rStyle w:val="Hyperlink"/>
            <w:noProof/>
          </w:rPr>
          <w:t>Water neutrality background</w:t>
        </w:r>
        <w:r w:rsidR="004F2671">
          <w:rPr>
            <w:noProof/>
            <w:webHidden/>
          </w:rPr>
          <w:tab/>
        </w:r>
        <w:r w:rsidR="004F2671">
          <w:rPr>
            <w:noProof/>
            <w:webHidden/>
          </w:rPr>
          <w:fldChar w:fldCharType="begin"/>
        </w:r>
        <w:r w:rsidR="004F2671">
          <w:rPr>
            <w:noProof/>
            <w:webHidden/>
          </w:rPr>
          <w:instrText xml:space="preserve"> PAGEREF _Toc101856661 \h </w:instrText>
        </w:r>
        <w:r w:rsidR="004F2671">
          <w:rPr>
            <w:noProof/>
            <w:webHidden/>
          </w:rPr>
        </w:r>
        <w:r w:rsidR="004F2671">
          <w:rPr>
            <w:noProof/>
            <w:webHidden/>
          </w:rPr>
          <w:fldChar w:fldCharType="separate"/>
        </w:r>
        <w:r w:rsidR="00643E47">
          <w:rPr>
            <w:noProof/>
            <w:webHidden/>
          </w:rPr>
          <w:t>3</w:t>
        </w:r>
        <w:r w:rsidR="004F2671">
          <w:rPr>
            <w:noProof/>
            <w:webHidden/>
          </w:rPr>
          <w:fldChar w:fldCharType="end"/>
        </w:r>
      </w:hyperlink>
    </w:p>
    <w:p w14:paraId="4319B3F5" w14:textId="5910AD0C" w:rsidR="004F2671" w:rsidRDefault="00E6462B">
      <w:pPr>
        <w:pStyle w:val="TOC2"/>
        <w:rPr>
          <w:rFonts w:asciiTheme="minorHAnsi" w:eastAsiaTheme="minorEastAsia" w:hAnsiTheme="minorHAnsi" w:cstheme="minorBidi"/>
          <w:bCs w:val="0"/>
          <w:noProof/>
          <w:sz w:val="22"/>
          <w:szCs w:val="22"/>
        </w:rPr>
      </w:pPr>
      <w:hyperlink w:anchor="_Toc101856662" w:history="1">
        <w:r w:rsidR="004F2671" w:rsidRPr="00B81D76">
          <w:rPr>
            <w:rStyle w:val="Hyperlink"/>
            <w:noProof/>
          </w:rPr>
          <w:t>1.3</w:t>
        </w:r>
        <w:r w:rsidR="004F2671">
          <w:rPr>
            <w:rFonts w:asciiTheme="minorHAnsi" w:eastAsiaTheme="minorEastAsia" w:hAnsiTheme="minorHAnsi" w:cstheme="minorBidi"/>
            <w:bCs w:val="0"/>
            <w:noProof/>
            <w:sz w:val="22"/>
            <w:szCs w:val="22"/>
          </w:rPr>
          <w:tab/>
        </w:r>
        <w:r w:rsidR="004F2671" w:rsidRPr="00B81D76">
          <w:rPr>
            <w:rStyle w:val="Hyperlink"/>
            <w:noProof/>
          </w:rPr>
          <w:t>Natural England Position Statement</w:t>
        </w:r>
        <w:r w:rsidR="004F2671">
          <w:rPr>
            <w:noProof/>
            <w:webHidden/>
          </w:rPr>
          <w:tab/>
        </w:r>
        <w:r w:rsidR="004F2671">
          <w:rPr>
            <w:noProof/>
            <w:webHidden/>
          </w:rPr>
          <w:fldChar w:fldCharType="begin"/>
        </w:r>
        <w:r w:rsidR="004F2671">
          <w:rPr>
            <w:noProof/>
            <w:webHidden/>
          </w:rPr>
          <w:instrText xml:space="preserve"> PAGEREF _Toc101856662 \h </w:instrText>
        </w:r>
        <w:r w:rsidR="004F2671">
          <w:rPr>
            <w:noProof/>
            <w:webHidden/>
          </w:rPr>
        </w:r>
        <w:r w:rsidR="004F2671">
          <w:rPr>
            <w:noProof/>
            <w:webHidden/>
          </w:rPr>
          <w:fldChar w:fldCharType="separate"/>
        </w:r>
        <w:r w:rsidR="00643E47">
          <w:rPr>
            <w:noProof/>
            <w:webHidden/>
          </w:rPr>
          <w:t>3</w:t>
        </w:r>
        <w:r w:rsidR="004F2671">
          <w:rPr>
            <w:noProof/>
            <w:webHidden/>
          </w:rPr>
          <w:fldChar w:fldCharType="end"/>
        </w:r>
      </w:hyperlink>
    </w:p>
    <w:p w14:paraId="4C19A7CD" w14:textId="6F81FAAD" w:rsidR="004F2671" w:rsidRDefault="00E6462B">
      <w:pPr>
        <w:pStyle w:val="TOC2"/>
        <w:rPr>
          <w:rFonts w:asciiTheme="minorHAnsi" w:eastAsiaTheme="minorEastAsia" w:hAnsiTheme="minorHAnsi" w:cstheme="minorBidi"/>
          <w:bCs w:val="0"/>
          <w:noProof/>
          <w:sz w:val="22"/>
          <w:szCs w:val="22"/>
        </w:rPr>
      </w:pPr>
      <w:hyperlink w:anchor="_Toc101856663" w:history="1">
        <w:r w:rsidR="004F2671" w:rsidRPr="00B81D76">
          <w:rPr>
            <w:rStyle w:val="Hyperlink"/>
            <w:noProof/>
          </w:rPr>
          <w:t>1.4</w:t>
        </w:r>
        <w:r w:rsidR="004F2671">
          <w:rPr>
            <w:rFonts w:asciiTheme="minorHAnsi" w:eastAsiaTheme="minorEastAsia" w:hAnsiTheme="minorHAnsi" w:cstheme="minorBidi"/>
            <w:bCs w:val="0"/>
            <w:noProof/>
            <w:sz w:val="22"/>
            <w:szCs w:val="22"/>
          </w:rPr>
          <w:tab/>
        </w:r>
        <w:r w:rsidR="004F2671" w:rsidRPr="00B81D76">
          <w:rPr>
            <w:rStyle w:val="Hyperlink"/>
            <w:noProof/>
          </w:rPr>
          <w:t>Geographic extent</w:t>
        </w:r>
        <w:r w:rsidR="004F2671">
          <w:rPr>
            <w:noProof/>
            <w:webHidden/>
          </w:rPr>
          <w:tab/>
        </w:r>
        <w:r w:rsidR="004F2671">
          <w:rPr>
            <w:noProof/>
            <w:webHidden/>
          </w:rPr>
          <w:fldChar w:fldCharType="begin"/>
        </w:r>
        <w:r w:rsidR="004F2671">
          <w:rPr>
            <w:noProof/>
            <w:webHidden/>
          </w:rPr>
          <w:instrText xml:space="preserve"> PAGEREF _Toc101856663 \h </w:instrText>
        </w:r>
        <w:r w:rsidR="004F2671">
          <w:rPr>
            <w:noProof/>
            <w:webHidden/>
          </w:rPr>
        </w:r>
        <w:r w:rsidR="004F2671">
          <w:rPr>
            <w:noProof/>
            <w:webHidden/>
          </w:rPr>
          <w:fldChar w:fldCharType="separate"/>
        </w:r>
        <w:r w:rsidR="00643E47">
          <w:rPr>
            <w:noProof/>
            <w:webHidden/>
          </w:rPr>
          <w:t>4</w:t>
        </w:r>
        <w:r w:rsidR="004F2671">
          <w:rPr>
            <w:noProof/>
            <w:webHidden/>
          </w:rPr>
          <w:fldChar w:fldCharType="end"/>
        </w:r>
      </w:hyperlink>
    </w:p>
    <w:p w14:paraId="0F474F99" w14:textId="45EF3F44" w:rsidR="004F2671" w:rsidRDefault="00E6462B">
      <w:pPr>
        <w:pStyle w:val="TOC2"/>
        <w:rPr>
          <w:rFonts w:asciiTheme="minorHAnsi" w:eastAsiaTheme="minorEastAsia" w:hAnsiTheme="minorHAnsi" w:cstheme="minorBidi"/>
          <w:bCs w:val="0"/>
          <w:noProof/>
          <w:sz w:val="22"/>
          <w:szCs w:val="22"/>
        </w:rPr>
      </w:pPr>
      <w:hyperlink w:anchor="_Toc101856664" w:history="1">
        <w:r w:rsidR="004F2671" w:rsidRPr="00B81D76">
          <w:rPr>
            <w:rStyle w:val="Hyperlink"/>
            <w:noProof/>
          </w:rPr>
          <w:t>1.5</w:t>
        </w:r>
        <w:r w:rsidR="004F2671">
          <w:rPr>
            <w:rFonts w:asciiTheme="minorHAnsi" w:eastAsiaTheme="minorEastAsia" w:hAnsiTheme="minorHAnsi" w:cstheme="minorBidi"/>
            <w:bCs w:val="0"/>
            <w:noProof/>
            <w:sz w:val="22"/>
            <w:szCs w:val="22"/>
          </w:rPr>
          <w:tab/>
        </w:r>
        <w:r w:rsidR="004F2671" w:rsidRPr="00B81D76">
          <w:rPr>
            <w:rStyle w:val="Hyperlink"/>
            <w:noProof/>
          </w:rPr>
          <w:t>Timeframe of neutrality strategy</w:t>
        </w:r>
        <w:r w:rsidR="004F2671">
          <w:rPr>
            <w:noProof/>
            <w:webHidden/>
          </w:rPr>
          <w:tab/>
        </w:r>
        <w:r w:rsidR="004F2671">
          <w:rPr>
            <w:noProof/>
            <w:webHidden/>
          </w:rPr>
          <w:fldChar w:fldCharType="begin"/>
        </w:r>
        <w:r w:rsidR="004F2671">
          <w:rPr>
            <w:noProof/>
            <w:webHidden/>
          </w:rPr>
          <w:instrText xml:space="preserve"> PAGEREF _Toc101856664 \h </w:instrText>
        </w:r>
        <w:r w:rsidR="004F2671">
          <w:rPr>
            <w:noProof/>
            <w:webHidden/>
          </w:rPr>
        </w:r>
        <w:r w:rsidR="004F2671">
          <w:rPr>
            <w:noProof/>
            <w:webHidden/>
          </w:rPr>
          <w:fldChar w:fldCharType="separate"/>
        </w:r>
        <w:r w:rsidR="00643E47">
          <w:rPr>
            <w:noProof/>
            <w:webHidden/>
          </w:rPr>
          <w:t>5</w:t>
        </w:r>
        <w:r w:rsidR="004F2671">
          <w:rPr>
            <w:noProof/>
            <w:webHidden/>
          </w:rPr>
          <w:fldChar w:fldCharType="end"/>
        </w:r>
      </w:hyperlink>
    </w:p>
    <w:p w14:paraId="3DC5582E" w14:textId="68F8E36F" w:rsidR="004F2671" w:rsidRDefault="00E6462B">
      <w:pPr>
        <w:pStyle w:val="TOC1"/>
        <w:rPr>
          <w:rFonts w:asciiTheme="minorHAnsi" w:eastAsiaTheme="minorEastAsia" w:hAnsiTheme="minorHAnsi" w:cstheme="minorBidi"/>
          <w:bCs w:val="0"/>
          <w:noProof/>
          <w:sz w:val="22"/>
          <w:szCs w:val="22"/>
        </w:rPr>
      </w:pPr>
      <w:hyperlink w:anchor="_Toc101856665" w:history="1">
        <w:r w:rsidR="004F2671" w:rsidRPr="00B81D76">
          <w:rPr>
            <w:rStyle w:val="Hyperlink"/>
            <w:noProof/>
          </w:rPr>
          <w:t>2</w:t>
        </w:r>
        <w:r w:rsidR="004F2671">
          <w:rPr>
            <w:rFonts w:asciiTheme="minorHAnsi" w:eastAsiaTheme="minorEastAsia" w:hAnsiTheme="minorHAnsi" w:cstheme="minorBidi"/>
            <w:bCs w:val="0"/>
            <w:noProof/>
            <w:sz w:val="22"/>
            <w:szCs w:val="22"/>
          </w:rPr>
          <w:tab/>
        </w:r>
        <w:r w:rsidR="004F2671" w:rsidRPr="00B81D76">
          <w:rPr>
            <w:rStyle w:val="Hyperlink"/>
            <w:noProof/>
          </w:rPr>
          <w:t>Growth in Sussex North WRZ</w:t>
        </w:r>
        <w:r w:rsidR="004F2671">
          <w:rPr>
            <w:noProof/>
            <w:webHidden/>
          </w:rPr>
          <w:tab/>
        </w:r>
        <w:r w:rsidR="004F2671">
          <w:rPr>
            <w:noProof/>
            <w:webHidden/>
          </w:rPr>
          <w:fldChar w:fldCharType="begin"/>
        </w:r>
        <w:r w:rsidR="004F2671">
          <w:rPr>
            <w:noProof/>
            <w:webHidden/>
          </w:rPr>
          <w:instrText xml:space="preserve"> PAGEREF _Toc101856665 \h </w:instrText>
        </w:r>
        <w:r w:rsidR="004F2671">
          <w:rPr>
            <w:noProof/>
            <w:webHidden/>
          </w:rPr>
        </w:r>
        <w:r w:rsidR="004F2671">
          <w:rPr>
            <w:noProof/>
            <w:webHidden/>
          </w:rPr>
          <w:fldChar w:fldCharType="separate"/>
        </w:r>
        <w:r w:rsidR="00643E47">
          <w:rPr>
            <w:noProof/>
            <w:webHidden/>
          </w:rPr>
          <w:t>6</w:t>
        </w:r>
        <w:r w:rsidR="004F2671">
          <w:rPr>
            <w:noProof/>
            <w:webHidden/>
          </w:rPr>
          <w:fldChar w:fldCharType="end"/>
        </w:r>
      </w:hyperlink>
    </w:p>
    <w:p w14:paraId="56D4AE02" w14:textId="6043209F" w:rsidR="004F2671" w:rsidRDefault="00E6462B">
      <w:pPr>
        <w:pStyle w:val="TOC2"/>
        <w:rPr>
          <w:rFonts w:asciiTheme="minorHAnsi" w:eastAsiaTheme="minorEastAsia" w:hAnsiTheme="minorHAnsi" w:cstheme="minorBidi"/>
          <w:bCs w:val="0"/>
          <w:noProof/>
          <w:sz w:val="22"/>
          <w:szCs w:val="22"/>
        </w:rPr>
      </w:pPr>
      <w:hyperlink w:anchor="_Toc101856666" w:history="1">
        <w:r w:rsidR="004F2671" w:rsidRPr="00B81D76">
          <w:rPr>
            <w:rStyle w:val="Hyperlink"/>
            <w:noProof/>
          </w:rPr>
          <w:t>2.1</w:t>
        </w:r>
        <w:r w:rsidR="004F2671">
          <w:rPr>
            <w:rFonts w:asciiTheme="minorHAnsi" w:eastAsiaTheme="minorEastAsia" w:hAnsiTheme="minorHAnsi" w:cstheme="minorBidi"/>
            <w:bCs w:val="0"/>
            <w:noProof/>
            <w:sz w:val="22"/>
            <w:szCs w:val="22"/>
          </w:rPr>
          <w:tab/>
        </w:r>
        <w:r w:rsidR="004F2671" w:rsidRPr="00B81D76">
          <w:rPr>
            <w:rStyle w:val="Hyperlink"/>
            <w:noProof/>
          </w:rPr>
          <w:t>Introduction</w:t>
        </w:r>
        <w:r w:rsidR="004F2671">
          <w:rPr>
            <w:noProof/>
            <w:webHidden/>
          </w:rPr>
          <w:tab/>
        </w:r>
        <w:r w:rsidR="004F2671">
          <w:rPr>
            <w:noProof/>
            <w:webHidden/>
          </w:rPr>
          <w:fldChar w:fldCharType="begin"/>
        </w:r>
        <w:r w:rsidR="004F2671">
          <w:rPr>
            <w:noProof/>
            <w:webHidden/>
          </w:rPr>
          <w:instrText xml:space="preserve"> PAGEREF _Toc101856666 \h </w:instrText>
        </w:r>
        <w:r w:rsidR="004F2671">
          <w:rPr>
            <w:noProof/>
            <w:webHidden/>
          </w:rPr>
        </w:r>
        <w:r w:rsidR="004F2671">
          <w:rPr>
            <w:noProof/>
            <w:webHidden/>
          </w:rPr>
          <w:fldChar w:fldCharType="separate"/>
        </w:r>
        <w:r w:rsidR="00643E47">
          <w:rPr>
            <w:noProof/>
            <w:webHidden/>
          </w:rPr>
          <w:t>6</w:t>
        </w:r>
        <w:r w:rsidR="004F2671">
          <w:rPr>
            <w:noProof/>
            <w:webHidden/>
          </w:rPr>
          <w:fldChar w:fldCharType="end"/>
        </w:r>
      </w:hyperlink>
    </w:p>
    <w:p w14:paraId="38245FA3" w14:textId="704752C6" w:rsidR="004F2671" w:rsidRDefault="00E6462B">
      <w:pPr>
        <w:pStyle w:val="TOC2"/>
        <w:rPr>
          <w:rFonts w:asciiTheme="minorHAnsi" w:eastAsiaTheme="minorEastAsia" w:hAnsiTheme="minorHAnsi" w:cstheme="minorBidi"/>
          <w:bCs w:val="0"/>
          <w:noProof/>
          <w:sz w:val="22"/>
          <w:szCs w:val="22"/>
        </w:rPr>
      </w:pPr>
      <w:hyperlink w:anchor="_Toc101856667" w:history="1">
        <w:r w:rsidR="004F2671" w:rsidRPr="00B81D76">
          <w:rPr>
            <w:rStyle w:val="Hyperlink"/>
            <w:noProof/>
          </w:rPr>
          <w:t>2.2</w:t>
        </w:r>
        <w:r w:rsidR="004F2671">
          <w:rPr>
            <w:rFonts w:asciiTheme="minorHAnsi" w:eastAsiaTheme="minorEastAsia" w:hAnsiTheme="minorHAnsi" w:cstheme="minorBidi"/>
            <w:bCs w:val="0"/>
            <w:noProof/>
            <w:sz w:val="22"/>
            <w:szCs w:val="22"/>
          </w:rPr>
          <w:tab/>
        </w:r>
        <w:r w:rsidR="004F2671" w:rsidRPr="00B81D76">
          <w:rPr>
            <w:rStyle w:val="Hyperlink"/>
            <w:noProof/>
          </w:rPr>
          <w:t>Crawley Borough Council</w:t>
        </w:r>
        <w:r w:rsidR="004F2671">
          <w:rPr>
            <w:noProof/>
            <w:webHidden/>
          </w:rPr>
          <w:tab/>
        </w:r>
        <w:r w:rsidR="004F2671">
          <w:rPr>
            <w:noProof/>
            <w:webHidden/>
          </w:rPr>
          <w:fldChar w:fldCharType="begin"/>
        </w:r>
        <w:r w:rsidR="004F2671">
          <w:rPr>
            <w:noProof/>
            <w:webHidden/>
          </w:rPr>
          <w:instrText xml:space="preserve"> PAGEREF _Toc101856667 \h </w:instrText>
        </w:r>
        <w:r w:rsidR="004F2671">
          <w:rPr>
            <w:noProof/>
            <w:webHidden/>
          </w:rPr>
        </w:r>
        <w:r w:rsidR="004F2671">
          <w:rPr>
            <w:noProof/>
            <w:webHidden/>
          </w:rPr>
          <w:fldChar w:fldCharType="separate"/>
        </w:r>
        <w:r w:rsidR="00643E47">
          <w:rPr>
            <w:noProof/>
            <w:webHidden/>
          </w:rPr>
          <w:t>6</w:t>
        </w:r>
        <w:r w:rsidR="004F2671">
          <w:rPr>
            <w:noProof/>
            <w:webHidden/>
          </w:rPr>
          <w:fldChar w:fldCharType="end"/>
        </w:r>
      </w:hyperlink>
    </w:p>
    <w:p w14:paraId="6675D30B" w14:textId="4A2E4458" w:rsidR="004F2671" w:rsidRDefault="00E6462B">
      <w:pPr>
        <w:pStyle w:val="TOC2"/>
        <w:rPr>
          <w:rFonts w:asciiTheme="minorHAnsi" w:eastAsiaTheme="minorEastAsia" w:hAnsiTheme="minorHAnsi" w:cstheme="minorBidi"/>
          <w:bCs w:val="0"/>
          <w:noProof/>
          <w:sz w:val="22"/>
          <w:szCs w:val="22"/>
        </w:rPr>
      </w:pPr>
      <w:hyperlink w:anchor="_Toc101856668" w:history="1">
        <w:r w:rsidR="004F2671" w:rsidRPr="00B81D76">
          <w:rPr>
            <w:rStyle w:val="Hyperlink"/>
            <w:noProof/>
          </w:rPr>
          <w:t>2.3</w:t>
        </w:r>
        <w:r w:rsidR="004F2671">
          <w:rPr>
            <w:rFonts w:asciiTheme="minorHAnsi" w:eastAsiaTheme="minorEastAsia" w:hAnsiTheme="minorHAnsi" w:cstheme="minorBidi"/>
            <w:bCs w:val="0"/>
            <w:noProof/>
            <w:sz w:val="22"/>
            <w:szCs w:val="22"/>
          </w:rPr>
          <w:tab/>
        </w:r>
        <w:r w:rsidR="004F2671" w:rsidRPr="00B81D76">
          <w:rPr>
            <w:rStyle w:val="Hyperlink"/>
            <w:noProof/>
          </w:rPr>
          <w:t>Chichester District Council</w:t>
        </w:r>
        <w:r w:rsidR="004F2671">
          <w:rPr>
            <w:noProof/>
            <w:webHidden/>
          </w:rPr>
          <w:tab/>
        </w:r>
        <w:r w:rsidR="004F2671">
          <w:rPr>
            <w:noProof/>
            <w:webHidden/>
          </w:rPr>
          <w:fldChar w:fldCharType="begin"/>
        </w:r>
        <w:r w:rsidR="004F2671">
          <w:rPr>
            <w:noProof/>
            <w:webHidden/>
          </w:rPr>
          <w:instrText xml:space="preserve"> PAGEREF _Toc101856668 \h </w:instrText>
        </w:r>
        <w:r w:rsidR="004F2671">
          <w:rPr>
            <w:noProof/>
            <w:webHidden/>
          </w:rPr>
        </w:r>
        <w:r w:rsidR="004F2671">
          <w:rPr>
            <w:noProof/>
            <w:webHidden/>
          </w:rPr>
          <w:fldChar w:fldCharType="separate"/>
        </w:r>
        <w:r w:rsidR="00643E47">
          <w:rPr>
            <w:noProof/>
            <w:webHidden/>
          </w:rPr>
          <w:t>6</w:t>
        </w:r>
        <w:r w:rsidR="004F2671">
          <w:rPr>
            <w:noProof/>
            <w:webHidden/>
          </w:rPr>
          <w:fldChar w:fldCharType="end"/>
        </w:r>
      </w:hyperlink>
    </w:p>
    <w:p w14:paraId="512E3D3D" w14:textId="76755DBA" w:rsidR="004F2671" w:rsidRDefault="00E6462B">
      <w:pPr>
        <w:pStyle w:val="TOC2"/>
        <w:rPr>
          <w:rFonts w:asciiTheme="minorHAnsi" w:eastAsiaTheme="minorEastAsia" w:hAnsiTheme="minorHAnsi" w:cstheme="minorBidi"/>
          <w:bCs w:val="0"/>
          <w:noProof/>
          <w:sz w:val="22"/>
          <w:szCs w:val="22"/>
        </w:rPr>
      </w:pPr>
      <w:hyperlink w:anchor="_Toc101856669" w:history="1">
        <w:r w:rsidR="004F2671" w:rsidRPr="00B81D76">
          <w:rPr>
            <w:rStyle w:val="Hyperlink"/>
            <w:noProof/>
          </w:rPr>
          <w:t>2.4</w:t>
        </w:r>
        <w:r w:rsidR="004F2671">
          <w:rPr>
            <w:rFonts w:asciiTheme="minorHAnsi" w:eastAsiaTheme="minorEastAsia" w:hAnsiTheme="minorHAnsi" w:cstheme="minorBidi"/>
            <w:bCs w:val="0"/>
            <w:noProof/>
            <w:sz w:val="22"/>
            <w:szCs w:val="22"/>
          </w:rPr>
          <w:tab/>
        </w:r>
        <w:r w:rsidR="004F2671" w:rsidRPr="00B81D76">
          <w:rPr>
            <w:rStyle w:val="Hyperlink"/>
            <w:noProof/>
          </w:rPr>
          <w:t>Horsham District Council</w:t>
        </w:r>
        <w:r w:rsidR="004F2671">
          <w:rPr>
            <w:noProof/>
            <w:webHidden/>
          </w:rPr>
          <w:tab/>
        </w:r>
        <w:r w:rsidR="004F2671">
          <w:rPr>
            <w:noProof/>
            <w:webHidden/>
          </w:rPr>
          <w:fldChar w:fldCharType="begin"/>
        </w:r>
        <w:r w:rsidR="004F2671">
          <w:rPr>
            <w:noProof/>
            <w:webHidden/>
          </w:rPr>
          <w:instrText xml:space="preserve"> PAGEREF _Toc101856669 \h </w:instrText>
        </w:r>
        <w:r w:rsidR="004F2671">
          <w:rPr>
            <w:noProof/>
            <w:webHidden/>
          </w:rPr>
        </w:r>
        <w:r w:rsidR="004F2671">
          <w:rPr>
            <w:noProof/>
            <w:webHidden/>
          </w:rPr>
          <w:fldChar w:fldCharType="separate"/>
        </w:r>
        <w:r w:rsidR="00643E47">
          <w:rPr>
            <w:noProof/>
            <w:webHidden/>
          </w:rPr>
          <w:t>7</w:t>
        </w:r>
        <w:r w:rsidR="004F2671">
          <w:rPr>
            <w:noProof/>
            <w:webHidden/>
          </w:rPr>
          <w:fldChar w:fldCharType="end"/>
        </w:r>
      </w:hyperlink>
    </w:p>
    <w:p w14:paraId="75F02ABE" w14:textId="12D01DFE" w:rsidR="004F2671" w:rsidRDefault="00E6462B">
      <w:pPr>
        <w:pStyle w:val="TOC2"/>
        <w:rPr>
          <w:rFonts w:asciiTheme="minorHAnsi" w:eastAsiaTheme="minorEastAsia" w:hAnsiTheme="minorHAnsi" w:cstheme="minorBidi"/>
          <w:bCs w:val="0"/>
          <w:noProof/>
          <w:sz w:val="22"/>
          <w:szCs w:val="22"/>
        </w:rPr>
      </w:pPr>
      <w:hyperlink w:anchor="_Toc101856670" w:history="1">
        <w:r w:rsidR="004F2671" w:rsidRPr="00B81D76">
          <w:rPr>
            <w:rStyle w:val="Hyperlink"/>
            <w:noProof/>
          </w:rPr>
          <w:t>2.5</w:t>
        </w:r>
        <w:r w:rsidR="004F2671">
          <w:rPr>
            <w:rFonts w:asciiTheme="minorHAnsi" w:eastAsiaTheme="minorEastAsia" w:hAnsiTheme="minorHAnsi" w:cstheme="minorBidi"/>
            <w:bCs w:val="0"/>
            <w:noProof/>
            <w:sz w:val="22"/>
            <w:szCs w:val="22"/>
          </w:rPr>
          <w:tab/>
        </w:r>
        <w:r w:rsidR="004F2671" w:rsidRPr="00B81D76">
          <w:rPr>
            <w:rStyle w:val="Hyperlink"/>
            <w:noProof/>
          </w:rPr>
          <w:t>South Downs National Park</w:t>
        </w:r>
        <w:r w:rsidR="004F2671">
          <w:rPr>
            <w:noProof/>
            <w:webHidden/>
          </w:rPr>
          <w:tab/>
        </w:r>
        <w:r w:rsidR="004F2671">
          <w:rPr>
            <w:noProof/>
            <w:webHidden/>
          </w:rPr>
          <w:fldChar w:fldCharType="begin"/>
        </w:r>
        <w:r w:rsidR="004F2671">
          <w:rPr>
            <w:noProof/>
            <w:webHidden/>
          </w:rPr>
          <w:instrText xml:space="preserve"> PAGEREF _Toc101856670 \h </w:instrText>
        </w:r>
        <w:r w:rsidR="004F2671">
          <w:rPr>
            <w:noProof/>
            <w:webHidden/>
          </w:rPr>
        </w:r>
        <w:r w:rsidR="004F2671">
          <w:rPr>
            <w:noProof/>
            <w:webHidden/>
          </w:rPr>
          <w:fldChar w:fldCharType="separate"/>
        </w:r>
        <w:r w:rsidR="00643E47">
          <w:rPr>
            <w:noProof/>
            <w:webHidden/>
          </w:rPr>
          <w:t>8</w:t>
        </w:r>
        <w:r w:rsidR="004F2671">
          <w:rPr>
            <w:noProof/>
            <w:webHidden/>
          </w:rPr>
          <w:fldChar w:fldCharType="end"/>
        </w:r>
      </w:hyperlink>
    </w:p>
    <w:p w14:paraId="19A4B635" w14:textId="1575BB3E" w:rsidR="004F2671" w:rsidRDefault="00E6462B">
      <w:pPr>
        <w:pStyle w:val="TOC2"/>
        <w:rPr>
          <w:rFonts w:asciiTheme="minorHAnsi" w:eastAsiaTheme="minorEastAsia" w:hAnsiTheme="minorHAnsi" w:cstheme="minorBidi"/>
          <w:bCs w:val="0"/>
          <w:noProof/>
          <w:sz w:val="22"/>
          <w:szCs w:val="22"/>
        </w:rPr>
      </w:pPr>
      <w:hyperlink w:anchor="_Toc101856671" w:history="1">
        <w:r w:rsidR="004F2671" w:rsidRPr="00B81D76">
          <w:rPr>
            <w:rStyle w:val="Hyperlink"/>
            <w:noProof/>
          </w:rPr>
          <w:t>2.6</w:t>
        </w:r>
        <w:r w:rsidR="004F2671">
          <w:rPr>
            <w:rFonts w:asciiTheme="minorHAnsi" w:eastAsiaTheme="minorEastAsia" w:hAnsiTheme="minorHAnsi" w:cstheme="minorBidi"/>
            <w:bCs w:val="0"/>
            <w:noProof/>
            <w:sz w:val="22"/>
            <w:szCs w:val="22"/>
          </w:rPr>
          <w:tab/>
        </w:r>
        <w:r w:rsidR="004F2671" w:rsidRPr="00B81D76">
          <w:rPr>
            <w:rStyle w:val="Hyperlink"/>
            <w:noProof/>
          </w:rPr>
          <w:t>Waverley Borough Council</w:t>
        </w:r>
        <w:r w:rsidR="004F2671">
          <w:rPr>
            <w:noProof/>
            <w:webHidden/>
          </w:rPr>
          <w:tab/>
        </w:r>
        <w:r w:rsidR="004F2671">
          <w:rPr>
            <w:noProof/>
            <w:webHidden/>
          </w:rPr>
          <w:fldChar w:fldCharType="begin"/>
        </w:r>
        <w:r w:rsidR="004F2671">
          <w:rPr>
            <w:noProof/>
            <w:webHidden/>
          </w:rPr>
          <w:instrText xml:space="preserve"> PAGEREF _Toc101856671 \h </w:instrText>
        </w:r>
        <w:r w:rsidR="004F2671">
          <w:rPr>
            <w:noProof/>
            <w:webHidden/>
          </w:rPr>
        </w:r>
        <w:r w:rsidR="004F2671">
          <w:rPr>
            <w:noProof/>
            <w:webHidden/>
          </w:rPr>
          <w:fldChar w:fldCharType="separate"/>
        </w:r>
        <w:r w:rsidR="00643E47">
          <w:rPr>
            <w:noProof/>
            <w:webHidden/>
          </w:rPr>
          <w:t>8</w:t>
        </w:r>
        <w:r w:rsidR="004F2671">
          <w:rPr>
            <w:noProof/>
            <w:webHidden/>
          </w:rPr>
          <w:fldChar w:fldCharType="end"/>
        </w:r>
      </w:hyperlink>
    </w:p>
    <w:p w14:paraId="5EEEDA68" w14:textId="7EAA5144" w:rsidR="004F2671" w:rsidRDefault="00E6462B">
      <w:pPr>
        <w:pStyle w:val="TOC2"/>
        <w:rPr>
          <w:rFonts w:asciiTheme="minorHAnsi" w:eastAsiaTheme="minorEastAsia" w:hAnsiTheme="minorHAnsi" w:cstheme="minorBidi"/>
          <w:bCs w:val="0"/>
          <w:noProof/>
          <w:sz w:val="22"/>
          <w:szCs w:val="22"/>
        </w:rPr>
      </w:pPr>
      <w:hyperlink w:anchor="_Toc101856672" w:history="1">
        <w:r w:rsidR="004F2671" w:rsidRPr="00B81D76">
          <w:rPr>
            <w:rStyle w:val="Hyperlink"/>
            <w:noProof/>
          </w:rPr>
          <w:t>2.7</w:t>
        </w:r>
        <w:r w:rsidR="004F2671">
          <w:rPr>
            <w:rFonts w:asciiTheme="minorHAnsi" w:eastAsiaTheme="minorEastAsia" w:hAnsiTheme="minorHAnsi" w:cstheme="minorBidi"/>
            <w:bCs w:val="0"/>
            <w:noProof/>
            <w:sz w:val="22"/>
            <w:szCs w:val="22"/>
          </w:rPr>
          <w:tab/>
        </w:r>
        <w:r w:rsidR="004F2671" w:rsidRPr="00B81D76">
          <w:rPr>
            <w:rStyle w:val="Hyperlink"/>
            <w:noProof/>
          </w:rPr>
          <w:t>Arun District Council and Mid Sussex District Council</w:t>
        </w:r>
        <w:r w:rsidR="004F2671">
          <w:rPr>
            <w:noProof/>
            <w:webHidden/>
          </w:rPr>
          <w:tab/>
        </w:r>
        <w:r w:rsidR="004F2671">
          <w:rPr>
            <w:noProof/>
            <w:webHidden/>
          </w:rPr>
          <w:fldChar w:fldCharType="begin"/>
        </w:r>
        <w:r w:rsidR="004F2671">
          <w:rPr>
            <w:noProof/>
            <w:webHidden/>
          </w:rPr>
          <w:instrText xml:space="preserve"> PAGEREF _Toc101856672 \h </w:instrText>
        </w:r>
        <w:r w:rsidR="004F2671">
          <w:rPr>
            <w:noProof/>
            <w:webHidden/>
          </w:rPr>
        </w:r>
        <w:r w:rsidR="004F2671">
          <w:rPr>
            <w:noProof/>
            <w:webHidden/>
          </w:rPr>
          <w:fldChar w:fldCharType="separate"/>
        </w:r>
        <w:r w:rsidR="00643E47">
          <w:rPr>
            <w:noProof/>
            <w:webHidden/>
          </w:rPr>
          <w:t>9</w:t>
        </w:r>
        <w:r w:rsidR="004F2671">
          <w:rPr>
            <w:noProof/>
            <w:webHidden/>
          </w:rPr>
          <w:fldChar w:fldCharType="end"/>
        </w:r>
      </w:hyperlink>
    </w:p>
    <w:p w14:paraId="0C3DA8BE" w14:textId="0131E26A" w:rsidR="004F2671" w:rsidRDefault="00E6462B">
      <w:pPr>
        <w:pStyle w:val="TOC3"/>
        <w:rPr>
          <w:rFonts w:asciiTheme="minorHAnsi" w:eastAsiaTheme="minorEastAsia" w:hAnsiTheme="minorHAnsi" w:cstheme="minorBidi"/>
          <w:bCs w:val="0"/>
          <w:noProof/>
          <w:sz w:val="22"/>
          <w:szCs w:val="22"/>
        </w:rPr>
      </w:pPr>
      <w:hyperlink w:anchor="_Toc101856673" w:history="1">
        <w:r w:rsidR="004F2671" w:rsidRPr="00B81D76">
          <w:rPr>
            <w:rStyle w:val="Hyperlink"/>
            <w:noProof/>
          </w:rPr>
          <w:t>2.7.1</w:t>
        </w:r>
        <w:r w:rsidR="004F2671">
          <w:rPr>
            <w:rFonts w:asciiTheme="minorHAnsi" w:eastAsiaTheme="minorEastAsia" w:hAnsiTheme="minorHAnsi" w:cstheme="minorBidi"/>
            <w:bCs w:val="0"/>
            <w:noProof/>
            <w:sz w:val="22"/>
            <w:szCs w:val="22"/>
          </w:rPr>
          <w:tab/>
        </w:r>
        <w:r w:rsidR="004F2671" w:rsidRPr="00B81D76">
          <w:rPr>
            <w:rStyle w:val="Hyperlink"/>
            <w:noProof/>
          </w:rPr>
          <w:t>Demand from schools</w:t>
        </w:r>
        <w:r w:rsidR="004F2671">
          <w:rPr>
            <w:noProof/>
            <w:webHidden/>
          </w:rPr>
          <w:tab/>
        </w:r>
        <w:r w:rsidR="004F2671">
          <w:rPr>
            <w:noProof/>
            <w:webHidden/>
          </w:rPr>
          <w:fldChar w:fldCharType="begin"/>
        </w:r>
        <w:r w:rsidR="004F2671">
          <w:rPr>
            <w:noProof/>
            <w:webHidden/>
          </w:rPr>
          <w:instrText xml:space="preserve"> PAGEREF _Toc101856673 \h </w:instrText>
        </w:r>
        <w:r w:rsidR="004F2671">
          <w:rPr>
            <w:noProof/>
            <w:webHidden/>
          </w:rPr>
        </w:r>
        <w:r w:rsidR="004F2671">
          <w:rPr>
            <w:noProof/>
            <w:webHidden/>
          </w:rPr>
          <w:fldChar w:fldCharType="separate"/>
        </w:r>
        <w:r w:rsidR="00643E47">
          <w:rPr>
            <w:noProof/>
            <w:webHidden/>
          </w:rPr>
          <w:t>9</w:t>
        </w:r>
        <w:r w:rsidR="004F2671">
          <w:rPr>
            <w:noProof/>
            <w:webHidden/>
          </w:rPr>
          <w:fldChar w:fldCharType="end"/>
        </w:r>
      </w:hyperlink>
    </w:p>
    <w:p w14:paraId="347F3626" w14:textId="12DCDD90" w:rsidR="004F2671" w:rsidRDefault="00E6462B">
      <w:pPr>
        <w:pStyle w:val="TOC2"/>
        <w:rPr>
          <w:rFonts w:asciiTheme="minorHAnsi" w:eastAsiaTheme="minorEastAsia" w:hAnsiTheme="minorHAnsi" w:cstheme="minorBidi"/>
          <w:bCs w:val="0"/>
          <w:noProof/>
          <w:sz w:val="22"/>
          <w:szCs w:val="22"/>
        </w:rPr>
      </w:pPr>
      <w:hyperlink w:anchor="_Toc101856674" w:history="1">
        <w:r w:rsidR="004F2671" w:rsidRPr="00B81D76">
          <w:rPr>
            <w:rStyle w:val="Hyperlink"/>
            <w:noProof/>
          </w:rPr>
          <w:t>2.8</w:t>
        </w:r>
        <w:r w:rsidR="004F2671">
          <w:rPr>
            <w:rFonts w:asciiTheme="minorHAnsi" w:eastAsiaTheme="minorEastAsia" w:hAnsiTheme="minorHAnsi" w:cstheme="minorBidi"/>
            <w:bCs w:val="0"/>
            <w:noProof/>
            <w:sz w:val="22"/>
            <w:szCs w:val="22"/>
          </w:rPr>
          <w:tab/>
        </w:r>
        <w:r w:rsidR="004F2671" w:rsidRPr="00B81D76">
          <w:rPr>
            <w:rStyle w:val="Hyperlink"/>
            <w:noProof/>
          </w:rPr>
          <w:t>Growth at Water Resource Zone level</w:t>
        </w:r>
        <w:r w:rsidR="004F2671">
          <w:rPr>
            <w:noProof/>
            <w:webHidden/>
          </w:rPr>
          <w:tab/>
        </w:r>
        <w:r w:rsidR="004F2671">
          <w:rPr>
            <w:noProof/>
            <w:webHidden/>
          </w:rPr>
          <w:fldChar w:fldCharType="begin"/>
        </w:r>
        <w:r w:rsidR="004F2671">
          <w:rPr>
            <w:noProof/>
            <w:webHidden/>
          </w:rPr>
          <w:instrText xml:space="preserve"> PAGEREF _Toc101856674 \h </w:instrText>
        </w:r>
        <w:r w:rsidR="004F2671">
          <w:rPr>
            <w:noProof/>
            <w:webHidden/>
          </w:rPr>
        </w:r>
        <w:r w:rsidR="004F2671">
          <w:rPr>
            <w:noProof/>
            <w:webHidden/>
          </w:rPr>
          <w:fldChar w:fldCharType="separate"/>
        </w:r>
        <w:r w:rsidR="00643E47">
          <w:rPr>
            <w:noProof/>
            <w:webHidden/>
          </w:rPr>
          <w:t>10</w:t>
        </w:r>
        <w:r w:rsidR="004F2671">
          <w:rPr>
            <w:noProof/>
            <w:webHidden/>
          </w:rPr>
          <w:fldChar w:fldCharType="end"/>
        </w:r>
      </w:hyperlink>
    </w:p>
    <w:p w14:paraId="0F4D2154" w14:textId="4ED26605" w:rsidR="004F2671" w:rsidRDefault="00E6462B">
      <w:pPr>
        <w:pStyle w:val="TOC2"/>
        <w:rPr>
          <w:rFonts w:asciiTheme="minorHAnsi" w:eastAsiaTheme="minorEastAsia" w:hAnsiTheme="minorHAnsi" w:cstheme="minorBidi"/>
          <w:bCs w:val="0"/>
          <w:noProof/>
          <w:sz w:val="22"/>
          <w:szCs w:val="22"/>
        </w:rPr>
      </w:pPr>
      <w:hyperlink w:anchor="_Toc101856675" w:history="1">
        <w:r w:rsidR="004F2671" w:rsidRPr="00B81D76">
          <w:rPr>
            <w:rStyle w:val="Hyperlink"/>
            <w:noProof/>
          </w:rPr>
          <w:t>2.9</w:t>
        </w:r>
        <w:r w:rsidR="004F2671">
          <w:rPr>
            <w:rFonts w:asciiTheme="minorHAnsi" w:eastAsiaTheme="minorEastAsia" w:hAnsiTheme="minorHAnsi" w:cstheme="minorBidi"/>
            <w:bCs w:val="0"/>
            <w:noProof/>
            <w:sz w:val="22"/>
            <w:szCs w:val="22"/>
          </w:rPr>
          <w:tab/>
        </w:r>
        <w:r w:rsidR="004F2671" w:rsidRPr="00B81D76">
          <w:rPr>
            <w:rStyle w:val="Hyperlink"/>
            <w:noProof/>
          </w:rPr>
          <w:t>Demand Scenarios</w:t>
        </w:r>
        <w:r w:rsidR="004F2671">
          <w:rPr>
            <w:noProof/>
            <w:webHidden/>
          </w:rPr>
          <w:tab/>
        </w:r>
        <w:r w:rsidR="004F2671">
          <w:rPr>
            <w:noProof/>
            <w:webHidden/>
          </w:rPr>
          <w:fldChar w:fldCharType="begin"/>
        </w:r>
        <w:r w:rsidR="004F2671">
          <w:rPr>
            <w:noProof/>
            <w:webHidden/>
          </w:rPr>
          <w:instrText xml:space="preserve"> PAGEREF _Toc101856675 \h </w:instrText>
        </w:r>
        <w:r w:rsidR="004F2671">
          <w:rPr>
            <w:noProof/>
            <w:webHidden/>
          </w:rPr>
        </w:r>
        <w:r w:rsidR="004F2671">
          <w:rPr>
            <w:noProof/>
            <w:webHidden/>
          </w:rPr>
          <w:fldChar w:fldCharType="separate"/>
        </w:r>
        <w:r w:rsidR="00643E47">
          <w:rPr>
            <w:noProof/>
            <w:webHidden/>
          </w:rPr>
          <w:t>11</w:t>
        </w:r>
        <w:r w:rsidR="004F2671">
          <w:rPr>
            <w:noProof/>
            <w:webHidden/>
          </w:rPr>
          <w:fldChar w:fldCharType="end"/>
        </w:r>
      </w:hyperlink>
    </w:p>
    <w:p w14:paraId="1D045EF9" w14:textId="470A612B" w:rsidR="004F2671" w:rsidRDefault="00E6462B">
      <w:pPr>
        <w:pStyle w:val="TOC2"/>
        <w:rPr>
          <w:rFonts w:asciiTheme="minorHAnsi" w:eastAsiaTheme="minorEastAsia" w:hAnsiTheme="minorHAnsi" w:cstheme="minorBidi"/>
          <w:bCs w:val="0"/>
          <w:noProof/>
          <w:sz w:val="22"/>
          <w:szCs w:val="22"/>
        </w:rPr>
      </w:pPr>
      <w:hyperlink w:anchor="_Toc101856676" w:history="1">
        <w:r w:rsidR="004F2671" w:rsidRPr="00B81D76">
          <w:rPr>
            <w:rStyle w:val="Hyperlink"/>
            <w:noProof/>
          </w:rPr>
          <w:t>2.10</w:t>
        </w:r>
        <w:r w:rsidR="004F2671">
          <w:rPr>
            <w:rFonts w:asciiTheme="minorHAnsi" w:eastAsiaTheme="minorEastAsia" w:hAnsiTheme="minorHAnsi" w:cstheme="minorBidi"/>
            <w:bCs w:val="0"/>
            <w:noProof/>
            <w:sz w:val="22"/>
            <w:szCs w:val="22"/>
          </w:rPr>
          <w:tab/>
        </w:r>
        <w:r w:rsidR="004F2671" w:rsidRPr="00B81D76">
          <w:rPr>
            <w:rStyle w:val="Hyperlink"/>
            <w:noProof/>
          </w:rPr>
          <w:t>Achieving Water Neutrality</w:t>
        </w:r>
        <w:r w:rsidR="004F2671">
          <w:rPr>
            <w:noProof/>
            <w:webHidden/>
          </w:rPr>
          <w:tab/>
        </w:r>
        <w:r w:rsidR="004F2671">
          <w:rPr>
            <w:noProof/>
            <w:webHidden/>
          </w:rPr>
          <w:fldChar w:fldCharType="begin"/>
        </w:r>
        <w:r w:rsidR="004F2671">
          <w:rPr>
            <w:noProof/>
            <w:webHidden/>
          </w:rPr>
          <w:instrText xml:space="preserve"> PAGEREF _Toc101856676 \h </w:instrText>
        </w:r>
        <w:r w:rsidR="004F2671">
          <w:rPr>
            <w:noProof/>
            <w:webHidden/>
          </w:rPr>
        </w:r>
        <w:r w:rsidR="004F2671">
          <w:rPr>
            <w:noProof/>
            <w:webHidden/>
          </w:rPr>
          <w:fldChar w:fldCharType="separate"/>
        </w:r>
        <w:r w:rsidR="00643E47">
          <w:rPr>
            <w:noProof/>
            <w:webHidden/>
          </w:rPr>
          <w:t>13</w:t>
        </w:r>
        <w:r w:rsidR="004F2671">
          <w:rPr>
            <w:noProof/>
            <w:webHidden/>
          </w:rPr>
          <w:fldChar w:fldCharType="end"/>
        </w:r>
      </w:hyperlink>
    </w:p>
    <w:p w14:paraId="4BBC2690" w14:textId="1D706F44" w:rsidR="004F2671" w:rsidRDefault="00E6462B">
      <w:pPr>
        <w:pStyle w:val="TOC2"/>
        <w:rPr>
          <w:rFonts w:asciiTheme="minorHAnsi" w:eastAsiaTheme="minorEastAsia" w:hAnsiTheme="minorHAnsi" w:cstheme="minorBidi"/>
          <w:bCs w:val="0"/>
          <w:noProof/>
          <w:sz w:val="22"/>
          <w:szCs w:val="22"/>
        </w:rPr>
      </w:pPr>
      <w:hyperlink w:anchor="_Toc101856677" w:history="1">
        <w:r w:rsidR="004F2671" w:rsidRPr="00B81D76">
          <w:rPr>
            <w:rStyle w:val="Hyperlink"/>
            <w:noProof/>
          </w:rPr>
          <w:t>2.11</w:t>
        </w:r>
        <w:r w:rsidR="004F2671">
          <w:rPr>
            <w:rFonts w:asciiTheme="minorHAnsi" w:eastAsiaTheme="minorEastAsia" w:hAnsiTheme="minorHAnsi" w:cstheme="minorBidi"/>
            <w:bCs w:val="0"/>
            <w:noProof/>
            <w:sz w:val="22"/>
            <w:szCs w:val="22"/>
          </w:rPr>
          <w:tab/>
        </w:r>
        <w:r w:rsidR="004F2671" w:rsidRPr="00B81D76">
          <w:rPr>
            <w:rStyle w:val="Hyperlink"/>
            <w:noProof/>
          </w:rPr>
          <w:t>Southern Water</w:t>
        </w:r>
        <w:r w:rsidR="004F2671">
          <w:rPr>
            <w:noProof/>
            <w:webHidden/>
          </w:rPr>
          <w:tab/>
        </w:r>
        <w:r w:rsidR="004F2671">
          <w:rPr>
            <w:noProof/>
            <w:webHidden/>
          </w:rPr>
          <w:fldChar w:fldCharType="begin"/>
        </w:r>
        <w:r w:rsidR="004F2671">
          <w:rPr>
            <w:noProof/>
            <w:webHidden/>
          </w:rPr>
          <w:instrText xml:space="preserve"> PAGEREF _Toc101856677 \h </w:instrText>
        </w:r>
        <w:r w:rsidR="004F2671">
          <w:rPr>
            <w:noProof/>
            <w:webHidden/>
          </w:rPr>
        </w:r>
        <w:r w:rsidR="004F2671">
          <w:rPr>
            <w:noProof/>
            <w:webHidden/>
          </w:rPr>
          <w:fldChar w:fldCharType="separate"/>
        </w:r>
        <w:r w:rsidR="00643E47">
          <w:rPr>
            <w:noProof/>
            <w:webHidden/>
          </w:rPr>
          <w:t>14</w:t>
        </w:r>
        <w:r w:rsidR="004F2671">
          <w:rPr>
            <w:noProof/>
            <w:webHidden/>
          </w:rPr>
          <w:fldChar w:fldCharType="end"/>
        </w:r>
      </w:hyperlink>
    </w:p>
    <w:p w14:paraId="0C202D52" w14:textId="4BC98B1A" w:rsidR="004F2671" w:rsidRDefault="00E6462B">
      <w:pPr>
        <w:pStyle w:val="TOC2"/>
        <w:rPr>
          <w:rFonts w:asciiTheme="minorHAnsi" w:eastAsiaTheme="minorEastAsia" w:hAnsiTheme="minorHAnsi" w:cstheme="minorBidi"/>
          <w:bCs w:val="0"/>
          <w:noProof/>
          <w:sz w:val="22"/>
          <w:szCs w:val="22"/>
        </w:rPr>
      </w:pPr>
      <w:hyperlink w:anchor="_Toc101856678" w:history="1">
        <w:r w:rsidR="004F2671" w:rsidRPr="00B81D76">
          <w:rPr>
            <w:rStyle w:val="Hyperlink"/>
            <w:noProof/>
          </w:rPr>
          <w:t>2.12</w:t>
        </w:r>
        <w:r w:rsidR="004F2671">
          <w:rPr>
            <w:rFonts w:asciiTheme="minorHAnsi" w:eastAsiaTheme="minorEastAsia" w:hAnsiTheme="minorHAnsi" w:cstheme="minorBidi"/>
            <w:bCs w:val="0"/>
            <w:noProof/>
            <w:sz w:val="22"/>
            <w:szCs w:val="22"/>
          </w:rPr>
          <w:tab/>
        </w:r>
        <w:r w:rsidR="004F2671" w:rsidRPr="00B81D76">
          <w:rPr>
            <w:rStyle w:val="Hyperlink"/>
            <w:noProof/>
          </w:rPr>
          <w:t>Impact of COVID-19</w:t>
        </w:r>
        <w:r w:rsidR="004F2671">
          <w:rPr>
            <w:noProof/>
            <w:webHidden/>
          </w:rPr>
          <w:tab/>
        </w:r>
        <w:r w:rsidR="004F2671">
          <w:rPr>
            <w:noProof/>
            <w:webHidden/>
          </w:rPr>
          <w:fldChar w:fldCharType="begin"/>
        </w:r>
        <w:r w:rsidR="004F2671">
          <w:rPr>
            <w:noProof/>
            <w:webHidden/>
          </w:rPr>
          <w:instrText xml:space="preserve"> PAGEREF _Toc101856678 \h </w:instrText>
        </w:r>
        <w:r w:rsidR="004F2671">
          <w:rPr>
            <w:noProof/>
            <w:webHidden/>
          </w:rPr>
        </w:r>
        <w:r w:rsidR="004F2671">
          <w:rPr>
            <w:noProof/>
            <w:webHidden/>
          </w:rPr>
          <w:fldChar w:fldCharType="separate"/>
        </w:r>
        <w:r w:rsidR="00643E47">
          <w:rPr>
            <w:noProof/>
            <w:webHidden/>
          </w:rPr>
          <w:t>14</w:t>
        </w:r>
        <w:r w:rsidR="004F2671">
          <w:rPr>
            <w:noProof/>
            <w:webHidden/>
          </w:rPr>
          <w:fldChar w:fldCharType="end"/>
        </w:r>
      </w:hyperlink>
    </w:p>
    <w:p w14:paraId="49774F72" w14:textId="6F83BB42" w:rsidR="004F2671" w:rsidRDefault="00E6462B">
      <w:pPr>
        <w:pStyle w:val="TOC2"/>
        <w:rPr>
          <w:rFonts w:asciiTheme="minorHAnsi" w:eastAsiaTheme="minorEastAsia" w:hAnsiTheme="minorHAnsi" w:cstheme="minorBidi"/>
          <w:bCs w:val="0"/>
          <w:noProof/>
          <w:sz w:val="22"/>
          <w:szCs w:val="22"/>
        </w:rPr>
      </w:pPr>
      <w:hyperlink w:anchor="_Toc101856679" w:history="1">
        <w:r w:rsidR="004F2671" w:rsidRPr="00B81D76">
          <w:rPr>
            <w:rStyle w:val="Hyperlink"/>
            <w:noProof/>
          </w:rPr>
          <w:t>2.13</w:t>
        </w:r>
        <w:r w:rsidR="004F2671">
          <w:rPr>
            <w:rFonts w:asciiTheme="minorHAnsi" w:eastAsiaTheme="minorEastAsia" w:hAnsiTheme="minorHAnsi" w:cstheme="minorBidi"/>
            <w:bCs w:val="0"/>
            <w:noProof/>
            <w:sz w:val="22"/>
            <w:szCs w:val="22"/>
          </w:rPr>
          <w:tab/>
        </w:r>
        <w:r w:rsidR="004F2671" w:rsidRPr="00B81D76">
          <w:rPr>
            <w:rStyle w:val="Hyperlink"/>
            <w:noProof/>
          </w:rPr>
          <w:t>Education</w:t>
        </w:r>
        <w:r w:rsidR="004F2671">
          <w:rPr>
            <w:noProof/>
            <w:webHidden/>
          </w:rPr>
          <w:tab/>
        </w:r>
        <w:r w:rsidR="004F2671">
          <w:rPr>
            <w:noProof/>
            <w:webHidden/>
          </w:rPr>
          <w:fldChar w:fldCharType="begin"/>
        </w:r>
        <w:r w:rsidR="004F2671">
          <w:rPr>
            <w:noProof/>
            <w:webHidden/>
          </w:rPr>
          <w:instrText xml:space="preserve"> PAGEREF _Toc101856679 \h </w:instrText>
        </w:r>
        <w:r w:rsidR="004F2671">
          <w:rPr>
            <w:noProof/>
            <w:webHidden/>
          </w:rPr>
        </w:r>
        <w:r w:rsidR="004F2671">
          <w:rPr>
            <w:noProof/>
            <w:webHidden/>
          </w:rPr>
          <w:fldChar w:fldCharType="separate"/>
        </w:r>
        <w:r w:rsidR="00643E47">
          <w:rPr>
            <w:noProof/>
            <w:webHidden/>
          </w:rPr>
          <w:t>15</w:t>
        </w:r>
        <w:r w:rsidR="004F2671">
          <w:rPr>
            <w:noProof/>
            <w:webHidden/>
          </w:rPr>
          <w:fldChar w:fldCharType="end"/>
        </w:r>
      </w:hyperlink>
    </w:p>
    <w:p w14:paraId="012FAC26" w14:textId="2863CF61" w:rsidR="004F2671" w:rsidRDefault="00E6462B">
      <w:pPr>
        <w:pStyle w:val="TOC1"/>
        <w:rPr>
          <w:rFonts w:asciiTheme="minorHAnsi" w:eastAsiaTheme="minorEastAsia" w:hAnsiTheme="minorHAnsi" w:cstheme="minorBidi"/>
          <w:bCs w:val="0"/>
          <w:noProof/>
          <w:sz w:val="22"/>
          <w:szCs w:val="22"/>
        </w:rPr>
      </w:pPr>
      <w:hyperlink w:anchor="_Toc101856680" w:history="1">
        <w:r w:rsidR="004F2671" w:rsidRPr="00B81D76">
          <w:rPr>
            <w:rStyle w:val="Hyperlink"/>
            <w:noProof/>
          </w:rPr>
          <w:t>3</w:t>
        </w:r>
        <w:r w:rsidR="004F2671">
          <w:rPr>
            <w:rFonts w:asciiTheme="minorHAnsi" w:eastAsiaTheme="minorEastAsia" w:hAnsiTheme="minorHAnsi" w:cstheme="minorBidi"/>
            <w:bCs w:val="0"/>
            <w:noProof/>
            <w:sz w:val="22"/>
            <w:szCs w:val="22"/>
          </w:rPr>
          <w:tab/>
        </w:r>
        <w:r w:rsidR="004F2671" w:rsidRPr="00B81D76">
          <w:rPr>
            <w:rStyle w:val="Hyperlink"/>
            <w:noProof/>
          </w:rPr>
          <w:t>Mitigation options</w:t>
        </w:r>
        <w:r w:rsidR="004F2671">
          <w:rPr>
            <w:noProof/>
            <w:webHidden/>
          </w:rPr>
          <w:tab/>
        </w:r>
        <w:r w:rsidR="004F2671">
          <w:rPr>
            <w:noProof/>
            <w:webHidden/>
          </w:rPr>
          <w:fldChar w:fldCharType="begin"/>
        </w:r>
        <w:r w:rsidR="004F2671">
          <w:rPr>
            <w:noProof/>
            <w:webHidden/>
          </w:rPr>
          <w:instrText xml:space="preserve"> PAGEREF _Toc101856680 \h </w:instrText>
        </w:r>
        <w:r w:rsidR="004F2671">
          <w:rPr>
            <w:noProof/>
            <w:webHidden/>
          </w:rPr>
        </w:r>
        <w:r w:rsidR="004F2671">
          <w:rPr>
            <w:noProof/>
            <w:webHidden/>
          </w:rPr>
          <w:fldChar w:fldCharType="separate"/>
        </w:r>
        <w:r w:rsidR="00643E47">
          <w:rPr>
            <w:noProof/>
            <w:webHidden/>
          </w:rPr>
          <w:t>16</w:t>
        </w:r>
        <w:r w:rsidR="004F2671">
          <w:rPr>
            <w:noProof/>
            <w:webHidden/>
          </w:rPr>
          <w:fldChar w:fldCharType="end"/>
        </w:r>
      </w:hyperlink>
    </w:p>
    <w:p w14:paraId="1CEBD837" w14:textId="59CBC71F" w:rsidR="004F2671" w:rsidRDefault="00E6462B">
      <w:pPr>
        <w:pStyle w:val="TOC2"/>
        <w:rPr>
          <w:rFonts w:asciiTheme="minorHAnsi" w:eastAsiaTheme="minorEastAsia" w:hAnsiTheme="minorHAnsi" w:cstheme="minorBidi"/>
          <w:bCs w:val="0"/>
          <w:noProof/>
          <w:sz w:val="22"/>
          <w:szCs w:val="22"/>
        </w:rPr>
      </w:pPr>
      <w:hyperlink w:anchor="_Toc101856681" w:history="1">
        <w:r w:rsidR="004F2671" w:rsidRPr="00B81D76">
          <w:rPr>
            <w:rStyle w:val="Hyperlink"/>
            <w:noProof/>
          </w:rPr>
          <w:t>3.1</w:t>
        </w:r>
        <w:r w:rsidR="004F2671">
          <w:rPr>
            <w:rFonts w:asciiTheme="minorHAnsi" w:eastAsiaTheme="minorEastAsia" w:hAnsiTheme="minorHAnsi" w:cstheme="minorBidi"/>
            <w:bCs w:val="0"/>
            <w:noProof/>
            <w:sz w:val="22"/>
            <w:szCs w:val="22"/>
          </w:rPr>
          <w:tab/>
        </w:r>
        <w:r w:rsidR="004F2671" w:rsidRPr="00B81D76">
          <w:rPr>
            <w:rStyle w:val="Hyperlink"/>
            <w:noProof/>
          </w:rPr>
          <w:t>Introduction</w:t>
        </w:r>
        <w:r w:rsidR="004F2671">
          <w:rPr>
            <w:noProof/>
            <w:webHidden/>
          </w:rPr>
          <w:tab/>
        </w:r>
        <w:r w:rsidR="004F2671">
          <w:rPr>
            <w:noProof/>
            <w:webHidden/>
          </w:rPr>
          <w:fldChar w:fldCharType="begin"/>
        </w:r>
        <w:r w:rsidR="004F2671">
          <w:rPr>
            <w:noProof/>
            <w:webHidden/>
          </w:rPr>
          <w:instrText xml:space="preserve"> PAGEREF _Toc101856681 \h </w:instrText>
        </w:r>
        <w:r w:rsidR="004F2671">
          <w:rPr>
            <w:noProof/>
            <w:webHidden/>
          </w:rPr>
        </w:r>
        <w:r w:rsidR="004F2671">
          <w:rPr>
            <w:noProof/>
            <w:webHidden/>
          </w:rPr>
          <w:fldChar w:fldCharType="separate"/>
        </w:r>
        <w:r w:rsidR="00643E47">
          <w:rPr>
            <w:noProof/>
            <w:webHidden/>
          </w:rPr>
          <w:t>16</w:t>
        </w:r>
        <w:r w:rsidR="004F2671">
          <w:rPr>
            <w:noProof/>
            <w:webHidden/>
          </w:rPr>
          <w:fldChar w:fldCharType="end"/>
        </w:r>
      </w:hyperlink>
    </w:p>
    <w:p w14:paraId="1ED2887B" w14:textId="75A03412" w:rsidR="004F2671" w:rsidRDefault="00E6462B">
      <w:pPr>
        <w:pStyle w:val="TOC2"/>
        <w:rPr>
          <w:rFonts w:asciiTheme="minorHAnsi" w:eastAsiaTheme="minorEastAsia" w:hAnsiTheme="minorHAnsi" w:cstheme="minorBidi"/>
          <w:bCs w:val="0"/>
          <w:noProof/>
          <w:sz w:val="22"/>
          <w:szCs w:val="22"/>
        </w:rPr>
      </w:pPr>
      <w:hyperlink w:anchor="_Toc101856682" w:history="1">
        <w:r w:rsidR="004F2671" w:rsidRPr="00B81D76">
          <w:rPr>
            <w:rStyle w:val="Hyperlink"/>
            <w:noProof/>
          </w:rPr>
          <w:t>3.2</w:t>
        </w:r>
        <w:r w:rsidR="004F2671">
          <w:rPr>
            <w:rFonts w:asciiTheme="minorHAnsi" w:eastAsiaTheme="minorEastAsia" w:hAnsiTheme="minorHAnsi" w:cstheme="minorBidi"/>
            <w:bCs w:val="0"/>
            <w:noProof/>
            <w:sz w:val="22"/>
            <w:szCs w:val="22"/>
          </w:rPr>
          <w:tab/>
        </w:r>
        <w:r w:rsidR="004F2671" w:rsidRPr="00B81D76">
          <w:rPr>
            <w:rStyle w:val="Hyperlink"/>
            <w:noProof/>
          </w:rPr>
          <w:t>Methodology</w:t>
        </w:r>
        <w:r w:rsidR="004F2671">
          <w:rPr>
            <w:noProof/>
            <w:webHidden/>
          </w:rPr>
          <w:tab/>
        </w:r>
        <w:r w:rsidR="004F2671">
          <w:rPr>
            <w:noProof/>
            <w:webHidden/>
          </w:rPr>
          <w:fldChar w:fldCharType="begin"/>
        </w:r>
        <w:r w:rsidR="004F2671">
          <w:rPr>
            <w:noProof/>
            <w:webHidden/>
          </w:rPr>
          <w:instrText xml:space="preserve"> PAGEREF _Toc101856682 \h </w:instrText>
        </w:r>
        <w:r w:rsidR="004F2671">
          <w:rPr>
            <w:noProof/>
            <w:webHidden/>
          </w:rPr>
        </w:r>
        <w:r w:rsidR="004F2671">
          <w:rPr>
            <w:noProof/>
            <w:webHidden/>
          </w:rPr>
          <w:fldChar w:fldCharType="separate"/>
        </w:r>
        <w:r w:rsidR="00643E47">
          <w:rPr>
            <w:noProof/>
            <w:webHidden/>
          </w:rPr>
          <w:t>16</w:t>
        </w:r>
        <w:r w:rsidR="004F2671">
          <w:rPr>
            <w:noProof/>
            <w:webHidden/>
          </w:rPr>
          <w:fldChar w:fldCharType="end"/>
        </w:r>
      </w:hyperlink>
    </w:p>
    <w:p w14:paraId="0DCA9524" w14:textId="305095F6" w:rsidR="004F2671" w:rsidRDefault="00E6462B">
      <w:pPr>
        <w:pStyle w:val="TOC3"/>
        <w:rPr>
          <w:rFonts w:asciiTheme="minorHAnsi" w:eastAsiaTheme="minorEastAsia" w:hAnsiTheme="minorHAnsi" w:cstheme="minorBidi"/>
          <w:bCs w:val="0"/>
          <w:noProof/>
          <w:sz w:val="22"/>
          <w:szCs w:val="22"/>
        </w:rPr>
      </w:pPr>
      <w:hyperlink w:anchor="_Toc101856683" w:history="1">
        <w:r w:rsidR="004F2671" w:rsidRPr="00B81D76">
          <w:rPr>
            <w:rStyle w:val="Hyperlink"/>
            <w:noProof/>
          </w:rPr>
          <w:t>3.2.1</w:t>
        </w:r>
        <w:r w:rsidR="004F2671">
          <w:rPr>
            <w:rFonts w:asciiTheme="minorHAnsi" w:eastAsiaTheme="minorEastAsia" w:hAnsiTheme="minorHAnsi" w:cstheme="minorBidi"/>
            <w:bCs w:val="0"/>
            <w:noProof/>
            <w:sz w:val="22"/>
            <w:szCs w:val="22"/>
          </w:rPr>
          <w:tab/>
        </w:r>
        <w:r w:rsidR="004F2671" w:rsidRPr="00B81D76">
          <w:rPr>
            <w:rStyle w:val="Hyperlink"/>
            <w:noProof/>
          </w:rPr>
          <w:t>Overall approach</w:t>
        </w:r>
        <w:r w:rsidR="004F2671">
          <w:rPr>
            <w:noProof/>
            <w:webHidden/>
          </w:rPr>
          <w:tab/>
        </w:r>
        <w:r w:rsidR="004F2671">
          <w:rPr>
            <w:noProof/>
            <w:webHidden/>
          </w:rPr>
          <w:fldChar w:fldCharType="begin"/>
        </w:r>
        <w:r w:rsidR="004F2671">
          <w:rPr>
            <w:noProof/>
            <w:webHidden/>
          </w:rPr>
          <w:instrText xml:space="preserve"> PAGEREF _Toc101856683 \h </w:instrText>
        </w:r>
        <w:r w:rsidR="004F2671">
          <w:rPr>
            <w:noProof/>
            <w:webHidden/>
          </w:rPr>
        </w:r>
        <w:r w:rsidR="004F2671">
          <w:rPr>
            <w:noProof/>
            <w:webHidden/>
          </w:rPr>
          <w:fldChar w:fldCharType="separate"/>
        </w:r>
        <w:r w:rsidR="00643E47">
          <w:rPr>
            <w:noProof/>
            <w:webHidden/>
          </w:rPr>
          <w:t>16</w:t>
        </w:r>
        <w:r w:rsidR="004F2671">
          <w:rPr>
            <w:noProof/>
            <w:webHidden/>
          </w:rPr>
          <w:fldChar w:fldCharType="end"/>
        </w:r>
      </w:hyperlink>
    </w:p>
    <w:p w14:paraId="2FC8359F" w14:textId="764F1284" w:rsidR="004F2671" w:rsidRDefault="00E6462B">
      <w:pPr>
        <w:pStyle w:val="TOC3"/>
        <w:rPr>
          <w:rFonts w:asciiTheme="minorHAnsi" w:eastAsiaTheme="minorEastAsia" w:hAnsiTheme="minorHAnsi" w:cstheme="minorBidi"/>
          <w:bCs w:val="0"/>
          <w:noProof/>
          <w:sz w:val="22"/>
          <w:szCs w:val="22"/>
        </w:rPr>
      </w:pPr>
      <w:hyperlink w:anchor="_Toc101856684" w:history="1">
        <w:r w:rsidR="004F2671" w:rsidRPr="00B81D76">
          <w:rPr>
            <w:rStyle w:val="Hyperlink"/>
            <w:noProof/>
          </w:rPr>
          <w:t>3.2.2</w:t>
        </w:r>
        <w:r w:rsidR="004F2671">
          <w:rPr>
            <w:rFonts w:asciiTheme="minorHAnsi" w:eastAsiaTheme="minorEastAsia" w:hAnsiTheme="minorHAnsi" w:cstheme="minorBidi"/>
            <w:bCs w:val="0"/>
            <w:noProof/>
            <w:sz w:val="22"/>
            <w:szCs w:val="22"/>
          </w:rPr>
          <w:tab/>
        </w:r>
        <w:r w:rsidR="004F2671" w:rsidRPr="00B81D76">
          <w:rPr>
            <w:rStyle w:val="Hyperlink"/>
            <w:noProof/>
          </w:rPr>
          <w:t>Available options</w:t>
        </w:r>
        <w:r w:rsidR="004F2671">
          <w:rPr>
            <w:noProof/>
            <w:webHidden/>
          </w:rPr>
          <w:tab/>
        </w:r>
        <w:r w:rsidR="004F2671">
          <w:rPr>
            <w:noProof/>
            <w:webHidden/>
          </w:rPr>
          <w:fldChar w:fldCharType="begin"/>
        </w:r>
        <w:r w:rsidR="004F2671">
          <w:rPr>
            <w:noProof/>
            <w:webHidden/>
          </w:rPr>
          <w:instrText xml:space="preserve"> PAGEREF _Toc101856684 \h </w:instrText>
        </w:r>
        <w:r w:rsidR="004F2671">
          <w:rPr>
            <w:noProof/>
            <w:webHidden/>
          </w:rPr>
        </w:r>
        <w:r w:rsidR="004F2671">
          <w:rPr>
            <w:noProof/>
            <w:webHidden/>
          </w:rPr>
          <w:fldChar w:fldCharType="separate"/>
        </w:r>
        <w:r w:rsidR="00643E47">
          <w:rPr>
            <w:noProof/>
            <w:webHidden/>
          </w:rPr>
          <w:t>17</w:t>
        </w:r>
        <w:r w:rsidR="004F2671">
          <w:rPr>
            <w:noProof/>
            <w:webHidden/>
          </w:rPr>
          <w:fldChar w:fldCharType="end"/>
        </w:r>
      </w:hyperlink>
    </w:p>
    <w:p w14:paraId="2EBDE50C" w14:textId="061339F8" w:rsidR="004F2671" w:rsidRDefault="00E6462B">
      <w:pPr>
        <w:pStyle w:val="TOC2"/>
        <w:rPr>
          <w:rFonts w:asciiTheme="minorHAnsi" w:eastAsiaTheme="minorEastAsia" w:hAnsiTheme="minorHAnsi" w:cstheme="minorBidi"/>
          <w:bCs w:val="0"/>
          <w:noProof/>
          <w:sz w:val="22"/>
          <w:szCs w:val="22"/>
        </w:rPr>
      </w:pPr>
      <w:hyperlink w:anchor="_Toc101856685" w:history="1">
        <w:r w:rsidR="004F2671" w:rsidRPr="00B81D76">
          <w:rPr>
            <w:rStyle w:val="Hyperlink"/>
            <w:noProof/>
          </w:rPr>
          <w:t>3.3</w:t>
        </w:r>
        <w:r w:rsidR="004F2671">
          <w:rPr>
            <w:rFonts w:asciiTheme="minorHAnsi" w:eastAsiaTheme="minorEastAsia" w:hAnsiTheme="minorHAnsi" w:cstheme="minorBidi"/>
            <w:bCs w:val="0"/>
            <w:noProof/>
            <w:sz w:val="22"/>
            <w:szCs w:val="22"/>
          </w:rPr>
          <w:tab/>
        </w:r>
        <w:r w:rsidR="004F2671" w:rsidRPr="00B81D76">
          <w:rPr>
            <w:rStyle w:val="Hyperlink"/>
            <w:noProof/>
          </w:rPr>
          <w:t>Demand reduction</w:t>
        </w:r>
        <w:r w:rsidR="004F2671">
          <w:rPr>
            <w:noProof/>
            <w:webHidden/>
          </w:rPr>
          <w:tab/>
        </w:r>
        <w:r w:rsidR="004F2671">
          <w:rPr>
            <w:noProof/>
            <w:webHidden/>
          </w:rPr>
          <w:fldChar w:fldCharType="begin"/>
        </w:r>
        <w:r w:rsidR="004F2671">
          <w:rPr>
            <w:noProof/>
            <w:webHidden/>
          </w:rPr>
          <w:instrText xml:space="preserve"> PAGEREF _Toc101856685 \h </w:instrText>
        </w:r>
        <w:r w:rsidR="004F2671">
          <w:rPr>
            <w:noProof/>
            <w:webHidden/>
          </w:rPr>
        </w:r>
        <w:r w:rsidR="004F2671">
          <w:rPr>
            <w:noProof/>
            <w:webHidden/>
          </w:rPr>
          <w:fldChar w:fldCharType="separate"/>
        </w:r>
        <w:r w:rsidR="00643E47">
          <w:rPr>
            <w:noProof/>
            <w:webHidden/>
          </w:rPr>
          <w:t>19</w:t>
        </w:r>
        <w:r w:rsidR="004F2671">
          <w:rPr>
            <w:noProof/>
            <w:webHidden/>
          </w:rPr>
          <w:fldChar w:fldCharType="end"/>
        </w:r>
      </w:hyperlink>
    </w:p>
    <w:p w14:paraId="4608DC1B" w14:textId="6065DAC5" w:rsidR="004F2671" w:rsidRDefault="00E6462B">
      <w:pPr>
        <w:pStyle w:val="TOC3"/>
        <w:rPr>
          <w:rFonts w:asciiTheme="minorHAnsi" w:eastAsiaTheme="minorEastAsia" w:hAnsiTheme="minorHAnsi" w:cstheme="minorBidi"/>
          <w:bCs w:val="0"/>
          <w:noProof/>
          <w:sz w:val="22"/>
          <w:szCs w:val="22"/>
        </w:rPr>
      </w:pPr>
      <w:hyperlink w:anchor="_Toc101856686" w:history="1">
        <w:r w:rsidR="004F2671" w:rsidRPr="00B81D76">
          <w:rPr>
            <w:rStyle w:val="Hyperlink"/>
            <w:noProof/>
          </w:rPr>
          <w:t>3.3.1</w:t>
        </w:r>
        <w:r w:rsidR="004F2671">
          <w:rPr>
            <w:rFonts w:asciiTheme="minorHAnsi" w:eastAsiaTheme="minorEastAsia" w:hAnsiTheme="minorHAnsi" w:cstheme="minorBidi"/>
            <w:bCs w:val="0"/>
            <w:noProof/>
            <w:sz w:val="22"/>
            <w:szCs w:val="22"/>
          </w:rPr>
          <w:tab/>
        </w:r>
        <w:r w:rsidR="004F2671" w:rsidRPr="00B81D76">
          <w:rPr>
            <w:rStyle w:val="Hyperlink"/>
            <w:noProof/>
          </w:rPr>
          <w:t>Outline</w:t>
        </w:r>
        <w:r w:rsidR="004F2671">
          <w:rPr>
            <w:noProof/>
            <w:webHidden/>
          </w:rPr>
          <w:tab/>
        </w:r>
        <w:r w:rsidR="004F2671">
          <w:rPr>
            <w:noProof/>
            <w:webHidden/>
          </w:rPr>
          <w:fldChar w:fldCharType="begin"/>
        </w:r>
        <w:r w:rsidR="004F2671">
          <w:rPr>
            <w:noProof/>
            <w:webHidden/>
          </w:rPr>
          <w:instrText xml:space="preserve"> PAGEREF _Toc101856686 \h </w:instrText>
        </w:r>
        <w:r w:rsidR="004F2671">
          <w:rPr>
            <w:noProof/>
            <w:webHidden/>
          </w:rPr>
        </w:r>
        <w:r w:rsidR="004F2671">
          <w:rPr>
            <w:noProof/>
            <w:webHidden/>
          </w:rPr>
          <w:fldChar w:fldCharType="separate"/>
        </w:r>
        <w:r w:rsidR="00643E47">
          <w:rPr>
            <w:noProof/>
            <w:webHidden/>
          </w:rPr>
          <w:t>19</w:t>
        </w:r>
        <w:r w:rsidR="004F2671">
          <w:rPr>
            <w:noProof/>
            <w:webHidden/>
          </w:rPr>
          <w:fldChar w:fldCharType="end"/>
        </w:r>
      </w:hyperlink>
    </w:p>
    <w:p w14:paraId="5CF0D8BA" w14:textId="4DAFDB7E" w:rsidR="004F2671" w:rsidRDefault="00E6462B">
      <w:pPr>
        <w:pStyle w:val="TOC3"/>
        <w:rPr>
          <w:rFonts w:asciiTheme="minorHAnsi" w:eastAsiaTheme="minorEastAsia" w:hAnsiTheme="minorHAnsi" w:cstheme="minorBidi"/>
          <w:bCs w:val="0"/>
          <w:noProof/>
          <w:sz w:val="22"/>
          <w:szCs w:val="22"/>
        </w:rPr>
      </w:pPr>
      <w:hyperlink w:anchor="_Toc101856687" w:history="1">
        <w:r w:rsidR="004F2671" w:rsidRPr="00B81D76">
          <w:rPr>
            <w:rStyle w:val="Hyperlink"/>
            <w:noProof/>
          </w:rPr>
          <w:t>3.3.2</w:t>
        </w:r>
        <w:r w:rsidR="004F2671">
          <w:rPr>
            <w:rFonts w:asciiTheme="minorHAnsi" w:eastAsiaTheme="minorEastAsia" w:hAnsiTheme="minorHAnsi" w:cstheme="minorBidi"/>
            <w:bCs w:val="0"/>
            <w:noProof/>
            <w:sz w:val="22"/>
            <w:szCs w:val="22"/>
          </w:rPr>
          <w:tab/>
        </w:r>
        <w:r w:rsidR="004F2671" w:rsidRPr="00B81D76">
          <w:rPr>
            <w:rStyle w:val="Hyperlink"/>
            <w:noProof/>
          </w:rPr>
          <w:t>Rainwater Harvesting</w:t>
        </w:r>
        <w:r w:rsidR="004F2671">
          <w:rPr>
            <w:noProof/>
            <w:webHidden/>
          </w:rPr>
          <w:tab/>
        </w:r>
        <w:r w:rsidR="004F2671">
          <w:rPr>
            <w:noProof/>
            <w:webHidden/>
          </w:rPr>
          <w:fldChar w:fldCharType="begin"/>
        </w:r>
        <w:r w:rsidR="004F2671">
          <w:rPr>
            <w:noProof/>
            <w:webHidden/>
          </w:rPr>
          <w:instrText xml:space="preserve"> PAGEREF _Toc101856687 \h </w:instrText>
        </w:r>
        <w:r w:rsidR="004F2671">
          <w:rPr>
            <w:noProof/>
            <w:webHidden/>
          </w:rPr>
        </w:r>
        <w:r w:rsidR="004F2671">
          <w:rPr>
            <w:noProof/>
            <w:webHidden/>
          </w:rPr>
          <w:fldChar w:fldCharType="separate"/>
        </w:r>
        <w:r w:rsidR="00643E47">
          <w:rPr>
            <w:noProof/>
            <w:webHidden/>
          </w:rPr>
          <w:t>20</w:t>
        </w:r>
        <w:r w:rsidR="004F2671">
          <w:rPr>
            <w:noProof/>
            <w:webHidden/>
          </w:rPr>
          <w:fldChar w:fldCharType="end"/>
        </w:r>
      </w:hyperlink>
    </w:p>
    <w:p w14:paraId="1EB742B8" w14:textId="65A7C9C3" w:rsidR="004F2671" w:rsidRDefault="00E6462B">
      <w:pPr>
        <w:pStyle w:val="TOC3"/>
        <w:rPr>
          <w:rFonts w:asciiTheme="minorHAnsi" w:eastAsiaTheme="minorEastAsia" w:hAnsiTheme="minorHAnsi" w:cstheme="minorBidi"/>
          <w:bCs w:val="0"/>
          <w:noProof/>
          <w:sz w:val="22"/>
          <w:szCs w:val="22"/>
        </w:rPr>
      </w:pPr>
      <w:hyperlink w:anchor="_Toc101856688" w:history="1">
        <w:r w:rsidR="004F2671" w:rsidRPr="00B81D76">
          <w:rPr>
            <w:rStyle w:val="Hyperlink"/>
            <w:noProof/>
          </w:rPr>
          <w:t>3.3.3</w:t>
        </w:r>
        <w:r w:rsidR="004F2671">
          <w:rPr>
            <w:rFonts w:asciiTheme="minorHAnsi" w:eastAsiaTheme="minorEastAsia" w:hAnsiTheme="minorHAnsi" w:cstheme="minorBidi"/>
            <w:bCs w:val="0"/>
            <w:noProof/>
            <w:sz w:val="22"/>
            <w:szCs w:val="22"/>
          </w:rPr>
          <w:tab/>
        </w:r>
        <w:r w:rsidR="004F2671" w:rsidRPr="00B81D76">
          <w:rPr>
            <w:rStyle w:val="Hyperlink"/>
            <w:noProof/>
          </w:rPr>
          <w:t>Greywater Recycling</w:t>
        </w:r>
        <w:r w:rsidR="004F2671">
          <w:rPr>
            <w:noProof/>
            <w:webHidden/>
          </w:rPr>
          <w:tab/>
        </w:r>
        <w:r w:rsidR="004F2671">
          <w:rPr>
            <w:noProof/>
            <w:webHidden/>
          </w:rPr>
          <w:fldChar w:fldCharType="begin"/>
        </w:r>
        <w:r w:rsidR="004F2671">
          <w:rPr>
            <w:noProof/>
            <w:webHidden/>
          </w:rPr>
          <w:instrText xml:space="preserve"> PAGEREF _Toc101856688 \h </w:instrText>
        </w:r>
        <w:r w:rsidR="004F2671">
          <w:rPr>
            <w:noProof/>
            <w:webHidden/>
          </w:rPr>
        </w:r>
        <w:r w:rsidR="004F2671">
          <w:rPr>
            <w:noProof/>
            <w:webHidden/>
          </w:rPr>
          <w:fldChar w:fldCharType="separate"/>
        </w:r>
        <w:r w:rsidR="00643E47">
          <w:rPr>
            <w:noProof/>
            <w:webHidden/>
          </w:rPr>
          <w:t>22</w:t>
        </w:r>
        <w:r w:rsidR="004F2671">
          <w:rPr>
            <w:noProof/>
            <w:webHidden/>
          </w:rPr>
          <w:fldChar w:fldCharType="end"/>
        </w:r>
      </w:hyperlink>
    </w:p>
    <w:p w14:paraId="77875CF0" w14:textId="64844319" w:rsidR="004F2671" w:rsidRDefault="00E6462B">
      <w:pPr>
        <w:pStyle w:val="TOC2"/>
        <w:rPr>
          <w:rFonts w:asciiTheme="minorHAnsi" w:eastAsiaTheme="minorEastAsia" w:hAnsiTheme="minorHAnsi" w:cstheme="minorBidi"/>
          <w:bCs w:val="0"/>
          <w:noProof/>
          <w:sz w:val="22"/>
          <w:szCs w:val="22"/>
        </w:rPr>
      </w:pPr>
      <w:hyperlink w:anchor="_Toc101856689" w:history="1">
        <w:r w:rsidR="004F2671" w:rsidRPr="00B81D76">
          <w:rPr>
            <w:rStyle w:val="Hyperlink"/>
            <w:noProof/>
          </w:rPr>
          <w:t>3.4</w:t>
        </w:r>
        <w:r w:rsidR="004F2671">
          <w:rPr>
            <w:rFonts w:asciiTheme="minorHAnsi" w:eastAsiaTheme="minorEastAsia" w:hAnsiTheme="minorHAnsi" w:cstheme="minorBidi"/>
            <w:bCs w:val="0"/>
            <w:noProof/>
            <w:sz w:val="22"/>
            <w:szCs w:val="22"/>
          </w:rPr>
          <w:tab/>
        </w:r>
        <w:r w:rsidR="004F2671" w:rsidRPr="00B81D76">
          <w:rPr>
            <w:rStyle w:val="Hyperlink"/>
            <w:noProof/>
          </w:rPr>
          <w:t>Offsetting options</w:t>
        </w:r>
        <w:r w:rsidR="004F2671">
          <w:rPr>
            <w:noProof/>
            <w:webHidden/>
          </w:rPr>
          <w:tab/>
        </w:r>
        <w:r w:rsidR="004F2671">
          <w:rPr>
            <w:noProof/>
            <w:webHidden/>
          </w:rPr>
          <w:fldChar w:fldCharType="begin"/>
        </w:r>
        <w:r w:rsidR="004F2671">
          <w:rPr>
            <w:noProof/>
            <w:webHidden/>
          </w:rPr>
          <w:instrText xml:space="preserve"> PAGEREF _Toc101856689 \h </w:instrText>
        </w:r>
        <w:r w:rsidR="004F2671">
          <w:rPr>
            <w:noProof/>
            <w:webHidden/>
          </w:rPr>
        </w:r>
        <w:r w:rsidR="004F2671">
          <w:rPr>
            <w:noProof/>
            <w:webHidden/>
          </w:rPr>
          <w:fldChar w:fldCharType="separate"/>
        </w:r>
        <w:r w:rsidR="00643E47">
          <w:rPr>
            <w:noProof/>
            <w:webHidden/>
          </w:rPr>
          <w:t>23</w:t>
        </w:r>
        <w:r w:rsidR="004F2671">
          <w:rPr>
            <w:noProof/>
            <w:webHidden/>
          </w:rPr>
          <w:fldChar w:fldCharType="end"/>
        </w:r>
      </w:hyperlink>
    </w:p>
    <w:p w14:paraId="1F056A10" w14:textId="77F6E14C" w:rsidR="004F2671" w:rsidRDefault="00E6462B">
      <w:pPr>
        <w:pStyle w:val="TOC3"/>
        <w:rPr>
          <w:rFonts w:asciiTheme="minorHAnsi" w:eastAsiaTheme="minorEastAsia" w:hAnsiTheme="minorHAnsi" w:cstheme="minorBidi"/>
          <w:bCs w:val="0"/>
          <w:noProof/>
          <w:sz w:val="22"/>
          <w:szCs w:val="22"/>
        </w:rPr>
      </w:pPr>
      <w:hyperlink w:anchor="_Toc101856690" w:history="1">
        <w:r w:rsidR="004F2671" w:rsidRPr="00B81D76">
          <w:rPr>
            <w:rStyle w:val="Hyperlink"/>
            <w:noProof/>
          </w:rPr>
          <w:t>3.4.1</w:t>
        </w:r>
        <w:r w:rsidR="004F2671">
          <w:rPr>
            <w:rFonts w:asciiTheme="minorHAnsi" w:eastAsiaTheme="minorEastAsia" w:hAnsiTheme="minorHAnsi" w:cstheme="minorBidi"/>
            <w:bCs w:val="0"/>
            <w:noProof/>
            <w:sz w:val="22"/>
            <w:szCs w:val="22"/>
          </w:rPr>
          <w:tab/>
        </w:r>
        <w:r w:rsidR="004F2671" w:rsidRPr="00B81D76">
          <w:rPr>
            <w:rStyle w:val="Hyperlink"/>
            <w:noProof/>
          </w:rPr>
          <w:t>Outline</w:t>
        </w:r>
        <w:r w:rsidR="004F2671">
          <w:rPr>
            <w:noProof/>
            <w:webHidden/>
          </w:rPr>
          <w:tab/>
        </w:r>
        <w:r w:rsidR="004F2671">
          <w:rPr>
            <w:noProof/>
            <w:webHidden/>
          </w:rPr>
          <w:fldChar w:fldCharType="begin"/>
        </w:r>
        <w:r w:rsidR="004F2671">
          <w:rPr>
            <w:noProof/>
            <w:webHidden/>
          </w:rPr>
          <w:instrText xml:space="preserve"> PAGEREF _Toc101856690 \h </w:instrText>
        </w:r>
        <w:r w:rsidR="004F2671">
          <w:rPr>
            <w:noProof/>
            <w:webHidden/>
          </w:rPr>
        </w:r>
        <w:r w:rsidR="004F2671">
          <w:rPr>
            <w:noProof/>
            <w:webHidden/>
          </w:rPr>
          <w:fldChar w:fldCharType="separate"/>
        </w:r>
        <w:r w:rsidR="00643E47">
          <w:rPr>
            <w:noProof/>
            <w:webHidden/>
          </w:rPr>
          <w:t>23</w:t>
        </w:r>
        <w:r w:rsidR="004F2671">
          <w:rPr>
            <w:noProof/>
            <w:webHidden/>
          </w:rPr>
          <w:fldChar w:fldCharType="end"/>
        </w:r>
      </w:hyperlink>
    </w:p>
    <w:p w14:paraId="2DC2997E" w14:textId="62BC7F31" w:rsidR="004F2671" w:rsidRDefault="00E6462B">
      <w:pPr>
        <w:pStyle w:val="TOC3"/>
        <w:rPr>
          <w:rFonts w:asciiTheme="minorHAnsi" w:eastAsiaTheme="minorEastAsia" w:hAnsiTheme="minorHAnsi" w:cstheme="minorBidi"/>
          <w:bCs w:val="0"/>
          <w:noProof/>
          <w:sz w:val="22"/>
          <w:szCs w:val="22"/>
        </w:rPr>
      </w:pPr>
      <w:hyperlink w:anchor="_Toc101856691" w:history="1">
        <w:r w:rsidR="004F2671" w:rsidRPr="00B81D76">
          <w:rPr>
            <w:rStyle w:val="Hyperlink"/>
            <w:noProof/>
          </w:rPr>
          <w:t>3.4.2</w:t>
        </w:r>
        <w:r w:rsidR="004F2671">
          <w:rPr>
            <w:rFonts w:asciiTheme="minorHAnsi" w:eastAsiaTheme="minorEastAsia" w:hAnsiTheme="minorHAnsi" w:cstheme="minorBidi"/>
            <w:bCs w:val="0"/>
            <w:noProof/>
            <w:sz w:val="22"/>
            <w:szCs w:val="22"/>
          </w:rPr>
          <w:tab/>
        </w:r>
        <w:r w:rsidR="004F2671" w:rsidRPr="00B81D76">
          <w:rPr>
            <w:rStyle w:val="Hyperlink"/>
            <w:noProof/>
          </w:rPr>
          <w:t>Re-zoning</w:t>
        </w:r>
        <w:r w:rsidR="004F2671">
          <w:rPr>
            <w:noProof/>
            <w:webHidden/>
          </w:rPr>
          <w:tab/>
        </w:r>
        <w:r w:rsidR="004F2671">
          <w:rPr>
            <w:noProof/>
            <w:webHidden/>
          </w:rPr>
          <w:fldChar w:fldCharType="begin"/>
        </w:r>
        <w:r w:rsidR="004F2671">
          <w:rPr>
            <w:noProof/>
            <w:webHidden/>
          </w:rPr>
          <w:instrText xml:space="preserve"> PAGEREF _Toc101856691 \h </w:instrText>
        </w:r>
        <w:r w:rsidR="004F2671">
          <w:rPr>
            <w:noProof/>
            <w:webHidden/>
          </w:rPr>
        </w:r>
        <w:r w:rsidR="004F2671">
          <w:rPr>
            <w:noProof/>
            <w:webHidden/>
          </w:rPr>
          <w:fldChar w:fldCharType="separate"/>
        </w:r>
        <w:r w:rsidR="00643E47">
          <w:rPr>
            <w:noProof/>
            <w:webHidden/>
          </w:rPr>
          <w:t>23</w:t>
        </w:r>
        <w:r w:rsidR="004F2671">
          <w:rPr>
            <w:noProof/>
            <w:webHidden/>
          </w:rPr>
          <w:fldChar w:fldCharType="end"/>
        </w:r>
      </w:hyperlink>
    </w:p>
    <w:p w14:paraId="1D873AA9" w14:textId="6352B46D" w:rsidR="004F2671" w:rsidRDefault="00E6462B">
      <w:pPr>
        <w:pStyle w:val="TOC3"/>
        <w:rPr>
          <w:rFonts w:asciiTheme="minorHAnsi" w:eastAsiaTheme="minorEastAsia" w:hAnsiTheme="minorHAnsi" w:cstheme="minorBidi"/>
          <w:bCs w:val="0"/>
          <w:noProof/>
          <w:sz w:val="22"/>
          <w:szCs w:val="22"/>
        </w:rPr>
      </w:pPr>
      <w:hyperlink w:anchor="_Toc101856692" w:history="1">
        <w:r w:rsidR="004F2671" w:rsidRPr="00B81D76">
          <w:rPr>
            <w:rStyle w:val="Hyperlink"/>
            <w:noProof/>
          </w:rPr>
          <w:t>3.4.3</w:t>
        </w:r>
        <w:r w:rsidR="004F2671">
          <w:rPr>
            <w:rFonts w:asciiTheme="minorHAnsi" w:eastAsiaTheme="minorEastAsia" w:hAnsiTheme="minorHAnsi" w:cstheme="minorBidi"/>
            <w:bCs w:val="0"/>
            <w:noProof/>
            <w:sz w:val="22"/>
            <w:szCs w:val="22"/>
          </w:rPr>
          <w:tab/>
        </w:r>
        <w:r w:rsidR="004F2671" w:rsidRPr="00B81D76">
          <w:rPr>
            <w:rStyle w:val="Hyperlink"/>
            <w:noProof/>
          </w:rPr>
          <w:t>SW’s WRMP</w:t>
        </w:r>
        <w:r w:rsidR="004F2671">
          <w:rPr>
            <w:noProof/>
            <w:webHidden/>
          </w:rPr>
          <w:tab/>
        </w:r>
        <w:r w:rsidR="004F2671">
          <w:rPr>
            <w:noProof/>
            <w:webHidden/>
          </w:rPr>
          <w:fldChar w:fldCharType="begin"/>
        </w:r>
        <w:r w:rsidR="004F2671">
          <w:rPr>
            <w:noProof/>
            <w:webHidden/>
          </w:rPr>
          <w:instrText xml:space="preserve"> PAGEREF _Toc101856692 \h </w:instrText>
        </w:r>
        <w:r w:rsidR="004F2671">
          <w:rPr>
            <w:noProof/>
            <w:webHidden/>
          </w:rPr>
        </w:r>
        <w:r w:rsidR="004F2671">
          <w:rPr>
            <w:noProof/>
            <w:webHidden/>
          </w:rPr>
          <w:fldChar w:fldCharType="separate"/>
        </w:r>
        <w:r w:rsidR="00643E47">
          <w:rPr>
            <w:noProof/>
            <w:webHidden/>
          </w:rPr>
          <w:t>23</w:t>
        </w:r>
        <w:r w:rsidR="004F2671">
          <w:rPr>
            <w:noProof/>
            <w:webHidden/>
          </w:rPr>
          <w:fldChar w:fldCharType="end"/>
        </w:r>
      </w:hyperlink>
    </w:p>
    <w:p w14:paraId="67E22E99" w14:textId="24845352" w:rsidR="004F2671" w:rsidRDefault="00E6462B">
      <w:pPr>
        <w:pStyle w:val="TOC3"/>
        <w:rPr>
          <w:rFonts w:asciiTheme="minorHAnsi" w:eastAsiaTheme="minorEastAsia" w:hAnsiTheme="minorHAnsi" w:cstheme="minorBidi"/>
          <w:bCs w:val="0"/>
          <w:noProof/>
          <w:sz w:val="22"/>
          <w:szCs w:val="22"/>
        </w:rPr>
      </w:pPr>
      <w:hyperlink w:anchor="_Toc101856693" w:history="1">
        <w:r w:rsidR="004F2671" w:rsidRPr="00B81D76">
          <w:rPr>
            <w:rStyle w:val="Hyperlink"/>
            <w:noProof/>
          </w:rPr>
          <w:t>3.4.4</w:t>
        </w:r>
        <w:r w:rsidR="004F2671">
          <w:rPr>
            <w:rFonts w:asciiTheme="minorHAnsi" w:eastAsiaTheme="minorEastAsia" w:hAnsiTheme="minorHAnsi" w:cstheme="minorBidi"/>
            <w:bCs w:val="0"/>
            <w:noProof/>
            <w:sz w:val="22"/>
            <w:szCs w:val="22"/>
          </w:rPr>
          <w:tab/>
        </w:r>
        <w:r w:rsidR="004F2671" w:rsidRPr="00B81D76">
          <w:rPr>
            <w:rStyle w:val="Hyperlink"/>
            <w:noProof/>
          </w:rPr>
          <w:t>Leakage reduction</w:t>
        </w:r>
        <w:r w:rsidR="004F2671">
          <w:rPr>
            <w:noProof/>
            <w:webHidden/>
          </w:rPr>
          <w:tab/>
        </w:r>
        <w:r w:rsidR="004F2671">
          <w:rPr>
            <w:noProof/>
            <w:webHidden/>
          </w:rPr>
          <w:fldChar w:fldCharType="begin"/>
        </w:r>
        <w:r w:rsidR="004F2671">
          <w:rPr>
            <w:noProof/>
            <w:webHidden/>
          </w:rPr>
          <w:instrText xml:space="preserve"> PAGEREF _Toc101856693 \h </w:instrText>
        </w:r>
        <w:r w:rsidR="004F2671">
          <w:rPr>
            <w:noProof/>
            <w:webHidden/>
          </w:rPr>
        </w:r>
        <w:r w:rsidR="004F2671">
          <w:rPr>
            <w:noProof/>
            <w:webHidden/>
          </w:rPr>
          <w:fldChar w:fldCharType="separate"/>
        </w:r>
        <w:r w:rsidR="00643E47">
          <w:rPr>
            <w:noProof/>
            <w:webHidden/>
          </w:rPr>
          <w:t>25</w:t>
        </w:r>
        <w:r w:rsidR="004F2671">
          <w:rPr>
            <w:noProof/>
            <w:webHidden/>
          </w:rPr>
          <w:fldChar w:fldCharType="end"/>
        </w:r>
      </w:hyperlink>
    </w:p>
    <w:p w14:paraId="6B228F2D" w14:textId="7734E4B6" w:rsidR="004F2671" w:rsidRDefault="00E6462B">
      <w:pPr>
        <w:pStyle w:val="TOC3"/>
        <w:rPr>
          <w:rFonts w:asciiTheme="minorHAnsi" w:eastAsiaTheme="minorEastAsia" w:hAnsiTheme="minorHAnsi" w:cstheme="minorBidi"/>
          <w:bCs w:val="0"/>
          <w:noProof/>
          <w:sz w:val="22"/>
          <w:szCs w:val="22"/>
        </w:rPr>
      </w:pPr>
      <w:hyperlink w:anchor="_Toc101856694" w:history="1">
        <w:r w:rsidR="004F2671" w:rsidRPr="00B81D76">
          <w:rPr>
            <w:rStyle w:val="Hyperlink"/>
            <w:noProof/>
          </w:rPr>
          <w:t>3.4.5</w:t>
        </w:r>
        <w:r w:rsidR="004F2671">
          <w:rPr>
            <w:rFonts w:asciiTheme="minorHAnsi" w:eastAsiaTheme="minorEastAsia" w:hAnsiTheme="minorHAnsi" w:cstheme="minorBidi"/>
            <w:bCs w:val="0"/>
            <w:noProof/>
            <w:sz w:val="22"/>
            <w:szCs w:val="22"/>
          </w:rPr>
          <w:tab/>
        </w:r>
        <w:r w:rsidR="004F2671" w:rsidRPr="00B81D76">
          <w:rPr>
            <w:rStyle w:val="Hyperlink"/>
            <w:noProof/>
          </w:rPr>
          <w:t>Extension of metering programme</w:t>
        </w:r>
        <w:r w:rsidR="004F2671">
          <w:rPr>
            <w:noProof/>
            <w:webHidden/>
          </w:rPr>
          <w:tab/>
        </w:r>
        <w:r w:rsidR="004F2671">
          <w:rPr>
            <w:noProof/>
            <w:webHidden/>
          </w:rPr>
          <w:fldChar w:fldCharType="begin"/>
        </w:r>
        <w:r w:rsidR="004F2671">
          <w:rPr>
            <w:noProof/>
            <w:webHidden/>
          </w:rPr>
          <w:instrText xml:space="preserve"> PAGEREF _Toc101856694 \h </w:instrText>
        </w:r>
        <w:r w:rsidR="004F2671">
          <w:rPr>
            <w:noProof/>
            <w:webHidden/>
          </w:rPr>
        </w:r>
        <w:r w:rsidR="004F2671">
          <w:rPr>
            <w:noProof/>
            <w:webHidden/>
          </w:rPr>
          <w:fldChar w:fldCharType="separate"/>
        </w:r>
        <w:r w:rsidR="00643E47">
          <w:rPr>
            <w:noProof/>
            <w:webHidden/>
          </w:rPr>
          <w:t>25</w:t>
        </w:r>
        <w:r w:rsidR="004F2671">
          <w:rPr>
            <w:noProof/>
            <w:webHidden/>
          </w:rPr>
          <w:fldChar w:fldCharType="end"/>
        </w:r>
      </w:hyperlink>
    </w:p>
    <w:p w14:paraId="27DBAB42" w14:textId="32785EDE" w:rsidR="004F2671" w:rsidRDefault="00E6462B">
      <w:pPr>
        <w:pStyle w:val="TOC3"/>
        <w:rPr>
          <w:rFonts w:asciiTheme="minorHAnsi" w:eastAsiaTheme="minorEastAsia" w:hAnsiTheme="minorHAnsi" w:cstheme="minorBidi"/>
          <w:bCs w:val="0"/>
          <w:noProof/>
          <w:sz w:val="22"/>
          <w:szCs w:val="22"/>
        </w:rPr>
      </w:pPr>
      <w:hyperlink w:anchor="_Toc101856695" w:history="1">
        <w:r w:rsidR="004F2671" w:rsidRPr="00B81D76">
          <w:rPr>
            <w:rStyle w:val="Hyperlink"/>
            <w:noProof/>
          </w:rPr>
          <w:t>3.4.6</w:t>
        </w:r>
        <w:r w:rsidR="004F2671">
          <w:rPr>
            <w:rFonts w:asciiTheme="minorHAnsi" w:eastAsiaTheme="minorEastAsia" w:hAnsiTheme="minorHAnsi" w:cstheme="minorBidi"/>
            <w:bCs w:val="0"/>
            <w:noProof/>
            <w:sz w:val="22"/>
            <w:szCs w:val="22"/>
          </w:rPr>
          <w:tab/>
        </w:r>
        <w:r w:rsidR="004F2671" w:rsidRPr="00B81D76">
          <w:rPr>
            <w:rStyle w:val="Hyperlink"/>
            <w:noProof/>
          </w:rPr>
          <w:t>Household visits</w:t>
        </w:r>
        <w:r w:rsidR="004F2671">
          <w:rPr>
            <w:noProof/>
            <w:webHidden/>
          </w:rPr>
          <w:tab/>
        </w:r>
        <w:r w:rsidR="004F2671">
          <w:rPr>
            <w:noProof/>
            <w:webHidden/>
          </w:rPr>
          <w:fldChar w:fldCharType="begin"/>
        </w:r>
        <w:r w:rsidR="004F2671">
          <w:rPr>
            <w:noProof/>
            <w:webHidden/>
          </w:rPr>
          <w:instrText xml:space="preserve"> PAGEREF _Toc101856695 \h </w:instrText>
        </w:r>
        <w:r w:rsidR="004F2671">
          <w:rPr>
            <w:noProof/>
            <w:webHidden/>
          </w:rPr>
        </w:r>
        <w:r w:rsidR="004F2671">
          <w:rPr>
            <w:noProof/>
            <w:webHidden/>
          </w:rPr>
          <w:fldChar w:fldCharType="separate"/>
        </w:r>
        <w:r w:rsidR="00643E47">
          <w:rPr>
            <w:noProof/>
            <w:webHidden/>
          </w:rPr>
          <w:t>26</w:t>
        </w:r>
        <w:r w:rsidR="004F2671">
          <w:rPr>
            <w:noProof/>
            <w:webHidden/>
          </w:rPr>
          <w:fldChar w:fldCharType="end"/>
        </w:r>
      </w:hyperlink>
    </w:p>
    <w:p w14:paraId="3145CAD6" w14:textId="70BB3DEB" w:rsidR="004F2671" w:rsidRDefault="00E6462B">
      <w:pPr>
        <w:pStyle w:val="TOC3"/>
        <w:rPr>
          <w:rFonts w:asciiTheme="minorHAnsi" w:eastAsiaTheme="minorEastAsia" w:hAnsiTheme="minorHAnsi" w:cstheme="minorBidi"/>
          <w:bCs w:val="0"/>
          <w:noProof/>
          <w:sz w:val="22"/>
          <w:szCs w:val="22"/>
        </w:rPr>
      </w:pPr>
      <w:hyperlink w:anchor="_Toc101856696" w:history="1">
        <w:r w:rsidR="004F2671" w:rsidRPr="00B81D76">
          <w:rPr>
            <w:rStyle w:val="Hyperlink"/>
            <w:noProof/>
          </w:rPr>
          <w:t>3.4.7</w:t>
        </w:r>
        <w:r w:rsidR="004F2671">
          <w:rPr>
            <w:rFonts w:asciiTheme="minorHAnsi" w:eastAsiaTheme="minorEastAsia" w:hAnsiTheme="minorHAnsi" w:cstheme="minorBidi"/>
            <w:bCs w:val="0"/>
            <w:noProof/>
            <w:sz w:val="22"/>
            <w:szCs w:val="22"/>
          </w:rPr>
          <w:tab/>
        </w:r>
        <w:r w:rsidR="004F2671" w:rsidRPr="00B81D76">
          <w:rPr>
            <w:rStyle w:val="Hyperlink"/>
            <w:noProof/>
          </w:rPr>
          <w:t>Non-household visits</w:t>
        </w:r>
        <w:r w:rsidR="004F2671">
          <w:rPr>
            <w:noProof/>
            <w:webHidden/>
          </w:rPr>
          <w:tab/>
        </w:r>
        <w:r w:rsidR="004F2671">
          <w:rPr>
            <w:noProof/>
            <w:webHidden/>
          </w:rPr>
          <w:fldChar w:fldCharType="begin"/>
        </w:r>
        <w:r w:rsidR="004F2671">
          <w:rPr>
            <w:noProof/>
            <w:webHidden/>
          </w:rPr>
          <w:instrText xml:space="preserve"> PAGEREF _Toc101856696 \h </w:instrText>
        </w:r>
        <w:r w:rsidR="004F2671">
          <w:rPr>
            <w:noProof/>
            <w:webHidden/>
          </w:rPr>
        </w:r>
        <w:r w:rsidR="004F2671">
          <w:rPr>
            <w:noProof/>
            <w:webHidden/>
          </w:rPr>
          <w:fldChar w:fldCharType="separate"/>
        </w:r>
        <w:r w:rsidR="00643E47">
          <w:rPr>
            <w:noProof/>
            <w:webHidden/>
          </w:rPr>
          <w:t>27</w:t>
        </w:r>
        <w:r w:rsidR="004F2671">
          <w:rPr>
            <w:noProof/>
            <w:webHidden/>
          </w:rPr>
          <w:fldChar w:fldCharType="end"/>
        </w:r>
      </w:hyperlink>
    </w:p>
    <w:p w14:paraId="5D832EA2" w14:textId="65895CF9" w:rsidR="004F2671" w:rsidRDefault="00E6462B">
      <w:pPr>
        <w:pStyle w:val="TOC3"/>
        <w:rPr>
          <w:rFonts w:asciiTheme="minorHAnsi" w:eastAsiaTheme="minorEastAsia" w:hAnsiTheme="minorHAnsi" w:cstheme="minorBidi"/>
          <w:bCs w:val="0"/>
          <w:noProof/>
          <w:sz w:val="22"/>
          <w:szCs w:val="22"/>
        </w:rPr>
      </w:pPr>
      <w:hyperlink w:anchor="_Toc101856697" w:history="1">
        <w:r w:rsidR="004F2671" w:rsidRPr="00B81D76">
          <w:rPr>
            <w:rStyle w:val="Hyperlink"/>
            <w:noProof/>
          </w:rPr>
          <w:t>3.4.8</w:t>
        </w:r>
        <w:r w:rsidR="004F2671">
          <w:rPr>
            <w:rFonts w:asciiTheme="minorHAnsi" w:eastAsiaTheme="minorEastAsia" w:hAnsiTheme="minorHAnsi" w:cstheme="minorBidi"/>
            <w:bCs w:val="0"/>
            <w:noProof/>
            <w:sz w:val="22"/>
            <w:szCs w:val="22"/>
          </w:rPr>
          <w:tab/>
        </w:r>
        <w:r w:rsidR="004F2671" w:rsidRPr="00B81D76">
          <w:rPr>
            <w:rStyle w:val="Hyperlink"/>
            <w:noProof/>
          </w:rPr>
          <w:t>Application of BREEAM</w:t>
        </w:r>
        <w:r w:rsidR="004F2671">
          <w:rPr>
            <w:noProof/>
            <w:webHidden/>
          </w:rPr>
          <w:tab/>
        </w:r>
        <w:r w:rsidR="004F2671">
          <w:rPr>
            <w:noProof/>
            <w:webHidden/>
          </w:rPr>
          <w:fldChar w:fldCharType="begin"/>
        </w:r>
        <w:r w:rsidR="004F2671">
          <w:rPr>
            <w:noProof/>
            <w:webHidden/>
          </w:rPr>
          <w:instrText xml:space="preserve"> PAGEREF _Toc101856697 \h </w:instrText>
        </w:r>
        <w:r w:rsidR="004F2671">
          <w:rPr>
            <w:noProof/>
            <w:webHidden/>
          </w:rPr>
        </w:r>
        <w:r w:rsidR="004F2671">
          <w:rPr>
            <w:noProof/>
            <w:webHidden/>
          </w:rPr>
          <w:fldChar w:fldCharType="separate"/>
        </w:r>
        <w:r w:rsidR="00643E47">
          <w:rPr>
            <w:noProof/>
            <w:webHidden/>
          </w:rPr>
          <w:t>28</w:t>
        </w:r>
        <w:r w:rsidR="004F2671">
          <w:rPr>
            <w:noProof/>
            <w:webHidden/>
          </w:rPr>
          <w:fldChar w:fldCharType="end"/>
        </w:r>
      </w:hyperlink>
    </w:p>
    <w:p w14:paraId="0CA0F437" w14:textId="3701B460" w:rsidR="004F2671" w:rsidRDefault="00E6462B">
      <w:pPr>
        <w:pStyle w:val="TOC3"/>
        <w:rPr>
          <w:rFonts w:asciiTheme="minorHAnsi" w:eastAsiaTheme="minorEastAsia" w:hAnsiTheme="minorHAnsi" w:cstheme="minorBidi"/>
          <w:bCs w:val="0"/>
          <w:noProof/>
          <w:sz w:val="22"/>
          <w:szCs w:val="22"/>
        </w:rPr>
      </w:pPr>
      <w:hyperlink w:anchor="_Toc101856698" w:history="1">
        <w:r w:rsidR="004F2671" w:rsidRPr="00B81D76">
          <w:rPr>
            <w:rStyle w:val="Hyperlink"/>
            <w:noProof/>
          </w:rPr>
          <w:t>3.4.9</w:t>
        </w:r>
        <w:r w:rsidR="004F2671">
          <w:rPr>
            <w:rFonts w:asciiTheme="minorHAnsi" w:eastAsiaTheme="minorEastAsia" w:hAnsiTheme="minorHAnsi" w:cstheme="minorBidi"/>
            <w:bCs w:val="0"/>
            <w:noProof/>
            <w:sz w:val="22"/>
            <w:szCs w:val="22"/>
          </w:rPr>
          <w:tab/>
        </w:r>
        <w:r w:rsidR="004F2671" w:rsidRPr="00B81D76">
          <w:rPr>
            <w:rStyle w:val="Hyperlink"/>
            <w:noProof/>
          </w:rPr>
          <w:t>Rainwater Harvesting and Greywater Recycling</w:t>
        </w:r>
        <w:r w:rsidR="004F2671">
          <w:rPr>
            <w:noProof/>
            <w:webHidden/>
          </w:rPr>
          <w:tab/>
        </w:r>
        <w:r w:rsidR="004F2671">
          <w:rPr>
            <w:noProof/>
            <w:webHidden/>
          </w:rPr>
          <w:fldChar w:fldCharType="begin"/>
        </w:r>
        <w:r w:rsidR="004F2671">
          <w:rPr>
            <w:noProof/>
            <w:webHidden/>
          </w:rPr>
          <w:instrText xml:space="preserve"> PAGEREF _Toc101856698 \h </w:instrText>
        </w:r>
        <w:r w:rsidR="004F2671">
          <w:rPr>
            <w:noProof/>
            <w:webHidden/>
          </w:rPr>
        </w:r>
        <w:r w:rsidR="004F2671">
          <w:rPr>
            <w:noProof/>
            <w:webHidden/>
          </w:rPr>
          <w:fldChar w:fldCharType="separate"/>
        </w:r>
        <w:r w:rsidR="00643E47">
          <w:rPr>
            <w:noProof/>
            <w:webHidden/>
          </w:rPr>
          <w:t>28</w:t>
        </w:r>
        <w:r w:rsidR="004F2671">
          <w:rPr>
            <w:noProof/>
            <w:webHidden/>
          </w:rPr>
          <w:fldChar w:fldCharType="end"/>
        </w:r>
      </w:hyperlink>
    </w:p>
    <w:p w14:paraId="15C5A305" w14:textId="393E6B8C" w:rsidR="004F2671" w:rsidRDefault="00E6462B">
      <w:pPr>
        <w:pStyle w:val="TOC1"/>
        <w:rPr>
          <w:rFonts w:asciiTheme="minorHAnsi" w:eastAsiaTheme="minorEastAsia" w:hAnsiTheme="minorHAnsi" w:cstheme="minorBidi"/>
          <w:bCs w:val="0"/>
          <w:noProof/>
          <w:sz w:val="22"/>
          <w:szCs w:val="22"/>
        </w:rPr>
      </w:pPr>
      <w:hyperlink w:anchor="_Toc101856699" w:history="1">
        <w:r w:rsidR="004F2671" w:rsidRPr="00B81D76">
          <w:rPr>
            <w:rStyle w:val="Hyperlink"/>
            <w:noProof/>
          </w:rPr>
          <w:t>4</w:t>
        </w:r>
        <w:r w:rsidR="004F2671">
          <w:rPr>
            <w:rFonts w:asciiTheme="minorHAnsi" w:eastAsiaTheme="minorEastAsia" w:hAnsiTheme="minorHAnsi" w:cstheme="minorBidi"/>
            <w:bCs w:val="0"/>
            <w:noProof/>
            <w:sz w:val="22"/>
            <w:szCs w:val="22"/>
          </w:rPr>
          <w:tab/>
        </w:r>
        <w:r w:rsidR="004F2671" w:rsidRPr="00B81D76">
          <w:rPr>
            <w:rStyle w:val="Hyperlink"/>
            <w:noProof/>
          </w:rPr>
          <w:t>Summary and conclusions</w:t>
        </w:r>
        <w:r w:rsidR="004F2671">
          <w:rPr>
            <w:noProof/>
            <w:webHidden/>
          </w:rPr>
          <w:tab/>
        </w:r>
        <w:r w:rsidR="004F2671">
          <w:rPr>
            <w:noProof/>
            <w:webHidden/>
          </w:rPr>
          <w:fldChar w:fldCharType="begin"/>
        </w:r>
        <w:r w:rsidR="004F2671">
          <w:rPr>
            <w:noProof/>
            <w:webHidden/>
          </w:rPr>
          <w:instrText xml:space="preserve"> PAGEREF _Toc101856699 \h </w:instrText>
        </w:r>
        <w:r w:rsidR="004F2671">
          <w:rPr>
            <w:noProof/>
            <w:webHidden/>
          </w:rPr>
        </w:r>
        <w:r w:rsidR="004F2671">
          <w:rPr>
            <w:noProof/>
            <w:webHidden/>
          </w:rPr>
          <w:fldChar w:fldCharType="separate"/>
        </w:r>
        <w:r w:rsidR="00643E47">
          <w:rPr>
            <w:noProof/>
            <w:webHidden/>
          </w:rPr>
          <w:t>30</w:t>
        </w:r>
        <w:r w:rsidR="004F2671">
          <w:rPr>
            <w:noProof/>
            <w:webHidden/>
          </w:rPr>
          <w:fldChar w:fldCharType="end"/>
        </w:r>
      </w:hyperlink>
    </w:p>
    <w:p w14:paraId="5A0BC3C4" w14:textId="56276001" w:rsidR="004F2671" w:rsidRDefault="00E6462B">
      <w:pPr>
        <w:pStyle w:val="TOC2"/>
        <w:rPr>
          <w:rFonts w:asciiTheme="minorHAnsi" w:eastAsiaTheme="minorEastAsia" w:hAnsiTheme="minorHAnsi" w:cstheme="minorBidi"/>
          <w:bCs w:val="0"/>
          <w:noProof/>
          <w:sz w:val="22"/>
          <w:szCs w:val="22"/>
        </w:rPr>
      </w:pPr>
      <w:hyperlink w:anchor="_Toc101856700" w:history="1">
        <w:r w:rsidR="004F2671" w:rsidRPr="00B81D76">
          <w:rPr>
            <w:rStyle w:val="Hyperlink"/>
            <w:noProof/>
          </w:rPr>
          <w:t>4.1</w:t>
        </w:r>
        <w:r w:rsidR="004F2671">
          <w:rPr>
            <w:rFonts w:asciiTheme="minorHAnsi" w:eastAsiaTheme="minorEastAsia" w:hAnsiTheme="minorHAnsi" w:cstheme="minorBidi"/>
            <w:bCs w:val="0"/>
            <w:noProof/>
            <w:sz w:val="22"/>
            <w:szCs w:val="22"/>
          </w:rPr>
          <w:tab/>
        </w:r>
        <w:r w:rsidR="004F2671" w:rsidRPr="00B81D76">
          <w:rPr>
            <w:rStyle w:val="Hyperlink"/>
            <w:noProof/>
          </w:rPr>
          <w:t>Summary</w:t>
        </w:r>
        <w:r w:rsidR="004F2671">
          <w:rPr>
            <w:noProof/>
            <w:webHidden/>
          </w:rPr>
          <w:tab/>
        </w:r>
        <w:r w:rsidR="004F2671">
          <w:rPr>
            <w:noProof/>
            <w:webHidden/>
          </w:rPr>
          <w:fldChar w:fldCharType="begin"/>
        </w:r>
        <w:r w:rsidR="004F2671">
          <w:rPr>
            <w:noProof/>
            <w:webHidden/>
          </w:rPr>
          <w:instrText xml:space="preserve"> PAGEREF _Toc101856700 \h </w:instrText>
        </w:r>
        <w:r w:rsidR="004F2671">
          <w:rPr>
            <w:noProof/>
            <w:webHidden/>
          </w:rPr>
        </w:r>
        <w:r w:rsidR="004F2671">
          <w:rPr>
            <w:noProof/>
            <w:webHidden/>
          </w:rPr>
          <w:fldChar w:fldCharType="separate"/>
        </w:r>
        <w:r w:rsidR="00643E47">
          <w:rPr>
            <w:noProof/>
            <w:webHidden/>
          </w:rPr>
          <w:t>30</w:t>
        </w:r>
        <w:r w:rsidR="004F2671">
          <w:rPr>
            <w:noProof/>
            <w:webHidden/>
          </w:rPr>
          <w:fldChar w:fldCharType="end"/>
        </w:r>
      </w:hyperlink>
    </w:p>
    <w:p w14:paraId="106224F3" w14:textId="32C06643" w:rsidR="004F2671" w:rsidRDefault="00E6462B">
      <w:pPr>
        <w:pStyle w:val="TOC2"/>
        <w:rPr>
          <w:rFonts w:asciiTheme="minorHAnsi" w:eastAsiaTheme="minorEastAsia" w:hAnsiTheme="minorHAnsi" w:cstheme="minorBidi"/>
          <w:bCs w:val="0"/>
          <w:noProof/>
          <w:sz w:val="22"/>
          <w:szCs w:val="22"/>
        </w:rPr>
      </w:pPr>
      <w:hyperlink w:anchor="_Toc101856701" w:history="1">
        <w:r w:rsidR="004F2671" w:rsidRPr="00B81D76">
          <w:rPr>
            <w:rStyle w:val="Hyperlink"/>
            <w:noProof/>
          </w:rPr>
          <w:t>4.2</w:t>
        </w:r>
        <w:r w:rsidR="004F2671">
          <w:rPr>
            <w:rFonts w:asciiTheme="minorHAnsi" w:eastAsiaTheme="minorEastAsia" w:hAnsiTheme="minorHAnsi" w:cstheme="minorBidi"/>
            <w:bCs w:val="0"/>
            <w:noProof/>
            <w:sz w:val="22"/>
            <w:szCs w:val="22"/>
          </w:rPr>
          <w:tab/>
        </w:r>
        <w:r w:rsidR="004F2671" w:rsidRPr="00B81D76">
          <w:rPr>
            <w:rStyle w:val="Hyperlink"/>
            <w:noProof/>
          </w:rPr>
          <w:t>Impact on viability</w:t>
        </w:r>
        <w:r w:rsidR="004F2671">
          <w:rPr>
            <w:noProof/>
            <w:webHidden/>
          </w:rPr>
          <w:tab/>
        </w:r>
        <w:r w:rsidR="004F2671">
          <w:rPr>
            <w:noProof/>
            <w:webHidden/>
          </w:rPr>
          <w:fldChar w:fldCharType="begin"/>
        </w:r>
        <w:r w:rsidR="004F2671">
          <w:rPr>
            <w:noProof/>
            <w:webHidden/>
          </w:rPr>
          <w:instrText xml:space="preserve"> PAGEREF _Toc101856701 \h </w:instrText>
        </w:r>
        <w:r w:rsidR="004F2671">
          <w:rPr>
            <w:noProof/>
            <w:webHidden/>
          </w:rPr>
        </w:r>
        <w:r w:rsidR="004F2671">
          <w:rPr>
            <w:noProof/>
            <w:webHidden/>
          </w:rPr>
          <w:fldChar w:fldCharType="separate"/>
        </w:r>
        <w:r w:rsidR="00643E47">
          <w:rPr>
            <w:noProof/>
            <w:webHidden/>
          </w:rPr>
          <w:t>36</w:t>
        </w:r>
        <w:r w:rsidR="004F2671">
          <w:rPr>
            <w:noProof/>
            <w:webHidden/>
          </w:rPr>
          <w:fldChar w:fldCharType="end"/>
        </w:r>
      </w:hyperlink>
    </w:p>
    <w:p w14:paraId="20304397" w14:textId="56DCBD68" w:rsidR="004F2671" w:rsidRDefault="00E6462B">
      <w:pPr>
        <w:pStyle w:val="TOC3"/>
        <w:rPr>
          <w:rFonts w:asciiTheme="minorHAnsi" w:eastAsiaTheme="minorEastAsia" w:hAnsiTheme="minorHAnsi" w:cstheme="minorBidi"/>
          <w:bCs w:val="0"/>
          <w:noProof/>
          <w:sz w:val="22"/>
          <w:szCs w:val="22"/>
        </w:rPr>
      </w:pPr>
      <w:hyperlink w:anchor="_Toc101856702" w:history="1">
        <w:r w:rsidR="004F2671" w:rsidRPr="00B81D76">
          <w:rPr>
            <w:rStyle w:val="Hyperlink"/>
            <w:noProof/>
          </w:rPr>
          <w:t>4.2.1</w:t>
        </w:r>
        <w:r w:rsidR="004F2671">
          <w:rPr>
            <w:rFonts w:asciiTheme="minorHAnsi" w:eastAsiaTheme="minorEastAsia" w:hAnsiTheme="minorHAnsi" w:cstheme="minorBidi"/>
            <w:bCs w:val="0"/>
            <w:noProof/>
            <w:sz w:val="22"/>
            <w:szCs w:val="22"/>
          </w:rPr>
          <w:tab/>
        </w:r>
        <w:r w:rsidR="004F2671" w:rsidRPr="00B81D76">
          <w:rPr>
            <w:rStyle w:val="Hyperlink"/>
            <w:noProof/>
          </w:rPr>
          <w:t>Introduction</w:t>
        </w:r>
        <w:r w:rsidR="004F2671">
          <w:rPr>
            <w:noProof/>
            <w:webHidden/>
          </w:rPr>
          <w:tab/>
        </w:r>
        <w:r w:rsidR="004F2671">
          <w:rPr>
            <w:noProof/>
            <w:webHidden/>
          </w:rPr>
          <w:fldChar w:fldCharType="begin"/>
        </w:r>
        <w:r w:rsidR="004F2671">
          <w:rPr>
            <w:noProof/>
            <w:webHidden/>
          </w:rPr>
          <w:instrText xml:space="preserve"> PAGEREF _Toc101856702 \h </w:instrText>
        </w:r>
        <w:r w:rsidR="004F2671">
          <w:rPr>
            <w:noProof/>
            <w:webHidden/>
          </w:rPr>
        </w:r>
        <w:r w:rsidR="004F2671">
          <w:rPr>
            <w:noProof/>
            <w:webHidden/>
          </w:rPr>
          <w:fldChar w:fldCharType="separate"/>
        </w:r>
        <w:r w:rsidR="00643E47">
          <w:rPr>
            <w:noProof/>
            <w:webHidden/>
          </w:rPr>
          <w:t>36</w:t>
        </w:r>
        <w:r w:rsidR="004F2671">
          <w:rPr>
            <w:noProof/>
            <w:webHidden/>
          </w:rPr>
          <w:fldChar w:fldCharType="end"/>
        </w:r>
      </w:hyperlink>
    </w:p>
    <w:p w14:paraId="769DAC01" w14:textId="5DC61B29" w:rsidR="004F2671" w:rsidRDefault="00E6462B" w:rsidP="004F2671">
      <w:pPr>
        <w:pStyle w:val="TOC3"/>
        <w:rPr>
          <w:rFonts w:asciiTheme="minorHAnsi" w:eastAsiaTheme="minorEastAsia" w:hAnsiTheme="minorHAnsi" w:cstheme="minorBidi"/>
          <w:bCs w:val="0"/>
          <w:noProof/>
          <w:sz w:val="22"/>
          <w:szCs w:val="22"/>
        </w:rPr>
      </w:pPr>
      <w:hyperlink w:anchor="_Toc101856703" w:history="1">
        <w:r w:rsidR="004F2671" w:rsidRPr="00B81D76">
          <w:rPr>
            <w:rStyle w:val="Hyperlink"/>
            <w:noProof/>
          </w:rPr>
          <w:t>4.2.2</w:t>
        </w:r>
        <w:r w:rsidR="004F2671">
          <w:rPr>
            <w:rFonts w:asciiTheme="minorHAnsi" w:eastAsiaTheme="minorEastAsia" w:hAnsiTheme="minorHAnsi" w:cstheme="minorBidi"/>
            <w:bCs w:val="0"/>
            <w:noProof/>
            <w:sz w:val="22"/>
            <w:szCs w:val="22"/>
          </w:rPr>
          <w:tab/>
        </w:r>
        <w:r w:rsidR="004F2671" w:rsidRPr="00B81D76">
          <w:rPr>
            <w:rStyle w:val="Hyperlink"/>
            <w:noProof/>
          </w:rPr>
          <w:t>Demand reduction</w:t>
        </w:r>
        <w:r w:rsidR="004F2671">
          <w:rPr>
            <w:noProof/>
            <w:webHidden/>
          </w:rPr>
          <w:tab/>
        </w:r>
        <w:r w:rsidR="004F2671">
          <w:rPr>
            <w:noProof/>
            <w:webHidden/>
          </w:rPr>
          <w:fldChar w:fldCharType="begin"/>
        </w:r>
        <w:r w:rsidR="004F2671">
          <w:rPr>
            <w:noProof/>
            <w:webHidden/>
          </w:rPr>
          <w:instrText xml:space="preserve"> PAGEREF _Toc101856703 \h </w:instrText>
        </w:r>
        <w:r w:rsidR="004F2671">
          <w:rPr>
            <w:noProof/>
            <w:webHidden/>
          </w:rPr>
        </w:r>
        <w:r w:rsidR="004F2671">
          <w:rPr>
            <w:noProof/>
            <w:webHidden/>
          </w:rPr>
          <w:fldChar w:fldCharType="separate"/>
        </w:r>
        <w:r w:rsidR="00643E47">
          <w:rPr>
            <w:noProof/>
            <w:webHidden/>
          </w:rPr>
          <w:t>36</w:t>
        </w:r>
        <w:r w:rsidR="004F2671">
          <w:rPr>
            <w:noProof/>
            <w:webHidden/>
          </w:rPr>
          <w:fldChar w:fldCharType="end"/>
        </w:r>
      </w:hyperlink>
    </w:p>
    <w:p w14:paraId="19DC8C64" w14:textId="4D3FD44F" w:rsidR="004F2671" w:rsidRDefault="00E6462B">
      <w:pPr>
        <w:pStyle w:val="TOC3"/>
        <w:rPr>
          <w:rFonts w:asciiTheme="minorHAnsi" w:eastAsiaTheme="minorEastAsia" w:hAnsiTheme="minorHAnsi" w:cstheme="minorBidi"/>
          <w:bCs w:val="0"/>
          <w:noProof/>
          <w:sz w:val="22"/>
          <w:szCs w:val="22"/>
        </w:rPr>
      </w:pPr>
      <w:hyperlink w:anchor="_Toc101856704" w:history="1">
        <w:r w:rsidR="004F2671" w:rsidRPr="00B81D76">
          <w:rPr>
            <w:rStyle w:val="Hyperlink"/>
            <w:noProof/>
          </w:rPr>
          <w:t>4.2.3</w:t>
        </w:r>
        <w:r w:rsidR="004F2671">
          <w:rPr>
            <w:rFonts w:asciiTheme="minorHAnsi" w:eastAsiaTheme="minorEastAsia" w:hAnsiTheme="minorHAnsi" w:cstheme="minorBidi"/>
            <w:bCs w:val="0"/>
            <w:noProof/>
            <w:sz w:val="22"/>
            <w:szCs w:val="22"/>
          </w:rPr>
          <w:tab/>
        </w:r>
        <w:r w:rsidR="004F2671" w:rsidRPr="00B81D76">
          <w:rPr>
            <w:rStyle w:val="Hyperlink"/>
            <w:noProof/>
          </w:rPr>
          <w:t>Offsetting</w:t>
        </w:r>
        <w:r w:rsidR="004F2671">
          <w:rPr>
            <w:noProof/>
            <w:webHidden/>
          </w:rPr>
          <w:tab/>
        </w:r>
        <w:r w:rsidR="004F2671">
          <w:rPr>
            <w:noProof/>
            <w:webHidden/>
          </w:rPr>
          <w:fldChar w:fldCharType="begin"/>
        </w:r>
        <w:r w:rsidR="004F2671">
          <w:rPr>
            <w:noProof/>
            <w:webHidden/>
          </w:rPr>
          <w:instrText xml:space="preserve"> PAGEREF _Toc101856704 \h </w:instrText>
        </w:r>
        <w:r w:rsidR="004F2671">
          <w:rPr>
            <w:noProof/>
            <w:webHidden/>
          </w:rPr>
        </w:r>
        <w:r w:rsidR="004F2671">
          <w:rPr>
            <w:noProof/>
            <w:webHidden/>
          </w:rPr>
          <w:fldChar w:fldCharType="separate"/>
        </w:r>
        <w:r w:rsidR="00643E47">
          <w:rPr>
            <w:noProof/>
            <w:webHidden/>
          </w:rPr>
          <w:t>37</w:t>
        </w:r>
        <w:r w:rsidR="004F2671">
          <w:rPr>
            <w:noProof/>
            <w:webHidden/>
          </w:rPr>
          <w:fldChar w:fldCharType="end"/>
        </w:r>
      </w:hyperlink>
    </w:p>
    <w:p w14:paraId="3D028CB4" w14:textId="1100169E" w:rsidR="004F2671" w:rsidRDefault="00E6462B">
      <w:pPr>
        <w:pStyle w:val="TOC3"/>
        <w:rPr>
          <w:rFonts w:asciiTheme="minorHAnsi" w:eastAsiaTheme="minorEastAsia" w:hAnsiTheme="minorHAnsi" w:cstheme="minorBidi"/>
          <w:bCs w:val="0"/>
          <w:noProof/>
          <w:sz w:val="22"/>
          <w:szCs w:val="22"/>
        </w:rPr>
      </w:pPr>
      <w:hyperlink w:anchor="_Toc101856705" w:history="1">
        <w:r w:rsidR="004F2671" w:rsidRPr="00B81D76">
          <w:rPr>
            <w:rStyle w:val="Hyperlink"/>
            <w:noProof/>
          </w:rPr>
          <w:t>4.2.4</w:t>
        </w:r>
        <w:r w:rsidR="004F2671">
          <w:rPr>
            <w:rFonts w:asciiTheme="minorHAnsi" w:eastAsiaTheme="minorEastAsia" w:hAnsiTheme="minorHAnsi" w:cstheme="minorBidi"/>
            <w:bCs w:val="0"/>
            <w:noProof/>
            <w:sz w:val="22"/>
            <w:szCs w:val="22"/>
          </w:rPr>
          <w:tab/>
        </w:r>
        <w:r w:rsidR="004F2671" w:rsidRPr="00B81D76">
          <w:rPr>
            <w:rStyle w:val="Hyperlink"/>
            <w:noProof/>
          </w:rPr>
          <w:t>Metering and leakage reduction</w:t>
        </w:r>
        <w:r w:rsidR="004F2671">
          <w:rPr>
            <w:noProof/>
            <w:webHidden/>
          </w:rPr>
          <w:tab/>
        </w:r>
        <w:r w:rsidR="004F2671">
          <w:rPr>
            <w:noProof/>
            <w:webHidden/>
          </w:rPr>
          <w:fldChar w:fldCharType="begin"/>
        </w:r>
        <w:r w:rsidR="004F2671">
          <w:rPr>
            <w:noProof/>
            <w:webHidden/>
          </w:rPr>
          <w:instrText xml:space="preserve"> PAGEREF _Toc101856705 \h </w:instrText>
        </w:r>
        <w:r w:rsidR="004F2671">
          <w:rPr>
            <w:noProof/>
            <w:webHidden/>
          </w:rPr>
        </w:r>
        <w:r w:rsidR="004F2671">
          <w:rPr>
            <w:noProof/>
            <w:webHidden/>
          </w:rPr>
          <w:fldChar w:fldCharType="separate"/>
        </w:r>
        <w:r w:rsidR="00643E47">
          <w:rPr>
            <w:noProof/>
            <w:webHidden/>
          </w:rPr>
          <w:t>38</w:t>
        </w:r>
        <w:r w:rsidR="004F2671">
          <w:rPr>
            <w:noProof/>
            <w:webHidden/>
          </w:rPr>
          <w:fldChar w:fldCharType="end"/>
        </w:r>
      </w:hyperlink>
    </w:p>
    <w:p w14:paraId="25DCADF5" w14:textId="312286FB" w:rsidR="004F2671" w:rsidRDefault="00E6462B">
      <w:pPr>
        <w:pStyle w:val="TOC2"/>
        <w:rPr>
          <w:rFonts w:asciiTheme="minorHAnsi" w:eastAsiaTheme="minorEastAsia" w:hAnsiTheme="minorHAnsi" w:cstheme="minorBidi"/>
          <w:bCs w:val="0"/>
          <w:noProof/>
          <w:sz w:val="22"/>
          <w:szCs w:val="22"/>
        </w:rPr>
      </w:pPr>
      <w:hyperlink w:anchor="_Toc101856706" w:history="1">
        <w:r w:rsidR="004F2671" w:rsidRPr="00B81D76">
          <w:rPr>
            <w:rStyle w:val="Hyperlink"/>
            <w:noProof/>
          </w:rPr>
          <w:t>4.3</w:t>
        </w:r>
        <w:r w:rsidR="004F2671">
          <w:rPr>
            <w:rFonts w:asciiTheme="minorHAnsi" w:eastAsiaTheme="minorEastAsia" w:hAnsiTheme="minorHAnsi" w:cstheme="minorBidi"/>
            <w:bCs w:val="0"/>
            <w:noProof/>
            <w:sz w:val="22"/>
            <w:szCs w:val="22"/>
          </w:rPr>
          <w:tab/>
        </w:r>
        <w:r w:rsidR="004F2671" w:rsidRPr="00B81D76">
          <w:rPr>
            <w:rStyle w:val="Hyperlink"/>
            <w:noProof/>
          </w:rPr>
          <w:t>Conclusions and recommendations</w:t>
        </w:r>
        <w:r w:rsidR="004F2671">
          <w:rPr>
            <w:noProof/>
            <w:webHidden/>
          </w:rPr>
          <w:tab/>
        </w:r>
        <w:r w:rsidR="004F2671">
          <w:rPr>
            <w:noProof/>
            <w:webHidden/>
          </w:rPr>
          <w:fldChar w:fldCharType="begin"/>
        </w:r>
        <w:r w:rsidR="004F2671">
          <w:rPr>
            <w:noProof/>
            <w:webHidden/>
          </w:rPr>
          <w:instrText xml:space="preserve"> PAGEREF _Toc101856706 \h </w:instrText>
        </w:r>
        <w:r w:rsidR="004F2671">
          <w:rPr>
            <w:noProof/>
            <w:webHidden/>
          </w:rPr>
        </w:r>
        <w:r w:rsidR="004F2671">
          <w:rPr>
            <w:noProof/>
            <w:webHidden/>
          </w:rPr>
          <w:fldChar w:fldCharType="separate"/>
        </w:r>
        <w:r w:rsidR="00643E47">
          <w:rPr>
            <w:noProof/>
            <w:webHidden/>
          </w:rPr>
          <w:t>39</w:t>
        </w:r>
        <w:r w:rsidR="004F2671">
          <w:rPr>
            <w:noProof/>
            <w:webHidden/>
          </w:rPr>
          <w:fldChar w:fldCharType="end"/>
        </w:r>
      </w:hyperlink>
    </w:p>
    <w:p w14:paraId="1E0A5E4E" w14:textId="00E31939" w:rsidR="004F2671" w:rsidRDefault="00E6462B">
      <w:pPr>
        <w:pStyle w:val="TOC7"/>
        <w:rPr>
          <w:rFonts w:asciiTheme="minorHAnsi" w:eastAsiaTheme="minorEastAsia" w:hAnsiTheme="minorHAnsi" w:cstheme="minorBidi"/>
          <w:noProof/>
          <w:sz w:val="22"/>
          <w:szCs w:val="22"/>
        </w:rPr>
      </w:pPr>
      <w:hyperlink w:anchor="_Toc101856707" w:history="1">
        <w:r w:rsidR="004F2671" w:rsidRPr="00B81D76">
          <w:rPr>
            <w:rStyle w:val="Hyperlink"/>
            <w:noProof/>
          </w:rPr>
          <w:t>A</w:t>
        </w:r>
        <w:r w:rsidR="004F2671">
          <w:rPr>
            <w:rFonts w:asciiTheme="minorHAnsi" w:eastAsiaTheme="minorEastAsia" w:hAnsiTheme="minorHAnsi" w:cstheme="minorBidi"/>
            <w:noProof/>
            <w:sz w:val="22"/>
            <w:szCs w:val="22"/>
          </w:rPr>
          <w:tab/>
        </w:r>
        <w:r w:rsidR="004F2671" w:rsidRPr="00B81D76">
          <w:rPr>
            <w:rStyle w:val="Hyperlink"/>
            <w:noProof/>
          </w:rPr>
          <w:t>Appendix: Stakeholder feedback</w:t>
        </w:r>
        <w:r w:rsidR="004F2671">
          <w:rPr>
            <w:noProof/>
            <w:webHidden/>
          </w:rPr>
          <w:tab/>
        </w:r>
        <w:r w:rsidR="004F2671">
          <w:rPr>
            <w:noProof/>
            <w:webHidden/>
          </w:rPr>
          <w:fldChar w:fldCharType="begin"/>
        </w:r>
        <w:r w:rsidR="004F2671">
          <w:rPr>
            <w:noProof/>
            <w:webHidden/>
          </w:rPr>
          <w:instrText xml:space="preserve"> PAGEREF _Toc101856707 \h </w:instrText>
        </w:r>
        <w:r w:rsidR="004F2671">
          <w:rPr>
            <w:noProof/>
            <w:webHidden/>
          </w:rPr>
        </w:r>
        <w:r w:rsidR="004F2671">
          <w:rPr>
            <w:noProof/>
            <w:webHidden/>
          </w:rPr>
          <w:fldChar w:fldCharType="separate"/>
        </w:r>
        <w:r w:rsidR="00643E47">
          <w:rPr>
            <w:noProof/>
            <w:webHidden/>
          </w:rPr>
          <w:t>41</w:t>
        </w:r>
        <w:r w:rsidR="004F2671">
          <w:rPr>
            <w:noProof/>
            <w:webHidden/>
          </w:rPr>
          <w:fldChar w:fldCharType="end"/>
        </w:r>
      </w:hyperlink>
    </w:p>
    <w:p w14:paraId="06DC97FB" w14:textId="0ED0A90F" w:rsidR="004734A5" w:rsidRDefault="008F6A2A" w:rsidP="004734A5">
      <w:pPr>
        <w:pStyle w:val="Heading6"/>
      </w:pPr>
      <w:r>
        <w:fldChar w:fldCharType="end"/>
      </w:r>
      <w:bookmarkStart w:id="4" w:name="_Toc495576307"/>
      <w:bookmarkEnd w:id="2"/>
      <w:bookmarkEnd w:id="3"/>
      <w:r w:rsidR="004734A5">
        <w:t>L</w:t>
      </w:r>
      <w:r w:rsidR="004734A5" w:rsidRPr="001E2331">
        <w:t>ist of Tables</w:t>
      </w:r>
      <w:bookmarkEnd w:id="4"/>
      <w:r w:rsidR="004734A5">
        <w:t xml:space="preserve"> </w:t>
      </w:r>
    </w:p>
    <w:bookmarkStart w:id="5" w:name="_Toc495576309"/>
    <w:p w14:paraId="559B6C0B" w14:textId="4FEF16D9" w:rsidR="004F2671" w:rsidRDefault="004734A5" w:rsidP="004F2671">
      <w:pPr>
        <w:pStyle w:val="TableofFigures"/>
        <w:tabs>
          <w:tab w:val="clear" w:pos="9923"/>
          <w:tab w:val="right" w:pos="10206"/>
        </w:tabs>
        <w:rPr>
          <w:rFonts w:asciiTheme="minorHAnsi" w:eastAsiaTheme="minorEastAsia" w:hAnsiTheme="minorHAnsi" w:cstheme="minorBidi"/>
          <w:noProof/>
          <w:sz w:val="22"/>
          <w:szCs w:val="22"/>
        </w:rPr>
      </w:pPr>
      <w:r>
        <w:rPr>
          <w:rFonts w:eastAsia="Times New Roman"/>
          <w:b/>
          <w:iCs/>
          <w:color w:val="153B55"/>
        </w:rPr>
        <w:fldChar w:fldCharType="begin"/>
      </w:r>
      <w:r>
        <w:instrText xml:space="preserve"> TOC \h \z \c "Table" </w:instrText>
      </w:r>
      <w:r>
        <w:rPr>
          <w:rFonts w:eastAsia="Times New Roman"/>
          <w:b/>
          <w:iCs/>
          <w:color w:val="153B55"/>
        </w:rPr>
        <w:fldChar w:fldCharType="separate"/>
      </w:r>
      <w:hyperlink w:anchor="_Toc101856734" w:history="1">
        <w:r w:rsidR="004F2671" w:rsidRPr="00CB7A24">
          <w:rPr>
            <w:rStyle w:val="Hyperlink"/>
            <w:noProof/>
          </w:rPr>
          <w:t>Table 2.1 Growth in Crawley</w:t>
        </w:r>
        <w:r w:rsidR="004F2671">
          <w:rPr>
            <w:noProof/>
            <w:webHidden/>
          </w:rPr>
          <w:tab/>
        </w:r>
        <w:r w:rsidR="004F2671">
          <w:rPr>
            <w:noProof/>
            <w:webHidden/>
          </w:rPr>
          <w:fldChar w:fldCharType="begin"/>
        </w:r>
        <w:r w:rsidR="004F2671">
          <w:rPr>
            <w:noProof/>
            <w:webHidden/>
          </w:rPr>
          <w:instrText xml:space="preserve"> PAGEREF _Toc101856734 \h </w:instrText>
        </w:r>
        <w:r w:rsidR="004F2671">
          <w:rPr>
            <w:noProof/>
            <w:webHidden/>
          </w:rPr>
        </w:r>
        <w:r w:rsidR="004F2671">
          <w:rPr>
            <w:noProof/>
            <w:webHidden/>
          </w:rPr>
          <w:fldChar w:fldCharType="separate"/>
        </w:r>
        <w:r w:rsidR="00643E47">
          <w:rPr>
            <w:noProof/>
            <w:webHidden/>
          </w:rPr>
          <w:t>6</w:t>
        </w:r>
        <w:r w:rsidR="004F2671">
          <w:rPr>
            <w:noProof/>
            <w:webHidden/>
          </w:rPr>
          <w:fldChar w:fldCharType="end"/>
        </w:r>
      </w:hyperlink>
    </w:p>
    <w:p w14:paraId="468CB40B" w14:textId="651C14B5" w:rsidR="004F2671" w:rsidRDefault="00E6462B" w:rsidP="004F2671">
      <w:pPr>
        <w:pStyle w:val="TableofFigures"/>
        <w:tabs>
          <w:tab w:val="clear" w:pos="9923"/>
          <w:tab w:val="right" w:pos="10206"/>
        </w:tabs>
        <w:rPr>
          <w:rFonts w:asciiTheme="minorHAnsi" w:eastAsiaTheme="minorEastAsia" w:hAnsiTheme="minorHAnsi" w:cstheme="minorBidi"/>
          <w:noProof/>
          <w:sz w:val="22"/>
          <w:szCs w:val="22"/>
        </w:rPr>
      </w:pPr>
      <w:hyperlink w:anchor="_Toc101856735" w:history="1">
        <w:r w:rsidR="004F2671" w:rsidRPr="00CB7A24">
          <w:rPr>
            <w:rStyle w:val="Hyperlink"/>
            <w:noProof/>
          </w:rPr>
          <w:t>Table 2.2 Growth in Chichester</w:t>
        </w:r>
        <w:r w:rsidR="004F2671">
          <w:rPr>
            <w:noProof/>
            <w:webHidden/>
          </w:rPr>
          <w:tab/>
        </w:r>
        <w:r w:rsidR="004F2671">
          <w:rPr>
            <w:noProof/>
            <w:webHidden/>
          </w:rPr>
          <w:fldChar w:fldCharType="begin"/>
        </w:r>
        <w:r w:rsidR="004F2671">
          <w:rPr>
            <w:noProof/>
            <w:webHidden/>
          </w:rPr>
          <w:instrText xml:space="preserve"> PAGEREF _Toc101856735 \h </w:instrText>
        </w:r>
        <w:r w:rsidR="004F2671">
          <w:rPr>
            <w:noProof/>
            <w:webHidden/>
          </w:rPr>
        </w:r>
        <w:r w:rsidR="004F2671">
          <w:rPr>
            <w:noProof/>
            <w:webHidden/>
          </w:rPr>
          <w:fldChar w:fldCharType="separate"/>
        </w:r>
        <w:r w:rsidR="00643E47">
          <w:rPr>
            <w:noProof/>
            <w:webHidden/>
          </w:rPr>
          <w:t>7</w:t>
        </w:r>
        <w:r w:rsidR="004F2671">
          <w:rPr>
            <w:noProof/>
            <w:webHidden/>
          </w:rPr>
          <w:fldChar w:fldCharType="end"/>
        </w:r>
      </w:hyperlink>
    </w:p>
    <w:p w14:paraId="1EE3DFDE" w14:textId="75AD5101" w:rsidR="004F2671" w:rsidRDefault="00E6462B" w:rsidP="004F2671">
      <w:pPr>
        <w:pStyle w:val="TableofFigures"/>
        <w:tabs>
          <w:tab w:val="clear" w:pos="9923"/>
          <w:tab w:val="right" w:pos="10206"/>
        </w:tabs>
        <w:rPr>
          <w:rFonts w:asciiTheme="minorHAnsi" w:eastAsiaTheme="minorEastAsia" w:hAnsiTheme="minorHAnsi" w:cstheme="minorBidi"/>
          <w:noProof/>
          <w:sz w:val="22"/>
          <w:szCs w:val="22"/>
        </w:rPr>
      </w:pPr>
      <w:hyperlink w:anchor="_Toc101856736" w:history="1">
        <w:r w:rsidR="004F2671" w:rsidRPr="00CB7A24">
          <w:rPr>
            <w:rStyle w:val="Hyperlink"/>
            <w:noProof/>
          </w:rPr>
          <w:t>Table 2.3 Growth in Horsham District</w:t>
        </w:r>
        <w:r w:rsidR="004F2671">
          <w:rPr>
            <w:noProof/>
            <w:webHidden/>
          </w:rPr>
          <w:tab/>
        </w:r>
        <w:r w:rsidR="004F2671">
          <w:rPr>
            <w:noProof/>
            <w:webHidden/>
          </w:rPr>
          <w:fldChar w:fldCharType="begin"/>
        </w:r>
        <w:r w:rsidR="004F2671">
          <w:rPr>
            <w:noProof/>
            <w:webHidden/>
          </w:rPr>
          <w:instrText xml:space="preserve"> PAGEREF _Toc101856736 \h </w:instrText>
        </w:r>
        <w:r w:rsidR="004F2671">
          <w:rPr>
            <w:noProof/>
            <w:webHidden/>
          </w:rPr>
        </w:r>
        <w:r w:rsidR="004F2671">
          <w:rPr>
            <w:noProof/>
            <w:webHidden/>
          </w:rPr>
          <w:fldChar w:fldCharType="separate"/>
        </w:r>
        <w:r w:rsidR="00643E47">
          <w:rPr>
            <w:noProof/>
            <w:webHidden/>
          </w:rPr>
          <w:t>7</w:t>
        </w:r>
        <w:r w:rsidR="004F2671">
          <w:rPr>
            <w:noProof/>
            <w:webHidden/>
          </w:rPr>
          <w:fldChar w:fldCharType="end"/>
        </w:r>
      </w:hyperlink>
    </w:p>
    <w:p w14:paraId="27100145" w14:textId="27E2A7D5" w:rsidR="004F2671" w:rsidRDefault="00E6462B" w:rsidP="004F2671">
      <w:pPr>
        <w:pStyle w:val="TableofFigures"/>
        <w:tabs>
          <w:tab w:val="clear" w:pos="9923"/>
          <w:tab w:val="right" w:pos="10206"/>
        </w:tabs>
        <w:rPr>
          <w:rFonts w:asciiTheme="minorHAnsi" w:eastAsiaTheme="minorEastAsia" w:hAnsiTheme="minorHAnsi" w:cstheme="minorBidi"/>
          <w:noProof/>
          <w:sz w:val="22"/>
          <w:szCs w:val="22"/>
        </w:rPr>
      </w:pPr>
      <w:hyperlink w:anchor="_Toc101856737" w:history="1">
        <w:r w:rsidR="004F2671" w:rsidRPr="00CB7A24">
          <w:rPr>
            <w:rStyle w:val="Hyperlink"/>
            <w:noProof/>
          </w:rPr>
          <w:t>Table 2.4 Growth within the SDNP</w:t>
        </w:r>
        <w:r w:rsidR="004F2671">
          <w:rPr>
            <w:noProof/>
            <w:webHidden/>
          </w:rPr>
          <w:tab/>
        </w:r>
        <w:r w:rsidR="004F2671">
          <w:rPr>
            <w:noProof/>
            <w:webHidden/>
          </w:rPr>
          <w:fldChar w:fldCharType="begin"/>
        </w:r>
        <w:r w:rsidR="004F2671">
          <w:rPr>
            <w:noProof/>
            <w:webHidden/>
          </w:rPr>
          <w:instrText xml:space="preserve"> PAGEREF _Toc101856737 \h </w:instrText>
        </w:r>
        <w:r w:rsidR="004F2671">
          <w:rPr>
            <w:noProof/>
            <w:webHidden/>
          </w:rPr>
        </w:r>
        <w:r w:rsidR="004F2671">
          <w:rPr>
            <w:noProof/>
            <w:webHidden/>
          </w:rPr>
          <w:fldChar w:fldCharType="separate"/>
        </w:r>
        <w:r w:rsidR="00643E47">
          <w:rPr>
            <w:noProof/>
            <w:webHidden/>
          </w:rPr>
          <w:t>8</w:t>
        </w:r>
        <w:r w:rsidR="004F2671">
          <w:rPr>
            <w:noProof/>
            <w:webHidden/>
          </w:rPr>
          <w:fldChar w:fldCharType="end"/>
        </w:r>
      </w:hyperlink>
    </w:p>
    <w:p w14:paraId="2C0D81B2" w14:textId="59988269" w:rsidR="004F2671" w:rsidRDefault="00E6462B" w:rsidP="004F2671">
      <w:pPr>
        <w:pStyle w:val="TableofFigures"/>
        <w:tabs>
          <w:tab w:val="clear" w:pos="9923"/>
          <w:tab w:val="right" w:pos="10206"/>
        </w:tabs>
        <w:rPr>
          <w:rFonts w:asciiTheme="minorHAnsi" w:eastAsiaTheme="minorEastAsia" w:hAnsiTheme="minorHAnsi" w:cstheme="minorBidi"/>
          <w:noProof/>
          <w:sz w:val="22"/>
          <w:szCs w:val="22"/>
        </w:rPr>
      </w:pPr>
      <w:hyperlink w:anchor="_Toc101856738" w:history="1">
        <w:r w:rsidR="004F2671" w:rsidRPr="00CB7A24">
          <w:rPr>
            <w:rStyle w:val="Hyperlink"/>
            <w:noProof/>
          </w:rPr>
          <w:t>Table 2.5 Average water use for different school types (WSCC)</w:t>
        </w:r>
        <w:r w:rsidR="004F2671">
          <w:rPr>
            <w:noProof/>
            <w:webHidden/>
          </w:rPr>
          <w:tab/>
        </w:r>
        <w:r w:rsidR="004F2671">
          <w:rPr>
            <w:noProof/>
            <w:webHidden/>
          </w:rPr>
          <w:fldChar w:fldCharType="begin"/>
        </w:r>
        <w:r w:rsidR="004F2671">
          <w:rPr>
            <w:noProof/>
            <w:webHidden/>
          </w:rPr>
          <w:instrText xml:space="preserve"> PAGEREF _Toc101856738 \h </w:instrText>
        </w:r>
        <w:r w:rsidR="004F2671">
          <w:rPr>
            <w:noProof/>
            <w:webHidden/>
          </w:rPr>
        </w:r>
        <w:r w:rsidR="004F2671">
          <w:rPr>
            <w:noProof/>
            <w:webHidden/>
          </w:rPr>
          <w:fldChar w:fldCharType="separate"/>
        </w:r>
        <w:r w:rsidR="00643E47">
          <w:rPr>
            <w:noProof/>
            <w:webHidden/>
          </w:rPr>
          <w:t>9</w:t>
        </w:r>
        <w:r w:rsidR="004F2671">
          <w:rPr>
            <w:noProof/>
            <w:webHidden/>
          </w:rPr>
          <w:fldChar w:fldCharType="end"/>
        </w:r>
      </w:hyperlink>
    </w:p>
    <w:p w14:paraId="1D354409" w14:textId="224DDE01" w:rsidR="004F2671" w:rsidRDefault="00E6462B" w:rsidP="004F2671">
      <w:pPr>
        <w:pStyle w:val="TableofFigures"/>
        <w:tabs>
          <w:tab w:val="clear" w:pos="9923"/>
          <w:tab w:val="right" w:pos="10206"/>
        </w:tabs>
        <w:rPr>
          <w:rFonts w:asciiTheme="minorHAnsi" w:eastAsiaTheme="minorEastAsia" w:hAnsiTheme="minorHAnsi" w:cstheme="minorBidi"/>
          <w:noProof/>
          <w:sz w:val="22"/>
          <w:szCs w:val="22"/>
        </w:rPr>
      </w:pPr>
      <w:hyperlink w:anchor="_Toc101856739" w:history="1">
        <w:r w:rsidR="004F2671" w:rsidRPr="00CB7A24">
          <w:rPr>
            <w:rStyle w:val="Hyperlink"/>
            <w:noProof/>
          </w:rPr>
          <w:t>Table 2.6 Water demand scenarios</w:t>
        </w:r>
        <w:r w:rsidR="004F2671">
          <w:rPr>
            <w:noProof/>
            <w:webHidden/>
          </w:rPr>
          <w:tab/>
        </w:r>
        <w:r w:rsidR="004F2671">
          <w:rPr>
            <w:noProof/>
            <w:webHidden/>
          </w:rPr>
          <w:fldChar w:fldCharType="begin"/>
        </w:r>
        <w:r w:rsidR="004F2671">
          <w:rPr>
            <w:noProof/>
            <w:webHidden/>
          </w:rPr>
          <w:instrText xml:space="preserve"> PAGEREF _Toc101856739 \h </w:instrText>
        </w:r>
        <w:r w:rsidR="004F2671">
          <w:rPr>
            <w:noProof/>
            <w:webHidden/>
          </w:rPr>
        </w:r>
        <w:r w:rsidR="004F2671">
          <w:rPr>
            <w:noProof/>
            <w:webHidden/>
          </w:rPr>
          <w:fldChar w:fldCharType="separate"/>
        </w:r>
        <w:r w:rsidR="00643E47">
          <w:rPr>
            <w:noProof/>
            <w:webHidden/>
          </w:rPr>
          <w:t>10</w:t>
        </w:r>
        <w:r w:rsidR="004F2671">
          <w:rPr>
            <w:noProof/>
            <w:webHidden/>
          </w:rPr>
          <w:fldChar w:fldCharType="end"/>
        </w:r>
      </w:hyperlink>
    </w:p>
    <w:p w14:paraId="1F7FD3DB" w14:textId="67F9EB8A" w:rsidR="004F2671" w:rsidRDefault="00E6462B" w:rsidP="004F2671">
      <w:pPr>
        <w:pStyle w:val="TableofFigures"/>
        <w:tabs>
          <w:tab w:val="clear" w:pos="9923"/>
          <w:tab w:val="right" w:pos="10206"/>
        </w:tabs>
        <w:rPr>
          <w:rFonts w:asciiTheme="minorHAnsi" w:eastAsiaTheme="minorEastAsia" w:hAnsiTheme="minorHAnsi" w:cstheme="minorBidi"/>
          <w:noProof/>
          <w:sz w:val="22"/>
          <w:szCs w:val="22"/>
        </w:rPr>
      </w:pPr>
      <w:hyperlink w:anchor="_Toc101856740" w:history="1">
        <w:r w:rsidR="004F2671" w:rsidRPr="00CB7A24">
          <w:rPr>
            <w:rStyle w:val="Hyperlink"/>
            <w:noProof/>
          </w:rPr>
          <w:t>Table 2.7 Water demand by LPA area (Ml/d)</w:t>
        </w:r>
        <w:r w:rsidR="004F2671">
          <w:rPr>
            <w:noProof/>
            <w:webHidden/>
          </w:rPr>
          <w:tab/>
        </w:r>
        <w:r w:rsidR="004F2671">
          <w:rPr>
            <w:noProof/>
            <w:webHidden/>
          </w:rPr>
          <w:fldChar w:fldCharType="begin"/>
        </w:r>
        <w:r w:rsidR="004F2671">
          <w:rPr>
            <w:noProof/>
            <w:webHidden/>
          </w:rPr>
          <w:instrText xml:space="preserve"> PAGEREF _Toc101856740 \h </w:instrText>
        </w:r>
        <w:r w:rsidR="004F2671">
          <w:rPr>
            <w:noProof/>
            <w:webHidden/>
          </w:rPr>
        </w:r>
        <w:r w:rsidR="004F2671">
          <w:rPr>
            <w:noProof/>
            <w:webHidden/>
          </w:rPr>
          <w:fldChar w:fldCharType="separate"/>
        </w:r>
        <w:r w:rsidR="00643E47">
          <w:rPr>
            <w:noProof/>
            <w:webHidden/>
          </w:rPr>
          <w:t>11</w:t>
        </w:r>
        <w:r w:rsidR="004F2671">
          <w:rPr>
            <w:noProof/>
            <w:webHidden/>
          </w:rPr>
          <w:fldChar w:fldCharType="end"/>
        </w:r>
      </w:hyperlink>
    </w:p>
    <w:p w14:paraId="05EF3016" w14:textId="6D5336E8" w:rsidR="004F2671" w:rsidRDefault="00E6462B" w:rsidP="004F2671">
      <w:pPr>
        <w:pStyle w:val="TableofFigures"/>
        <w:tabs>
          <w:tab w:val="clear" w:pos="9923"/>
          <w:tab w:val="right" w:pos="10206"/>
        </w:tabs>
        <w:rPr>
          <w:rFonts w:asciiTheme="minorHAnsi" w:eastAsiaTheme="minorEastAsia" w:hAnsiTheme="minorHAnsi" w:cstheme="minorBidi"/>
          <w:noProof/>
          <w:sz w:val="22"/>
          <w:szCs w:val="22"/>
        </w:rPr>
      </w:pPr>
      <w:hyperlink w:anchor="_Toc101856741" w:history="1">
        <w:r w:rsidR="004F2671" w:rsidRPr="00CB7A24">
          <w:rPr>
            <w:rStyle w:val="Hyperlink"/>
            <w:noProof/>
          </w:rPr>
          <w:t>Table 3.1 Mitigation options identified in Part A</w:t>
        </w:r>
        <w:r w:rsidR="004F2671">
          <w:rPr>
            <w:noProof/>
            <w:webHidden/>
          </w:rPr>
          <w:tab/>
        </w:r>
        <w:r w:rsidR="004F2671">
          <w:rPr>
            <w:noProof/>
            <w:webHidden/>
          </w:rPr>
          <w:fldChar w:fldCharType="begin"/>
        </w:r>
        <w:r w:rsidR="004F2671">
          <w:rPr>
            <w:noProof/>
            <w:webHidden/>
          </w:rPr>
          <w:instrText xml:space="preserve"> PAGEREF _Toc101856741 \h </w:instrText>
        </w:r>
        <w:r w:rsidR="004F2671">
          <w:rPr>
            <w:noProof/>
            <w:webHidden/>
          </w:rPr>
        </w:r>
        <w:r w:rsidR="004F2671">
          <w:rPr>
            <w:noProof/>
            <w:webHidden/>
          </w:rPr>
          <w:fldChar w:fldCharType="separate"/>
        </w:r>
        <w:r w:rsidR="00643E47">
          <w:rPr>
            <w:noProof/>
            <w:webHidden/>
          </w:rPr>
          <w:t>18</w:t>
        </w:r>
        <w:r w:rsidR="004F2671">
          <w:rPr>
            <w:noProof/>
            <w:webHidden/>
          </w:rPr>
          <w:fldChar w:fldCharType="end"/>
        </w:r>
      </w:hyperlink>
    </w:p>
    <w:p w14:paraId="44145FF5" w14:textId="22043DF3" w:rsidR="004F2671" w:rsidRDefault="00E6462B" w:rsidP="004F2671">
      <w:pPr>
        <w:pStyle w:val="TableofFigures"/>
        <w:tabs>
          <w:tab w:val="clear" w:pos="9923"/>
          <w:tab w:val="right" w:pos="10206"/>
        </w:tabs>
        <w:rPr>
          <w:rFonts w:asciiTheme="minorHAnsi" w:eastAsiaTheme="minorEastAsia" w:hAnsiTheme="minorHAnsi" w:cstheme="minorBidi"/>
          <w:noProof/>
          <w:sz w:val="22"/>
          <w:szCs w:val="22"/>
        </w:rPr>
      </w:pPr>
      <w:hyperlink w:anchor="_Toc101856742" w:history="1">
        <w:r w:rsidR="004F2671" w:rsidRPr="00CB7A24">
          <w:rPr>
            <w:rStyle w:val="Hyperlink"/>
            <w:noProof/>
          </w:rPr>
          <w:t>Table 3.2 Remaining water demand to offset after SW's actions</w:t>
        </w:r>
        <w:r w:rsidR="004F2671">
          <w:rPr>
            <w:noProof/>
            <w:webHidden/>
          </w:rPr>
          <w:tab/>
        </w:r>
        <w:r w:rsidR="004F2671">
          <w:rPr>
            <w:noProof/>
            <w:webHidden/>
          </w:rPr>
          <w:fldChar w:fldCharType="begin"/>
        </w:r>
        <w:r w:rsidR="004F2671">
          <w:rPr>
            <w:noProof/>
            <w:webHidden/>
          </w:rPr>
          <w:instrText xml:space="preserve"> PAGEREF _Toc101856742 \h </w:instrText>
        </w:r>
        <w:r w:rsidR="004F2671">
          <w:rPr>
            <w:noProof/>
            <w:webHidden/>
          </w:rPr>
        </w:r>
        <w:r w:rsidR="004F2671">
          <w:rPr>
            <w:noProof/>
            <w:webHidden/>
          </w:rPr>
          <w:fldChar w:fldCharType="separate"/>
        </w:r>
        <w:r w:rsidR="00643E47">
          <w:rPr>
            <w:noProof/>
            <w:webHidden/>
          </w:rPr>
          <w:t>24</w:t>
        </w:r>
        <w:r w:rsidR="004F2671">
          <w:rPr>
            <w:noProof/>
            <w:webHidden/>
          </w:rPr>
          <w:fldChar w:fldCharType="end"/>
        </w:r>
      </w:hyperlink>
    </w:p>
    <w:p w14:paraId="5CB21B09" w14:textId="244F5660" w:rsidR="004F2671" w:rsidRDefault="00E6462B" w:rsidP="004F2671">
      <w:pPr>
        <w:pStyle w:val="TableofFigures"/>
        <w:tabs>
          <w:tab w:val="clear" w:pos="9923"/>
          <w:tab w:val="right" w:pos="10206"/>
        </w:tabs>
        <w:rPr>
          <w:rFonts w:asciiTheme="minorHAnsi" w:eastAsiaTheme="minorEastAsia" w:hAnsiTheme="minorHAnsi" w:cstheme="minorBidi"/>
          <w:noProof/>
          <w:sz w:val="22"/>
          <w:szCs w:val="22"/>
        </w:rPr>
      </w:pPr>
      <w:hyperlink w:anchor="_Toc101856743" w:history="1">
        <w:r w:rsidR="004F2671" w:rsidRPr="00CB7A24">
          <w:rPr>
            <w:rStyle w:val="Hyperlink"/>
            <w:noProof/>
          </w:rPr>
          <w:t>Table 4.1 Offsetting options for WRZ</w:t>
        </w:r>
        <w:r w:rsidR="004F2671">
          <w:rPr>
            <w:noProof/>
            <w:webHidden/>
          </w:rPr>
          <w:tab/>
        </w:r>
        <w:r w:rsidR="004F2671">
          <w:rPr>
            <w:noProof/>
            <w:webHidden/>
          </w:rPr>
          <w:fldChar w:fldCharType="begin"/>
        </w:r>
        <w:r w:rsidR="004F2671">
          <w:rPr>
            <w:noProof/>
            <w:webHidden/>
          </w:rPr>
          <w:instrText xml:space="preserve"> PAGEREF _Toc101856743 \h </w:instrText>
        </w:r>
        <w:r w:rsidR="004F2671">
          <w:rPr>
            <w:noProof/>
            <w:webHidden/>
          </w:rPr>
        </w:r>
        <w:r w:rsidR="004F2671">
          <w:rPr>
            <w:noProof/>
            <w:webHidden/>
          </w:rPr>
          <w:fldChar w:fldCharType="separate"/>
        </w:r>
        <w:r w:rsidR="00643E47">
          <w:rPr>
            <w:noProof/>
            <w:webHidden/>
          </w:rPr>
          <w:t>31</w:t>
        </w:r>
        <w:r w:rsidR="004F2671">
          <w:rPr>
            <w:noProof/>
            <w:webHidden/>
          </w:rPr>
          <w:fldChar w:fldCharType="end"/>
        </w:r>
      </w:hyperlink>
    </w:p>
    <w:p w14:paraId="37C40ABA" w14:textId="3B92C91D" w:rsidR="004F2671" w:rsidRDefault="00E6462B" w:rsidP="004F2671">
      <w:pPr>
        <w:pStyle w:val="TableofFigures"/>
        <w:tabs>
          <w:tab w:val="clear" w:pos="9923"/>
          <w:tab w:val="right" w:pos="10206"/>
        </w:tabs>
        <w:rPr>
          <w:rFonts w:asciiTheme="minorHAnsi" w:eastAsiaTheme="minorEastAsia" w:hAnsiTheme="minorHAnsi" w:cstheme="minorBidi"/>
          <w:noProof/>
          <w:sz w:val="22"/>
          <w:szCs w:val="22"/>
        </w:rPr>
      </w:pPr>
      <w:hyperlink w:anchor="_Toc101856744" w:history="1">
        <w:r w:rsidR="004F2671" w:rsidRPr="00CB7A24">
          <w:rPr>
            <w:rStyle w:val="Hyperlink"/>
            <w:noProof/>
          </w:rPr>
          <w:t>Table 4.2 Estimated cost of fitting RwH to new building housing</w:t>
        </w:r>
        <w:r w:rsidR="004F2671">
          <w:rPr>
            <w:noProof/>
            <w:webHidden/>
          </w:rPr>
          <w:tab/>
        </w:r>
        <w:r w:rsidR="004F2671">
          <w:rPr>
            <w:noProof/>
            <w:webHidden/>
          </w:rPr>
          <w:fldChar w:fldCharType="begin"/>
        </w:r>
        <w:r w:rsidR="004F2671">
          <w:rPr>
            <w:noProof/>
            <w:webHidden/>
          </w:rPr>
          <w:instrText xml:space="preserve"> PAGEREF _Toc101856744 \h </w:instrText>
        </w:r>
        <w:r w:rsidR="004F2671">
          <w:rPr>
            <w:noProof/>
            <w:webHidden/>
          </w:rPr>
        </w:r>
        <w:r w:rsidR="004F2671">
          <w:rPr>
            <w:noProof/>
            <w:webHidden/>
          </w:rPr>
          <w:fldChar w:fldCharType="separate"/>
        </w:r>
        <w:r w:rsidR="00643E47">
          <w:rPr>
            <w:noProof/>
            <w:webHidden/>
          </w:rPr>
          <w:t>36</w:t>
        </w:r>
        <w:r w:rsidR="004F2671">
          <w:rPr>
            <w:noProof/>
            <w:webHidden/>
          </w:rPr>
          <w:fldChar w:fldCharType="end"/>
        </w:r>
      </w:hyperlink>
    </w:p>
    <w:p w14:paraId="76DC4EF8" w14:textId="17D0220B" w:rsidR="004F2671" w:rsidRDefault="00E6462B" w:rsidP="004F2671">
      <w:pPr>
        <w:pStyle w:val="TableofFigures"/>
        <w:tabs>
          <w:tab w:val="clear" w:pos="9923"/>
          <w:tab w:val="right" w:pos="10206"/>
        </w:tabs>
        <w:rPr>
          <w:rFonts w:asciiTheme="minorHAnsi" w:eastAsiaTheme="minorEastAsia" w:hAnsiTheme="minorHAnsi" w:cstheme="minorBidi"/>
          <w:noProof/>
          <w:sz w:val="22"/>
          <w:szCs w:val="22"/>
        </w:rPr>
      </w:pPr>
      <w:hyperlink w:anchor="_Toc101856745" w:history="1">
        <w:r w:rsidR="004F2671" w:rsidRPr="00CB7A24">
          <w:rPr>
            <w:rStyle w:val="Hyperlink"/>
            <w:noProof/>
          </w:rPr>
          <w:t>Table 4.3 Water demand from new housing</w:t>
        </w:r>
        <w:r w:rsidR="004F2671">
          <w:rPr>
            <w:noProof/>
            <w:webHidden/>
          </w:rPr>
          <w:tab/>
        </w:r>
        <w:r w:rsidR="004F2671">
          <w:rPr>
            <w:noProof/>
            <w:webHidden/>
          </w:rPr>
          <w:fldChar w:fldCharType="begin"/>
        </w:r>
        <w:r w:rsidR="004F2671">
          <w:rPr>
            <w:noProof/>
            <w:webHidden/>
          </w:rPr>
          <w:instrText xml:space="preserve"> PAGEREF _Toc101856745 \h </w:instrText>
        </w:r>
        <w:r w:rsidR="004F2671">
          <w:rPr>
            <w:noProof/>
            <w:webHidden/>
          </w:rPr>
        </w:r>
        <w:r w:rsidR="004F2671">
          <w:rPr>
            <w:noProof/>
            <w:webHidden/>
          </w:rPr>
          <w:fldChar w:fldCharType="separate"/>
        </w:r>
        <w:r w:rsidR="00643E47">
          <w:rPr>
            <w:noProof/>
            <w:webHidden/>
          </w:rPr>
          <w:t>38</w:t>
        </w:r>
        <w:r w:rsidR="004F2671">
          <w:rPr>
            <w:noProof/>
            <w:webHidden/>
          </w:rPr>
          <w:fldChar w:fldCharType="end"/>
        </w:r>
      </w:hyperlink>
    </w:p>
    <w:p w14:paraId="519816BF" w14:textId="7CCE7248" w:rsidR="00563C8E" w:rsidRDefault="004734A5" w:rsidP="00FC72C0">
      <w:pPr>
        <w:pStyle w:val="TOC3"/>
        <w:rPr>
          <w:rFonts w:eastAsia="Calibri"/>
          <w:b/>
          <w:iCs/>
        </w:rPr>
      </w:pPr>
      <w:r>
        <w:rPr>
          <w:rFonts w:eastAsia="Calibri"/>
          <w:b/>
          <w:iCs/>
        </w:rPr>
        <w:fldChar w:fldCharType="end"/>
      </w:r>
    </w:p>
    <w:p w14:paraId="52AD878F" w14:textId="77777777" w:rsidR="003C6538" w:rsidRPr="003C6538" w:rsidRDefault="003C6538" w:rsidP="003C6538">
      <w:pPr>
        <w:widowControl w:val="0"/>
        <w:spacing w:before="240" w:after="60"/>
        <w:ind w:left="1349" w:hanging="629"/>
        <w:jc w:val="both"/>
        <w:outlineLvl w:val="5"/>
        <w:rPr>
          <w:rFonts w:eastAsia="Times New Roman"/>
          <w:b/>
          <w:iCs/>
          <w:color w:val="153B55"/>
          <w:sz w:val="24"/>
        </w:rPr>
      </w:pPr>
      <w:bookmarkStart w:id="6" w:name="_Toc460847482"/>
      <w:bookmarkStart w:id="7" w:name="_Toc495576310"/>
      <w:bookmarkEnd w:id="5"/>
      <w:r w:rsidRPr="003C6538">
        <w:rPr>
          <w:rFonts w:eastAsia="Times New Roman"/>
          <w:b/>
          <w:iCs/>
          <w:color w:val="153B55"/>
          <w:sz w:val="24"/>
        </w:rPr>
        <w:t xml:space="preserve">List of Figures </w:t>
      </w:r>
    </w:p>
    <w:p w14:paraId="3F069438" w14:textId="4C12837B" w:rsidR="00E01593" w:rsidRDefault="003C6538" w:rsidP="004F2671">
      <w:pPr>
        <w:pStyle w:val="TableofFigures"/>
        <w:tabs>
          <w:tab w:val="clear" w:pos="9923"/>
          <w:tab w:val="right" w:pos="10206"/>
        </w:tabs>
        <w:rPr>
          <w:rFonts w:asciiTheme="minorHAnsi" w:eastAsiaTheme="minorEastAsia" w:hAnsiTheme="minorHAnsi" w:cstheme="minorBidi"/>
          <w:noProof/>
          <w:sz w:val="22"/>
          <w:szCs w:val="22"/>
        </w:rPr>
      </w:pPr>
      <w:r w:rsidRPr="003C6538">
        <w:rPr>
          <w:b/>
          <w:iCs/>
          <w:color w:val="44546A"/>
          <w:szCs w:val="18"/>
        </w:rPr>
        <w:fldChar w:fldCharType="begin"/>
      </w:r>
      <w:r w:rsidRPr="003C6538">
        <w:instrText xml:space="preserve"> TOC \h \z \c "Figure" </w:instrText>
      </w:r>
      <w:r w:rsidRPr="003C6538">
        <w:rPr>
          <w:b/>
          <w:iCs/>
          <w:color w:val="44546A"/>
          <w:szCs w:val="18"/>
        </w:rPr>
        <w:fldChar w:fldCharType="separate"/>
      </w:r>
      <w:hyperlink w:anchor="_Toc101855285" w:history="1">
        <w:r w:rsidR="00E01593" w:rsidRPr="0004637C">
          <w:rPr>
            <w:rStyle w:val="Hyperlink"/>
            <w:noProof/>
          </w:rPr>
          <w:t>Figure 1.1 Sussex North Water Resource Zone</w:t>
        </w:r>
        <w:r w:rsidR="00E01593">
          <w:rPr>
            <w:noProof/>
            <w:webHidden/>
          </w:rPr>
          <w:tab/>
        </w:r>
        <w:r w:rsidR="00E01593">
          <w:rPr>
            <w:noProof/>
            <w:webHidden/>
          </w:rPr>
          <w:fldChar w:fldCharType="begin"/>
        </w:r>
        <w:r w:rsidR="00E01593">
          <w:rPr>
            <w:noProof/>
            <w:webHidden/>
          </w:rPr>
          <w:instrText xml:space="preserve"> PAGEREF _Toc101855285 \h </w:instrText>
        </w:r>
        <w:r w:rsidR="00E01593">
          <w:rPr>
            <w:noProof/>
            <w:webHidden/>
          </w:rPr>
        </w:r>
        <w:r w:rsidR="00E01593">
          <w:rPr>
            <w:noProof/>
            <w:webHidden/>
          </w:rPr>
          <w:fldChar w:fldCharType="separate"/>
        </w:r>
        <w:r w:rsidR="00643E47">
          <w:rPr>
            <w:noProof/>
            <w:webHidden/>
          </w:rPr>
          <w:t>1</w:t>
        </w:r>
        <w:r w:rsidR="00E01593">
          <w:rPr>
            <w:noProof/>
            <w:webHidden/>
          </w:rPr>
          <w:fldChar w:fldCharType="end"/>
        </w:r>
      </w:hyperlink>
    </w:p>
    <w:p w14:paraId="7A71063A" w14:textId="3B0C5942" w:rsidR="00E01593" w:rsidRDefault="00E6462B" w:rsidP="004F2671">
      <w:pPr>
        <w:pStyle w:val="TableofFigures"/>
        <w:tabs>
          <w:tab w:val="clear" w:pos="9923"/>
          <w:tab w:val="right" w:pos="10206"/>
        </w:tabs>
        <w:rPr>
          <w:rFonts w:asciiTheme="minorHAnsi" w:eastAsiaTheme="minorEastAsia" w:hAnsiTheme="minorHAnsi" w:cstheme="minorBidi"/>
          <w:noProof/>
          <w:sz w:val="22"/>
          <w:szCs w:val="22"/>
        </w:rPr>
      </w:pPr>
      <w:hyperlink w:anchor="_Toc101855286" w:history="1">
        <w:r w:rsidR="00E01593" w:rsidRPr="0004637C">
          <w:rPr>
            <w:rStyle w:val="Hyperlink"/>
            <w:noProof/>
          </w:rPr>
          <w:t>Figure 2.1 Forecast water demand from development during the plan period</w:t>
        </w:r>
        <w:r w:rsidR="00E01593">
          <w:rPr>
            <w:noProof/>
            <w:webHidden/>
          </w:rPr>
          <w:tab/>
        </w:r>
        <w:r w:rsidR="00E01593">
          <w:rPr>
            <w:noProof/>
            <w:webHidden/>
          </w:rPr>
          <w:fldChar w:fldCharType="begin"/>
        </w:r>
        <w:r w:rsidR="00E01593">
          <w:rPr>
            <w:noProof/>
            <w:webHidden/>
          </w:rPr>
          <w:instrText xml:space="preserve"> PAGEREF _Toc101855286 \h </w:instrText>
        </w:r>
        <w:r w:rsidR="00E01593">
          <w:rPr>
            <w:noProof/>
            <w:webHidden/>
          </w:rPr>
        </w:r>
        <w:r w:rsidR="00E01593">
          <w:rPr>
            <w:noProof/>
            <w:webHidden/>
          </w:rPr>
          <w:fldChar w:fldCharType="separate"/>
        </w:r>
        <w:r w:rsidR="00643E47">
          <w:rPr>
            <w:noProof/>
            <w:webHidden/>
          </w:rPr>
          <w:t>10</w:t>
        </w:r>
        <w:r w:rsidR="00E01593">
          <w:rPr>
            <w:noProof/>
            <w:webHidden/>
          </w:rPr>
          <w:fldChar w:fldCharType="end"/>
        </w:r>
      </w:hyperlink>
    </w:p>
    <w:p w14:paraId="5D08CFC3" w14:textId="350EA026" w:rsidR="00E01593" w:rsidRDefault="00E6462B" w:rsidP="004F2671">
      <w:pPr>
        <w:pStyle w:val="TableofFigures"/>
        <w:tabs>
          <w:tab w:val="clear" w:pos="9923"/>
          <w:tab w:val="right" w:pos="10206"/>
        </w:tabs>
        <w:rPr>
          <w:rFonts w:asciiTheme="minorHAnsi" w:eastAsiaTheme="minorEastAsia" w:hAnsiTheme="minorHAnsi" w:cstheme="minorBidi"/>
          <w:noProof/>
          <w:sz w:val="22"/>
          <w:szCs w:val="22"/>
        </w:rPr>
      </w:pPr>
      <w:hyperlink w:anchor="_Toc101855287" w:history="1">
        <w:r w:rsidR="00E01593" w:rsidRPr="0004637C">
          <w:rPr>
            <w:rStyle w:val="Hyperlink"/>
            <w:noProof/>
          </w:rPr>
          <w:t>Figure 2.2 Water demand by LPA area (Target 100 scenario)</w:t>
        </w:r>
        <w:r w:rsidR="00E01593">
          <w:rPr>
            <w:noProof/>
            <w:webHidden/>
          </w:rPr>
          <w:tab/>
        </w:r>
        <w:r w:rsidR="00E01593">
          <w:rPr>
            <w:noProof/>
            <w:webHidden/>
          </w:rPr>
          <w:fldChar w:fldCharType="begin"/>
        </w:r>
        <w:r w:rsidR="00E01593">
          <w:rPr>
            <w:noProof/>
            <w:webHidden/>
          </w:rPr>
          <w:instrText xml:space="preserve"> PAGEREF _Toc101855287 \h </w:instrText>
        </w:r>
        <w:r w:rsidR="00E01593">
          <w:rPr>
            <w:noProof/>
            <w:webHidden/>
          </w:rPr>
        </w:r>
        <w:r w:rsidR="00E01593">
          <w:rPr>
            <w:noProof/>
            <w:webHidden/>
          </w:rPr>
          <w:fldChar w:fldCharType="separate"/>
        </w:r>
        <w:r w:rsidR="00643E47">
          <w:rPr>
            <w:noProof/>
            <w:webHidden/>
          </w:rPr>
          <w:t>11</w:t>
        </w:r>
        <w:r w:rsidR="00E01593">
          <w:rPr>
            <w:noProof/>
            <w:webHidden/>
          </w:rPr>
          <w:fldChar w:fldCharType="end"/>
        </w:r>
      </w:hyperlink>
    </w:p>
    <w:p w14:paraId="36174CDF" w14:textId="051176C6" w:rsidR="00E01593" w:rsidRDefault="00E6462B" w:rsidP="004F2671">
      <w:pPr>
        <w:pStyle w:val="TableofFigures"/>
        <w:tabs>
          <w:tab w:val="clear" w:pos="9923"/>
          <w:tab w:val="right" w:pos="10206"/>
        </w:tabs>
        <w:rPr>
          <w:rFonts w:asciiTheme="minorHAnsi" w:eastAsiaTheme="minorEastAsia" w:hAnsiTheme="minorHAnsi" w:cstheme="minorBidi"/>
          <w:noProof/>
          <w:sz w:val="22"/>
          <w:szCs w:val="22"/>
        </w:rPr>
      </w:pPr>
      <w:hyperlink w:anchor="_Toc101855288" w:history="1">
        <w:r w:rsidR="00E01593" w:rsidRPr="0004637C">
          <w:rPr>
            <w:rStyle w:val="Hyperlink"/>
            <w:noProof/>
          </w:rPr>
          <w:t>Figure 3.1 Contribution from SW WRMP measures</w:t>
        </w:r>
        <w:r w:rsidR="00E01593">
          <w:rPr>
            <w:noProof/>
            <w:webHidden/>
          </w:rPr>
          <w:tab/>
        </w:r>
        <w:r w:rsidR="00E01593">
          <w:rPr>
            <w:noProof/>
            <w:webHidden/>
          </w:rPr>
          <w:fldChar w:fldCharType="begin"/>
        </w:r>
        <w:r w:rsidR="00E01593">
          <w:rPr>
            <w:noProof/>
            <w:webHidden/>
          </w:rPr>
          <w:instrText xml:space="preserve"> PAGEREF _Toc101855288 \h </w:instrText>
        </w:r>
        <w:r w:rsidR="00E01593">
          <w:rPr>
            <w:noProof/>
            <w:webHidden/>
          </w:rPr>
        </w:r>
        <w:r w:rsidR="00E01593">
          <w:rPr>
            <w:noProof/>
            <w:webHidden/>
          </w:rPr>
          <w:fldChar w:fldCharType="separate"/>
        </w:r>
        <w:r w:rsidR="00643E47">
          <w:rPr>
            <w:noProof/>
            <w:webHidden/>
          </w:rPr>
          <w:t>24</w:t>
        </w:r>
        <w:r w:rsidR="00E01593">
          <w:rPr>
            <w:noProof/>
            <w:webHidden/>
          </w:rPr>
          <w:fldChar w:fldCharType="end"/>
        </w:r>
      </w:hyperlink>
    </w:p>
    <w:p w14:paraId="28706E95" w14:textId="7AB8CEBA" w:rsidR="004734A5" w:rsidRDefault="003C6538" w:rsidP="003C6538">
      <w:pPr>
        <w:sectPr w:rsidR="004734A5" w:rsidSect="00706502">
          <w:pgSz w:w="11906" w:h="16838"/>
          <w:pgMar w:top="1985" w:right="991" w:bottom="1418" w:left="454" w:header="454" w:footer="170" w:gutter="0"/>
          <w:pgNumType w:fmt="lowerRoman" w:start="1"/>
          <w:cols w:space="708"/>
          <w:docGrid w:linePitch="360"/>
        </w:sectPr>
      </w:pPr>
      <w:r w:rsidRPr="003C6538">
        <w:fldChar w:fldCharType="end"/>
      </w:r>
      <w:r w:rsidR="004734A5">
        <w:br w:type="page"/>
      </w:r>
      <w:bookmarkEnd w:id="6"/>
      <w:bookmarkEnd w:id="7"/>
    </w:p>
    <w:p w14:paraId="7C4F1C66" w14:textId="77777777" w:rsidR="004734A5" w:rsidRDefault="002D163C" w:rsidP="004734A5">
      <w:pPr>
        <w:pStyle w:val="Heading1"/>
      </w:pPr>
      <w:bookmarkStart w:id="8" w:name="_Toc101856659"/>
      <w:r>
        <w:t>Introduction</w:t>
      </w:r>
      <w:bookmarkEnd w:id="8"/>
    </w:p>
    <w:p w14:paraId="02015FD5" w14:textId="77777777" w:rsidR="007F1E70" w:rsidRDefault="007F1E70" w:rsidP="00E01593">
      <w:pPr>
        <w:pStyle w:val="Heading2"/>
      </w:pPr>
      <w:bookmarkStart w:id="9" w:name="_Toc101856660"/>
      <w:r>
        <w:t>Background</w:t>
      </w:r>
      <w:bookmarkEnd w:id="9"/>
    </w:p>
    <w:p w14:paraId="09C61BB7" w14:textId="3BB89470" w:rsidR="00384785" w:rsidRDefault="00785D96" w:rsidP="007F1E70">
      <w:pPr>
        <w:pStyle w:val="JBAParaText"/>
      </w:pPr>
      <w:r>
        <w:t>Southern Water supplies water to Crawley Borough, Horsham District, the northern part of Chichester District and South Downs National Park Authority from its Sussex North Water Resource Zone</w:t>
      </w:r>
      <w:r w:rsidR="00A24B26">
        <w:t xml:space="preserve"> (WRZ). Within this WRZ there are a number of water sources, one of which is a groundwater source at </w:t>
      </w:r>
      <w:r w:rsidR="00504869">
        <w:t xml:space="preserve">Pulborough </w:t>
      </w:r>
      <w:r w:rsidR="000A3A74">
        <w:t xml:space="preserve">– one of a number of groundwater and surface water abstractions </w:t>
      </w:r>
      <w:r w:rsidR="00F46C22">
        <w:t>in that area</w:t>
      </w:r>
      <w:r w:rsidR="000A3A74">
        <w:t>.</w:t>
      </w:r>
      <w:r w:rsidR="00E01593">
        <w:t xml:space="preserve">  </w:t>
      </w:r>
      <w:r w:rsidR="00E01593">
        <w:fldChar w:fldCharType="begin"/>
      </w:r>
      <w:r w:rsidR="00E01593">
        <w:instrText xml:space="preserve"> REF _Ref101854930 \h </w:instrText>
      </w:r>
      <w:r w:rsidR="00E01593">
        <w:fldChar w:fldCharType="separate"/>
      </w:r>
      <w:r w:rsidR="00643E47">
        <w:t xml:space="preserve">Figure </w:t>
      </w:r>
      <w:r w:rsidR="00643E47">
        <w:rPr>
          <w:noProof/>
        </w:rPr>
        <w:t>1</w:t>
      </w:r>
      <w:r w:rsidR="00643E47">
        <w:t>.</w:t>
      </w:r>
      <w:r w:rsidR="00643E47">
        <w:rPr>
          <w:noProof/>
        </w:rPr>
        <w:t>1</w:t>
      </w:r>
      <w:r w:rsidR="00E01593">
        <w:fldChar w:fldCharType="end"/>
      </w:r>
      <w:r w:rsidR="00E01593">
        <w:t xml:space="preserve"> shows the indicative extent of the WRZ.  The exact boundary, including the area of re-zoning is currently being revised by Southern Water and was not available for this report.  This will be published as part of the Part C report. </w:t>
      </w:r>
    </w:p>
    <w:p w14:paraId="1021EAD7" w14:textId="77777777" w:rsidR="00384785" w:rsidRDefault="00081849" w:rsidP="00384785">
      <w:pPr>
        <w:pStyle w:val="JBAParaText"/>
        <w:keepNext/>
      </w:pPr>
      <w:r>
        <w:rPr>
          <w:noProof/>
        </w:rPr>
        <w:drawing>
          <wp:inline distT="0" distB="0" distL="0" distR="0" wp14:anchorId="586E249D" wp14:editId="58493824">
            <wp:extent cx="5572543" cy="4610100"/>
            <wp:effectExtent l="0" t="0" r="9525" b="0"/>
            <wp:docPr id="9" name="Picture 9" descr="Map showing the approximate extent of the Sussex North water resource zone. The zone covers all of Horsham District, the majority of Crawley Borough except the north by Gatwick Airport, and a large proportion of Chichester District and the South Downs National P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Map showing the approximate extent of the Sussex North water resource zone. The zone covers all of Horsham District, the majority of Crawley Borough except the north by Gatwick Airport, and a large proportion of Chichester District and the South Downs National Park."/>
                    <pic:cNvPicPr/>
                  </pic:nvPicPr>
                  <pic:blipFill rotWithShape="1">
                    <a:blip r:embed="rId17" cstate="print">
                      <a:extLst>
                        <a:ext uri="{28A0092B-C50C-407E-A947-70E740481C1C}">
                          <a14:useLocalDpi xmlns:a14="http://schemas.microsoft.com/office/drawing/2010/main" val="0"/>
                        </a:ext>
                      </a:extLst>
                    </a:blip>
                    <a:srcRect l="827" t="974" r="19384" b="5679"/>
                    <a:stretch/>
                  </pic:blipFill>
                  <pic:spPr bwMode="auto">
                    <a:xfrm>
                      <a:off x="0" y="0"/>
                      <a:ext cx="5573548" cy="4610931"/>
                    </a:xfrm>
                    <a:prstGeom prst="rect">
                      <a:avLst/>
                    </a:prstGeom>
                    <a:ln>
                      <a:noFill/>
                    </a:ln>
                    <a:extLst>
                      <a:ext uri="{53640926-AAD7-44D8-BBD7-CCE9431645EC}">
                        <a14:shadowObscured xmlns:a14="http://schemas.microsoft.com/office/drawing/2010/main"/>
                      </a:ext>
                    </a:extLst>
                  </pic:spPr>
                </pic:pic>
              </a:graphicData>
            </a:graphic>
          </wp:inline>
        </w:drawing>
      </w:r>
    </w:p>
    <w:p w14:paraId="003AFCC9" w14:textId="3875C1AC" w:rsidR="007F1E70" w:rsidRDefault="00384785" w:rsidP="00384785">
      <w:pPr>
        <w:pStyle w:val="Caption"/>
        <w:jc w:val="both"/>
      </w:pPr>
      <w:bookmarkStart w:id="10" w:name="_Ref101854930"/>
      <w:bookmarkStart w:id="11" w:name="_Toc101855285"/>
      <w:r>
        <w:t xml:space="preserve">Figure </w:t>
      </w:r>
      <w:r w:rsidR="00075F24">
        <w:rPr>
          <w:noProof/>
        </w:rPr>
        <w:fldChar w:fldCharType="begin"/>
      </w:r>
      <w:r w:rsidR="00075F24">
        <w:rPr>
          <w:noProof/>
        </w:rPr>
        <w:instrText xml:space="preserve"> STYLEREF 1 \s </w:instrText>
      </w:r>
      <w:r w:rsidR="00075F24">
        <w:rPr>
          <w:noProof/>
        </w:rPr>
        <w:fldChar w:fldCharType="separate"/>
      </w:r>
      <w:r w:rsidR="00643E47">
        <w:rPr>
          <w:noProof/>
        </w:rPr>
        <w:t>1</w:t>
      </w:r>
      <w:r w:rsidR="00075F24">
        <w:rPr>
          <w:noProof/>
        </w:rPr>
        <w:fldChar w:fldCharType="end"/>
      </w:r>
      <w:r w:rsidR="000D1B78">
        <w:t>.</w:t>
      </w:r>
      <w:r w:rsidR="00075F24">
        <w:rPr>
          <w:noProof/>
        </w:rPr>
        <w:fldChar w:fldCharType="begin"/>
      </w:r>
      <w:r w:rsidR="00075F24">
        <w:rPr>
          <w:noProof/>
        </w:rPr>
        <w:instrText xml:space="preserve"> SEQ Figure \* ARABIC \s 1 </w:instrText>
      </w:r>
      <w:r w:rsidR="00075F24">
        <w:rPr>
          <w:noProof/>
        </w:rPr>
        <w:fldChar w:fldCharType="separate"/>
      </w:r>
      <w:r w:rsidR="00643E47">
        <w:rPr>
          <w:noProof/>
        </w:rPr>
        <w:t>1</w:t>
      </w:r>
      <w:r w:rsidR="00075F24">
        <w:rPr>
          <w:noProof/>
        </w:rPr>
        <w:fldChar w:fldCharType="end"/>
      </w:r>
      <w:bookmarkEnd w:id="10"/>
      <w:r>
        <w:t xml:space="preserve"> Sussex North Water Resource Zone</w:t>
      </w:r>
      <w:bookmarkEnd w:id="11"/>
    </w:p>
    <w:p w14:paraId="72006892" w14:textId="3663E15E" w:rsidR="00A24B26" w:rsidRDefault="00A24B26" w:rsidP="007F1E70">
      <w:pPr>
        <w:pStyle w:val="JBAParaText"/>
      </w:pPr>
      <w:r>
        <w:t xml:space="preserve">Natural England has raised significant concern regarding the current abstraction (and any increase in abstraction </w:t>
      </w:r>
      <w:r w:rsidR="00D14CE9">
        <w:t>required to serve</w:t>
      </w:r>
      <w:r>
        <w:t xml:space="preserve"> planned development), advising that it cannot conclude with certainty that this process is not having an adverse impact on site integrity through a reduction in water </w:t>
      </w:r>
      <w:r w:rsidR="004A39C2">
        <w:t xml:space="preserve">supply </w:t>
      </w:r>
      <w:r>
        <w:t xml:space="preserve">and deterioration of habitat at designations including Amberley Wild Brooks SSSI, Pulborough Brooks SSSI and Arun Valley SPA, </w:t>
      </w:r>
      <w:r w:rsidR="00B96964">
        <w:t xml:space="preserve">Arun Valley </w:t>
      </w:r>
      <w:r>
        <w:t>SAC and</w:t>
      </w:r>
      <w:r w:rsidR="00B96964">
        <w:t xml:space="preserve"> Arun Valley</w:t>
      </w:r>
      <w:r>
        <w:t xml:space="preserve"> Ramsar site</w:t>
      </w:r>
      <w:r w:rsidR="00F46C22">
        <w:t>.</w:t>
      </w:r>
    </w:p>
    <w:p w14:paraId="14B89E6B" w14:textId="43D039A7" w:rsidR="00BC4515" w:rsidRDefault="009D2574" w:rsidP="00BC4515">
      <w:pPr>
        <w:pStyle w:val="JBAParaText"/>
      </w:pPr>
      <w:r>
        <w:t xml:space="preserve">Investigations and discussions </w:t>
      </w:r>
      <w:r w:rsidR="00BC4515">
        <w:t xml:space="preserve">between Southern Water, the Environment Agency and Natural England on the long-term sustainability of the </w:t>
      </w:r>
      <w:r w:rsidR="00504869">
        <w:t>Pulborough</w:t>
      </w:r>
      <w:r w:rsidR="00BC4515">
        <w:t xml:space="preserve"> abstraction are ongoing, </w:t>
      </w:r>
      <w:r w:rsidR="008824EC">
        <w:t xml:space="preserve">including a sustainability investigation to assess what level of ground and surface water abstractions are sustainable. </w:t>
      </w:r>
      <w:r w:rsidR="00140B65">
        <w:t xml:space="preserve"> </w:t>
      </w:r>
      <w:r w:rsidR="008824EC">
        <w:t>I</w:t>
      </w:r>
      <w:r w:rsidR="00BC4515">
        <w:t>n the meantime, Natural England ha</w:t>
      </w:r>
      <w:r w:rsidR="0065562E">
        <w:t>s</w:t>
      </w:r>
      <w:r w:rsidR="00BC4515">
        <w:t xml:space="preserve"> advised </w:t>
      </w:r>
      <w:r w:rsidR="00D14CE9">
        <w:t xml:space="preserve">the Councils </w:t>
      </w:r>
      <w:r w:rsidR="00BC4515">
        <w:t xml:space="preserve">that development in the Sussex North </w:t>
      </w:r>
      <w:r w:rsidR="00140B65">
        <w:t xml:space="preserve">WRZ </w:t>
      </w:r>
      <w:r w:rsidR="00BC4515">
        <w:t xml:space="preserve">part of the Gatwick sub-region must not add to this </w:t>
      </w:r>
      <w:r w:rsidR="00B96964">
        <w:t xml:space="preserve">potential </w:t>
      </w:r>
      <w:r w:rsidR="00BC4515">
        <w:t xml:space="preserve">adverse effect. </w:t>
      </w:r>
      <w:r w:rsidR="00140B65">
        <w:t xml:space="preserve"> </w:t>
      </w:r>
      <w:r w:rsidR="00BC4515">
        <w:t xml:space="preserve">Water Neutrality </w:t>
      </w:r>
      <w:r w:rsidR="00861543">
        <w:t>is required</w:t>
      </w:r>
      <w:r w:rsidR="00BC4515">
        <w:t xml:space="preserve"> as a means to allow development to proceed without increasing abstraction from </w:t>
      </w:r>
      <w:r w:rsidR="00446588">
        <w:t>Pulborough</w:t>
      </w:r>
      <w:r w:rsidR="00BC4515">
        <w:t>, but further evidence on how this might be achieved is required.</w:t>
      </w:r>
    </w:p>
    <w:p w14:paraId="13983153" w14:textId="1505414D" w:rsidR="007C2EFC" w:rsidRDefault="007C2EFC" w:rsidP="007F1E70">
      <w:pPr>
        <w:pStyle w:val="JBAParaText"/>
      </w:pPr>
      <w:r>
        <w:t xml:space="preserve">JBA Consulting has been commissioned to provide a water neutrality assessment to calculate the individual and in-combination impacts of the </w:t>
      </w:r>
      <w:r w:rsidR="00861543">
        <w:t xml:space="preserve">development </w:t>
      </w:r>
      <w:r>
        <w:t xml:space="preserve">currently proposed on water </w:t>
      </w:r>
      <w:r w:rsidR="00D14CE9">
        <w:t xml:space="preserve">demand </w:t>
      </w:r>
      <w:r>
        <w:t>within Sussex North WRZ, providing advice on specific measures required to support and achieve water neutrality.</w:t>
      </w:r>
    </w:p>
    <w:p w14:paraId="002933DE" w14:textId="77777777" w:rsidR="00E83870" w:rsidRDefault="00E83870" w:rsidP="00E83870">
      <w:pPr>
        <w:pStyle w:val="JBAParaText"/>
      </w:pPr>
      <w:r>
        <w:t>The study is divided into three parts</w:t>
      </w:r>
      <w:r w:rsidR="00A135CA">
        <w:t>:</w:t>
      </w:r>
    </w:p>
    <w:p w14:paraId="47B76D24" w14:textId="77777777" w:rsidR="00E83870" w:rsidRPr="007C2EFC" w:rsidRDefault="00E83870" w:rsidP="00E83870">
      <w:pPr>
        <w:pStyle w:val="JBAParaText"/>
        <w:rPr>
          <w:b/>
          <w:bCs/>
        </w:rPr>
      </w:pPr>
      <w:r w:rsidRPr="007C2EFC">
        <w:rPr>
          <w:b/>
          <w:bCs/>
        </w:rPr>
        <w:t>Part A: Individual Local Authority Areas</w:t>
      </w:r>
      <w:r>
        <w:rPr>
          <w:b/>
          <w:bCs/>
        </w:rPr>
        <w:t xml:space="preserve"> Assessment</w:t>
      </w:r>
    </w:p>
    <w:p w14:paraId="62E2DF56" w14:textId="07223C5C" w:rsidR="00E83870" w:rsidRDefault="00E83870" w:rsidP="00E83870">
      <w:pPr>
        <w:pStyle w:val="JBAParaText"/>
      </w:pPr>
      <w:r>
        <w:t xml:space="preserve">Part A of this work introduces the concept of water neutrality and investigates the measures that may be possible in order to achieve it. </w:t>
      </w:r>
      <w:r w:rsidR="00F46C22">
        <w:t xml:space="preserve"> </w:t>
      </w:r>
      <w:r>
        <w:t xml:space="preserve">It goes on to examine at a high level the feasibility of achieving neutrality in Crawley Borough and Chichester District (acting individually).  Horsham District Council </w:t>
      </w:r>
      <w:r w:rsidR="0035536C">
        <w:t xml:space="preserve">had previously </w:t>
      </w:r>
      <w:r>
        <w:t>commissioned a technical note on water neutrality as part of their Habitats Regulations Assessment (HRA) process and so did not take part in Part A.  The contribution that could be theoretically possible from different measures (at this stage we are just considering the approximate order of magnitude impact of each measure), both under control of the council and other stakeholders was presented.  Part A was completed in June 2021.</w:t>
      </w:r>
    </w:p>
    <w:p w14:paraId="349EC5A0" w14:textId="77777777" w:rsidR="00E83870" w:rsidRDefault="00E83870" w:rsidP="00E83870">
      <w:pPr>
        <w:pStyle w:val="JBAParaText"/>
        <w:rPr>
          <w:b/>
          <w:bCs/>
        </w:rPr>
      </w:pPr>
      <w:r w:rsidRPr="007C2EFC">
        <w:rPr>
          <w:b/>
          <w:bCs/>
        </w:rPr>
        <w:t xml:space="preserve">Part B: In-combination </w:t>
      </w:r>
      <w:r>
        <w:rPr>
          <w:b/>
          <w:bCs/>
        </w:rPr>
        <w:t>A</w:t>
      </w:r>
      <w:r w:rsidRPr="007C2EFC">
        <w:rPr>
          <w:b/>
          <w:bCs/>
        </w:rPr>
        <w:t>ssessment</w:t>
      </w:r>
    </w:p>
    <w:p w14:paraId="4A106DBB" w14:textId="77777777" w:rsidR="00E83870" w:rsidRDefault="00E83870" w:rsidP="00E83870">
      <w:pPr>
        <w:pStyle w:val="JBAParaText"/>
      </w:pPr>
      <w:r>
        <w:t>This Part B report combines the individual authority assessments into a WRZ-wide assessment using the same methodology for assessment as Part A.</w:t>
      </w:r>
    </w:p>
    <w:p w14:paraId="734E7A45" w14:textId="77777777" w:rsidR="00E83870" w:rsidRPr="007C2EFC" w:rsidRDefault="00E83870" w:rsidP="00E83870">
      <w:pPr>
        <w:pStyle w:val="JBAParaText"/>
        <w:rPr>
          <w:b/>
          <w:bCs/>
        </w:rPr>
      </w:pPr>
      <w:r w:rsidRPr="007C2EFC">
        <w:rPr>
          <w:b/>
          <w:bCs/>
        </w:rPr>
        <w:t>Part C: Determine Mitigation</w:t>
      </w:r>
    </w:p>
    <w:p w14:paraId="24B59304" w14:textId="6DACB8B9" w:rsidR="00E83870" w:rsidRDefault="00E83870" w:rsidP="00E83870">
      <w:pPr>
        <w:pStyle w:val="JBAParaText"/>
      </w:pPr>
      <w:r>
        <w:t xml:space="preserve">The third part of this study will build on the analysis in </w:t>
      </w:r>
      <w:r w:rsidR="00116D2B">
        <w:t>P</w:t>
      </w:r>
      <w:r>
        <w:t xml:space="preserve">arts A and B and develop a draft </w:t>
      </w:r>
      <w:r w:rsidR="00452C08">
        <w:t>strategy</w:t>
      </w:r>
      <w:r>
        <w:t xml:space="preserve"> to achieve water neutrality.  It will consist of:</w:t>
      </w:r>
    </w:p>
    <w:p w14:paraId="64D5D44C" w14:textId="6962A276" w:rsidR="00E83870" w:rsidRDefault="00E83870" w:rsidP="00E83870">
      <w:pPr>
        <w:pStyle w:val="JBABullets"/>
      </w:pPr>
      <w:r>
        <w:t xml:space="preserve">A technical report containing details of measures considered to be feasible from </w:t>
      </w:r>
      <w:r w:rsidR="00116D2B">
        <w:t>P</w:t>
      </w:r>
      <w:r>
        <w:t>arts A &amp; B including clear defensible evidence for each measure</w:t>
      </w:r>
      <w:r w:rsidR="00116D2B">
        <w:t>;</w:t>
      </w:r>
      <w:r>
        <w:t xml:space="preserve"> </w:t>
      </w:r>
    </w:p>
    <w:p w14:paraId="7A3E4B43" w14:textId="07FF8AA6" w:rsidR="00E83870" w:rsidRDefault="00E83870" w:rsidP="00E83870">
      <w:pPr>
        <w:pStyle w:val="JBABullets"/>
      </w:pPr>
      <w:r>
        <w:t xml:space="preserve">a draft </w:t>
      </w:r>
      <w:r w:rsidR="00452C08">
        <w:t>strategy</w:t>
      </w:r>
      <w:r>
        <w:t xml:space="preserve"> developed with stakeholders defining which measures will be adopted, who will be responsible, and how they will be funded</w:t>
      </w:r>
      <w:r w:rsidR="00452C08">
        <w:t>, and over what timescale</w:t>
      </w:r>
      <w:r w:rsidR="00116D2B">
        <w:t>;</w:t>
      </w:r>
    </w:p>
    <w:p w14:paraId="42DA3982" w14:textId="77777777" w:rsidR="00E83870" w:rsidRPr="007C2EFC" w:rsidRDefault="00E83870" w:rsidP="00E83870">
      <w:pPr>
        <w:pStyle w:val="JBABullets"/>
      </w:pPr>
      <w:r>
        <w:t xml:space="preserve">a baseline water budget demonstrating how water neutrality could be maintained through the plan period based on the plan. </w:t>
      </w:r>
    </w:p>
    <w:p w14:paraId="48DD06EB" w14:textId="42DDA075" w:rsidR="00E83870" w:rsidRDefault="00452C08" w:rsidP="007F1E70">
      <w:pPr>
        <w:pStyle w:val="JBAParaText"/>
      </w:pPr>
      <w:r>
        <w:t xml:space="preserve">Further work will be required to implement the strategy that is not included within this scope of work.  This will include setting up the appropriate governance structure, conducting a procurement exercise to obtain accurate costings for implementing mitigation measures or offsetting, and development of the detailed processes and procedures for running </w:t>
      </w:r>
      <w:r w:rsidR="00562926">
        <w:t xml:space="preserve">and reporting </w:t>
      </w:r>
      <w:r>
        <w:t xml:space="preserve">a neutrality </w:t>
      </w:r>
      <w:r w:rsidR="00562926">
        <w:t>scheme</w:t>
      </w:r>
      <w:r>
        <w:t>.</w:t>
      </w:r>
    </w:p>
    <w:p w14:paraId="625F4547" w14:textId="77777777" w:rsidR="000D6D5B" w:rsidRDefault="000D6D5B" w:rsidP="000D6D5B">
      <w:pPr>
        <w:pStyle w:val="Heading2"/>
      </w:pPr>
      <w:bookmarkStart w:id="12" w:name="_Toc101856661"/>
      <w:r>
        <w:t>Water neutrality</w:t>
      </w:r>
      <w:r w:rsidR="00BC728D">
        <w:t xml:space="preserve"> background</w:t>
      </w:r>
      <w:bookmarkEnd w:id="12"/>
    </w:p>
    <w:p w14:paraId="7BF1A1CF" w14:textId="77777777" w:rsidR="00BC728D" w:rsidRDefault="00BC728D" w:rsidP="00BC728D">
      <w:pPr>
        <w:pStyle w:val="JBAParaText"/>
      </w:pPr>
      <w:r>
        <w:t>For the purpose of this study the simple definition of water neutrality was adopted:</w:t>
      </w:r>
    </w:p>
    <w:p w14:paraId="7FD98D6A" w14:textId="77777777" w:rsidR="00BC728D" w:rsidRDefault="00BC728D" w:rsidP="00E83870">
      <w:pPr>
        <w:pStyle w:val="JBAParaText"/>
        <w:rPr>
          <w:b/>
          <w:bCs/>
          <w:i/>
          <w:iCs/>
        </w:rPr>
      </w:pPr>
      <w:r w:rsidRPr="001F49C7">
        <w:rPr>
          <w:b/>
          <w:bCs/>
          <w:i/>
          <w:iCs/>
        </w:rPr>
        <w:t>“For every new development, total water use in the region after the development must be equal to or less than the total water-use in the region before the new development.”</w:t>
      </w:r>
    </w:p>
    <w:p w14:paraId="5813083A" w14:textId="77777777" w:rsidR="001F49C7" w:rsidRDefault="001F49C7" w:rsidP="001F49C7">
      <w:pPr>
        <w:pStyle w:val="JBAParaText"/>
      </w:pPr>
      <w:r>
        <w:t>Over the last decade, a number of Water Cycle Studies (WCSs) supporting Local Plans have included water neutrality assessments.  To the best of our knowledge, this is, however, the first case in the UK where a Local Planning Authority may be required to demonstrate a deliverable plan for achieving water neutrality, in order to demonstrate that the Local Plan will not have an adverse impact on designated sites.  In this respect, the technical assessments outlined in Part A &amp; Part B are the first steps towards developing a water neutrality plan which will need to go well beyond the scope of previous water neutrality assessments, which have been desktop exercises presenting how water neutrality could be achieved.  In order for a water neutral</w:t>
      </w:r>
      <w:r w:rsidR="0087376D">
        <w:t>ity</w:t>
      </w:r>
      <w:r>
        <w:t xml:space="preserve"> plan to meet the tests of certainty required by the Habitats Regulations in light of caselaw, Natural England have confirmed that it will need to set out:</w:t>
      </w:r>
    </w:p>
    <w:p w14:paraId="6D2F887C" w14:textId="77777777" w:rsidR="001F49C7" w:rsidRDefault="001F49C7" w:rsidP="001F49C7">
      <w:pPr>
        <w:pStyle w:val="JBABullets"/>
      </w:pPr>
      <w:r>
        <w:t>A framework for the overall delivery and monitoring of the plan.</w:t>
      </w:r>
    </w:p>
    <w:p w14:paraId="53940112" w14:textId="77777777" w:rsidR="001F49C7" w:rsidRDefault="001F49C7" w:rsidP="001F49C7">
      <w:pPr>
        <w:pStyle w:val="JBABullets"/>
      </w:pPr>
      <w:r>
        <w:t>Which measure(s) will be applied (allowing some flexibility for innovation and technological and societal change over the plan lifetime).</w:t>
      </w:r>
    </w:p>
    <w:p w14:paraId="6FF9EB79" w14:textId="77777777" w:rsidR="001F49C7" w:rsidRDefault="001F49C7" w:rsidP="001F49C7">
      <w:pPr>
        <w:pStyle w:val="JBABullets"/>
      </w:pPr>
      <w:r>
        <w:t>Identification of which party will lead the delivery of each measure, and to what timescales</w:t>
      </w:r>
      <w:r w:rsidR="004B5813">
        <w:t xml:space="preserve"> – linked to development delivery timetables</w:t>
      </w:r>
      <w:r>
        <w:t>.</w:t>
      </w:r>
    </w:p>
    <w:p w14:paraId="61CB7C4A" w14:textId="77777777" w:rsidR="001F49C7" w:rsidRDefault="001F49C7" w:rsidP="001F49C7">
      <w:pPr>
        <w:pStyle w:val="JBABullets"/>
      </w:pPr>
      <w:r>
        <w:t>How measures will be secured and delivered</w:t>
      </w:r>
      <w:r w:rsidR="007003EF">
        <w:t>.</w:t>
      </w:r>
    </w:p>
    <w:p w14:paraId="566BFC1F" w14:textId="77777777" w:rsidR="00E83870" w:rsidRDefault="001F49C7" w:rsidP="006E1945">
      <w:pPr>
        <w:pStyle w:val="JBABullets"/>
      </w:pPr>
      <w:r>
        <w:t>Define how delivery of the plan will be financed.</w:t>
      </w:r>
    </w:p>
    <w:p w14:paraId="07B417EB" w14:textId="77777777" w:rsidR="000D6D5B" w:rsidRDefault="001F49C7" w:rsidP="006E1945">
      <w:pPr>
        <w:pStyle w:val="JBABullets"/>
      </w:pPr>
      <w:r>
        <w:t>Identify how measures will go beyond or at a quicker pace than those already in Southern Water’s business plan.</w:t>
      </w:r>
    </w:p>
    <w:p w14:paraId="23064001" w14:textId="77777777" w:rsidR="00AA026D" w:rsidRDefault="00AA026D" w:rsidP="00163CA8">
      <w:pPr>
        <w:pStyle w:val="Heading2"/>
      </w:pPr>
      <w:bookmarkStart w:id="13" w:name="_Toc101856662"/>
      <w:r>
        <w:t>Natural England Position Statement</w:t>
      </w:r>
      <w:bookmarkEnd w:id="13"/>
    </w:p>
    <w:p w14:paraId="41D23197" w14:textId="77777777" w:rsidR="006E41B7" w:rsidRDefault="00AA026D" w:rsidP="00AA026D">
      <w:pPr>
        <w:pStyle w:val="JBAParaText"/>
        <w:ind w:left="1571"/>
      </w:pPr>
      <w:r>
        <w:t>On 14 September 2021 Natural England published a position statement</w:t>
      </w:r>
      <w:r w:rsidR="00B804F4">
        <w:rPr>
          <w:rStyle w:val="FootnoteReference"/>
        </w:rPr>
        <w:footnoteReference w:id="2"/>
      </w:r>
      <w:r>
        <w:t xml:space="preserve"> defining a</w:t>
      </w:r>
      <w:r w:rsidR="007E7C48">
        <w:t>n</w:t>
      </w:r>
      <w:r>
        <w:t xml:space="preserve"> interim position for applications in the Sussex North WRZ.  NE advised that</w:t>
      </w:r>
      <w:r w:rsidR="006E41B7">
        <w:t>:</w:t>
      </w:r>
    </w:p>
    <w:p w14:paraId="37C555C8" w14:textId="77777777" w:rsidR="00AA026D" w:rsidRPr="007D4380" w:rsidRDefault="00AA026D" w:rsidP="00AA026D">
      <w:pPr>
        <w:pStyle w:val="JBAParaText"/>
        <w:ind w:left="1571"/>
        <w:rPr>
          <w:b/>
          <w:bCs/>
          <w:i/>
          <w:iCs/>
        </w:rPr>
      </w:pPr>
      <w:r w:rsidRPr="007D4380">
        <w:rPr>
          <w:i/>
          <w:iCs/>
        </w:rPr>
        <w:t xml:space="preserve"> </w:t>
      </w:r>
      <w:r w:rsidRPr="007D4380">
        <w:rPr>
          <w:b/>
          <w:bCs/>
          <w:i/>
          <w:iCs/>
        </w:rPr>
        <w:t>“</w:t>
      </w:r>
      <w:r w:rsidR="006E41B7" w:rsidRPr="007D4380">
        <w:rPr>
          <w:b/>
          <w:bCs/>
          <w:i/>
          <w:iCs/>
        </w:rPr>
        <w:t>…</w:t>
      </w:r>
      <w:r w:rsidRPr="007D4380">
        <w:rPr>
          <w:b/>
          <w:bCs/>
          <w:i/>
          <w:iCs/>
        </w:rPr>
        <w:t>this matter should be resolved in partnership through Local Plans across the affected authorities, where policy and assessment can be agreed and secured to ensure water use is offset for all new developments within Sussex North.  To achieve this Natural England is working in partnership with the relevant authorities to secure water neutrality collectively through a water neutrality strategy.</w:t>
      </w:r>
    </w:p>
    <w:p w14:paraId="2878B106" w14:textId="77777777" w:rsidR="00B804F4" w:rsidRPr="007D4380" w:rsidRDefault="00B804F4" w:rsidP="00AA026D">
      <w:pPr>
        <w:pStyle w:val="JBAParaText"/>
        <w:ind w:left="1571"/>
        <w:rPr>
          <w:b/>
          <w:bCs/>
          <w:i/>
          <w:iCs/>
        </w:rPr>
      </w:pPr>
      <w:r w:rsidRPr="007D4380">
        <w:rPr>
          <w:b/>
          <w:bCs/>
          <w:i/>
          <w:iCs/>
        </w:rPr>
        <w:t>Whilst this strategy is evolving, Natural England advises that decisions on planning applications should await its completion.  However, if there are applications which a planning authority deems critical to proceed in the absence of the strategy, then Natural England advises that any application needs to demonstrate water neutrality.”</w:t>
      </w:r>
    </w:p>
    <w:p w14:paraId="392C0514" w14:textId="77777777" w:rsidR="006E41B7" w:rsidRDefault="007E7C48" w:rsidP="00AA026D">
      <w:pPr>
        <w:pStyle w:val="JBAParaText"/>
        <w:ind w:left="1571"/>
      </w:pPr>
      <w:r>
        <w:t>Further clarification</w:t>
      </w:r>
      <w:r w:rsidR="009D7E7F">
        <w:rPr>
          <w:rStyle w:val="FootnoteReference"/>
        </w:rPr>
        <w:footnoteReference w:id="3"/>
      </w:r>
      <w:r>
        <w:t xml:space="preserve"> was provided</w:t>
      </w:r>
      <w:r w:rsidR="006E41B7">
        <w:t xml:space="preserve"> in February 2022:</w:t>
      </w:r>
    </w:p>
    <w:p w14:paraId="68CB9832" w14:textId="77777777" w:rsidR="006E41B7" w:rsidRPr="007D4380" w:rsidRDefault="006E41B7" w:rsidP="00AA026D">
      <w:pPr>
        <w:pStyle w:val="JBAParaText"/>
        <w:ind w:left="1571"/>
        <w:rPr>
          <w:b/>
          <w:bCs/>
          <w:i/>
          <w:iCs/>
        </w:rPr>
      </w:pPr>
      <w:r w:rsidRPr="007D4380">
        <w:rPr>
          <w:b/>
          <w:bCs/>
          <w:i/>
          <w:iCs/>
        </w:rPr>
        <w:t>“For the avoidance of doubt, since the 2017 Regulations cannot be applied retrospectively, the requirement for Water Neutrality will not apply to any projects with full planning permission prior to the Natural England Statement being published on 14 September 2021, in addition this would equally apply to not requiring future developments to mitigate the impact of those developments already granted full permission at that point.”</w:t>
      </w:r>
    </w:p>
    <w:p w14:paraId="659A9E63" w14:textId="77777777" w:rsidR="00AA026D" w:rsidRDefault="006E41B7" w:rsidP="00AA026D">
      <w:pPr>
        <w:pStyle w:val="JBAParaText"/>
        <w:ind w:left="1571"/>
      </w:pPr>
      <w:r>
        <w:t xml:space="preserve">For this reason, only development that does not yet have full planning consent, or has been granted full consent after 14 September 2021, will be considered in this study. </w:t>
      </w:r>
      <w:r w:rsidR="000521E7">
        <w:t>This development must demonstrate water neutrality, which is required to ensure that planned growth comes forward in compliance with the Habitats Regulations.</w:t>
      </w:r>
    </w:p>
    <w:p w14:paraId="77BB2F34" w14:textId="4022DC5C" w:rsidR="00AA026D" w:rsidRDefault="00861543" w:rsidP="006A3FF4">
      <w:pPr>
        <w:pStyle w:val="Heading2"/>
      </w:pPr>
      <w:bookmarkStart w:id="14" w:name="_Ref100839585"/>
      <w:bookmarkStart w:id="15" w:name="_Toc101856663"/>
      <w:r>
        <w:t>Geographic extent</w:t>
      </w:r>
      <w:bookmarkEnd w:id="14"/>
      <w:bookmarkEnd w:id="15"/>
    </w:p>
    <w:p w14:paraId="146C927C" w14:textId="64C4C213" w:rsidR="00861543" w:rsidRPr="00861543" w:rsidRDefault="00861543" w:rsidP="00861543">
      <w:pPr>
        <w:pStyle w:val="JBAParaText"/>
      </w:pPr>
      <w:r>
        <w:t xml:space="preserve">Any development within the Sussex North WRZ must be water neutral for the whole of the period covered by the water neutrality strategy.  As explained in </w:t>
      </w:r>
      <w:r>
        <w:fldChar w:fldCharType="begin"/>
      </w:r>
      <w:r>
        <w:instrText xml:space="preserve"> REF _Ref100332784 \r \h </w:instrText>
      </w:r>
      <w:r>
        <w:fldChar w:fldCharType="separate"/>
      </w:r>
      <w:r w:rsidR="00643E47">
        <w:t>3.4.2</w:t>
      </w:r>
      <w:r>
        <w:fldChar w:fldCharType="end"/>
      </w:r>
      <w:r>
        <w:t xml:space="preserve">, SW </w:t>
      </w:r>
      <w:r w:rsidR="008A596C">
        <w:t xml:space="preserve">are re-zoning part of the north of the Sussex North WRZ to SES Water (SESW).  </w:t>
      </w:r>
    </w:p>
    <w:p w14:paraId="630EC5AA" w14:textId="4C3A9CA0" w:rsidR="00AA026D" w:rsidRDefault="008A596C" w:rsidP="00AA026D">
      <w:pPr>
        <w:pStyle w:val="JBAParaText"/>
        <w:ind w:left="1571"/>
      </w:pPr>
      <w:r w:rsidRPr="008A596C">
        <w:t>The agreement between SE</w:t>
      </w:r>
      <w:r>
        <w:t>SW</w:t>
      </w:r>
      <w:r w:rsidRPr="008A596C">
        <w:t xml:space="preserve"> and SW is temporary and can be reversed should the transfer no longer be required, or SESW are unable to support it.  </w:t>
      </w:r>
      <w:r>
        <w:t xml:space="preserve">It could also be re-zoned in response to an emergency or drought.  </w:t>
      </w:r>
      <w:r w:rsidRPr="008A596C">
        <w:t xml:space="preserve">A precautionary approach should therefore be taken whereby </w:t>
      </w:r>
      <w:r>
        <w:t xml:space="preserve">development within the re-zoned area must also achieve water neutrality and has been included in the calculations contained in this report.  </w:t>
      </w:r>
      <w:r w:rsidRPr="008A596C">
        <w:t xml:space="preserve">  Offsetting measures delivered within the rezoned areas are unlikely to contribute towards neutrality in Sussex North and therefore cannot be included within the neutrality calculations.</w:t>
      </w:r>
    </w:p>
    <w:p w14:paraId="7F978B46" w14:textId="021124CA" w:rsidR="008A596C" w:rsidRDefault="008A596C" w:rsidP="008A596C">
      <w:pPr>
        <w:pStyle w:val="Heading2"/>
      </w:pPr>
      <w:bookmarkStart w:id="16" w:name="_Toc101856664"/>
      <w:r>
        <w:t>Timeframe of neutrality strategy</w:t>
      </w:r>
      <w:bookmarkEnd w:id="16"/>
    </w:p>
    <w:p w14:paraId="66BD12ED" w14:textId="7FD5BFAA" w:rsidR="008A596C" w:rsidRPr="008A596C" w:rsidRDefault="008A596C" w:rsidP="008A596C">
      <w:pPr>
        <w:pStyle w:val="JBAParaText"/>
      </w:pPr>
      <w:r>
        <w:t>Water neutrality is required as long as there is potential for an adverse effect on the sensitive habitats in the Arun Valley.  In practise this means it is required until Southern Water can provide an alternative water source to replace groundwater abstraction at Pulborough.  Time is required to allow SW to identify, de</w:t>
      </w:r>
      <w:r w:rsidR="00562926">
        <w:t>sign,</w:t>
      </w:r>
      <w:r>
        <w:t xml:space="preserve"> obtain funding</w:t>
      </w:r>
      <w:r w:rsidR="00562926">
        <w:t xml:space="preserve"> and construct</w:t>
      </w:r>
      <w:r>
        <w:t xml:space="preserve"> an alternative source through their business plan and WRMP process.  It is therefore unlikely that a new source could be available before 2028 at the earliest.  This strategy will therefore take the approach that neutrality will be required throughout the time frame covered by the Local Plans of CBC, CDC and HDC</w:t>
      </w:r>
      <w:r w:rsidR="00CC4BC9">
        <w:t>; a period up until 2037/2038.</w:t>
      </w:r>
    </w:p>
    <w:p w14:paraId="7EF452B0" w14:textId="77777777" w:rsidR="008A596C" w:rsidRPr="008A596C" w:rsidRDefault="008A596C" w:rsidP="008A596C">
      <w:pPr>
        <w:pStyle w:val="JBAParaText"/>
      </w:pPr>
    </w:p>
    <w:p w14:paraId="48C1FAA0" w14:textId="77777777" w:rsidR="00AA026D" w:rsidRPr="00AA026D" w:rsidRDefault="00AA026D" w:rsidP="00AA026D">
      <w:pPr>
        <w:pStyle w:val="JBAParaText"/>
        <w:ind w:left="1571"/>
      </w:pPr>
    </w:p>
    <w:p w14:paraId="54B8AD3B" w14:textId="77777777" w:rsidR="00ED7FF2" w:rsidRDefault="00ED7FF2" w:rsidP="000F4160">
      <w:pPr>
        <w:pStyle w:val="JBAParaText"/>
      </w:pPr>
      <w:r>
        <w:br w:type="page"/>
      </w:r>
    </w:p>
    <w:p w14:paraId="4BDA99DB" w14:textId="77777777" w:rsidR="000D6D5B" w:rsidRDefault="000D6D5B" w:rsidP="00CE60AE">
      <w:pPr>
        <w:pStyle w:val="Heading1"/>
      </w:pPr>
      <w:bookmarkStart w:id="17" w:name="_Ref79598396"/>
      <w:bookmarkStart w:id="18" w:name="_Toc101856665"/>
      <w:r>
        <w:t>Growth in Sussex North WRZ</w:t>
      </w:r>
      <w:bookmarkEnd w:id="17"/>
      <w:bookmarkEnd w:id="18"/>
    </w:p>
    <w:p w14:paraId="1C4D5634" w14:textId="77777777" w:rsidR="00CB2F9D" w:rsidRDefault="00CB2F9D" w:rsidP="000F4160">
      <w:pPr>
        <w:pStyle w:val="Heading2"/>
      </w:pPr>
      <w:bookmarkStart w:id="19" w:name="_Toc101856666"/>
      <w:r>
        <w:t>Introduction</w:t>
      </w:r>
      <w:bookmarkEnd w:id="19"/>
    </w:p>
    <w:p w14:paraId="5DF0D517" w14:textId="642A64C1" w:rsidR="00CB2F9D" w:rsidRDefault="00CB2F9D" w:rsidP="00CB2F9D">
      <w:pPr>
        <w:pStyle w:val="JBAParaText"/>
      </w:pPr>
      <w:r>
        <w:t>Six local planning authorities lie either fully or partially within the Sussex North WRZ.</w:t>
      </w:r>
      <w:r w:rsidR="00063434">
        <w:t xml:space="preserve">  </w:t>
      </w:r>
      <w:r>
        <w:t xml:space="preserve"> </w:t>
      </w:r>
      <w:r w:rsidR="00063434">
        <w:t xml:space="preserve"> </w:t>
      </w:r>
      <w:r w:rsidR="00876EDD">
        <w:t xml:space="preserve">Growth from each of these is summarised in the sections below before a total WRZ level forecast is produced in section </w:t>
      </w:r>
      <w:r w:rsidR="00876EDD">
        <w:fldChar w:fldCharType="begin"/>
      </w:r>
      <w:r w:rsidR="00876EDD">
        <w:instrText xml:space="preserve"> REF _Ref79501816 \r \h </w:instrText>
      </w:r>
      <w:r w:rsidR="00876EDD">
        <w:fldChar w:fldCharType="separate"/>
      </w:r>
      <w:r w:rsidR="00643E47">
        <w:t>2.8</w:t>
      </w:r>
      <w:r w:rsidR="00876EDD">
        <w:fldChar w:fldCharType="end"/>
      </w:r>
      <w:r w:rsidR="00876EDD">
        <w:t>.</w:t>
      </w:r>
      <w:r w:rsidR="001220E2">
        <w:t xml:space="preserve">  It is expected that this growth forecast will change over time as new development sites are proposed, and others rejected.  The plan therefore needs to be flexible enough to manage changing </w:t>
      </w:r>
      <w:r w:rsidR="00677D5A">
        <w:t xml:space="preserve">demand. </w:t>
      </w:r>
      <w:r w:rsidR="008B7ABB">
        <w:t xml:space="preserve"> Other land uses such as leisure facilities and swimming pools may have bespoke water demands and may need to be considered on a case-by-case basis during the plan period</w:t>
      </w:r>
      <w:r w:rsidR="00F70EEB">
        <w:t xml:space="preserve"> with the requirement that they should also be water neutral.</w:t>
      </w:r>
      <w:r w:rsidR="00A71017" w:rsidRPr="00A71017">
        <w:t xml:space="preserve"> </w:t>
      </w:r>
      <w:r w:rsidR="00AC3745">
        <w:t xml:space="preserve"> </w:t>
      </w:r>
      <w:r w:rsidR="00A71017">
        <w:t>Water demand generated from new school places should also be considered and expected pupil numbers have been provided by West Sussex County Council.</w:t>
      </w:r>
    </w:p>
    <w:p w14:paraId="7B2BC924" w14:textId="77777777" w:rsidR="000D6D5B" w:rsidRDefault="00CB2F9D" w:rsidP="000D6D5B">
      <w:pPr>
        <w:pStyle w:val="Heading2"/>
      </w:pPr>
      <w:bookmarkStart w:id="20" w:name="_Toc101856667"/>
      <w:r>
        <w:t>Crawley Borough Council</w:t>
      </w:r>
      <w:bookmarkEnd w:id="20"/>
    </w:p>
    <w:p w14:paraId="59D05899" w14:textId="212E2569" w:rsidR="00CB2F9D" w:rsidRDefault="00CB2F9D" w:rsidP="00CB2F9D">
      <w:pPr>
        <w:pStyle w:val="JBAParaText"/>
      </w:pPr>
      <w:r>
        <w:t xml:space="preserve">CBC provided an up-to-date growth forecast for </w:t>
      </w:r>
      <w:r w:rsidR="00C960D1">
        <w:t xml:space="preserve">Part A of </w:t>
      </w:r>
      <w:r>
        <w:t xml:space="preserve">this study containing recent completions, sites already in the planning system and local plan allocations. </w:t>
      </w:r>
      <w:r w:rsidR="00C960D1">
        <w:t xml:space="preserve"> </w:t>
      </w:r>
      <w:r>
        <w:t>An estimate of windfall was also included.  Growth during the whole of the plan period was included (starting in 20</w:t>
      </w:r>
      <w:r w:rsidR="00163CA8">
        <w:t>21</w:t>
      </w:r>
      <w:r>
        <w:t xml:space="preserve">) and is summarised in </w:t>
      </w:r>
      <w:r w:rsidR="00F560E0">
        <w:fldChar w:fldCharType="begin"/>
      </w:r>
      <w:r w:rsidR="00F560E0">
        <w:instrText xml:space="preserve"> REF _Ref79663523 \h </w:instrText>
      </w:r>
      <w:r w:rsidR="00F560E0">
        <w:fldChar w:fldCharType="separate"/>
      </w:r>
      <w:r w:rsidR="00643E47">
        <w:t xml:space="preserve">Table </w:t>
      </w:r>
      <w:r w:rsidR="00643E47">
        <w:rPr>
          <w:noProof/>
        </w:rPr>
        <w:t>2</w:t>
      </w:r>
      <w:r w:rsidR="00643E47">
        <w:t>.</w:t>
      </w:r>
      <w:r w:rsidR="00643E47">
        <w:rPr>
          <w:noProof/>
        </w:rPr>
        <w:t>1</w:t>
      </w:r>
      <w:r w:rsidR="00F560E0">
        <w:fldChar w:fldCharType="end"/>
      </w:r>
      <w:r>
        <w:t xml:space="preserve"> below.</w:t>
      </w:r>
    </w:p>
    <w:p w14:paraId="28E3BC6D" w14:textId="3B21DFD2" w:rsidR="00CB2F9D" w:rsidRDefault="00CB2F9D" w:rsidP="00CB2F9D">
      <w:pPr>
        <w:pStyle w:val="Caption"/>
        <w:keepNext/>
      </w:pPr>
      <w:bookmarkStart w:id="21" w:name="_Ref79663523"/>
      <w:bookmarkStart w:id="22" w:name="_Toc101856734"/>
      <w:r>
        <w:t xml:space="preserve">Table </w:t>
      </w:r>
      <w:r w:rsidR="00E6462B">
        <w:fldChar w:fldCharType="begin"/>
      </w:r>
      <w:r w:rsidR="00E6462B">
        <w:instrText xml:space="preserve"> STYLEREF 1 \s </w:instrText>
      </w:r>
      <w:r w:rsidR="00E6462B">
        <w:fldChar w:fldCharType="separate"/>
      </w:r>
      <w:r w:rsidR="00643E47">
        <w:rPr>
          <w:noProof/>
        </w:rPr>
        <w:t>2</w:t>
      </w:r>
      <w:r w:rsidR="00E6462B">
        <w:rPr>
          <w:noProof/>
        </w:rPr>
        <w:fldChar w:fldCharType="end"/>
      </w:r>
      <w:r w:rsidR="00DF396A">
        <w:t>.</w:t>
      </w:r>
      <w:r w:rsidR="00E6462B">
        <w:fldChar w:fldCharType="begin"/>
      </w:r>
      <w:r w:rsidR="00E6462B">
        <w:instrText xml:space="preserve"> SEQ Table \* ARABIC \s 1 </w:instrText>
      </w:r>
      <w:r w:rsidR="00E6462B">
        <w:fldChar w:fldCharType="separate"/>
      </w:r>
      <w:r w:rsidR="00643E47">
        <w:rPr>
          <w:noProof/>
        </w:rPr>
        <w:t>1</w:t>
      </w:r>
      <w:r w:rsidR="00E6462B">
        <w:rPr>
          <w:noProof/>
        </w:rPr>
        <w:fldChar w:fldCharType="end"/>
      </w:r>
      <w:bookmarkEnd w:id="21"/>
      <w:r w:rsidRPr="00392EC9">
        <w:t xml:space="preserve"> </w:t>
      </w:r>
      <w:r>
        <w:t xml:space="preserve">Growth </w:t>
      </w:r>
      <w:r w:rsidR="005B6B9A">
        <w:t>in Crawley</w:t>
      </w:r>
      <w:bookmarkEnd w:id="22"/>
    </w:p>
    <w:tbl>
      <w:tblPr>
        <w:tblStyle w:val="JBATable13"/>
        <w:tblW w:w="0" w:type="auto"/>
        <w:tblInd w:w="1668" w:type="dxa"/>
        <w:tblLook w:val="04A0" w:firstRow="1" w:lastRow="0" w:firstColumn="1" w:lastColumn="0" w:noHBand="0" w:noVBand="1"/>
      </w:tblPr>
      <w:tblGrid>
        <w:gridCol w:w="3714"/>
        <w:gridCol w:w="3544"/>
      </w:tblGrid>
      <w:tr w:rsidR="0046426E" w14:paraId="6243D099" w14:textId="77777777" w:rsidTr="009843F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14" w:type="dxa"/>
          </w:tcPr>
          <w:p w14:paraId="43C06914" w14:textId="77777777" w:rsidR="0046426E" w:rsidRDefault="0046426E" w:rsidP="00AA58FB">
            <w:pPr>
              <w:pStyle w:val="JBAParaText"/>
              <w:ind w:left="0" w:right="0"/>
              <w:jc w:val="center"/>
            </w:pPr>
            <w:r>
              <w:t>Type</w:t>
            </w:r>
          </w:p>
        </w:tc>
        <w:tc>
          <w:tcPr>
            <w:tcW w:w="3544" w:type="dxa"/>
          </w:tcPr>
          <w:p w14:paraId="478C090B" w14:textId="77777777" w:rsidR="0046426E" w:rsidRDefault="0046426E" w:rsidP="00AA58FB">
            <w:pPr>
              <w:pStyle w:val="JBAParaText"/>
              <w:ind w:left="0" w:right="0"/>
              <w:jc w:val="center"/>
              <w:cnfStyle w:val="100000000000" w:firstRow="1" w:lastRow="0" w:firstColumn="0" w:lastColumn="0" w:oddVBand="0" w:evenVBand="0" w:oddHBand="0" w:evenHBand="0" w:firstRowFirstColumn="0" w:firstRowLastColumn="0" w:lastRowFirstColumn="0" w:lastRowLastColumn="0"/>
            </w:pPr>
            <w:r>
              <w:t>Growth 2021 to 2037</w:t>
            </w:r>
          </w:p>
        </w:tc>
      </w:tr>
      <w:tr w:rsidR="0046426E" w14:paraId="7D76739C" w14:textId="77777777" w:rsidTr="009843FD">
        <w:tc>
          <w:tcPr>
            <w:cnfStyle w:val="001000000000" w:firstRow="0" w:lastRow="0" w:firstColumn="1" w:lastColumn="0" w:oddVBand="0" w:evenVBand="0" w:oddHBand="0" w:evenHBand="0" w:firstRowFirstColumn="0" w:firstRowLastColumn="0" w:lastRowFirstColumn="0" w:lastRowLastColumn="0"/>
            <w:tcW w:w="3714" w:type="dxa"/>
          </w:tcPr>
          <w:p w14:paraId="5EA6631C" w14:textId="77777777" w:rsidR="0046426E" w:rsidRDefault="0046426E" w:rsidP="00AA58FB">
            <w:pPr>
              <w:pStyle w:val="JBAParaText"/>
              <w:ind w:left="0" w:right="0"/>
            </w:pPr>
            <w:r>
              <w:t>Housing (completions, extant planning and allocations)</w:t>
            </w:r>
          </w:p>
        </w:tc>
        <w:tc>
          <w:tcPr>
            <w:tcW w:w="3544" w:type="dxa"/>
          </w:tcPr>
          <w:p w14:paraId="303507BC" w14:textId="77777777" w:rsidR="0046426E" w:rsidRDefault="0046426E" w:rsidP="00AA58FB">
            <w:pPr>
              <w:pStyle w:val="JBAParaText"/>
              <w:ind w:left="0" w:right="0"/>
              <w:cnfStyle w:val="000000000000" w:firstRow="0" w:lastRow="0" w:firstColumn="0" w:lastColumn="0" w:oddVBand="0" w:evenVBand="0" w:oddHBand="0" w:evenHBand="0" w:firstRowFirstColumn="0" w:firstRowLastColumn="0" w:lastRowFirstColumn="0" w:lastRowLastColumn="0"/>
            </w:pPr>
            <w:r>
              <w:t>5,504 dwellings</w:t>
            </w:r>
          </w:p>
        </w:tc>
      </w:tr>
      <w:tr w:rsidR="0046426E" w14:paraId="1B46F965" w14:textId="77777777" w:rsidTr="009843FD">
        <w:tc>
          <w:tcPr>
            <w:cnfStyle w:val="001000000000" w:firstRow="0" w:lastRow="0" w:firstColumn="1" w:lastColumn="0" w:oddVBand="0" w:evenVBand="0" w:oddHBand="0" w:evenHBand="0" w:firstRowFirstColumn="0" w:firstRowLastColumn="0" w:lastRowFirstColumn="0" w:lastRowLastColumn="0"/>
            <w:tcW w:w="3714" w:type="dxa"/>
          </w:tcPr>
          <w:p w14:paraId="443E3057" w14:textId="77777777" w:rsidR="0046426E" w:rsidRDefault="0046426E" w:rsidP="00AA58FB">
            <w:pPr>
              <w:pStyle w:val="JBAParaText"/>
              <w:ind w:left="0" w:right="0"/>
            </w:pPr>
            <w:r>
              <w:t>Employment</w:t>
            </w:r>
          </w:p>
        </w:tc>
        <w:tc>
          <w:tcPr>
            <w:tcW w:w="3544" w:type="dxa"/>
          </w:tcPr>
          <w:p w14:paraId="20D15F6F" w14:textId="77777777" w:rsidR="0046426E" w:rsidRDefault="0046426E" w:rsidP="00AA58FB">
            <w:pPr>
              <w:pStyle w:val="JBAParaText"/>
              <w:keepNext/>
              <w:ind w:left="0" w:right="0"/>
              <w:cnfStyle w:val="000000000000" w:firstRow="0" w:lastRow="0" w:firstColumn="0" w:lastColumn="0" w:oddVBand="0" w:evenVBand="0" w:oddHBand="0" w:evenHBand="0" w:firstRowFirstColumn="0" w:firstRowLastColumn="0" w:lastRowFirstColumn="0" w:lastRowLastColumn="0"/>
            </w:pPr>
            <w:r>
              <w:t>5,780 approx. new employees*</w:t>
            </w:r>
          </w:p>
        </w:tc>
      </w:tr>
      <w:tr w:rsidR="0046426E" w14:paraId="1F92E7CF" w14:textId="77777777" w:rsidTr="009843FD">
        <w:tc>
          <w:tcPr>
            <w:cnfStyle w:val="001000000000" w:firstRow="0" w:lastRow="0" w:firstColumn="1" w:lastColumn="0" w:oddVBand="0" w:evenVBand="0" w:oddHBand="0" w:evenHBand="0" w:firstRowFirstColumn="0" w:firstRowLastColumn="0" w:lastRowFirstColumn="0" w:lastRowLastColumn="0"/>
            <w:tcW w:w="3714" w:type="dxa"/>
          </w:tcPr>
          <w:p w14:paraId="0CDA69E4" w14:textId="77777777" w:rsidR="0046426E" w:rsidRDefault="0046426E" w:rsidP="00AA58FB">
            <w:pPr>
              <w:pStyle w:val="JBAParaText"/>
              <w:ind w:left="0" w:right="0"/>
            </w:pPr>
            <w:r>
              <w:t>Local Plan Housing Sites with Full Planning Permission prior to issuing of NE position statement</w:t>
            </w:r>
          </w:p>
        </w:tc>
        <w:tc>
          <w:tcPr>
            <w:tcW w:w="3544" w:type="dxa"/>
          </w:tcPr>
          <w:p w14:paraId="321D0D45" w14:textId="77777777" w:rsidR="0046426E" w:rsidRDefault="0046426E" w:rsidP="00AA58FB">
            <w:pPr>
              <w:pStyle w:val="JBAParaText"/>
              <w:keepNext/>
              <w:ind w:left="0" w:right="0"/>
              <w:cnfStyle w:val="000000000000" w:firstRow="0" w:lastRow="0" w:firstColumn="0" w:lastColumn="0" w:oddVBand="0" w:evenVBand="0" w:oddHBand="0" w:evenHBand="0" w:firstRowFirstColumn="0" w:firstRowLastColumn="0" w:lastRowFirstColumn="0" w:lastRowLastColumn="0"/>
            </w:pPr>
            <w:r>
              <w:t>1,169 dwellings</w:t>
            </w:r>
          </w:p>
        </w:tc>
      </w:tr>
      <w:tr w:rsidR="0046426E" w14:paraId="08A84775" w14:textId="77777777" w:rsidTr="009843FD">
        <w:tc>
          <w:tcPr>
            <w:cnfStyle w:val="001000000000" w:firstRow="0" w:lastRow="0" w:firstColumn="1" w:lastColumn="0" w:oddVBand="0" w:evenVBand="0" w:oddHBand="0" w:evenHBand="0" w:firstRowFirstColumn="0" w:firstRowLastColumn="0" w:lastRowFirstColumn="0" w:lastRowLastColumn="0"/>
            <w:tcW w:w="3714" w:type="dxa"/>
          </w:tcPr>
          <w:p w14:paraId="61D3BE93" w14:textId="77777777" w:rsidR="0046426E" w:rsidRDefault="0046426E" w:rsidP="00AA58FB">
            <w:pPr>
              <w:pStyle w:val="JBAParaText"/>
              <w:ind w:left="0" w:right="0"/>
            </w:pPr>
            <w:r>
              <w:t>Remaining Local Plan Housing Delivery without Full Planning Permission during the plan period</w:t>
            </w:r>
          </w:p>
        </w:tc>
        <w:tc>
          <w:tcPr>
            <w:tcW w:w="3544" w:type="dxa"/>
          </w:tcPr>
          <w:p w14:paraId="1342E718" w14:textId="77777777" w:rsidR="0046426E" w:rsidRDefault="0046426E" w:rsidP="00AA58FB">
            <w:pPr>
              <w:pStyle w:val="JBAParaText"/>
              <w:keepNext/>
              <w:ind w:left="0" w:right="0"/>
              <w:cnfStyle w:val="000000000000" w:firstRow="0" w:lastRow="0" w:firstColumn="0" w:lastColumn="0" w:oddVBand="0" w:evenVBand="0" w:oddHBand="0" w:evenHBand="0" w:firstRowFirstColumn="0" w:firstRowLastColumn="0" w:lastRowFirstColumn="0" w:lastRowLastColumn="0"/>
            </w:pPr>
            <w:r>
              <w:t>4,335 dwellings</w:t>
            </w:r>
          </w:p>
        </w:tc>
      </w:tr>
    </w:tbl>
    <w:p w14:paraId="3ACA0EC6" w14:textId="77777777" w:rsidR="00A54CD9" w:rsidRPr="00CC33C4" w:rsidRDefault="00A54CD9" w:rsidP="00CC33C4">
      <w:pPr>
        <w:pStyle w:val="JBAParaText"/>
      </w:pPr>
      <w:r w:rsidRPr="00CC33C4">
        <w:t>* Estimated based on employment use type and standard employment densities</w:t>
      </w:r>
    </w:p>
    <w:p w14:paraId="74A58F67" w14:textId="77777777" w:rsidR="00463A80" w:rsidRDefault="00CB2F9D" w:rsidP="005A4F0E">
      <w:pPr>
        <w:pStyle w:val="Heading2"/>
      </w:pPr>
      <w:bookmarkStart w:id="23" w:name="_Toc101856668"/>
      <w:r>
        <w:t>Chichester District Council</w:t>
      </w:r>
      <w:bookmarkEnd w:id="23"/>
    </w:p>
    <w:p w14:paraId="0E7B5B95" w14:textId="2381FF42" w:rsidR="005A4F0E" w:rsidRPr="00756402" w:rsidRDefault="005A4F0E" w:rsidP="005A4F0E">
      <w:pPr>
        <w:pStyle w:val="JBAParaText"/>
      </w:pPr>
      <w:r>
        <w:t xml:space="preserve">Chichester District Council </w:t>
      </w:r>
      <w:r w:rsidR="00A54CD9">
        <w:t xml:space="preserve">(CDC) </w:t>
      </w:r>
      <w:r>
        <w:t xml:space="preserve">provided growth figures for the area of Chichester supplied from the Sussex North WRZ. </w:t>
      </w:r>
      <w:r w:rsidR="00A54CD9">
        <w:t xml:space="preserve"> </w:t>
      </w:r>
      <w:r w:rsidR="00B840BD">
        <w:t xml:space="preserve">Since publication of the Part </w:t>
      </w:r>
      <w:r w:rsidR="003F667C">
        <w:t>A</w:t>
      </w:r>
      <w:r w:rsidR="00B840BD">
        <w:t xml:space="preserve"> report CDC have had to reconsider growth options in the north of their district and so the number of houses within the Sussex North WRZ has increased considerably.  The council are testing scenarios up to and including an additional 1,477 homes</w:t>
      </w:r>
      <w:r w:rsidR="003F667C">
        <w:t xml:space="preserve"> on top of those already identified in Part A</w:t>
      </w:r>
      <w:r w:rsidR="00B840BD">
        <w:t xml:space="preserve">, although the final figure is likely to be less than this.  For the purpose of this study, a precautionary approach should be taken and the highest growth figure of 1,477 </w:t>
      </w:r>
      <w:r w:rsidR="003F667C">
        <w:t xml:space="preserve">additional </w:t>
      </w:r>
      <w:r w:rsidR="00B840BD">
        <w:t xml:space="preserve">houses </w:t>
      </w:r>
      <w:r w:rsidR="003F667C">
        <w:t xml:space="preserve">has been </w:t>
      </w:r>
      <w:r w:rsidR="00B840BD">
        <w:t>factored in.</w:t>
      </w:r>
      <w:r w:rsidR="00700F13">
        <w:t xml:space="preserve">  N</w:t>
      </w:r>
      <w:r>
        <w:t>o employment land was identified.</w:t>
      </w:r>
      <w:r w:rsidR="00E83870">
        <w:t xml:space="preserve"> </w:t>
      </w:r>
      <w:r>
        <w:t xml:space="preserve"> This is summarised in </w:t>
      </w:r>
      <w:r w:rsidR="00C960D1">
        <w:fldChar w:fldCharType="begin"/>
      </w:r>
      <w:r w:rsidR="00C960D1">
        <w:instrText xml:space="preserve"> REF _Ref79502617 \h </w:instrText>
      </w:r>
      <w:r w:rsidR="00C960D1">
        <w:fldChar w:fldCharType="separate"/>
      </w:r>
      <w:r w:rsidR="00643E47">
        <w:t xml:space="preserve">Table </w:t>
      </w:r>
      <w:r w:rsidR="00643E47">
        <w:rPr>
          <w:noProof/>
        </w:rPr>
        <w:t>2</w:t>
      </w:r>
      <w:r w:rsidR="00643E47">
        <w:t>.</w:t>
      </w:r>
      <w:r w:rsidR="00643E47">
        <w:rPr>
          <w:noProof/>
        </w:rPr>
        <w:t>2</w:t>
      </w:r>
      <w:r w:rsidR="00C960D1">
        <w:fldChar w:fldCharType="end"/>
      </w:r>
      <w:r w:rsidR="00C960D1">
        <w:t xml:space="preserve"> </w:t>
      </w:r>
      <w:r>
        <w:t xml:space="preserve">below.  </w:t>
      </w:r>
      <w:r w:rsidR="00435E52">
        <w:t xml:space="preserve">Part </w:t>
      </w:r>
      <w:r w:rsidR="00C960D1">
        <w:t xml:space="preserve">of Chichester </w:t>
      </w:r>
      <w:r w:rsidR="001220E2">
        <w:t xml:space="preserve">District </w:t>
      </w:r>
      <w:r w:rsidR="00C960D1">
        <w:t>also lies within the South Downs National Park</w:t>
      </w:r>
      <w:r w:rsidR="001009F4">
        <w:t xml:space="preserve"> (SDNP)</w:t>
      </w:r>
      <w:r w:rsidR="00C960D1">
        <w:t xml:space="preserve">, </w:t>
      </w:r>
      <w:r>
        <w:t xml:space="preserve">where the Local Planning Authority is the National Park Authority, not Chichester District Council.  </w:t>
      </w:r>
      <w:r w:rsidR="00C960D1">
        <w:t>G</w:t>
      </w:r>
      <w:r>
        <w:t>rowth</w:t>
      </w:r>
      <w:r w:rsidR="00CA4073">
        <w:t xml:space="preserve"> </w:t>
      </w:r>
      <w:r w:rsidR="001009F4">
        <w:t xml:space="preserve">within the SDNP is </w:t>
      </w:r>
      <w:r w:rsidR="00CA4073">
        <w:t xml:space="preserve">summarised in </w:t>
      </w:r>
      <w:r w:rsidR="00CA4073">
        <w:fldChar w:fldCharType="begin"/>
      </w:r>
      <w:r w:rsidR="00CA4073">
        <w:instrText xml:space="preserve"> REF _Ref79054293 \r \h </w:instrText>
      </w:r>
      <w:r w:rsidR="00CA4073">
        <w:fldChar w:fldCharType="separate"/>
      </w:r>
      <w:r w:rsidR="00643E47">
        <w:t>2.5</w:t>
      </w:r>
      <w:r w:rsidR="00CA4073">
        <w:fldChar w:fldCharType="end"/>
      </w:r>
      <w:r w:rsidR="00C960D1">
        <w:t>.</w:t>
      </w:r>
    </w:p>
    <w:p w14:paraId="2D750BAB" w14:textId="2D4A9947" w:rsidR="005A4F0E" w:rsidRDefault="005A4F0E" w:rsidP="005A4F0E">
      <w:pPr>
        <w:pStyle w:val="Caption"/>
        <w:keepNext/>
      </w:pPr>
      <w:bookmarkStart w:id="24" w:name="_Ref79502617"/>
      <w:bookmarkStart w:id="25" w:name="_Toc101856735"/>
      <w:r>
        <w:t xml:space="preserve">Table </w:t>
      </w:r>
      <w:r w:rsidR="00E6462B">
        <w:fldChar w:fldCharType="begin"/>
      </w:r>
      <w:r w:rsidR="00E6462B">
        <w:instrText xml:space="preserve"> STYLEREF 1 \s </w:instrText>
      </w:r>
      <w:r w:rsidR="00E6462B">
        <w:fldChar w:fldCharType="separate"/>
      </w:r>
      <w:r w:rsidR="00643E47">
        <w:rPr>
          <w:noProof/>
        </w:rPr>
        <w:t>2</w:t>
      </w:r>
      <w:r w:rsidR="00E6462B">
        <w:rPr>
          <w:noProof/>
        </w:rPr>
        <w:fldChar w:fldCharType="end"/>
      </w:r>
      <w:r w:rsidR="00DF396A">
        <w:t>.</w:t>
      </w:r>
      <w:r w:rsidR="00E6462B">
        <w:fldChar w:fldCharType="begin"/>
      </w:r>
      <w:r w:rsidR="00E6462B">
        <w:instrText xml:space="preserve"> SEQ Table \* ARABIC \s 1 </w:instrText>
      </w:r>
      <w:r w:rsidR="00E6462B">
        <w:fldChar w:fldCharType="separate"/>
      </w:r>
      <w:r w:rsidR="00643E47">
        <w:rPr>
          <w:noProof/>
        </w:rPr>
        <w:t>2</w:t>
      </w:r>
      <w:r w:rsidR="00E6462B">
        <w:rPr>
          <w:noProof/>
        </w:rPr>
        <w:fldChar w:fldCharType="end"/>
      </w:r>
      <w:bookmarkEnd w:id="24"/>
      <w:r>
        <w:t xml:space="preserve"> Growth in Chichester</w:t>
      </w:r>
      <w:bookmarkEnd w:id="25"/>
    </w:p>
    <w:tbl>
      <w:tblPr>
        <w:tblStyle w:val="JBATable13"/>
        <w:tblW w:w="0" w:type="auto"/>
        <w:tblInd w:w="1668" w:type="dxa"/>
        <w:tblLook w:val="04A0" w:firstRow="1" w:lastRow="0" w:firstColumn="1" w:lastColumn="0" w:noHBand="0" w:noVBand="1"/>
      </w:tblPr>
      <w:tblGrid>
        <w:gridCol w:w="3714"/>
        <w:gridCol w:w="3544"/>
      </w:tblGrid>
      <w:tr w:rsidR="003F667C" w14:paraId="375B0719" w14:textId="77777777" w:rsidTr="009843F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14" w:type="dxa"/>
          </w:tcPr>
          <w:p w14:paraId="7E4D5CDC" w14:textId="77777777" w:rsidR="003F667C" w:rsidRDefault="003F667C" w:rsidP="00AA58FB">
            <w:pPr>
              <w:pStyle w:val="JBAParaText"/>
              <w:ind w:left="0" w:right="0"/>
              <w:jc w:val="center"/>
            </w:pPr>
            <w:r>
              <w:t>Type</w:t>
            </w:r>
          </w:p>
        </w:tc>
        <w:tc>
          <w:tcPr>
            <w:tcW w:w="3544" w:type="dxa"/>
          </w:tcPr>
          <w:p w14:paraId="78F05788" w14:textId="77777777" w:rsidR="003F667C" w:rsidRDefault="003F667C" w:rsidP="00AA58FB">
            <w:pPr>
              <w:pStyle w:val="JBAParaText"/>
              <w:ind w:left="0" w:right="0"/>
              <w:jc w:val="center"/>
              <w:cnfStyle w:val="100000000000" w:firstRow="1" w:lastRow="0" w:firstColumn="0" w:lastColumn="0" w:oddVBand="0" w:evenVBand="0" w:oddHBand="0" w:evenHBand="0" w:firstRowFirstColumn="0" w:firstRowLastColumn="0" w:lastRowFirstColumn="0" w:lastRowLastColumn="0"/>
            </w:pPr>
            <w:r>
              <w:t>Growth 2021 to 2037</w:t>
            </w:r>
          </w:p>
        </w:tc>
      </w:tr>
      <w:tr w:rsidR="003F667C" w14:paraId="40E450ED" w14:textId="77777777" w:rsidTr="009843FD">
        <w:tc>
          <w:tcPr>
            <w:cnfStyle w:val="001000000000" w:firstRow="0" w:lastRow="0" w:firstColumn="1" w:lastColumn="0" w:oddVBand="0" w:evenVBand="0" w:oddHBand="0" w:evenHBand="0" w:firstRowFirstColumn="0" w:firstRowLastColumn="0" w:lastRowFirstColumn="0" w:lastRowLastColumn="0"/>
            <w:tcW w:w="3714" w:type="dxa"/>
          </w:tcPr>
          <w:p w14:paraId="3A2C2C50" w14:textId="77777777" w:rsidR="003F667C" w:rsidRDefault="003F667C" w:rsidP="00AA58FB">
            <w:pPr>
              <w:pStyle w:val="JBAParaText"/>
              <w:ind w:left="0" w:right="0"/>
            </w:pPr>
            <w:r>
              <w:t>Housing (completions, extant planning and allocations)</w:t>
            </w:r>
          </w:p>
        </w:tc>
        <w:tc>
          <w:tcPr>
            <w:tcW w:w="3544" w:type="dxa"/>
          </w:tcPr>
          <w:p w14:paraId="4BACD7EC" w14:textId="77777777" w:rsidR="003F667C" w:rsidRDefault="003F667C" w:rsidP="00AA58FB">
            <w:pPr>
              <w:pStyle w:val="JBAParaText"/>
              <w:ind w:left="0" w:right="0"/>
              <w:cnfStyle w:val="000000000000" w:firstRow="0" w:lastRow="0" w:firstColumn="0" w:lastColumn="0" w:oddVBand="0" w:evenVBand="0" w:oddHBand="0" w:evenHBand="0" w:firstRowFirstColumn="0" w:firstRowLastColumn="0" w:lastRowFirstColumn="0" w:lastRowLastColumn="0"/>
            </w:pPr>
            <w:r>
              <w:t>361 to 1,838</w:t>
            </w:r>
          </w:p>
        </w:tc>
      </w:tr>
      <w:tr w:rsidR="003F667C" w14:paraId="25BFCC03" w14:textId="77777777" w:rsidTr="009843FD">
        <w:tc>
          <w:tcPr>
            <w:cnfStyle w:val="001000000000" w:firstRow="0" w:lastRow="0" w:firstColumn="1" w:lastColumn="0" w:oddVBand="0" w:evenVBand="0" w:oddHBand="0" w:evenHBand="0" w:firstRowFirstColumn="0" w:firstRowLastColumn="0" w:lastRowFirstColumn="0" w:lastRowLastColumn="0"/>
            <w:tcW w:w="3714" w:type="dxa"/>
          </w:tcPr>
          <w:p w14:paraId="120165EC" w14:textId="77777777" w:rsidR="003F667C" w:rsidRDefault="003F667C" w:rsidP="00AA58FB">
            <w:pPr>
              <w:pStyle w:val="JBAParaText"/>
              <w:ind w:left="0" w:right="0"/>
            </w:pPr>
            <w:r>
              <w:t>Employment</w:t>
            </w:r>
          </w:p>
        </w:tc>
        <w:tc>
          <w:tcPr>
            <w:tcW w:w="3544" w:type="dxa"/>
          </w:tcPr>
          <w:p w14:paraId="5AAFCFB2" w14:textId="77777777" w:rsidR="003F667C" w:rsidRDefault="003F667C" w:rsidP="00AA58FB">
            <w:pPr>
              <w:pStyle w:val="JBAParaText"/>
              <w:keepNext/>
              <w:ind w:left="0" w:right="0"/>
              <w:cnfStyle w:val="000000000000" w:firstRow="0" w:lastRow="0" w:firstColumn="0" w:lastColumn="0" w:oddVBand="0" w:evenVBand="0" w:oddHBand="0" w:evenHBand="0" w:firstRowFirstColumn="0" w:firstRowLastColumn="0" w:lastRowFirstColumn="0" w:lastRowLastColumn="0"/>
            </w:pPr>
            <w:r>
              <w:t>No employment development planned in Sussex North WRZ</w:t>
            </w:r>
          </w:p>
        </w:tc>
      </w:tr>
      <w:tr w:rsidR="003F667C" w14:paraId="7BCD0533" w14:textId="77777777" w:rsidTr="009843FD">
        <w:tc>
          <w:tcPr>
            <w:cnfStyle w:val="001000000000" w:firstRow="0" w:lastRow="0" w:firstColumn="1" w:lastColumn="0" w:oddVBand="0" w:evenVBand="0" w:oddHBand="0" w:evenHBand="0" w:firstRowFirstColumn="0" w:firstRowLastColumn="0" w:lastRowFirstColumn="0" w:lastRowLastColumn="0"/>
            <w:tcW w:w="3714" w:type="dxa"/>
          </w:tcPr>
          <w:p w14:paraId="4A025B97" w14:textId="77777777" w:rsidR="003F667C" w:rsidRDefault="003F667C" w:rsidP="00AA58FB">
            <w:pPr>
              <w:pStyle w:val="JBAParaText"/>
              <w:ind w:left="0" w:right="0"/>
            </w:pPr>
            <w:r>
              <w:t>Local Plan Housing Sites with Full Planning Permission prior to issuing of NE position statement</w:t>
            </w:r>
          </w:p>
        </w:tc>
        <w:tc>
          <w:tcPr>
            <w:tcW w:w="3544" w:type="dxa"/>
          </w:tcPr>
          <w:p w14:paraId="57809B27" w14:textId="77777777" w:rsidR="003F667C" w:rsidRDefault="003F667C" w:rsidP="00AA58FB">
            <w:pPr>
              <w:pStyle w:val="JBAParaText"/>
              <w:keepNext/>
              <w:ind w:left="0" w:right="0"/>
              <w:cnfStyle w:val="000000000000" w:firstRow="0" w:lastRow="0" w:firstColumn="0" w:lastColumn="0" w:oddVBand="0" w:evenVBand="0" w:oddHBand="0" w:evenHBand="0" w:firstRowFirstColumn="0" w:firstRowLastColumn="0" w:lastRowFirstColumn="0" w:lastRowLastColumn="0"/>
            </w:pPr>
            <w:r>
              <w:t>183 dwellings</w:t>
            </w:r>
          </w:p>
        </w:tc>
      </w:tr>
      <w:tr w:rsidR="003F667C" w14:paraId="0F551BBE" w14:textId="77777777" w:rsidTr="009843FD">
        <w:tc>
          <w:tcPr>
            <w:cnfStyle w:val="001000000000" w:firstRow="0" w:lastRow="0" w:firstColumn="1" w:lastColumn="0" w:oddVBand="0" w:evenVBand="0" w:oddHBand="0" w:evenHBand="0" w:firstRowFirstColumn="0" w:firstRowLastColumn="0" w:lastRowFirstColumn="0" w:lastRowLastColumn="0"/>
            <w:tcW w:w="3714" w:type="dxa"/>
          </w:tcPr>
          <w:p w14:paraId="034D7429" w14:textId="77777777" w:rsidR="003F667C" w:rsidRDefault="003F667C" w:rsidP="00AA58FB">
            <w:pPr>
              <w:pStyle w:val="JBAParaText"/>
              <w:ind w:left="0" w:right="0"/>
            </w:pPr>
            <w:r>
              <w:t>Remaining Local Plan Housing Delivery without Full Planning Permission during the plan period</w:t>
            </w:r>
          </w:p>
        </w:tc>
        <w:tc>
          <w:tcPr>
            <w:tcW w:w="3544" w:type="dxa"/>
          </w:tcPr>
          <w:p w14:paraId="4D6DFB78" w14:textId="77777777" w:rsidR="003F667C" w:rsidRDefault="003F667C" w:rsidP="00AA58FB">
            <w:pPr>
              <w:pStyle w:val="JBAParaText"/>
              <w:keepNext/>
              <w:ind w:left="0" w:right="0"/>
              <w:cnfStyle w:val="000000000000" w:firstRow="0" w:lastRow="0" w:firstColumn="0" w:lastColumn="0" w:oddVBand="0" w:evenVBand="0" w:oddHBand="0" w:evenHBand="0" w:firstRowFirstColumn="0" w:firstRowLastColumn="0" w:lastRowFirstColumn="0" w:lastRowLastColumn="0"/>
            </w:pPr>
            <w:r>
              <w:t>178 to 1,655 dwellings</w:t>
            </w:r>
          </w:p>
        </w:tc>
      </w:tr>
    </w:tbl>
    <w:p w14:paraId="4F15F6C7" w14:textId="77777777" w:rsidR="00CB2F9D" w:rsidRDefault="00CB2F9D" w:rsidP="005A4F0E">
      <w:pPr>
        <w:pStyle w:val="Heading2"/>
      </w:pPr>
      <w:bookmarkStart w:id="26" w:name="_Toc101856669"/>
      <w:r>
        <w:t>Horsham District Council</w:t>
      </w:r>
      <w:bookmarkEnd w:id="26"/>
    </w:p>
    <w:p w14:paraId="18A91752" w14:textId="6E69BD40" w:rsidR="00CB2F9D" w:rsidRDefault="005A4F0E" w:rsidP="00463A80">
      <w:pPr>
        <w:pStyle w:val="JBAParaText"/>
      </w:pPr>
      <w:r>
        <w:t>Growth figures for Horsham District were taken from the technical note on water neutrality prepared by Aecom</w:t>
      </w:r>
      <w:r>
        <w:rPr>
          <w:rStyle w:val="FootnoteReference"/>
        </w:rPr>
        <w:footnoteReference w:id="4"/>
      </w:r>
      <w:r>
        <w:t xml:space="preserve">. </w:t>
      </w:r>
      <w:r w:rsidR="00F70EEB">
        <w:t xml:space="preserve"> </w:t>
      </w:r>
      <w:r w:rsidR="005B6B9A">
        <w:t xml:space="preserve">This is summarised in </w:t>
      </w:r>
      <w:r w:rsidR="005B6B9A">
        <w:fldChar w:fldCharType="begin"/>
      </w:r>
      <w:r w:rsidR="005B6B9A">
        <w:instrText xml:space="preserve"> REF _Ref78553158 \h </w:instrText>
      </w:r>
      <w:r w:rsidR="005B6B9A">
        <w:fldChar w:fldCharType="separate"/>
      </w:r>
      <w:r w:rsidR="00643E47">
        <w:t xml:space="preserve">Table </w:t>
      </w:r>
      <w:r w:rsidR="00643E47">
        <w:rPr>
          <w:noProof/>
        </w:rPr>
        <w:t>2</w:t>
      </w:r>
      <w:r w:rsidR="00643E47">
        <w:t>.</w:t>
      </w:r>
      <w:r w:rsidR="00643E47">
        <w:rPr>
          <w:noProof/>
        </w:rPr>
        <w:t>3</w:t>
      </w:r>
      <w:r w:rsidR="005B6B9A">
        <w:fldChar w:fldCharType="end"/>
      </w:r>
      <w:r w:rsidR="005B6B9A">
        <w:t xml:space="preserve"> below.</w:t>
      </w:r>
    </w:p>
    <w:p w14:paraId="29F07544" w14:textId="13485FA7" w:rsidR="00F5067D" w:rsidRDefault="00F5067D" w:rsidP="00F5067D">
      <w:pPr>
        <w:pStyle w:val="Caption"/>
        <w:keepNext/>
      </w:pPr>
      <w:bookmarkStart w:id="27" w:name="_Ref78553158"/>
      <w:bookmarkStart w:id="28" w:name="_Toc101856736"/>
      <w:r>
        <w:t xml:space="preserve">Table </w:t>
      </w:r>
      <w:r w:rsidR="00E6462B">
        <w:fldChar w:fldCharType="begin"/>
      </w:r>
      <w:r w:rsidR="00E6462B">
        <w:instrText xml:space="preserve"> STYLEREF 1 \s </w:instrText>
      </w:r>
      <w:r w:rsidR="00E6462B">
        <w:fldChar w:fldCharType="separate"/>
      </w:r>
      <w:r w:rsidR="00643E47">
        <w:rPr>
          <w:noProof/>
        </w:rPr>
        <w:t>2</w:t>
      </w:r>
      <w:r w:rsidR="00E6462B">
        <w:rPr>
          <w:noProof/>
        </w:rPr>
        <w:fldChar w:fldCharType="end"/>
      </w:r>
      <w:r w:rsidR="00DF396A">
        <w:t>.</w:t>
      </w:r>
      <w:r w:rsidR="00E6462B">
        <w:fldChar w:fldCharType="begin"/>
      </w:r>
      <w:r w:rsidR="00E6462B">
        <w:instrText xml:space="preserve"> SEQ Tabl</w:instrText>
      </w:r>
      <w:r w:rsidR="00E6462B">
        <w:instrText xml:space="preserve">e \* ARABIC \s 1 </w:instrText>
      </w:r>
      <w:r w:rsidR="00E6462B">
        <w:fldChar w:fldCharType="separate"/>
      </w:r>
      <w:r w:rsidR="00643E47">
        <w:rPr>
          <w:noProof/>
        </w:rPr>
        <w:t>3</w:t>
      </w:r>
      <w:r w:rsidR="00E6462B">
        <w:rPr>
          <w:noProof/>
        </w:rPr>
        <w:fldChar w:fldCharType="end"/>
      </w:r>
      <w:bookmarkEnd w:id="27"/>
      <w:r w:rsidR="005B6B9A">
        <w:rPr>
          <w:noProof/>
        </w:rPr>
        <w:t xml:space="preserve"> Growth in Horsham District</w:t>
      </w:r>
      <w:bookmarkEnd w:id="28"/>
    </w:p>
    <w:tbl>
      <w:tblPr>
        <w:tblStyle w:val="JBATable13"/>
        <w:tblW w:w="0" w:type="auto"/>
        <w:tblInd w:w="1668" w:type="dxa"/>
        <w:tblLook w:val="04A0" w:firstRow="1" w:lastRow="0" w:firstColumn="1" w:lastColumn="0" w:noHBand="0" w:noVBand="1"/>
      </w:tblPr>
      <w:tblGrid>
        <w:gridCol w:w="3714"/>
        <w:gridCol w:w="3544"/>
      </w:tblGrid>
      <w:tr w:rsidR="003F667C" w14:paraId="593D5366" w14:textId="77777777" w:rsidTr="009843F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14" w:type="dxa"/>
          </w:tcPr>
          <w:p w14:paraId="08CF6854" w14:textId="77777777" w:rsidR="003F667C" w:rsidRDefault="003F667C" w:rsidP="00AA58FB">
            <w:pPr>
              <w:pStyle w:val="JBAParaText"/>
              <w:ind w:left="0" w:right="0"/>
              <w:jc w:val="center"/>
            </w:pPr>
            <w:r>
              <w:t>Type</w:t>
            </w:r>
          </w:p>
        </w:tc>
        <w:tc>
          <w:tcPr>
            <w:tcW w:w="3544" w:type="dxa"/>
          </w:tcPr>
          <w:p w14:paraId="17E221F4" w14:textId="77777777" w:rsidR="003F667C" w:rsidRDefault="003F667C" w:rsidP="00AA58FB">
            <w:pPr>
              <w:pStyle w:val="JBAParaText"/>
              <w:ind w:left="0" w:right="0"/>
              <w:jc w:val="center"/>
              <w:cnfStyle w:val="100000000000" w:firstRow="1" w:lastRow="0" w:firstColumn="0" w:lastColumn="0" w:oddVBand="0" w:evenVBand="0" w:oddHBand="0" w:evenHBand="0" w:firstRowFirstColumn="0" w:firstRowLastColumn="0" w:lastRowFirstColumn="0" w:lastRowLastColumn="0"/>
            </w:pPr>
            <w:r>
              <w:t>Growth 2021 to 2037</w:t>
            </w:r>
          </w:p>
        </w:tc>
      </w:tr>
      <w:tr w:rsidR="003F667C" w14:paraId="27B562AA" w14:textId="77777777" w:rsidTr="009843FD">
        <w:tc>
          <w:tcPr>
            <w:cnfStyle w:val="001000000000" w:firstRow="0" w:lastRow="0" w:firstColumn="1" w:lastColumn="0" w:oddVBand="0" w:evenVBand="0" w:oddHBand="0" w:evenHBand="0" w:firstRowFirstColumn="0" w:firstRowLastColumn="0" w:lastRowFirstColumn="0" w:lastRowLastColumn="0"/>
            <w:tcW w:w="3714" w:type="dxa"/>
          </w:tcPr>
          <w:p w14:paraId="20B54E04" w14:textId="77777777" w:rsidR="003F667C" w:rsidRDefault="003F667C" w:rsidP="00AA58FB">
            <w:pPr>
              <w:pStyle w:val="JBAParaText"/>
              <w:ind w:left="0" w:right="0"/>
            </w:pPr>
            <w:r>
              <w:t>Housing (completions, extant planning and allocations)</w:t>
            </w:r>
          </w:p>
        </w:tc>
        <w:tc>
          <w:tcPr>
            <w:tcW w:w="3544" w:type="dxa"/>
          </w:tcPr>
          <w:p w14:paraId="667EC0C0" w14:textId="77777777" w:rsidR="003F667C" w:rsidRDefault="008B7ABB" w:rsidP="00AA58FB">
            <w:pPr>
              <w:pStyle w:val="JBAParaText"/>
              <w:ind w:left="0" w:right="0"/>
              <w:cnfStyle w:val="000000000000" w:firstRow="0" w:lastRow="0" w:firstColumn="0" w:lastColumn="0" w:oddVBand="0" w:evenVBand="0" w:oddHBand="0" w:evenHBand="0" w:firstRowFirstColumn="0" w:firstRowLastColumn="0" w:lastRowFirstColumn="0" w:lastRowLastColumn="0"/>
            </w:pPr>
            <w:r>
              <w:t>18,660</w:t>
            </w:r>
            <w:r w:rsidR="003F667C">
              <w:t xml:space="preserve"> dwellings</w:t>
            </w:r>
          </w:p>
        </w:tc>
      </w:tr>
      <w:tr w:rsidR="003F667C" w14:paraId="3413EA04" w14:textId="77777777" w:rsidTr="009843FD">
        <w:tc>
          <w:tcPr>
            <w:cnfStyle w:val="001000000000" w:firstRow="0" w:lastRow="0" w:firstColumn="1" w:lastColumn="0" w:oddVBand="0" w:evenVBand="0" w:oddHBand="0" w:evenHBand="0" w:firstRowFirstColumn="0" w:firstRowLastColumn="0" w:lastRowFirstColumn="0" w:lastRowLastColumn="0"/>
            <w:tcW w:w="3714" w:type="dxa"/>
          </w:tcPr>
          <w:p w14:paraId="7496D039" w14:textId="77777777" w:rsidR="003F667C" w:rsidRDefault="003F667C" w:rsidP="00AA58FB">
            <w:pPr>
              <w:pStyle w:val="JBAParaText"/>
              <w:ind w:left="0" w:right="0"/>
            </w:pPr>
            <w:r>
              <w:t>Employment</w:t>
            </w:r>
          </w:p>
        </w:tc>
        <w:tc>
          <w:tcPr>
            <w:tcW w:w="3544" w:type="dxa"/>
          </w:tcPr>
          <w:p w14:paraId="58BF0AF3" w14:textId="77777777" w:rsidR="003F667C" w:rsidRDefault="008B7ABB" w:rsidP="00AA58FB">
            <w:pPr>
              <w:pStyle w:val="JBAParaText"/>
              <w:keepNext/>
              <w:ind w:left="0" w:right="0"/>
              <w:cnfStyle w:val="000000000000" w:firstRow="0" w:lastRow="0" w:firstColumn="0" w:lastColumn="0" w:oddVBand="0" w:evenVBand="0" w:oddHBand="0" w:evenHBand="0" w:firstRowFirstColumn="0" w:firstRowLastColumn="0" w:lastRowFirstColumn="0" w:lastRowLastColumn="0"/>
            </w:pPr>
            <w:r>
              <w:t>111,700m</w:t>
            </w:r>
            <w:r w:rsidRPr="00694B51">
              <w:rPr>
                <w:vertAlign w:val="superscript"/>
              </w:rPr>
              <w:t>2</w:t>
            </w:r>
            <w:r>
              <w:rPr>
                <w:vertAlign w:val="superscript"/>
              </w:rPr>
              <w:t xml:space="preserve"> </w:t>
            </w:r>
            <w:r>
              <w:t>employment floorspace split as 37,160m</w:t>
            </w:r>
            <w:r w:rsidRPr="00DA2C05">
              <w:rPr>
                <w:vertAlign w:val="superscript"/>
              </w:rPr>
              <w:t>2</w:t>
            </w:r>
            <w:r>
              <w:t xml:space="preserve"> (Class E) and 74,500m</w:t>
            </w:r>
            <w:r w:rsidRPr="00DA2C05">
              <w:rPr>
                <w:vertAlign w:val="superscript"/>
              </w:rPr>
              <w:t>2</w:t>
            </w:r>
            <w:r>
              <w:t xml:space="preserve"> (Class B2 and B8)</w:t>
            </w:r>
          </w:p>
        </w:tc>
      </w:tr>
      <w:tr w:rsidR="003F667C" w14:paraId="249274CF" w14:textId="77777777" w:rsidTr="009843FD">
        <w:tc>
          <w:tcPr>
            <w:cnfStyle w:val="001000000000" w:firstRow="0" w:lastRow="0" w:firstColumn="1" w:lastColumn="0" w:oddVBand="0" w:evenVBand="0" w:oddHBand="0" w:evenHBand="0" w:firstRowFirstColumn="0" w:firstRowLastColumn="0" w:lastRowFirstColumn="0" w:lastRowLastColumn="0"/>
            <w:tcW w:w="3714" w:type="dxa"/>
          </w:tcPr>
          <w:p w14:paraId="7B0557D8" w14:textId="77777777" w:rsidR="003F667C" w:rsidRDefault="003F667C" w:rsidP="00AA58FB">
            <w:pPr>
              <w:pStyle w:val="JBAParaText"/>
              <w:ind w:left="0" w:right="0"/>
            </w:pPr>
            <w:r>
              <w:t>Local Plan Housing Sites with Full Planning Permission prior to issuing of NE position statement</w:t>
            </w:r>
          </w:p>
        </w:tc>
        <w:tc>
          <w:tcPr>
            <w:tcW w:w="3544" w:type="dxa"/>
          </w:tcPr>
          <w:p w14:paraId="1707E2BF" w14:textId="77777777" w:rsidR="003F667C" w:rsidRDefault="008B7ABB" w:rsidP="00AA58FB">
            <w:pPr>
              <w:pStyle w:val="JBAParaText"/>
              <w:keepNext/>
              <w:ind w:left="0" w:right="0"/>
              <w:cnfStyle w:val="000000000000" w:firstRow="0" w:lastRow="0" w:firstColumn="0" w:lastColumn="0" w:oddVBand="0" w:evenVBand="0" w:oddHBand="0" w:evenHBand="0" w:firstRowFirstColumn="0" w:firstRowLastColumn="0" w:lastRowFirstColumn="0" w:lastRowLastColumn="0"/>
            </w:pPr>
            <w:r>
              <w:t>3,102</w:t>
            </w:r>
            <w:r w:rsidR="003F667C">
              <w:t xml:space="preserve"> dwellings</w:t>
            </w:r>
          </w:p>
        </w:tc>
      </w:tr>
      <w:tr w:rsidR="003F667C" w14:paraId="65D63968" w14:textId="77777777" w:rsidTr="009843FD">
        <w:tc>
          <w:tcPr>
            <w:cnfStyle w:val="001000000000" w:firstRow="0" w:lastRow="0" w:firstColumn="1" w:lastColumn="0" w:oddVBand="0" w:evenVBand="0" w:oddHBand="0" w:evenHBand="0" w:firstRowFirstColumn="0" w:firstRowLastColumn="0" w:lastRowFirstColumn="0" w:lastRowLastColumn="0"/>
            <w:tcW w:w="3714" w:type="dxa"/>
          </w:tcPr>
          <w:p w14:paraId="2197DE40" w14:textId="77777777" w:rsidR="003F667C" w:rsidRDefault="003F667C" w:rsidP="00AA58FB">
            <w:pPr>
              <w:pStyle w:val="JBAParaText"/>
              <w:ind w:left="0" w:right="0"/>
            </w:pPr>
            <w:r>
              <w:t>Remaining Local Plan Housing Delivery without Full Planning Permission during the plan period</w:t>
            </w:r>
          </w:p>
        </w:tc>
        <w:tc>
          <w:tcPr>
            <w:tcW w:w="3544" w:type="dxa"/>
          </w:tcPr>
          <w:p w14:paraId="5A3607CD" w14:textId="77777777" w:rsidR="003F667C" w:rsidRDefault="008B7ABB" w:rsidP="00AA58FB">
            <w:pPr>
              <w:pStyle w:val="JBAParaText"/>
              <w:keepNext/>
              <w:ind w:left="0" w:right="0"/>
              <w:cnfStyle w:val="000000000000" w:firstRow="0" w:lastRow="0" w:firstColumn="0" w:lastColumn="0" w:oddVBand="0" w:evenVBand="0" w:oddHBand="0" w:evenHBand="0" w:firstRowFirstColumn="0" w:firstRowLastColumn="0" w:lastRowFirstColumn="0" w:lastRowLastColumn="0"/>
            </w:pPr>
            <w:r>
              <w:t>15,558</w:t>
            </w:r>
            <w:r w:rsidR="003F667C">
              <w:t xml:space="preserve"> dwellings</w:t>
            </w:r>
          </w:p>
        </w:tc>
      </w:tr>
    </w:tbl>
    <w:p w14:paraId="6665473C" w14:textId="77777777" w:rsidR="003F667C" w:rsidRDefault="003F667C" w:rsidP="00463A80">
      <w:pPr>
        <w:pStyle w:val="JBAParaText"/>
      </w:pPr>
    </w:p>
    <w:p w14:paraId="566ABDAF" w14:textId="614E7654" w:rsidR="00694B51" w:rsidRDefault="00F5067D" w:rsidP="00463A80">
      <w:pPr>
        <w:pStyle w:val="JBAParaText"/>
      </w:pPr>
      <w:r>
        <w:t xml:space="preserve">For the purposes of this study, water demand from employment land is estimated based on the number of employees.  The same employment densities used for the Gatwick sub-region Water Cycle Study were applied to </w:t>
      </w:r>
      <w:r w:rsidR="00A71017">
        <w:t xml:space="preserve">the </w:t>
      </w:r>
      <w:r>
        <w:t xml:space="preserve">employment floorspace forecast (from </w:t>
      </w:r>
      <w:r>
        <w:fldChar w:fldCharType="begin"/>
      </w:r>
      <w:r>
        <w:instrText xml:space="preserve"> REF _Ref78553158 \h </w:instrText>
      </w:r>
      <w:r>
        <w:fldChar w:fldCharType="separate"/>
      </w:r>
      <w:r w:rsidR="00643E47">
        <w:t xml:space="preserve">Table </w:t>
      </w:r>
      <w:r w:rsidR="00643E47">
        <w:rPr>
          <w:noProof/>
        </w:rPr>
        <w:t>2</w:t>
      </w:r>
      <w:r w:rsidR="00643E47">
        <w:t>.</w:t>
      </w:r>
      <w:r w:rsidR="00643E47">
        <w:rPr>
          <w:noProof/>
        </w:rPr>
        <w:t>3</w:t>
      </w:r>
      <w:r>
        <w:fldChar w:fldCharType="end"/>
      </w:r>
      <w:r>
        <w:t xml:space="preserve">) in order to estimate a number of new employees in the region. </w:t>
      </w:r>
    </w:p>
    <w:p w14:paraId="57FBCA33" w14:textId="77777777" w:rsidR="00CA4073" w:rsidRDefault="00CA4073" w:rsidP="00CA4073">
      <w:pPr>
        <w:pStyle w:val="Heading2"/>
      </w:pPr>
      <w:bookmarkStart w:id="29" w:name="_Ref79054293"/>
      <w:bookmarkStart w:id="30" w:name="_Toc101856670"/>
      <w:r>
        <w:t>South Downs National Park</w:t>
      </w:r>
      <w:bookmarkEnd w:id="29"/>
      <w:bookmarkEnd w:id="30"/>
    </w:p>
    <w:p w14:paraId="7188E862" w14:textId="390C4A5C" w:rsidR="00694B51" w:rsidRDefault="005B6B9A" w:rsidP="00463A80">
      <w:pPr>
        <w:pStyle w:val="JBAParaText"/>
      </w:pPr>
      <w:r>
        <w:t xml:space="preserve">The South Downs National Park (SDNP) covers a large area of Sussex and </w:t>
      </w:r>
      <w:r w:rsidR="00EB0495">
        <w:t>Hampshire</w:t>
      </w:r>
      <w:r>
        <w:t>, including parts of Chichester, Horsham and Arun. Within these areas the LPA is the National Park Authority</w:t>
      </w:r>
      <w:r w:rsidR="00A71017">
        <w:t>,</w:t>
      </w:r>
      <w:r>
        <w:t xml:space="preserve"> who were approached to provide information for this study. </w:t>
      </w:r>
      <w:r w:rsidR="002E6D66">
        <w:t xml:space="preserve"> </w:t>
      </w:r>
      <w:r w:rsidR="002E6D66">
        <w:fldChar w:fldCharType="begin"/>
      </w:r>
      <w:r w:rsidR="002E6D66">
        <w:instrText xml:space="preserve"> REF _Ref98858056 \h </w:instrText>
      </w:r>
      <w:r w:rsidR="002E6D66">
        <w:fldChar w:fldCharType="separate"/>
      </w:r>
      <w:r w:rsidR="00643E47">
        <w:t xml:space="preserve">Table </w:t>
      </w:r>
      <w:r w:rsidR="00643E47">
        <w:rPr>
          <w:noProof/>
        </w:rPr>
        <w:t>2</w:t>
      </w:r>
      <w:r w:rsidR="00643E47">
        <w:t>.</w:t>
      </w:r>
      <w:r w:rsidR="00643E47">
        <w:rPr>
          <w:noProof/>
        </w:rPr>
        <w:t>4</w:t>
      </w:r>
      <w:r w:rsidR="002E6D66">
        <w:fldChar w:fldCharType="end"/>
      </w:r>
      <w:r w:rsidR="002E6D66">
        <w:t xml:space="preserve"> summarises the growth from the area of the SDNP that is within Sussex North WRZ.</w:t>
      </w:r>
    </w:p>
    <w:p w14:paraId="2C47D9FC" w14:textId="0CC9F515" w:rsidR="001009F4" w:rsidRDefault="001009F4" w:rsidP="001009F4">
      <w:pPr>
        <w:pStyle w:val="Caption"/>
        <w:keepNext/>
      </w:pPr>
      <w:bookmarkStart w:id="31" w:name="_Ref98858056"/>
      <w:bookmarkStart w:id="32" w:name="_Toc101856737"/>
      <w:r>
        <w:t xml:space="preserve">Table </w:t>
      </w:r>
      <w:r w:rsidR="00E6462B">
        <w:fldChar w:fldCharType="begin"/>
      </w:r>
      <w:r w:rsidR="00E6462B">
        <w:instrText xml:space="preserve"> STYLEREF 1 \s </w:instrText>
      </w:r>
      <w:r w:rsidR="00E6462B">
        <w:fldChar w:fldCharType="separate"/>
      </w:r>
      <w:r w:rsidR="00643E47">
        <w:rPr>
          <w:noProof/>
        </w:rPr>
        <w:t>2</w:t>
      </w:r>
      <w:r w:rsidR="00E6462B">
        <w:rPr>
          <w:noProof/>
        </w:rPr>
        <w:fldChar w:fldCharType="end"/>
      </w:r>
      <w:r w:rsidR="00DF396A">
        <w:t>.</w:t>
      </w:r>
      <w:r w:rsidR="00E6462B">
        <w:fldChar w:fldCharType="begin"/>
      </w:r>
      <w:r w:rsidR="00E6462B">
        <w:instrText xml:space="preserve"> SEQ Table \* ARABIC \s 1 </w:instrText>
      </w:r>
      <w:r w:rsidR="00E6462B">
        <w:fldChar w:fldCharType="separate"/>
      </w:r>
      <w:r w:rsidR="00643E47">
        <w:rPr>
          <w:noProof/>
        </w:rPr>
        <w:t>4</w:t>
      </w:r>
      <w:r w:rsidR="00E6462B">
        <w:rPr>
          <w:noProof/>
        </w:rPr>
        <w:fldChar w:fldCharType="end"/>
      </w:r>
      <w:bookmarkEnd w:id="31"/>
      <w:r>
        <w:t xml:space="preserve"> Growth within the SDNP</w:t>
      </w:r>
      <w:bookmarkEnd w:id="32"/>
    </w:p>
    <w:tbl>
      <w:tblPr>
        <w:tblStyle w:val="JBATable13"/>
        <w:tblW w:w="0" w:type="auto"/>
        <w:tblInd w:w="1668" w:type="dxa"/>
        <w:tblLook w:val="04A0" w:firstRow="1" w:lastRow="0" w:firstColumn="1" w:lastColumn="0" w:noHBand="0" w:noVBand="1"/>
      </w:tblPr>
      <w:tblGrid>
        <w:gridCol w:w="3714"/>
        <w:gridCol w:w="3544"/>
      </w:tblGrid>
      <w:tr w:rsidR="00F70EEB" w14:paraId="2199BBD1" w14:textId="77777777" w:rsidTr="009843F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14" w:type="dxa"/>
          </w:tcPr>
          <w:p w14:paraId="5B825F0E" w14:textId="77777777" w:rsidR="00F70EEB" w:rsidRDefault="00F70EEB" w:rsidP="00AA58FB">
            <w:pPr>
              <w:pStyle w:val="JBAParaText"/>
              <w:ind w:left="0" w:right="0"/>
              <w:jc w:val="center"/>
            </w:pPr>
            <w:bookmarkStart w:id="33" w:name="_Hlk100334993"/>
            <w:r>
              <w:t>Type</w:t>
            </w:r>
          </w:p>
        </w:tc>
        <w:tc>
          <w:tcPr>
            <w:tcW w:w="3544" w:type="dxa"/>
          </w:tcPr>
          <w:p w14:paraId="33857301" w14:textId="77777777" w:rsidR="00F70EEB" w:rsidRDefault="00F70EEB" w:rsidP="00AA58FB">
            <w:pPr>
              <w:pStyle w:val="JBAParaText"/>
              <w:ind w:left="0" w:right="0"/>
              <w:jc w:val="center"/>
              <w:cnfStyle w:val="100000000000" w:firstRow="1" w:lastRow="0" w:firstColumn="0" w:lastColumn="0" w:oddVBand="0" w:evenVBand="0" w:oddHBand="0" w:evenHBand="0" w:firstRowFirstColumn="0" w:firstRowLastColumn="0" w:lastRowFirstColumn="0" w:lastRowLastColumn="0"/>
            </w:pPr>
            <w:r>
              <w:t>Growth 2021 to 2033</w:t>
            </w:r>
          </w:p>
        </w:tc>
      </w:tr>
      <w:tr w:rsidR="00F70EEB" w14:paraId="4C5B20CB" w14:textId="77777777" w:rsidTr="009843FD">
        <w:tc>
          <w:tcPr>
            <w:cnfStyle w:val="001000000000" w:firstRow="0" w:lastRow="0" w:firstColumn="1" w:lastColumn="0" w:oddVBand="0" w:evenVBand="0" w:oddHBand="0" w:evenHBand="0" w:firstRowFirstColumn="0" w:firstRowLastColumn="0" w:lastRowFirstColumn="0" w:lastRowLastColumn="0"/>
            <w:tcW w:w="3714" w:type="dxa"/>
          </w:tcPr>
          <w:p w14:paraId="21C6FB39" w14:textId="77777777" w:rsidR="00F70EEB" w:rsidRDefault="00F70EEB" w:rsidP="00AA58FB">
            <w:pPr>
              <w:pStyle w:val="JBAParaText"/>
              <w:ind w:left="0" w:right="0"/>
            </w:pPr>
            <w:r>
              <w:t>Housing (completions, extant planning and allocations)</w:t>
            </w:r>
          </w:p>
        </w:tc>
        <w:tc>
          <w:tcPr>
            <w:tcW w:w="3544" w:type="dxa"/>
          </w:tcPr>
          <w:p w14:paraId="69A07952" w14:textId="77777777" w:rsidR="00F70EEB" w:rsidRDefault="00F70EEB" w:rsidP="00AA58FB">
            <w:pPr>
              <w:pStyle w:val="JBAParaText"/>
              <w:ind w:left="0" w:right="0"/>
              <w:cnfStyle w:val="000000000000" w:firstRow="0" w:lastRow="0" w:firstColumn="0" w:lastColumn="0" w:oddVBand="0" w:evenVBand="0" w:oddHBand="0" w:evenHBand="0" w:firstRowFirstColumn="0" w:firstRowLastColumn="0" w:lastRowFirstColumn="0" w:lastRowLastColumn="0"/>
            </w:pPr>
            <w:r>
              <w:t>851 dwellings</w:t>
            </w:r>
          </w:p>
        </w:tc>
      </w:tr>
      <w:tr w:rsidR="00F70EEB" w14:paraId="3F63A4D9" w14:textId="77777777" w:rsidTr="009843FD">
        <w:tc>
          <w:tcPr>
            <w:cnfStyle w:val="001000000000" w:firstRow="0" w:lastRow="0" w:firstColumn="1" w:lastColumn="0" w:oddVBand="0" w:evenVBand="0" w:oddHBand="0" w:evenHBand="0" w:firstRowFirstColumn="0" w:firstRowLastColumn="0" w:lastRowFirstColumn="0" w:lastRowLastColumn="0"/>
            <w:tcW w:w="3714" w:type="dxa"/>
          </w:tcPr>
          <w:p w14:paraId="5F05FC10" w14:textId="77777777" w:rsidR="00F70EEB" w:rsidRDefault="00F70EEB" w:rsidP="00AA58FB">
            <w:pPr>
              <w:pStyle w:val="JBAParaText"/>
              <w:ind w:left="0" w:right="0"/>
            </w:pPr>
            <w:r>
              <w:t>Employment</w:t>
            </w:r>
          </w:p>
        </w:tc>
        <w:tc>
          <w:tcPr>
            <w:tcW w:w="3544" w:type="dxa"/>
          </w:tcPr>
          <w:p w14:paraId="03A3D65F" w14:textId="77777777" w:rsidR="00F70EEB" w:rsidRDefault="00B25A02" w:rsidP="00AA58FB">
            <w:pPr>
              <w:pStyle w:val="JBAParaText"/>
              <w:keepNext/>
              <w:ind w:left="0" w:right="0"/>
              <w:cnfStyle w:val="000000000000" w:firstRow="0" w:lastRow="0" w:firstColumn="0" w:lastColumn="0" w:oddVBand="0" w:evenVBand="0" w:oddHBand="0" w:evenHBand="0" w:firstRowFirstColumn="0" w:firstRowLastColumn="0" w:lastRowFirstColumn="0" w:lastRowLastColumn="0"/>
            </w:pPr>
            <w:r>
              <w:t>17,800m</w:t>
            </w:r>
            <w:r w:rsidRPr="00B25A02">
              <w:rPr>
                <w:vertAlign w:val="superscript"/>
              </w:rPr>
              <w:t>2</w:t>
            </w:r>
            <w:r>
              <w:t xml:space="preserve"> of employment floorspace without full planning permission</w:t>
            </w:r>
          </w:p>
        </w:tc>
      </w:tr>
      <w:tr w:rsidR="00F70EEB" w14:paraId="243610E2" w14:textId="77777777" w:rsidTr="009843FD">
        <w:tc>
          <w:tcPr>
            <w:cnfStyle w:val="001000000000" w:firstRow="0" w:lastRow="0" w:firstColumn="1" w:lastColumn="0" w:oddVBand="0" w:evenVBand="0" w:oddHBand="0" w:evenHBand="0" w:firstRowFirstColumn="0" w:firstRowLastColumn="0" w:lastRowFirstColumn="0" w:lastRowLastColumn="0"/>
            <w:tcW w:w="3714" w:type="dxa"/>
          </w:tcPr>
          <w:p w14:paraId="6CB7E45B" w14:textId="77777777" w:rsidR="00F70EEB" w:rsidRDefault="00F70EEB" w:rsidP="00AA58FB">
            <w:pPr>
              <w:pStyle w:val="JBAParaText"/>
              <w:ind w:left="0" w:right="0"/>
            </w:pPr>
            <w:r>
              <w:t>Local Plan Housing Sites with Full Planning Permission prior to issuing of NE position statement</w:t>
            </w:r>
          </w:p>
        </w:tc>
        <w:tc>
          <w:tcPr>
            <w:tcW w:w="3544" w:type="dxa"/>
          </w:tcPr>
          <w:p w14:paraId="65C07ADB" w14:textId="77777777" w:rsidR="00F70EEB" w:rsidRDefault="00F70EEB" w:rsidP="00AA58FB">
            <w:pPr>
              <w:pStyle w:val="JBAParaText"/>
              <w:keepNext/>
              <w:ind w:left="0" w:right="0"/>
              <w:cnfStyle w:val="000000000000" w:firstRow="0" w:lastRow="0" w:firstColumn="0" w:lastColumn="0" w:oddVBand="0" w:evenVBand="0" w:oddHBand="0" w:evenHBand="0" w:firstRowFirstColumn="0" w:firstRowLastColumn="0" w:lastRowFirstColumn="0" w:lastRowLastColumn="0"/>
            </w:pPr>
            <w:r>
              <w:t>367 dwellings</w:t>
            </w:r>
          </w:p>
        </w:tc>
      </w:tr>
      <w:tr w:rsidR="00F70EEB" w14:paraId="35C65350" w14:textId="77777777" w:rsidTr="009843FD">
        <w:tc>
          <w:tcPr>
            <w:cnfStyle w:val="001000000000" w:firstRow="0" w:lastRow="0" w:firstColumn="1" w:lastColumn="0" w:oddVBand="0" w:evenVBand="0" w:oddHBand="0" w:evenHBand="0" w:firstRowFirstColumn="0" w:firstRowLastColumn="0" w:lastRowFirstColumn="0" w:lastRowLastColumn="0"/>
            <w:tcW w:w="3714" w:type="dxa"/>
          </w:tcPr>
          <w:p w14:paraId="4932621A" w14:textId="77777777" w:rsidR="00F70EEB" w:rsidRDefault="00F70EEB" w:rsidP="00AA58FB">
            <w:pPr>
              <w:pStyle w:val="JBAParaText"/>
              <w:ind w:left="0" w:right="0"/>
            </w:pPr>
            <w:r>
              <w:t>Remaining Local Plan Housing Delivery without Full Planning Permission during the plan period</w:t>
            </w:r>
          </w:p>
        </w:tc>
        <w:tc>
          <w:tcPr>
            <w:tcW w:w="3544" w:type="dxa"/>
          </w:tcPr>
          <w:p w14:paraId="2CEA5B89" w14:textId="77777777" w:rsidR="00F70EEB" w:rsidRDefault="00F70EEB" w:rsidP="00AA58FB">
            <w:pPr>
              <w:pStyle w:val="JBAParaText"/>
              <w:keepNext/>
              <w:ind w:left="0" w:right="0"/>
              <w:cnfStyle w:val="000000000000" w:firstRow="0" w:lastRow="0" w:firstColumn="0" w:lastColumn="0" w:oddVBand="0" w:evenVBand="0" w:oddHBand="0" w:evenHBand="0" w:firstRowFirstColumn="0" w:firstRowLastColumn="0" w:lastRowFirstColumn="0" w:lastRowLastColumn="0"/>
            </w:pPr>
            <w:r>
              <w:t>484 dwellings</w:t>
            </w:r>
          </w:p>
        </w:tc>
      </w:tr>
      <w:bookmarkEnd w:id="33"/>
    </w:tbl>
    <w:p w14:paraId="1476F4EA" w14:textId="77777777" w:rsidR="00F70EEB" w:rsidRDefault="00F70EEB" w:rsidP="00463A80">
      <w:pPr>
        <w:pStyle w:val="JBAParaText"/>
      </w:pPr>
    </w:p>
    <w:p w14:paraId="329E681C" w14:textId="77777777" w:rsidR="00CB2F9D" w:rsidRDefault="00CB2F9D" w:rsidP="00CA4073">
      <w:pPr>
        <w:pStyle w:val="Heading2"/>
      </w:pPr>
      <w:bookmarkStart w:id="34" w:name="_Toc101856671"/>
      <w:r>
        <w:t xml:space="preserve">Waverley </w:t>
      </w:r>
      <w:r w:rsidR="00F50D71">
        <w:t xml:space="preserve">Borough </w:t>
      </w:r>
      <w:r>
        <w:t>Council</w:t>
      </w:r>
      <w:bookmarkEnd w:id="34"/>
    </w:p>
    <w:p w14:paraId="020CCF5F" w14:textId="27EA343D" w:rsidR="00CB2F9D" w:rsidRDefault="005B6B9A" w:rsidP="00463A80">
      <w:pPr>
        <w:pStyle w:val="JBAParaText"/>
      </w:pPr>
      <w:r>
        <w:t xml:space="preserve">A small section of the south of Waverley </w:t>
      </w:r>
      <w:r w:rsidR="00F50D71">
        <w:t xml:space="preserve">Borough </w:t>
      </w:r>
      <w:r>
        <w:t>Council (W</w:t>
      </w:r>
      <w:r w:rsidR="00F50D71">
        <w:t>B</w:t>
      </w:r>
      <w:r>
        <w:t>C) falls within the WRZ, and they were contacted to provid</w:t>
      </w:r>
      <w:r w:rsidR="00351944">
        <w:t>e</w:t>
      </w:r>
      <w:r>
        <w:t xml:space="preserve"> details of any growth that was expected during the plan period in this area. </w:t>
      </w:r>
      <w:r w:rsidR="00351944">
        <w:t>W</w:t>
      </w:r>
      <w:r w:rsidR="00F50D71">
        <w:t>B</w:t>
      </w:r>
      <w:r w:rsidR="00351944">
        <w:t>C advised</w:t>
      </w:r>
      <w:r w:rsidR="00151EA4">
        <w:t>,</w:t>
      </w:r>
      <w:r w:rsidR="00351944">
        <w:t xml:space="preserve"> </w:t>
      </w:r>
      <w:r w:rsidR="00151EA4">
        <w:t xml:space="preserve">within this WRZ, </w:t>
      </w:r>
      <w:r w:rsidR="00351944">
        <w:t xml:space="preserve">there would be 45 </w:t>
      </w:r>
      <w:r w:rsidR="006E1945">
        <w:t>dwellings</w:t>
      </w:r>
      <w:r w:rsidR="00351944">
        <w:t xml:space="preserve">, </w:t>
      </w:r>
      <w:r w:rsidR="004F4641">
        <w:t xml:space="preserve">of which 25 did not have full planning permission, </w:t>
      </w:r>
      <w:r w:rsidR="00351944">
        <w:t xml:space="preserve">and no employment land. </w:t>
      </w:r>
    </w:p>
    <w:p w14:paraId="5EE2D3B0" w14:textId="77777777" w:rsidR="00CC33C4" w:rsidRDefault="00CC33C4" w:rsidP="00463A80">
      <w:pPr>
        <w:pStyle w:val="JBAParaText"/>
      </w:pPr>
    </w:p>
    <w:p w14:paraId="407C10C8" w14:textId="77777777" w:rsidR="00CB2F9D" w:rsidRDefault="00CB2F9D" w:rsidP="00CA4073">
      <w:pPr>
        <w:pStyle w:val="Heading2"/>
      </w:pPr>
      <w:bookmarkStart w:id="35" w:name="_Toc101856672"/>
      <w:r>
        <w:t>Arun District Council</w:t>
      </w:r>
      <w:r w:rsidR="00CA4073">
        <w:t xml:space="preserve"> and Mi</w:t>
      </w:r>
      <w:r w:rsidR="00351944">
        <w:t>d</w:t>
      </w:r>
      <w:r w:rsidR="00CA4073">
        <w:t xml:space="preserve"> Sussex District Council</w:t>
      </w:r>
      <w:bookmarkEnd w:id="35"/>
    </w:p>
    <w:p w14:paraId="729C9502" w14:textId="3814CAAA" w:rsidR="00CB2F9D" w:rsidRDefault="00351944" w:rsidP="00463A80">
      <w:pPr>
        <w:pStyle w:val="JBAParaText"/>
      </w:pPr>
      <w:r>
        <w:t>A small section of the WRZ also covers an area within the north of Arun District Council (ADC), and Mid Sussex District Council runs adjacent to the WRZ and was part of the Gatwick sub-region WCS.  Both LPAs were contacted about the study but advised that they had no growth expected within the WRZ.</w:t>
      </w:r>
      <w:r w:rsidR="002E6D66">
        <w:t xml:space="preserve">  This may need to be re-visited should the WRZ boundary change.</w:t>
      </w:r>
    </w:p>
    <w:p w14:paraId="7C0D6216" w14:textId="77777777" w:rsidR="00222F7A" w:rsidRDefault="00222F7A" w:rsidP="00222F7A">
      <w:pPr>
        <w:pStyle w:val="Heading3"/>
      </w:pPr>
      <w:bookmarkStart w:id="36" w:name="_Toc101856673"/>
      <w:r>
        <w:t>Demand from schools</w:t>
      </w:r>
      <w:bookmarkEnd w:id="36"/>
    </w:p>
    <w:p w14:paraId="1AD09E33" w14:textId="77777777" w:rsidR="001C0CE1" w:rsidRDefault="00222F7A" w:rsidP="000D421C">
      <w:pPr>
        <w:pStyle w:val="JBAParaText"/>
      </w:pPr>
      <w:r>
        <w:t xml:space="preserve">Growth in household population </w:t>
      </w:r>
      <w:r w:rsidR="000F10FE">
        <w:t xml:space="preserve">is expected to lead to an increase in the number of school places required, with a resulting increase in water demand, either from new schools, or from an increase in the number of pupils at existing schools.  West Sussex County Council (WSCC) provided an estimate of the number of new school places required during the plan period.  </w:t>
      </w:r>
    </w:p>
    <w:p w14:paraId="6A4965AA" w14:textId="740B23B0" w:rsidR="001C0CE1" w:rsidRDefault="00DF396A" w:rsidP="000D421C">
      <w:pPr>
        <w:pStyle w:val="JBAParaText"/>
      </w:pPr>
      <w:r>
        <w:t xml:space="preserve">WSCC also collated data from water meters for </w:t>
      </w:r>
      <w:r w:rsidR="00562926">
        <w:t xml:space="preserve">state </w:t>
      </w:r>
      <w:r>
        <w:t xml:space="preserve">schools in the county (not including academies) to calculate an average water use for different types of schools.  The three years before the Covid-19 pandemic (April 2017 to March 2020) were chosen to provide the most up to date – but realistic figures. </w:t>
      </w:r>
      <w:r w:rsidR="00860A4C">
        <w:t xml:space="preserve"> The results of this assessment are shown in </w:t>
      </w:r>
      <w:r w:rsidR="00860A4C">
        <w:fldChar w:fldCharType="begin"/>
      </w:r>
      <w:r w:rsidR="00860A4C">
        <w:instrText xml:space="preserve"> REF _Ref100335482 \h </w:instrText>
      </w:r>
      <w:r w:rsidR="00860A4C">
        <w:fldChar w:fldCharType="separate"/>
      </w:r>
      <w:r w:rsidR="00643E47">
        <w:t xml:space="preserve">Table </w:t>
      </w:r>
      <w:r w:rsidR="00643E47">
        <w:rPr>
          <w:noProof/>
        </w:rPr>
        <w:t>2</w:t>
      </w:r>
      <w:r w:rsidR="00643E47">
        <w:t>.</w:t>
      </w:r>
      <w:r w:rsidR="00643E47">
        <w:rPr>
          <w:noProof/>
        </w:rPr>
        <w:t>5</w:t>
      </w:r>
      <w:r w:rsidR="00860A4C">
        <w:fldChar w:fldCharType="end"/>
      </w:r>
      <w:r w:rsidR="00860A4C">
        <w:t>.</w:t>
      </w:r>
    </w:p>
    <w:p w14:paraId="4C40E572" w14:textId="1C439693" w:rsidR="00DF396A" w:rsidRDefault="00DF396A" w:rsidP="00860A4C">
      <w:pPr>
        <w:pStyle w:val="Caption"/>
        <w:keepNext/>
      </w:pPr>
      <w:bookmarkStart w:id="37" w:name="_Ref100335482"/>
      <w:bookmarkStart w:id="38" w:name="_Toc101856738"/>
      <w:r>
        <w:t xml:space="preserve">Table </w:t>
      </w:r>
      <w:r w:rsidR="00E6462B">
        <w:fldChar w:fldCharType="begin"/>
      </w:r>
      <w:r w:rsidR="00E6462B">
        <w:instrText xml:space="preserve"> STYLEREF 1 \s </w:instrText>
      </w:r>
      <w:r w:rsidR="00E6462B">
        <w:fldChar w:fldCharType="separate"/>
      </w:r>
      <w:r w:rsidR="00643E47">
        <w:rPr>
          <w:noProof/>
        </w:rPr>
        <w:t>2</w:t>
      </w:r>
      <w:r w:rsidR="00E6462B">
        <w:rPr>
          <w:noProof/>
        </w:rPr>
        <w:fldChar w:fldCharType="end"/>
      </w:r>
      <w:r>
        <w:t>.</w:t>
      </w:r>
      <w:r w:rsidR="00E6462B">
        <w:fldChar w:fldCharType="begin"/>
      </w:r>
      <w:r w:rsidR="00E6462B">
        <w:instrText xml:space="preserve"> SEQ Table \* ARABIC \s 1 </w:instrText>
      </w:r>
      <w:r w:rsidR="00E6462B">
        <w:fldChar w:fldCharType="separate"/>
      </w:r>
      <w:r w:rsidR="00643E47">
        <w:rPr>
          <w:noProof/>
        </w:rPr>
        <w:t>5</w:t>
      </w:r>
      <w:r w:rsidR="00E6462B">
        <w:rPr>
          <w:noProof/>
        </w:rPr>
        <w:fldChar w:fldCharType="end"/>
      </w:r>
      <w:bookmarkEnd w:id="37"/>
      <w:r w:rsidR="00860A4C">
        <w:t xml:space="preserve"> Average water use for different school types (WSCC)</w:t>
      </w:r>
      <w:bookmarkEnd w:id="38"/>
    </w:p>
    <w:tbl>
      <w:tblPr>
        <w:tblStyle w:val="JBATable13"/>
        <w:tblW w:w="0" w:type="auto"/>
        <w:tblInd w:w="1668" w:type="dxa"/>
        <w:tblLook w:val="04A0" w:firstRow="1" w:lastRow="0" w:firstColumn="1" w:lastColumn="0" w:noHBand="0" w:noVBand="1"/>
      </w:tblPr>
      <w:tblGrid>
        <w:gridCol w:w="2580"/>
        <w:gridCol w:w="2835"/>
      </w:tblGrid>
      <w:tr w:rsidR="00DF396A" w14:paraId="23220C04" w14:textId="77777777" w:rsidTr="00DF396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80" w:type="dxa"/>
          </w:tcPr>
          <w:p w14:paraId="591B35BB" w14:textId="13EAEED9" w:rsidR="00DF396A" w:rsidRDefault="00DF396A" w:rsidP="004004FB">
            <w:pPr>
              <w:pStyle w:val="JBAParaText"/>
              <w:ind w:left="0" w:right="0"/>
              <w:jc w:val="center"/>
            </w:pPr>
            <w:r>
              <w:t>Education facility</w:t>
            </w:r>
          </w:p>
        </w:tc>
        <w:tc>
          <w:tcPr>
            <w:tcW w:w="2835" w:type="dxa"/>
          </w:tcPr>
          <w:p w14:paraId="03E92AF8" w14:textId="293DC10F" w:rsidR="00DF396A" w:rsidRDefault="00DF396A" w:rsidP="004004FB">
            <w:pPr>
              <w:pStyle w:val="JBAParaText"/>
              <w:ind w:left="0" w:right="0"/>
              <w:jc w:val="center"/>
              <w:cnfStyle w:val="100000000000" w:firstRow="1" w:lastRow="0" w:firstColumn="0" w:lastColumn="0" w:oddVBand="0" w:evenVBand="0" w:oddHBand="0" w:evenHBand="0" w:firstRowFirstColumn="0" w:firstRowLastColumn="0" w:lastRowFirstColumn="0" w:lastRowLastColumn="0"/>
            </w:pPr>
            <w:r>
              <w:t>Average water use for facility (l/p/d)</w:t>
            </w:r>
          </w:p>
        </w:tc>
      </w:tr>
      <w:tr w:rsidR="00DF396A" w14:paraId="2F0A2488" w14:textId="77777777" w:rsidTr="00DF396A">
        <w:tc>
          <w:tcPr>
            <w:cnfStyle w:val="001000000000" w:firstRow="0" w:lastRow="0" w:firstColumn="1" w:lastColumn="0" w:oddVBand="0" w:evenVBand="0" w:oddHBand="0" w:evenHBand="0" w:firstRowFirstColumn="0" w:firstRowLastColumn="0" w:lastRowFirstColumn="0" w:lastRowLastColumn="0"/>
            <w:tcW w:w="2580" w:type="dxa"/>
          </w:tcPr>
          <w:p w14:paraId="6C33B776" w14:textId="6FE5BD24" w:rsidR="00DF396A" w:rsidRDefault="00DF396A" w:rsidP="00DF396A">
            <w:pPr>
              <w:pStyle w:val="JBAParaText"/>
              <w:ind w:left="0" w:right="0"/>
            </w:pPr>
            <w:r>
              <w:t>Nursery</w:t>
            </w:r>
          </w:p>
        </w:tc>
        <w:tc>
          <w:tcPr>
            <w:tcW w:w="2835" w:type="dxa"/>
            <w:tcBorders>
              <w:top w:val="single" w:sz="4" w:space="0" w:color="auto"/>
              <w:left w:val="single" w:sz="4" w:space="0" w:color="auto"/>
              <w:bottom w:val="single" w:sz="4" w:space="0" w:color="auto"/>
              <w:right w:val="single" w:sz="4" w:space="0" w:color="auto"/>
            </w:tcBorders>
          </w:tcPr>
          <w:p w14:paraId="17122B0C" w14:textId="7B90A3BD" w:rsidR="00DF396A" w:rsidRDefault="00DF396A" w:rsidP="00DF396A">
            <w:pPr>
              <w:pStyle w:val="JBAParaText"/>
              <w:ind w:left="0" w:right="0"/>
              <w:jc w:val="center"/>
              <w:cnfStyle w:val="000000000000" w:firstRow="0" w:lastRow="0" w:firstColumn="0" w:lastColumn="0" w:oddVBand="0" w:evenVBand="0" w:oddHBand="0" w:evenHBand="0" w:firstRowFirstColumn="0" w:firstRowLastColumn="0" w:lastRowFirstColumn="0" w:lastRowLastColumn="0"/>
            </w:pPr>
            <w:r>
              <w:t>49</w:t>
            </w:r>
          </w:p>
        </w:tc>
      </w:tr>
      <w:tr w:rsidR="00DF396A" w14:paraId="1680D531" w14:textId="77777777" w:rsidTr="00DF396A">
        <w:tc>
          <w:tcPr>
            <w:cnfStyle w:val="001000000000" w:firstRow="0" w:lastRow="0" w:firstColumn="1" w:lastColumn="0" w:oddVBand="0" w:evenVBand="0" w:oddHBand="0" w:evenHBand="0" w:firstRowFirstColumn="0" w:firstRowLastColumn="0" w:lastRowFirstColumn="0" w:lastRowLastColumn="0"/>
            <w:tcW w:w="2580" w:type="dxa"/>
          </w:tcPr>
          <w:p w14:paraId="33283F96" w14:textId="024157B2" w:rsidR="00DF396A" w:rsidRDefault="00DF396A" w:rsidP="00DF396A">
            <w:pPr>
              <w:pStyle w:val="JBAParaText"/>
              <w:ind w:left="0" w:right="0"/>
            </w:pPr>
            <w:r>
              <w:t>Primary</w:t>
            </w:r>
          </w:p>
        </w:tc>
        <w:tc>
          <w:tcPr>
            <w:tcW w:w="2835" w:type="dxa"/>
            <w:tcBorders>
              <w:top w:val="single" w:sz="4" w:space="0" w:color="auto"/>
              <w:left w:val="single" w:sz="4" w:space="0" w:color="auto"/>
              <w:bottom w:val="single" w:sz="4" w:space="0" w:color="auto"/>
              <w:right w:val="single" w:sz="4" w:space="0" w:color="auto"/>
            </w:tcBorders>
          </w:tcPr>
          <w:p w14:paraId="2A1C3097" w14:textId="518F778B" w:rsidR="00DF396A" w:rsidRDefault="00DF396A" w:rsidP="00DF396A">
            <w:pPr>
              <w:pStyle w:val="JBAParaText"/>
              <w:keepNext/>
              <w:ind w:left="0" w:right="0"/>
              <w:jc w:val="center"/>
              <w:cnfStyle w:val="000000000000" w:firstRow="0" w:lastRow="0" w:firstColumn="0" w:lastColumn="0" w:oddVBand="0" w:evenVBand="0" w:oddHBand="0" w:evenHBand="0" w:firstRowFirstColumn="0" w:firstRowLastColumn="0" w:lastRowFirstColumn="0" w:lastRowLastColumn="0"/>
            </w:pPr>
            <w:r>
              <w:t>14</w:t>
            </w:r>
          </w:p>
        </w:tc>
      </w:tr>
      <w:tr w:rsidR="00DF396A" w14:paraId="1434F6E3" w14:textId="77777777" w:rsidTr="00DF396A">
        <w:tc>
          <w:tcPr>
            <w:cnfStyle w:val="001000000000" w:firstRow="0" w:lastRow="0" w:firstColumn="1" w:lastColumn="0" w:oddVBand="0" w:evenVBand="0" w:oddHBand="0" w:evenHBand="0" w:firstRowFirstColumn="0" w:firstRowLastColumn="0" w:lastRowFirstColumn="0" w:lastRowLastColumn="0"/>
            <w:tcW w:w="2580" w:type="dxa"/>
          </w:tcPr>
          <w:p w14:paraId="677F8573" w14:textId="367AD974" w:rsidR="00DF396A" w:rsidRDefault="00DF396A" w:rsidP="00DF396A">
            <w:pPr>
              <w:pStyle w:val="JBAParaText"/>
              <w:ind w:left="0" w:right="0"/>
            </w:pPr>
            <w:r>
              <w:t>Secondary &amp; Sixth Form</w:t>
            </w:r>
          </w:p>
        </w:tc>
        <w:tc>
          <w:tcPr>
            <w:tcW w:w="2835" w:type="dxa"/>
            <w:tcBorders>
              <w:top w:val="single" w:sz="4" w:space="0" w:color="auto"/>
              <w:left w:val="single" w:sz="4" w:space="0" w:color="auto"/>
              <w:bottom w:val="single" w:sz="4" w:space="0" w:color="auto"/>
              <w:right w:val="single" w:sz="4" w:space="0" w:color="auto"/>
            </w:tcBorders>
          </w:tcPr>
          <w:p w14:paraId="222F8603" w14:textId="51BE9D2C" w:rsidR="00DF396A" w:rsidRDefault="00DF396A" w:rsidP="00DF396A">
            <w:pPr>
              <w:pStyle w:val="JBAParaText"/>
              <w:keepNext/>
              <w:ind w:left="0" w:right="0"/>
              <w:jc w:val="center"/>
              <w:cnfStyle w:val="000000000000" w:firstRow="0" w:lastRow="0" w:firstColumn="0" w:lastColumn="0" w:oddVBand="0" w:evenVBand="0" w:oddHBand="0" w:evenHBand="0" w:firstRowFirstColumn="0" w:firstRowLastColumn="0" w:lastRowFirstColumn="0" w:lastRowLastColumn="0"/>
            </w:pPr>
            <w:r>
              <w:t>10</w:t>
            </w:r>
          </w:p>
        </w:tc>
      </w:tr>
      <w:tr w:rsidR="00DF396A" w14:paraId="6751274C" w14:textId="77777777" w:rsidTr="00DF396A">
        <w:tc>
          <w:tcPr>
            <w:cnfStyle w:val="001000000000" w:firstRow="0" w:lastRow="0" w:firstColumn="1" w:lastColumn="0" w:oddVBand="0" w:evenVBand="0" w:oddHBand="0" w:evenHBand="0" w:firstRowFirstColumn="0" w:firstRowLastColumn="0" w:lastRowFirstColumn="0" w:lastRowLastColumn="0"/>
            <w:tcW w:w="2580" w:type="dxa"/>
          </w:tcPr>
          <w:p w14:paraId="4EF0151E" w14:textId="40D4294C" w:rsidR="00DF396A" w:rsidRDefault="00DF396A" w:rsidP="00DF396A">
            <w:pPr>
              <w:pStyle w:val="JBAParaText"/>
              <w:ind w:left="0" w:right="0"/>
            </w:pPr>
            <w:r>
              <w:t>Special Educational Needs School</w:t>
            </w:r>
          </w:p>
        </w:tc>
        <w:tc>
          <w:tcPr>
            <w:tcW w:w="2835" w:type="dxa"/>
            <w:tcBorders>
              <w:top w:val="single" w:sz="4" w:space="0" w:color="auto"/>
              <w:left w:val="single" w:sz="4" w:space="0" w:color="auto"/>
              <w:bottom w:val="single" w:sz="4" w:space="0" w:color="auto"/>
              <w:right w:val="single" w:sz="4" w:space="0" w:color="auto"/>
            </w:tcBorders>
          </w:tcPr>
          <w:p w14:paraId="6B66F1A5" w14:textId="310262D7" w:rsidR="00DF396A" w:rsidRDefault="00DF396A" w:rsidP="00DF396A">
            <w:pPr>
              <w:pStyle w:val="JBAParaText"/>
              <w:keepNext/>
              <w:ind w:left="0" w:right="0"/>
              <w:jc w:val="center"/>
              <w:cnfStyle w:val="000000000000" w:firstRow="0" w:lastRow="0" w:firstColumn="0" w:lastColumn="0" w:oddVBand="0" w:evenVBand="0" w:oddHBand="0" w:evenHBand="0" w:firstRowFirstColumn="0" w:firstRowLastColumn="0" w:lastRowFirstColumn="0" w:lastRowLastColumn="0"/>
            </w:pPr>
            <w:r>
              <w:t>37</w:t>
            </w:r>
          </w:p>
        </w:tc>
      </w:tr>
    </w:tbl>
    <w:p w14:paraId="26CCCF19" w14:textId="1604AF4F" w:rsidR="00DF396A" w:rsidRDefault="00DF396A" w:rsidP="000D421C">
      <w:pPr>
        <w:pStyle w:val="JBAParaText"/>
      </w:pPr>
    </w:p>
    <w:p w14:paraId="41A817F6" w14:textId="2A87224D" w:rsidR="000D421C" w:rsidRDefault="00860A4C" w:rsidP="000D421C">
      <w:pPr>
        <w:pStyle w:val="JBAParaText"/>
      </w:pPr>
      <w:r>
        <w:t xml:space="preserve">The average water use, and estimated number of new school places were used to calculate a water demand from new school places in Sussex North.  This was found to be 0.18Ml/d by the end of the neutrality strategy period.  </w:t>
      </w:r>
      <w:r w:rsidR="000D421C">
        <w:t xml:space="preserve">It is possible that much of this could be offset within the existing school infrastructure through the retrofit of efficiency measures and </w:t>
      </w:r>
      <w:r w:rsidR="004E7D54">
        <w:t>Rainwater Harvesting (</w:t>
      </w:r>
      <w:r w:rsidR="000D421C">
        <w:t>RwH</w:t>
      </w:r>
      <w:r w:rsidR="004E7D54">
        <w:t>)</w:t>
      </w:r>
      <w:r w:rsidR="000D421C">
        <w:t>.  Efficiency measures applied in schools are less likely to be removed than in household settings, and the programme could have an additional educational / water use awareness benefit.</w:t>
      </w:r>
      <w:r w:rsidR="00636439">
        <w:t xml:space="preserve">  Offsetting measures undertaken on school buildings should be under the management of WSCC and priority given to offsetting the demand from new school places.</w:t>
      </w:r>
    </w:p>
    <w:p w14:paraId="1D3BBA38" w14:textId="1763AC72" w:rsidR="00636439" w:rsidRDefault="00636439" w:rsidP="000D421C">
      <w:pPr>
        <w:pStyle w:val="JBAParaText"/>
      </w:pPr>
    </w:p>
    <w:p w14:paraId="65DB4A6F" w14:textId="77777777" w:rsidR="00636439" w:rsidRDefault="00636439" w:rsidP="000D421C">
      <w:pPr>
        <w:pStyle w:val="JBAParaText"/>
      </w:pPr>
    </w:p>
    <w:p w14:paraId="68AC1AF8" w14:textId="77777777" w:rsidR="00CA4073" w:rsidRDefault="00613469" w:rsidP="00613469">
      <w:pPr>
        <w:pStyle w:val="Heading2"/>
      </w:pPr>
      <w:bookmarkStart w:id="39" w:name="_Ref79501816"/>
      <w:bookmarkStart w:id="40" w:name="_Toc101856674"/>
      <w:r>
        <w:t>Growth at Water Resource Zone level</w:t>
      </w:r>
      <w:bookmarkEnd w:id="39"/>
      <w:bookmarkEnd w:id="40"/>
    </w:p>
    <w:p w14:paraId="2D939DCC" w14:textId="62CF551E" w:rsidR="00A6223E" w:rsidRDefault="0084428A" w:rsidP="00463A80">
      <w:pPr>
        <w:pStyle w:val="JBAParaText"/>
      </w:pPr>
      <w:r>
        <w:t>Growth information in each of the LPA areas was collated into a single forecast for residential and employment development.</w:t>
      </w:r>
      <w:r w:rsidR="00F94876">
        <w:t xml:space="preserve"> </w:t>
      </w:r>
      <w:r w:rsidR="004A41C4">
        <w:t xml:space="preserve"> </w:t>
      </w:r>
      <w:r w:rsidR="00F94876">
        <w:t>The water demand scenarios used in Part A were applied to the combined WRZ forecast and</w:t>
      </w:r>
      <w:r w:rsidR="0086093B">
        <w:t xml:space="preserve"> used to genera</w:t>
      </w:r>
      <w:r w:rsidR="00F50D71">
        <w:t>te</w:t>
      </w:r>
      <w:r w:rsidR="0086093B">
        <w:t xml:space="preserve"> an additional water demand for the water resource zone.  The overall demand in each scenario is summarised in </w:t>
      </w:r>
      <w:r w:rsidR="0086093B">
        <w:fldChar w:fldCharType="begin"/>
      </w:r>
      <w:r w:rsidR="0086093B">
        <w:instrText xml:space="preserve"> REF _Ref79506822 \h </w:instrText>
      </w:r>
      <w:r w:rsidR="0086093B">
        <w:fldChar w:fldCharType="separate"/>
      </w:r>
      <w:r w:rsidR="00643E47">
        <w:t xml:space="preserve">Table </w:t>
      </w:r>
      <w:r w:rsidR="00643E47">
        <w:rPr>
          <w:noProof/>
        </w:rPr>
        <w:t>2</w:t>
      </w:r>
      <w:r w:rsidR="00643E47">
        <w:t>.</w:t>
      </w:r>
      <w:r w:rsidR="00643E47">
        <w:rPr>
          <w:noProof/>
        </w:rPr>
        <w:t>6</w:t>
      </w:r>
      <w:r w:rsidR="0086093B">
        <w:fldChar w:fldCharType="end"/>
      </w:r>
      <w:r w:rsidR="0086093B">
        <w:t xml:space="preserve">, and the change in demand during the plan period is shown in </w:t>
      </w:r>
      <w:r w:rsidR="0086093B">
        <w:fldChar w:fldCharType="begin"/>
      </w:r>
      <w:r w:rsidR="0086093B">
        <w:instrText xml:space="preserve"> REF _Ref79506958 \h </w:instrText>
      </w:r>
      <w:r w:rsidR="0086093B">
        <w:fldChar w:fldCharType="separate"/>
      </w:r>
      <w:r w:rsidR="00643E47">
        <w:t xml:space="preserve">Figure </w:t>
      </w:r>
      <w:r w:rsidR="00643E47">
        <w:rPr>
          <w:noProof/>
        </w:rPr>
        <w:t>2</w:t>
      </w:r>
      <w:r w:rsidR="00643E47">
        <w:t>.</w:t>
      </w:r>
      <w:r w:rsidR="00643E47">
        <w:rPr>
          <w:noProof/>
        </w:rPr>
        <w:t>1</w:t>
      </w:r>
      <w:r w:rsidR="0086093B">
        <w:fldChar w:fldCharType="end"/>
      </w:r>
      <w:r w:rsidR="0086093B">
        <w:t>.</w:t>
      </w:r>
    </w:p>
    <w:p w14:paraId="13195EB3" w14:textId="62E05FB4" w:rsidR="00A6223E" w:rsidRDefault="00A6223E" w:rsidP="00A6223E">
      <w:pPr>
        <w:pStyle w:val="Caption"/>
        <w:keepNext/>
      </w:pPr>
      <w:bookmarkStart w:id="41" w:name="_Ref79506822"/>
      <w:bookmarkStart w:id="42" w:name="_Toc101856739"/>
      <w:r>
        <w:t xml:space="preserve">Table </w:t>
      </w:r>
      <w:r w:rsidR="00E6462B">
        <w:fldChar w:fldCharType="begin"/>
      </w:r>
      <w:r w:rsidR="00E6462B">
        <w:instrText xml:space="preserve"> STYLEREF 1 \s </w:instrText>
      </w:r>
      <w:r w:rsidR="00E6462B">
        <w:fldChar w:fldCharType="separate"/>
      </w:r>
      <w:r w:rsidR="00643E47">
        <w:rPr>
          <w:noProof/>
        </w:rPr>
        <w:t>2</w:t>
      </w:r>
      <w:r w:rsidR="00E6462B">
        <w:rPr>
          <w:noProof/>
        </w:rPr>
        <w:fldChar w:fldCharType="end"/>
      </w:r>
      <w:r w:rsidR="00DF396A">
        <w:t>.</w:t>
      </w:r>
      <w:r w:rsidR="00E6462B">
        <w:fldChar w:fldCharType="begin"/>
      </w:r>
      <w:r w:rsidR="00E6462B">
        <w:instrText xml:space="preserve"> SEQ Table \* ARABIC \s 1 </w:instrText>
      </w:r>
      <w:r w:rsidR="00E6462B">
        <w:fldChar w:fldCharType="separate"/>
      </w:r>
      <w:r w:rsidR="00643E47">
        <w:rPr>
          <w:noProof/>
        </w:rPr>
        <w:t>6</w:t>
      </w:r>
      <w:r w:rsidR="00E6462B">
        <w:rPr>
          <w:noProof/>
        </w:rPr>
        <w:fldChar w:fldCharType="end"/>
      </w:r>
      <w:bookmarkEnd w:id="41"/>
      <w:r>
        <w:t xml:space="preserve"> Water demand scenarios</w:t>
      </w:r>
      <w:bookmarkEnd w:id="42"/>
    </w:p>
    <w:tbl>
      <w:tblPr>
        <w:tblStyle w:val="JBATable13"/>
        <w:tblW w:w="0" w:type="auto"/>
        <w:tblInd w:w="1668" w:type="dxa"/>
        <w:tblLook w:val="04A0" w:firstRow="1" w:lastRow="0" w:firstColumn="1" w:lastColumn="0" w:noHBand="0" w:noVBand="1"/>
      </w:tblPr>
      <w:tblGrid>
        <w:gridCol w:w="2802"/>
        <w:gridCol w:w="1701"/>
        <w:gridCol w:w="1701"/>
        <w:gridCol w:w="1701"/>
      </w:tblGrid>
      <w:tr w:rsidR="00A6223E" w14:paraId="6F560EC1" w14:textId="77777777" w:rsidTr="00EB049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vAlign w:val="center"/>
          </w:tcPr>
          <w:p w14:paraId="4F52A65C" w14:textId="77777777" w:rsidR="00A6223E" w:rsidRDefault="00A6223E" w:rsidP="009C2E29">
            <w:pPr>
              <w:pStyle w:val="JBAParaText"/>
              <w:ind w:left="0" w:right="0"/>
              <w:jc w:val="center"/>
            </w:pPr>
            <w:bookmarkStart w:id="43" w:name="_Hlk66199491"/>
            <w:r>
              <w:t>Demand scenario</w:t>
            </w:r>
          </w:p>
        </w:tc>
        <w:tc>
          <w:tcPr>
            <w:tcW w:w="1701" w:type="dxa"/>
            <w:vAlign w:val="center"/>
          </w:tcPr>
          <w:p w14:paraId="30C4ED24" w14:textId="77777777" w:rsidR="00A6223E" w:rsidRDefault="00A6223E" w:rsidP="009C2E29">
            <w:pPr>
              <w:pStyle w:val="JBAParaText"/>
              <w:ind w:left="0" w:right="-2"/>
              <w:jc w:val="center"/>
              <w:cnfStyle w:val="100000000000" w:firstRow="1" w:lastRow="0" w:firstColumn="0" w:lastColumn="0" w:oddVBand="0" w:evenVBand="0" w:oddHBand="0" w:evenHBand="0" w:firstRowFirstColumn="0" w:firstRowLastColumn="0" w:lastRowFirstColumn="0" w:lastRowLastColumn="0"/>
            </w:pPr>
            <w:r>
              <w:t>Household PCC (l/p/d)</w:t>
            </w:r>
          </w:p>
        </w:tc>
        <w:tc>
          <w:tcPr>
            <w:tcW w:w="1701" w:type="dxa"/>
            <w:vAlign w:val="center"/>
          </w:tcPr>
          <w:p w14:paraId="0DCA5021" w14:textId="77777777" w:rsidR="00A6223E" w:rsidRDefault="00A6223E" w:rsidP="009C2E29">
            <w:pPr>
              <w:pStyle w:val="JBAParaText"/>
              <w:ind w:left="0" w:right="-2"/>
              <w:jc w:val="center"/>
              <w:cnfStyle w:val="100000000000" w:firstRow="1" w:lastRow="0" w:firstColumn="0" w:lastColumn="0" w:oddVBand="0" w:evenVBand="0" w:oddHBand="0" w:evenHBand="0" w:firstRowFirstColumn="0" w:firstRowLastColumn="0" w:lastRowFirstColumn="0" w:lastRowLastColumn="0"/>
            </w:pPr>
            <w:r>
              <w:t>Non-household PCC (l/p/d)</w:t>
            </w:r>
          </w:p>
        </w:tc>
        <w:tc>
          <w:tcPr>
            <w:tcW w:w="1701" w:type="dxa"/>
          </w:tcPr>
          <w:p w14:paraId="2570B17F" w14:textId="77777777" w:rsidR="00A6223E" w:rsidRDefault="00A6223E" w:rsidP="009C2E29">
            <w:pPr>
              <w:pStyle w:val="JBAParaText"/>
              <w:ind w:left="0" w:right="-2"/>
              <w:jc w:val="center"/>
              <w:cnfStyle w:val="100000000000" w:firstRow="1" w:lastRow="0" w:firstColumn="0" w:lastColumn="0" w:oddVBand="0" w:evenVBand="0" w:oddHBand="0" w:evenHBand="0" w:firstRowFirstColumn="0" w:firstRowLastColumn="0" w:lastRowFirstColumn="0" w:lastRowLastColumn="0"/>
            </w:pPr>
            <w:r>
              <w:t>Additional Water Demand (Ml/d)</w:t>
            </w:r>
          </w:p>
        </w:tc>
      </w:tr>
      <w:tr w:rsidR="00A6223E" w14:paraId="06CCA8AF" w14:textId="77777777" w:rsidTr="00EB0495">
        <w:tc>
          <w:tcPr>
            <w:cnfStyle w:val="001000000000" w:firstRow="0" w:lastRow="0" w:firstColumn="1" w:lastColumn="0" w:oddVBand="0" w:evenVBand="0" w:oddHBand="0" w:evenHBand="0" w:firstRowFirstColumn="0" w:firstRowLastColumn="0" w:lastRowFirstColumn="0" w:lastRowLastColumn="0"/>
            <w:tcW w:w="2802" w:type="dxa"/>
          </w:tcPr>
          <w:p w14:paraId="5380F61A" w14:textId="77777777" w:rsidR="00A6223E" w:rsidRDefault="00A6223E" w:rsidP="009C2E29">
            <w:pPr>
              <w:pStyle w:val="JBAParaText"/>
              <w:ind w:left="0" w:right="0"/>
            </w:pPr>
            <w:r>
              <w:t>Building Regs. Standard</w:t>
            </w:r>
          </w:p>
        </w:tc>
        <w:tc>
          <w:tcPr>
            <w:tcW w:w="1701" w:type="dxa"/>
          </w:tcPr>
          <w:p w14:paraId="156E242E" w14:textId="77777777" w:rsidR="00A6223E" w:rsidRDefault="00A6223E" w:rsidP="009C2E29">
            <w:pPr>
              <w:pStyle w:val="JBAParaText"/>
              <w:ind w:left="0" w:right="-2"/>
              <w:jc w:val="center"/>
              <w:cnfStyle w:val="000000000000" w:firstRow="0" w:lastRow="0" w:firstColumn="0" w:lastColumn="0" w:oddVBand="0" w:evenVBand="0" w:oddHBand="0" w:evenHBand="0" w:firstRowFirstColumn="0" w:firstRowLastColumn="0" w:lastRowFirstColumn="0" w:lastRowLastColumn="0"/>
            </w:pPr>
            <w:r>
              <w:t>125</w:t>
            </w:r>
          </w:p>
        </w:tc>
        <w:tc>
          <w:tcPr>
            <w:tcW w:w="1701" w:type="dxa"/>
          </w:tcPr>
          <w:p w14:paraId="3D6EBF4B" w14:textId="77777777" w:rsidR="00A6223E" w:rsidRDefault="00A6223E" w:rsidP="009C2E29">
            <w:pPr>
              <w:pStyle w:val="JBAParaText"/>
              <w:ind w:left="0" w:right="-2"/>
              <w:jc w:val="center"/>
              <w:cnfStyle w:val="000000000000" w:firstRow="0" w:lastRow="0" w:firstColumn="0" w:lastColumn="0" w:oddVBand="0" w:evenVBand="0" w:oddHBand="0" w:evenHBand="0" w:firstRowFirstColumn="0" w:firstRowLastColumn="0" w:lastRowFirstColumn="0" w:lastRowLastColumn="0"/>
            </w:pPr>
            <w:r>
              <w:t>63</w:t>
            </w:r>
          </w:p>
        </w:tc>
        <w:tc>
          <w:tcPr>
            <w:tcW w:w="1701" w:type="dxa"/>
          </w:tcPr>
          <w:p w14:paraId="5CAD7E21" w14:textId="08036986" w:rsidR="00A6223E" w:rsidRDefault="00CC5265" w:rsidP="009C2E29">
            <w:pPr>
              <w:pStyle w:val="JBAParaText"/>
              <w:ind w:left="0" w:right="-2"/>
              <w:jc w:val="center"/>
              <w:cnfStyle w:val="000000000000" w:firstRow="0" w:lastRow="0" w:firstColumn="0" w:lastColumn="0" w:oddVBand="0" w:evenVBand="0" w:oddHBand="0" w:evenHBand="0" w:firstRowFirstColumn="0" w:firstRowLastColumn="0" w:lastRowFirstColumn="0" w:lastRowLastColumn="0"/>
            </w:pPr>
            <w:r>
              <w:t>6.847</w:t>
            </w:r>
          </w:p>
        </w:tc>
      </w:tr>
      <w:tr w:rsidR="00A6223E" w14:paraId="74513083" w14:textId="77777777" w:rsidTr="00EB0495">
        <w:tc>
          <w:tcPr>
            <w:cnfStyle w:val="001000000000" w:firstRow="0" w:lastRow="0" w:firstColumn="1" w:lastColumn="0" w:oddVBand="0" w:evenVBand="0" w:oddHBand="0" w:evenHBand="0" w:firstRowFirstColumn="0" w:firstRowLastColumn="0" w:lastRowFirstColumn="0" w:lastRowLastColumn="0"/>
            <w:tcW w:w="2802" w:type="dxa"/>
          </w:tcPr>
          <w:p w14:paraId="746FFC3D" w14:textId="77777777" w:rsidR="00A6223E" w:rsidRDefault="00A6223E" w:rsidP="009C2E29">
            <w:pPr>
              <w:pStyle w:val="JBAParaText"/>
              <w:ind w:left="0" w:right="0"/>
            </w:pPr>
            <w:r>
              <w:t>Building Regs. Optional (adopted 2015 Local Plan)</w:t>
            </w:r>
          </w:p>
        </w:tc>
        <w:tc>
          <w:tcPr>
            <w:tcW w:w="1701" w:type="dxa"/>
          </w:tcPr>
          <w:p w14:paraId="072CB8FC" w14:textId="77777777" w:rsidR="00A6223E" w:rsidRDefault="00A6223E" w:rsidP="009C2E29">
            <w:pPr>
              <w:pStyle w:val="JBAParaText"/>
              <w:ind w:left="0" w:right="-2"/>
              <w:jc w:val="center"/>
              <w:cnfStyle w:val="000000000000" w:firstRow="0" w:lastRow="0" w:firstColumn="0" w:lastColumn="0" w:oddVBand="0" w:evenVBand="0" w:oddHBand="0" w:evenHBand="0" w:firstRowFirstColumn="0" w:firstRowLastColumn="0" w:lastRowFirstColumn="0" w:lastRowLastColumn="0"/>
            </w:pPr>
            <w:r>
              <w:t>110</w:t>
            </w:r>
          </w:p>
        </w:tc>
        <w:tc>
          <w:tcPr>
            <w:tcW w:w="1701" w:type="dxa"/>
          </w:tcPr>
          <w:p w14:paraId="59C142BC" w14:textId="77777777" w:rsidR="00A6223E" w:rsidRDefault="00A6223E" w:rsidP="009C2E29">
            <w:pPr>
              <w:pStyle w:val="JBAParaText"/>
              <w:ind w:left="0" w:right="-2"/>
              <w:jc w:val="center"/>
              <w:cnfStyle w:val="000000000000" w:firstRow="0" w:lastRow="0" w:firstColumn="0" w:lastColumn="0" w:oddVBand="0" w:evenVBand="0" w:oddHBand="0" w:evenHBand="0" w:firstRowFirstColumn="0" w:firstRowLastColumn="0" w:lastRowFirstColumn="0" w:lastRowLastColumn="0"/>
            </w:pPr>
            <w:r>
              <w:t>63</w:t>
            </w:r>
          </w:p>
        </w:tc>
        <w:tc>
          <w:tcPr>
            <w:tcW w:w="1701" w:type="dxa"/>
          </w:tcPr>
          <w:p w14:paraId="662A000F" w14:textId="05F3E79D" w:rsidR="00A6223E" w:rsidRDefault="00CC5265" w:rsidP="009C2E29">
            <w:pPr>
              <w:pStyle w:val="JBAParaText"/>
              <w:ind w:left="0" w:right="-2"/>
              <w:jc w:val="center"/>
              <w:cnfStyle w:val="000000000000" w:firstRow="0" w:lastRow="0" w:firstColumn="0" w:lastColumn="0" w:oddVBand="0" w:evenVBand="0" w:oddHBand="0" w:evenHBand="0" w:firstRowFirstColumn="0" w:firstRowLastColumn="0" w:lastRowFirstColumn="0" w:lastRowLastColumn="0"/>
            </w:pPr>
            <w:r>
              <w:t>6.047</w:t>
            </w:r>
          </w:p>
        </w:tc>
      </w:tr>
      <w:tr w:rsidR="00A6223E" w14:paraId="4123BB82" w14:textId="77777777" w:rsidTr="00EB0495">
        <w:tc>
          <w:tcPr>
            <w:cnfStyle w:val="001000000000" w:firstRow="0" w:lastRow="0" w:firstColumn="1" w:lastColumn="0" w:oddVBand="0" w:evenVBand="0" w:oddHBand="0" w:evenHBand="0" w:firstRowFirstColumn="0" w:firstRowLastColumn="0" w:lastRowFirstColumn="0" w:lastRowLastColumn="0"/>
            <w:tcW w:w="2802" w:type="dxa"/>
          </w:tcPr>
          <w:p w14:paraId="69BF1576" w14:textId="77777777" w:rsidR="00A6223E" w:rsidRDefault="00A6223E" w:rsidP="009C2E29">
            <w:pPr>
              <w:pStyle w:val="JBAParaText"/>
              <w:ind w:left="0" w:right="0"/>
            </w:pPr>
            <w:r>
              <w:t xml:space="preserve">Target 100 </w:t>
            </w:r>
          </w:p>
        </w:tc>
        <w:tc>
          <w:tcPr>
            <w:tcW w:w="1701" w:type="dxa"/>
          </w:tcPr>
          <w:p w14:paraId="62A74414" w14:textId="77777777" w:rsidR="00A6223E" w:rsidRDefault="00A6223E" w:rsidP="009C2E29">
            <w:pPr>
              <w:pStyle w:val="JBAParaText"/>
              <w:keepNext/>
              <w:ind w:left="0" w:right="-2"/>
              <w:jc w:val="center"/>
              <w:cnfStyle w:val="000000000000" w:firstRow="0" w:lastRow="0" w:firstColumn="0" w:lastColumn="0" w:oddVBand="0" w:evenVBand="0" w:oddHBand="0" w:evenHBand="0" w:firstRowFirstColumn="0" w:firstRowLastColumn="0" w:lastRowFirstColumn="0" w:lastRowLastColumn="0"/>
            </w:pPr>
            <w:r>
              <w:t>100</w:t>
            </w:r>
          </w:p>
        </w:tc>
        <w:tc>
          <w:tcPr>
            <w:tcW w:w="1701" w:type="dxa"/>
          </w:tcPr>
          <w:p w14:paraId="45EBA8E7" w14:textId="77777777" w:rsidR="00A6223E" w:rsidRDefault="00A6223E" w:rsidP="009C2E29">
            <w:pPr>
              <w:pStyle w:val="JBAParaText"/>
              <w:keepNext/>
              <w:ind w:left="0" w:right="-2"/>
              <w:jc w:val="center"/>
              <w:cnfStyle w:val="000000000000" w:firstRow="0" w:lastRow="0" w:firstColumn="0" w:lastColumn="0" w:oddVBand="0" w:evenVBand="0" w:oddHBand="0" w:evenHBand="0" w:firstRowFirstColumn="0" w:firstRowLastColumn="0" w:lastRowFirstColumn="0" w:lastRowLastColumn="0"/>
            </w:pPr>
            <w:r>
              <w:t>63</w:t>
            </w:r>
          </w:p>
        </w:tc>
        <w:tc>
          <w:tcPr>
            <w:tcW w:w="1701" w:type="dxa"/>
          </w:tcPr>
          <w:p w14:paraId="7CBB867F" w14:textId="790932C5" w:rsidR="00A6223E" w:rsidRDefault="00CC5265" w:rsidP="009C2E29">
            <w:pPr>
              <w:pStyle w:val="JBAParaText"/>
              <w:keepNext/>
              <w:ind w:left="0" w:right="-2"/>
              <w:jc w:val="center"/>
              <w:cnfStyle w:val="000000000000" w:firstRow="0" w:lastRow="0" w:firstColumn="0" w:lastColumn="0" w:oddVBand="0" w:evenVBand="0" w:oddHBand="0" w:evenHBand="0" w:firstRowFirstColumn="0" w:firstRowLastColumn="0" w:lastRowFirstColumn="0" w:lastRowLastColumn="0"/>
            </w:pPr>
            <w:r>
              <w:t>5.514</w:t>
            </w:r>
          </w:p>
        </w:tc>
      </w:tr>
      <w:tr w:rsidR="00A6223E" w14:paraId="6F05B017" w14:textId="77777777" w:rsidTr="00EB0495">
        <w:tc>
          <w:tcPr>
            <w:cnfStyle w:val="001000000000" w:firstRow="0" w:lastRow="0" w:firstColumn="1" w:lastColumn="0" w:oddVBand="0" w:evenVBand="0" w:oddHBand="0" w:evenHBand="0" w:firstRowFirstColumn="0" w:firstRowLastColumn="0" w:lastRowFirstColumn="0" w:lastRowLastColumn="0"/>
            <w:tcW w:w="2802" w:type="dxa"/>
          </w:tcPr>
          <w:p w14:paraId="12DD505B" w14:textId="77777777" w:rsidR="00A6223E" w:rsidRDefault="00A6223E" w:rsidP="009C2E29">
            <w:pPr>
              <w:pStyle w:val="JBAParaText"/>
              <w:ind w:left="0" w:right="0"/>
            </w:pPr>
            <w:r>
              <w:t>Realistic achievable</w:t>
            </w:r>
          </w:p>
        </w:tc>
        <w:tc>
          <w:tcPr>
            <w:tcW w:w="1701" w:type="dxa"/>
          </w:tcPr>
          <w:p w14:paraId="4F607CA3" w14:textId="77777777" w:rsidR="00A6223E" w:rsidRDefault="00A6223E" w:rsidP="009C2E29">
            <w:pPr>
              <w:pStyle w:val="JBAParaText"/>
              <w:keepNext/>
              <w:ind w:left="0" w:right="-2"/>
              <w:jc w:val="center"/>
              <w:cnfStyle w:val="000000000000" w:firstRow="0" w:lastRow="0" w:firstColumn="0" w:lastColumn="0" w:oddVBand="0" w:evenVBand="0" w:oddHBand="0" w:evenHBand="0" w:firstRowFirstColumn="0" w:firstRowLastColumn="0" w:lastRowFirstColumn="0" w:lastRowLastColumn="0"/>
            </w:pPr>
            <w:r>
              <w:t>85</w:t>
            </w:r>
          </w:p>
        </w:tc>
        <w:tc>
          <w:tcPr>
            <w:tcW w:w="1701" w:type="dxa"/>
          </w:tcPr>
          <w:p w14:paraId="439A614A" w14:textId="77777777" w:rsidR="00A6223E" w:rsidRDefault="00A6223E" w:rsidP="009C2E29">
            <w:pPr>
              <w:pStyle w:val="JBAParaText"/>
              <w:keepNext/>
              <w:ind w:left="0" w:right="-2"/>
              <w:jc w:val="center"/>
              <w:cnfStyle w:val="000000000000" w:firstRow="0" w:lastRow="0" w:firstColumn="0" w:lastColumn="0" w:oddVBand="0" w:evenVBand="0" w:oddHBand="0" w:evenHBand="0" w:firstRowFirstColumn="0" w:firstRowLastColumn="0" w:lastRowFirstColumn="0" w:lastRowLastColumn="0"/>
            </w:pPr>
            <w:r>
              <w:t>37.9</w:t>
            </w:r>
          </w:p>
        </w:tc>
        <w:tc>
          <w:tcPr>
            <w:tcW w:w="1701" w:type="dxa"/>
          </w:tcPr>
          <w:p w14:paraId="14933930" w14:textId="70EDAD5E" w:rsidR="00A6223E" w:rsidRDefault="00CC5265" w:rsidP="009C2E29">
            <w:pPr>
              <w:pStyle w:val="JBAParaText"/>
              <w:keepNext/>
              <w:ind w:left="0" w:right="-2"/>
              <w:jc w:val="center"/>
              <w:cnfStyle w:val="000000000000" w:firstRow="0" w:lastRow="0" w:firstColumn="0" w:lastColumn="0" w:oddVBand="0" w:evenVBand="0" w:oddHBand="0" w:evenHBand="0" w:firstRowFirstColumn="0" w:firstRowLastColumn="0" w:lastRowFirstColumn="0" w:lastRowLastColumn="0"/>
            </w:pPr>
            <w:r>
              <w:t>4.714</w:t>
            </w:r>
          </w:p>
        </w:tc>
      </w:tr>
      <w:tr w:rsidR="00A6223E" w14:paraId="0675475A" w14:textId="77777777" w:rsidTr="00EB0495">
        <w:tc>
          <w:tcPr>
            <w:cnfStyle w:val="001000000000" w:firstRow="0" w:lastRow="0" w:firstColumn="1" w:lastColumn="0" w:oddVBand="0" w:evenVBand="0" w:oddHBand="0" w:evenHBand="0" w:firstRowFirstColumn="0" w:firstRowLastColumn="0" w:lastRowFirstColumn="0" w:lastRowLastColumn="0"/>
            <w:tcW w:w="2802" w:type="dxa"/>
          </w:tcPr>
          <w:p w14:paraId="48415166" w14:textId="77777777" w:rsidR="00A6223E" w:rsidRDefault="00A6223E" w:rsidP="009C2E29">
            <w:pPr>
              <w:pStyle w:val="JBAParaText"/>
              <w:ind w:left="0" w:right="0"/>
            </w:pPr>
            <w:r>
              <w:t>Ambitious</w:t>
            </w:r>
          </w:p>
        </w:tc>
        <w:tc>
          <w:tcPr>
            <w:tcW w:w="1701" w:type="dxa"/>
          </w:tcPr>
          <w:p w14:paraId="0CDC9764" w14:textId="77777777" w:rsidR="00A6223E" w:rsidRDefault="00A6223E" w:rsidP="009C2E29">
            <w:pPr>
              <w:pStyle w:val="JBAParaText"/>
              <w:keepNext/>
              <w:ind w:left="0" w:right="-2"/>
              <w:jc w:val="center"/>
              <w:cnfStyle w:val="000000000000" w:firstRow="0" w:lastRow="0" w:firstColumn="0" w:lastColumn="0" w:oddVBand="0" w:evenVBand="0" w:oddHBand="0" w:evenHBand="0" w:firstRowFirstColumn="0" w:firstRowLastColumn="0" w:lastRowFirstColumn="0" w:lastRowLastColumn="0"/>
            </w:pPr>
            <w:r>
              <w:t>62</w:t>
            </w:r>
          </w:p>
        </w:tc>
        <w:tc>
          <w:tcPr>
            <w:tcW w:w="1701" w:type="dxa"/>
          </w:tcPr>
          <w:p w14:paraId="05A888EF" w14:textId="77777777" w:rsidR="00A6223E" w:rsidRDefault="00A6223E" w:rsidP="009C2E29">
            <w:pPr>
              <w:pStyle w:val="JBAParaText"/>
              <w:keepNext/>
              <w:ind w:left="0" w:right="-2"/>
              <w:jc w:val="center"/>
              <w:cnfStyle w:val="000000000000" w:firstRow="0" w:lastRow="0" w:firstColumn="0" w:lastColumn="0" w:oddVBand="0" w:evenVBand="0" w:oddHBand="0" w:evenHBand="0" w:firstRowFirstColumn="0" w:firstRowLastColumn="0" w:lastRowFirstColumn="0" w:lastRowLastColumn="0"/>
            </w:pPr>
            <w:r>
              <w:t>22.1</w:t>
            </w:r>
          </w:p>
        </w:tc>
        <w:tc>
          <w:tcPr>
            <w:tcW w:w="1701" w:type="dxa"/>
          </w:tcPr>
          <w:p w14:paraId="2D99F5BE" w14:textId="6920EE73" w:rsidR="00A6223E" w:rsidRDefault="00CC5265" w:rsidP="009C2E29">
            <w:pPr>
              <w:pStyle w:val="JBAParaText"/>
              <w:keepNext/>
              <w:ind w:left="0" w:right="-2"/>
              <w:jc w:val="center"/>
              <w:cnfStyle w:val="000000000000" w:firstRow="0" w:lastRow="0" w:firstColumn="0" w:lastColumn="0" w:oddVBand="0" w:evenVBand="0" w:oddHBand="0" w:evenHBand="0" w:firstRowFirstColumn="0" w:firstRowLastColumn="0" w:lastRowFirstColumn="0" w:lastRowLastColumn="0"/>
            </w:pPr>
            <w:r>
              <w:t>3.488</w:t>
            </w:r>
          </w:p>
        </w:tc>
      </w:tr>
      <w:bookmarkEnd w:id="43"/>
    </w:tbl>
    <w:p w14:paraId="5C3F0C8E" w14:textId="77777777" w:rsidR="009C2E29" w:rsidRDefault="009C2E29" w:rsidP="0086093B">
      <w:pPr>
        <w:pStyle w:val="JBAParaText"/>
        <w:keepNext/>
      </w:pPr>
    </w:p>
    <w:p w14:paraId="79D17AA6" w14:textId="2F68A2FF" w:rsidR="0086093B" w:rsidRDefault="0086093B" w:rsidP="0086093B">
      <w:pPr>
        <w:pStyle w:val="JBAParaText"/>
        <w:keepNext/>
      </w:pPr>
    </w:p>
    <w:p w14:paraId="23437F0E" w14:textId="56EDC447" w:rsidR="00CC5265" w:rsidRDefault="00CC5265" w:rsidP="0086093B">
      <w:pPr>
        <w:pStyle w:val="JBAParaText"/>
        <w:keepNext/>
      </w:pPr>
      <w:r>
        <w:rPr>
          <w:noProof/>
        </w:rPr>
        <w:drawing>
          <wp:inline distT="0" distB="0" distL="0" distR="0" wp14:anchorId="220741BB" wp14:editId="2099C97B">
            <wp:extent cx="5629040" cy="3005667"/>
            <wp:effectExtent l="0" t="0" r="0" b="4445"/>
            <wp:docPr id="8" name="Picture 8" descr="Line graph showing the water demand in different scenarios used in this report. Building regulations standard has the highest water demand, following by buildings regulations optional, target 100, realistic achievable and ambitious. the separation between lines gets wider between the start in 2021 and the finish in 2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Line graph showing the water demand in different scenarios used in this report. Building regulations standard has the highest water demand, following by buildings regulations optional, target 100, realistic achievable and ambitious. the separation between lines gets wider between the start in 2021 and the finish in 203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39634" cy="3011324"/>
                    </a:xfrm>
                    <a:prstGeom prst="rect">
                      <a:avLst/>
                    </a:prstGeom>
                    <a:noFill/>
                  </pic:spPr>
                </pic:pic>
              </a:graphicData>
            </a:graphic>
          </wp:inline>
        </w:drawing>
      </w:r>
    </w:p>
    <w:p w14:paraId="745B350D" w14:textId="1ADEA9C6" w:rsidR="00BF51FA" w:rsidRDefault="0086093B" w:rsidP="00BF51FA">
      <w:pPr>
        <w:pStyle w:val="Caption"/>
        <w:jc w:val="both"/>
      </w:pPr>
      <w:bookmarkStart w:id="44" w:name="_Ref79506958"/>
      <w:bookmarkStart w:id="45" w:name="_Toc101855286"/>
      <w:r>
        <w:t xml:space="preserve">Figure </w:t>
      </w:r>
      <w:r w:rsidR="00075F24">
        <w:rPr>
          <w:noProof/>
        </w:rPr>
        <w:fldChar w:fldCharType="begin"/>
      </w:r>
      <w:r w:rsidR="00075F24">
        <w:rPr>
          <w:noProof/>
        </w:rPr>
        <w:instrText xml:space="preserve"> STYLEREF 1 \s </w:instrText>
      </w:r>
      <w:r w:rsidR="00075F24">
        <w:rPr>
          <w:noProof/>
        </w:rPr>
        <w:fldChar w:fldCharType="separate"/>
      </w:r>
      <w:r w:rsidR="00643E47">
        <w:rPr>
          <w:noProof/>
        </w:rPr>
        <w:t>2</w:t>
      </w:r>
      <w:r w:rsidR="00075F24">
        <w:rPr>
          <w:noProof/>
        </w:rPr>
        <w:fldChar w:fldCharType="end"/>
      </w:r>
      <w:r w:rsidR="000D1B78">
        <w:t>.</w:t>
      </w:r>
      <w:r w:rsidR="00075F24">
        <w:rPr>
          <w:noProof/>
        </w:rPr>
        <w:fldChar w:fldCharType="begin"/>
      </w:r>
      <w:r w:rsidR="00075F24">
        <w:rPr>
          <w:noProof/>
        </w:rPr>
        <w:instrText xml:space="preserve"> SEQ Figure \* ARABIC \s 1 </w:instrText>
      </w:r>
      <w:r w:rsidR="00075F24">
        <w:rPr>
          <w:noProof/>
        </w:rPr>
        <w:fldChar w:fldCharType="separate"/>
      </w:r>
      <w:r w:rsidR="00643E47">
        <w:rPr>
          <w:noProof/>
        </w:rPr>
        <w:t>1</w:t>
      </w:r>
      <w:r w:rsidR="00075F24">
        <w:rPr>
          <w:noProof/>
        </w:rPr>
        <w:fldChar w:fldCharType="end"/>
      </w:r>
      <w:bookmarkEnd w:id="44"/>
      <w:r>
        <w:t xml:space="preserve"> </w:t>
      </w:r>
      <w:r w:rsidR="006E1945">
        <w:t xml:space="preserve">Forecast water </w:t>
      </w:r>
      <w:r>
        <w:t xml:space="preserve">demand </w:t>
      </w:r>
      <w:r w:rsidR="006E1945">
        <w:t xml:space="preserve">from development </w:t>
      </w:r>
      <w:r>
        <w:t>during the plan period</w:t>
      </w:r>
      <w:bookmarkEnd w:id="45"/>
    </w:p>
    <w:p w14:paraId="6A0F3293" w14:textId="01F25CC7" w:rsidR="00BF51FA" w:rsidRDefault="00BF51FA" w:rsidP="00BF51FA">
      <w:pPr>
        <w:pStyle w:val="JBAParaText"/>
      </w:pPr>
      <w:r>
        <w:t xml:space="preserve">A breakdown of water demand by LPA area is shown in </w:t>
      </w:r>
      <w:r>
        <w:fldChar w:fldCharType="begin"/>
      </w:r>
      <w:r>
        <w:instrText xml:space="preserve"> REF _Ref79747568 \h </w:instrText>
      </w:r>
      <w:r>
        <w:fldChar w:fldCharType="separate"/>
      </w:r>
      <w:r w:rsidR="00643E47">
        <w:t xml:space="preserve">Table </w:t>
      </w:r>
      <w:r w:rsidR="00643E47">
        <w:rPr>
          <w:noProof/>
        </w:rPr>
        <w:t>2</w:t>
      </w:r>
      <w:r w:rsidR="00643E47">
        <w:t>.</w:t>
      </w:r>
      <w:r w:rsidR="00643E47">
        <w:rPr>
          <w:noProof/>
        </w:rPr>
        <w:t>7</w:t>
      </w:r>
      <w:r>
        <w:fldChar w:fldCharType="end"/>
      </w:r>
      <w:r>
        <w:t xml:space="preserve"> and </w:t>
      </w:r>
      <w:r>
        <w:fldChar w:fldCharType="begin"/>
      </w:r>
      <w:r>
        <w:instrText xml:space="preserve"> REF _Ref79747580 \h </w:instrText>
      </w:r>
      <w:r>
        <w:fldChar w:fldCharType="separate"/>
      </w:r>
      <w:r w:rsidR="00643E47">
        <w:t xml:space="preserve">Figure </w:t>
      </w:r>
      <w:r w:rsidR="00643E47">
        <w:rPr>
          <w:noProof/>
        </w:rPr>
        <w:t>2</w:t>
      </w:r>
      <w:r w:rsidR="00643E47">
        <w:t>.</w:t>
      </w:r>
      <w:r w:rsidR="00643E47">
        <w:rPr>
          <w:noProof/>
        </w:rPr>
        <w:t>2</w:t>
      </w:r>
      <w:r>
        <w:fldChar w:fldCharType="end"/>
      </w:r>
      <w:r>
        <w:t xml:space="preserve">. </w:t>
      </w:r>
    </w:p>
    <w:p w14:paraId="64141F2C" w14:textId="2F1B9130" w:rsidR="00BF51FA" w:rsidRDefault="00BF51FA" w:rsidP="00BF51FA">
      <w:pPr>
        <w:pStyle w:val="JBAParaText"/>
      </w:pPr>
      <w:r>
        <w:t>The most significant demand in the WRZ comes from Horsham District Council.</w:t>
      </w:r>
    </w:p>
    <w:p w14:paraId="4F9DBCC6" w14:textId="18A1193B" w:rsidR="00CC33C4" w:rsidRDefault="00CC33C4" w:rsidP="00BF51FA">
      <w:pPr>
        <w:pStyle w:val="JBAParaText"/>
      </w:pPr>
    </w:p>
    <w:p w14:paraId="7751ABAC" w14:textId="6D024F28" w:rsidR="00CC33C4" w:rsidRDefault="00CC33C4" w:rsidP="00BF51FA">
      <w:pPr>
        <w:pStyle w:val="JBAParaText"/>
      </w:pPr>
    </w:p>
    <w:p w14:paraId="0CA3B1E3" w14:textId="77777777" w:rsidR="00CC33C4" w:rsidRDefault="00CC33C4" w:rsidP="00BF51FA">
      <w:pPr>
        <w:pStyle w:val="JBAParaText"/>
      </w:pPr>
    </w:p>
    <w:p w14:paraId="72FCB8CB" w14:textId="676A61BA" w:rsidR="00BF51FA" w:rsidRDefault="00BF51FA" w:rsidP="00BF51FA">
      <w:pPr>
        <w:pStyle w:val="Caption"/>
        <w:keepNext/>
      </w:pPr>
      <w:bookmarkStart w:id="46" w:name="_Ref79747568"/>
      <w:bookmarkStart w:id="47" w:name="_Toc101856740"/>
      <w:r>
        <w:t xml:space="preserve">Table </w:t>
      </w:r>
      <w:r w:rsidR="00E6462B">
        <w:fldChar w:fldCharType="begin"/>
      </w:r>
      <w:r w:rsidR="00E6462B">
        <w:instrText xml:space="preserve"> STYLEREF 1 \s </w:instrText>
      </w:r>
      <w:r w:rsidR="00E6462B">
        <w:fldChar w:fldCharType="separate"/>
      </w:r>
      <w:r w:rsidR="00643E47">
        <w:rPr>
          <w:noProof/>
        </w:rPr>
        <w:t>2</w:t>
      </w:r>
      <w:r w:rsidR="00E6462B">
        <w:rPr>
          <w:noProof/>
        </w:rPr>
        <w:fldChar w:fldCharType="end"/>
      </w:r>
      <w:r w:rsidR="00DF396A">
        <w:t>.</w:t>
      </w:r>
      <w:r w:rsidR="00E6462B">
        <w:fldChar w:fldCharType="begin"/>
      </w:r>
      <w:r w:rsidR="00E6462B">
        <w:instrText xml:space="preserve"> SEQ Table \* ARABIC \s 1 </w:instrText>
      </w:r>
      <w:r w:rsidR="00E6462B">
        <w:fldChar w:fldCharType="separate"/>
      </w:r>
      <w:r w:rsidR="00643E47">
        <w:rPr>
          <w:noProof/>
        </w:rPr>
        <w:t>7</w:t>
      </w:r>
      <w:r w:rsidR="00E6462B">
        <w:rPr>
          <w:noProof/>
        </w:rPr>
        <w:fldChar w:fldCharType="end"/>
      </w:r>
      <w:bookmarkEnd w:id="46"/>
      <w:r>
        <w:t xml:space="preserve"> Water demand by LPA area</w:t>
      </w:r>
      <w:r w:rsidR="00A936ED">
        <w:t xml:space="preserve"> (Ml/d)</w:t>
      </w:r>
      <w:bookmarkEnd w:id="47"/>
    </w:p>
    <w:tbl>
      <w:tblPr>
        <w:tblStyle w:val="JBATable1"/>
        <w:tblW w:w="8018" w:type="dxa"/>
        <w:tblLook w:val="04A0" w:firstRow="1" w:lastRow="0" w:firstColumn="1" w:lastColumn="0" w:noHBand="0" w:noVBand="1"/>
      </w:tblPr>
      <w:tblGrid>
        <w:gridCol w:w="2773"/>
        <w:gridCol w:w="850"/>
        <w:gridCol w:w="851"/>
        <w:gridCol w:w="850"/>
        <w:gridCol w:w="851"/>
        <w:gridCol w:w="850"/>
        <w:gridCol w:w="993"/>
      </w:tblGrid>
      <w:tr w:rsidR="00686908" w:rsidRPr="00BF51FA" w14:paraId="6835D890" w14:textId="77777777" w:rsidTr="00BF51FA">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73" w:type="dxa"/>
            <w:noWrap/>
            <w:hideMark/>
          </w:tcPr>
          <w:p w14:paraId="644A2D78" w14:textId="77777777" w:rsidR="00BF51FA" w:rsidRPr="00CC33C4" w:rsidRDefault="00BF51FA" w:rsidP="00BF51FA">
            <w:pPr>
              <w:ind w:left="0" w:right="0"/>
              <w:jc w:val="center"/>
              <w:rPr>
                <w:rFonts w:ascii="Calibri" w:eastAsia="Times New Roman" w:hAnsi="Calibri" w:cs="Calibri"/>
                <w:b w:val="0"/>
                <w:bCs/>
                <w:sz w:val="24"/>
                <w:szCs w:val="24"/>
              </w:rPr>
            </w:pPr>
            <w:r w:rsidRPr="00CC33C4">
              <w:rPr>
                <w:rFonts w:ascii="Calibri" w:eastAsia="Times New Roman" w:hAnsi="Calibri" w:cs="Calibri"/>
                <w:b w:val="0"/>
                <w:bCs/>
                <w:sz w:val="24"/>
                <w:szCs w:val="24"/>
              </w:rPr>
              <w:t>Scenario</w:t>
            </w:r>
          </w:p>
        </w:tc>
        <w:tc>
          <w:tcPr>
            <w:tcW w:w="850" w:type="dxa"/>
            <w:noWrap/>
            <w:hideMark/>
          </w:tcPr>
          <w:p w14:paraId="0CBF39D3" w14:textId="77777777" w:rsidR="00BF51FA" w:rsidRPr="00CC33C4" w:rsidRDefault="00BF51FA" w:rsidP="00BF51FA">
            <w:pPr>
              <w:ind w:left="0" w:right="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sz w:val="24"/>
                <w:szCs w:val="24"/>
              </w:rPr>
            </w:pPr>
            <w:r w:rsidRPr="00CC33C4">
              <w:rPr>
                <w:rFonts w:ascii="Calibri" w:eastAsia="Times New Roman" w:hAnsi="Calibri" w:cs="Calibri"/>
                <w:b w:val="0"/>
                <w:bCs/>
                <w:sz w:val="24"/>
                <w:szCs w:val="24"/>
              </w:rPr>
              <w:t>CBC</w:t>
            </w:r>
          </w:p>
        </w:tc>
        <w:tc>
          <w:tcPr>
            <w:tcW w:w="851" w:type="dxa"/>
            <w:noWrap/>
            <w:hideMark/>
          </w:tcPr>
          <w:p w14:paraId="1F1A1657" w14:textId="77777777" w:rsidR="00BF51FA" w:rsidRPr="00CC33C4" w:rsidRDefault="00BF51FA" w:rsidP="00BF51FA">
            <w:pPr>
              <w:ind w:left="0" w:right="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sz w:val="24"/>
                <w:szCs w:val="24"/>
              </w:rPr>
            </w:pPr>
            <w:r w:rsidRPr="00CC33C4">
              <w:rPr>
                <w:rFonts w:ascii="Calibri" w:eastAsia="Times New Roman" w:hAnsi="Calibri" w:cs="Calibri"/>
                <w:b w:val="0"/>
                <w:bCs/>
                <w:sz w:val="24"/>
                <w:szCs w:val="24"/>
              </w:rPr>
              <w:t>CDC</w:t>
            </w:r>
          </w:p>
        </w:tc>
        <w:tc>
          <w:tcPr>
            <w:tcW w:w="850" w:type="dxa"/>
            <w:noWrap/>
            <w:hideMark/>
          </w:tcPr>
          <w:p w14:paraId="46D7D468" w14:textId="77777777" w:rsidR="00BF51FA" w:rsidRPr="00CC33C4" w:rsidRDefault="00BF51FA" w:rsidP="00BF51FA">
            <w:pPr>
              <w:ind w:left="0" w:right="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sz w:val="24"/>
                <w:szCs w:val="24"/>
              </w:rPr>
            </w:pPr>
            <w:r w:rsidRPr="00CC33C4">
              <w:rPr>
                <w:rFonts w:ascii="Calibri" w:eastAsia="Times New Roman" w:hAnsi="Calibri" w:cs="Calibri"/>
                <w:b w:val="0"/>
                <w:bCs/>
                <w:sz w:val="24"/>
                <w:szCs w:val="24"/>
              </w:rPr>
              <w:t>SDNP</w:t>
            </w:r>
          </w:p>
        </w:tc>
        <w:tc>
          <w:tcPr>
            <w:tcW w:w="851" w:type="dxa"/>
            <w:noWrap/>
            <w:hideMark/>
          </w:tcPr>
          <w:p w14:paraId="60FC7A96" w14:textId="77777777" w:rsidR="00BF51FA" w:rsidRPr="00CC33C4" w:rsidRDefault="00BF51FA" w:rsidP="00BF51FA">
            <w:pPr>
              <w:ind w:left="0" w:right="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sz w:val="24"/>
                <w:szCs w:val="24"/>
              </w:rPr>
            </w:pPr>
            <w:r w:rsidRPr="00CC33C4">
              <w:rPr>
                <w:rFonts w:ascii="Calibri" w:eastAsia="Times New Roman" w:hAnsi="Calibri" w:cs="Calibri"/>
                <w:b w:val="0"/>
                <w:bCs/>
                <w:sz w:val="24"/>
                <w:szCs w:val="24"/>
              </w:rPr>
              <w:t>HDC</w:t>
            </w:r>
          </w:p>
        </w:tc>
        <w:tc>
          <w:tcPr>
            <w:tcW w:w="850" w:type="dxa"/>
            <w:noWrap/>
            <w:hideMark/>
          </w:tcPr>
          <w:p w14:paraId="50F7C068" w14:textId="10AFA770" w:rsidR="00BF51FA" w:rsidRPr="00CC33C4" w:rsidRDefault="00BF51FA" w:rsidP="00BF51FA">
            <w:pPr>
              <w:ind w:left="0" w:right="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sz w:val="24"/>
                <w:szCs w:val="24"/>
              </w:rPr>
            </w:pPr>
            <w:r w:rsidRPr="00CC33C4">
              <w:rPr>
                <w:rFonts w:ascii="Calibri" w:eastAsia="Times New Roman" w:hAnsi="Calibri" w:cs="Calibri"/>
                <w:b w:val="0"/>
                <w:bCs/>
                <w:sz w:val="24"/>
                <w:szCs w:val="24"/>
              </w:rPr>
              <w:t>W</w:t>
            </w:r>
            <w:r w:rsidR="00A936ED" w:rsidRPr="00CC33C4">
              <w:rPr>
                <w:rFonts w:ascii="Calibri" w:eastAsia="Times New Roman" w:hAnsi="Calibri" w:cs="Calibri"/>
                <w:b w:val="0"/>
                <w:bCs/>
                <w:sz w:val="24"/>
                <w:szCs w:val="24"/>
              </w:rPr>
              <w:t>B</w:t>
            </w:r>
            <w:r w:rsidRPr="00CC33C4">
              <w:rPr>
                <w:rFonts w:ascii="Calibri" w:eastAsia="Times New Roman" w:hAnsi="Calibri" w:cs="Calibri"/>
                <w:b w:val="0"/>
                <w:bCs/>
                <w:sz w:val="24"/>
                <w:szCs w:val="24"/>
              </w:rPr>
              <w:t>C</w:t>
            </w:r>
          </w:p>
        </w:tc>
        <w:tc>
          <w:tcPr>
            <w:tcW w:w="993" w:type="dxa"/>
            <w:noWrap/>
            <w:hideMark/>
          </w:tcPr>
          <w:p w14:paraId="4B9D2F8C" w14:textId="77777777" w:rsidR="00BF51FA" w:rsidRPr="00CC33C4" w:rsidRDefault="00BF51FA" w:rsidP="00BF51FA">
            <w:pPr>
              <w:ind w:left="0" w:right="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sz w:val="24"/>
                <w:szCs w:val="24"/>
              </w:rPr>
            </w:pPr>
            <w:r w:rsidRPr="00CC33C4">
              <w:rPr>
                <w:rFonts w:ascii="Calibri" w:eastAsia="Times New Roman" w:hAnsi="Calibri" w:cs="Calibri"/>
                <w:b w:val="0"/>
                <w:bCs/>
                <w:sz w:val="24"/>
                <w:szCs w:val="24"/>
              </w:rPr>
              <w:t>Total</w:t>
            </w:r>
          </w:p>
        </w:tc>
      </w:tr>
      <w:tr w:rsidR="00CC5265" w:rsidRPr="00BF51FA" w14:paraId="3CC473BE" w14:textId="77777777" w:rsidTr="008A0360">
        <w:trPr>
          <w:trHeight w:val="300"/>
        </w:trPr>
        <w:tc>
          <w:tcPr>
            <w:cnfStyle w:val="001000000000" w:firstRow="0" w:lastRow="0" w:firstColumn="1" w:lastColumn="0" w:oddVBand="0" w:evenVBand="0" w:oddHBand="0" w:evenHBand="0" w:firstRowFirstColumn="0" w:firstRowLastColumn="0" w:lastRowFirstColumn="0" w:lastRowLastColumn="0"/>
            <w:tcW w:w="2773" w:type="dxa"/>
            <w:noWrap/>
            <w:hideMark/>
          </w:tcPr>
          <w:p w14:paraId="74C1E9D2" w14:textId="77777777" w:rsidR="00CC5265" w:rsidRPr="00CC33C4" w:rsidRDefault="00CC5265" w:rsidP="00CC5265">
            <w:pPr>
              <w:ind w:left="0" w:right="0"/>
              <w:rPr>
                <w:rFonts w:ascii="Calibri" w:eastAsia="Times New Roman" w:hAnsi="Calibri" w:cs="Calibri"/>
                <w:b/>
                <w:bCs/>
                <w:color w:val="000000"/>
                <w:sz w:val="24"/>
                <w:szCs w:val="24"/>
              </w:rPr>
            </w:pPr>
            <w:r w:rsidRPr="00CC33C4">
              <w:rPr>
                <w:rFonts w:ascii="Calibri" w:eastAsia="Times New Roman" w:hAnsi="Calibri" w:cs="Calibri"/>
                <w:b/>
                <w:bCs/>
                <w:color w:val="000000"/>
                <w:sz w:val="24"/>
                <w:szCs w:val="24"/>
              </w:rPr>
              <w:t>BUILDING REGS. STANDARD</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E341181" w14:textId="6AEAF982" w:rsidR="00CC5265" w:rsidRPr="00CC33C4" w:rsidRDefault="00CC5265" w:rsidP="00CC5265">
            <w:pPr>
              <w:ind w:left="0" w:right="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rPr>
            </w:pPr>
            <w:r w:rsidRPr="00CC33C4">
              <w:rPr>
                <w:rFonts w:ascii="Calibri" w:hAnsi="Calibri" w:cs="Calibri"/>
                <w:color w:val="000000"/>
                <w:sz w:val="24"/>
                <w:szCs w:val="24"/>
              </w:rPr>
              <w:t>1.353</w:t>
            </w:r>
          </w:p>
        </w:tc>
        <w:tc>
          <w:tcPr>
            <w:tcW w:w="851" w:type="dxa"/>
            <w:tcBorders>
              <w:top w:val="single" w:sz="4" w:space="0" w:color="auto"/>
              <w:left w:val="nil"/>
              <w:bottom w:val="single" w:sz="4" w:space="0" w:color="auto"/>
              <w:right w:val="single" w:sz="4" w:space="0" w:color="auto"/>
            </w:tcBorders>
            <w:shd w:val="clear" w:color="000000" w:fill="FFFFFF"/>
            <w:noWrap/>
            <w:vAlign w:val="bottom"/>
            <w:hideMark/>
          </w:tcPr>
          <w:p w14:paraId="3E905136" w14:textId="5372F081" w:rsidR="00CC5265" w:rsidRPr="00CC33C4" w:rsidRDefault="00CC5265" w:rsidP="00CC5265">
            <w:pPr>
              <w:ind w:left="0" w:right="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rPr>
            </w:pPr>
            <w:r w:rsidRPr="00CC33C4">
              <w:rPr>
                <w:rFonts w:ascii="Calibri" w:hAnsi="Calibri" w:cs="Calibri"/>
                <w:color w:val="000000"/>
                <w:sz w:val="24"/>
                <w:szCs w:val="24"/>
              </w:rPr>
              <w:t>0.514</w:t>
            </w:r>
          </w:p>
        </w:tc>
        <w:tc>
          <w:tcPr>
            <w:tcW w:w="850" w:type="dxa"/>
            <w:tcBorders>
              <w:top w:val="single" w:sz="4" w:space="0" w:color="auto"/>
              <w:left w:val="nil"/>
              <w:bottom w:val="single" w:sz="4" w:space="0" w:color="auto"/>
              <w:right w:val="single" w:sz="4" w:space="0" w:color="auto"/>
            </w:tcBorders>
            <w:shd w:val="clear" w:color="000000" w:fill="FFFFFF"/>
            <w:noWrap/>
            <w:vAlign w:val="bottom"/>
            <w:hideMark/>
          </w:tcPr>
          <w:p w14:paraId="41886C2B" w14:textId="7B815D80" w:rsidR="00CC5265" w:rsidRPr="00CC33C4" w:rsidRDefault="00CC5265" w:rsidP="00CC5265">
            <w:pPr>
              <w:ind w:left="0" w:right="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rPr>
            </w:pPr>
            <w:r w:rsidRPr="00CC33C4">
              <w:rPr>
                <w:rFonts w:ascii="Calibri" w:hAnsi="Calibri" w:cs="Calibri"/>
                <w:color w:val="000000"/>
                <w:sz w:val="24"/>
                <w:szCs w:val="24"/>
              </w:rPr>
              <w:t>0.151</w:t>
            </w:r>
          </w:p>
        </w:tc>
        <w:tc>
          <w:tcPr>
            <w:tcW w:w="851" w:type="dxa"/>
            <w:tcBorders>
              <w:top w:val="single" w:sz="4" w:space="0" w:color="auto"/>
              <w:left w:val="nil"/>
              <w:bottom w:val="single" w:sz="4" w:space="0" w:color="auto"/>
              <w:right w:val="single" w:sz="4" w:space="0" w:color="auto"/>
            </w:tcBorders>
            <w:shd w:val="clear" w:color="000000" w:fill="FFFFFF"/>
            <w:noWrap/>
            <w:vAlign w:val="bottom"/>
            <w:hideMark/>
          </w:tcPr>
          <w:p w14:paraId="29AA8883" w14:textId="2CECF322" w:rsidR="00CC5265" w:rsidRPr="00CC33C4" w:rsidRDefault="00CC5265" w:rsidP="00CC5265">
            <w:pPr>
              <w:ind w:left="0" w:right="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rPr>
            </w:pPr>
            <w:r w:rsidRPr="00CC33C4">
              <w:rPr>
                <w:rFonts w:ascii="Calibri" w:hAnsi="Calibri" w:cs="Calibri"/>
                <w:color w:val="000000"/>
                <w:sz w:val="24"/>
                <w:szCs w:val="24"/>
              </w:rPr>
              <w:t>4.821</w:t>
            </w:r>
          </w:p>
        </w:tc>
        <w:tc>
          <w:tcPr>
            <w:tcW w:w="850" w:type="dxa"/>
            <w:tcBorders>
              <w:top w:val="single" w:sz="4" w:space="0" w:color="auto"/>
              <w:left w:val="nil"/>
              <w:bottom w:val="single" w:sz="4" w:space="0" w:color="auto"/>
              <w:right w:val="single" w:sz="4" w:space="0" w:color="auto"/>
            </w:tcBorders>
            <w:shd w:val="clear" w:color="000000" w:fill="FFFFFF"/>
            <w:noWrap/>
            <w:vAlign w:val="bottom"/>
            <w:hideMark/>
          </w:tcPr>
          <w:p w14:paraId="0E43C9BB" w14:textId="19382E1B" w:rsidR="00CC5265" w:rsidRPr="00CC33C4" w:rsidRDefault="00CC5265" w:rsidP="00CC5265">
            <w:pPr>
              <w:ind w:left="0" w:right="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rPr>
            </w:pPr>
            <w:r w:rsidRPr="00CC33C4">
              <w:rPr>
                <w:rFonts w:ascii="Calibri" w:hAnsi="Calibri" w:cs="Calibri"/>
                <w:color w:val="000000"/>
                <w:sz w:val="24"/>
                <w:szCs w:val="24"/>
              </w:rPr>
              <w:t>0.008</w:t>
            </w:r>
          </w:p>
        </w:tc>
        <w:tc>
          <w:tcPr>
            <w:tcW w:w="993" w:type="dxa"/>
            <w:tcBorders>
              <w:top w:val="single" w:sz="4" w:space="0" w:color="auto"/>
              <w:left w:val="nil"/>
              <w:bottom w:val="single" w:sz="4" w:space="0" w:color="auto"/>
              <w:right w:val="single" w:sz="4" w:space="0" w:color="auto"/>
            </w:tcBorders>
            <w:shd w:val="clear" w:color="000000" w:fill="FFFFFF"/>
            <w:noWrap/>
            <w:vAlign w:val="bottom"/>
            <w:hideMark/>
          </w:tcPr>
          <w:p w14:paraId="599ED0FE" w14:textId="1B4D719E" w:rsidR="00CC5265" w:rsidRPr="00CC33C4" w:rsidRDefault="00CC5265" w:rsidP="00CC5265">
            <w:pPr>
              <w:ind w:left="0" w:right="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4"/>
                <w:szCs w:val="24"/>
              </w:rPr>
            </w:pPr>
            <w:r w:rsidRPr="00CC33C4">
              <w:rPr>
                <w:rFonts w:ascii="Calibri" w:hAnsi="Calibri" w:cs="Calibri"/>
                <w:b/>
                <w:bCs/>
                <w:color w:val="000000"/>
                <w:sz w:val="24"/>
                <w:szCs w:val="24"/>
              </w:rPr>
              <w:t>6.847</w:t>
            </w:r>
          </w:p>
        </w:tc>
      </w:tr>
      <w:tr w:rsidR="00CC5265" w:rsidRPr="00BF51FA" w14:paraId="53795C54" w14:textId="77777777" w:rsidTr="008A0360">
        <w:trPr>
          <w:trHeight w:val="300"/>
        </w:trPr>
        <w:tc>
          <w:tcPr>
            <w:cnfStyle w:val="001000000000" w:firstRow="0" w:lastRow="0" w:firstColumn="1" w:lastColumn="0" w:oddVBand="0" w:evenVBand="0" w:oddHBand="0" w:evenHBand="0" w:firstRowFirstColumn="0" w:firstRowLastColumn="0" w:lastRowFirstColumn="0" w:lastRowLastColumn="0"/>
            <w:tcW w:w="2773" w:type="dxa"/>
            <w:noWrap/>
            <w:hideMark/>
          </w:tcPr>
          <w:p w14:paraId="57992733" w14:textId="77777777" w:rsidR="00CC5265" w:rsidRPr="00CC33C4" w:rsidRDefault="00CC5265" w:rsidP="00CC5265">
            <w:pPr>
              <w:ind w:left="0" w:right="0"/>
              <w:rPr>
                <w:rFonts w:ascii="Calibri" w:eastAsia="Times New Roman" w:hAnsi="Calibri" w:cs="Calibri"/>
                <w:b/>
                <w:bCs/>
                <w:color w:val="000000"/>
                <w:sz w:val="24"/>
                <w:szCs w:val="24"/>
              </w:rPr>
            </w:pPr>
            <w:r w:rsidRPr="00CC33C4">
              <w:rPr>
                <w:rFonts w:ascii="Calibri" w:eastAsia="Times New Roman" w:hAnsi="Calibri" w:cs="Calibri"/>
                <w:b/>
                <w:bCs/>
                <w:color w:val="000000"/>
                <w:sz w:val="24"/>
                <w:szCs w:val="24"/>
              </w:rPr>
              <w:t>BUILDING REGS. OPTIONAL</w:t>
            </w:r>
          </w:p>
        </w:tc>
        <w:tc>
          <w:tcPr>
            <w:tcW w:w="850" w:type="dxa"/>
            <w:tcBorders>
              <w:top w:val="nil"/>
              <w:left w:val="single" w:sz="4" w:space="0" w:color="auto"/>
              <w:bottom w:val="single" w:sz="4" w:space="0" w:color="auto"/>
              <w:right w:val="single" w:sz="4" w:space="0" w:color="auto"/>
            </w:tcBorders>
            <w:shd w:val="clear" w:color="000000" w:fill="FFFFFF"/>
            <w:noWrap/>
            <w:vAlign w:val="bottom"/>
            <w:hideMark/>
          </w:tcPr>
          <w:p w14:paraId="2981ADF0" w14:textId="050C6988" w:rsidR="00CC5265" w:rsidRPr="00CC33C4" w:rsidRDefault="00CC5265" w:rsidP="00CC5265">
            <w:pPr>
              <w:ind w:left="0" w:right="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rPr>
            </w:pPr>
            <w:r w:rsidRPr="00CC33C4">
              <w:rPr>
                <w:rFonts w:ascii="Calibri" w:hAnsi="Calibri" w:cs="Calibri"/>
                <w:color w:val="000000"/>
                <w:sz w:val="24"/>
                <w:szCs w:val="24"/>
              </w:rPr>
              <w:t>1.195</w:t>
            </w:r>
          </w:p>
        </w:tc>
        <w:tc>
          <w:tcPr>
            <w:tcW w:w="851" w:type="dxa"/>
            <w:tcBorders>
              <w:top w:val="nil"/>
              <w:left w:val="nil"/>
              <w:bottom w:val="single" w:sz="4" w:space="0" w:color="auto"/>
              <w:right w:val="single" w:sz="4" w:space="0" w:color="auto"/>
            </w:tcBorders>
            <w:shd w:val="clear" w:color="000000" w:fill="FFFFFF"/>
            <w:noWrap/>
            <w:vAlign w:val="bottom"/>
            <w:hideMark/>
          </w:tcPr>
          <w:p w14:paraId="6EFAA4EE" w14:textId="4839438C" w:rsidR="00CC5265" w:rsidRPr="00CC33C4" w:rsidRDefault="00CC5265" w:rsidP="00CC5265">
            <w:pPr>
              <w:ind w:left="0" w:right="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rPr>
            </w:pPr>
            <w:r w:rsidRPr="00CC33C4">
              <w:rPr>
                <w:rFonts w:ascii="Calibri" w:hAnsi="Calibri" w:cs="Calibri"/>
                <w:color w:val="000000"/>
                <w:sz w:val="24"/>
                <w:szCs w:val="24"/>
              </w:rPr>
              <w:t>0.454</w:t>
            </w:r>
          </w:p>
        </w:tc>
        <w:tc>
          <w:tcPr>
            <w:tcW w:w="850" w:type="dxa"/>
            <w:tcBorders>
              <w:top w:val="nil"/>
              <w:left w:val="nil"/>
              <w:bottom w:val="single" w:sz="4" w:space="0" w:color="auto"/>
              <w:right w:val="single" w:sz="4" w:space="0" w:color="auto"/>
            </w:tcBorders>
            <w:shd w:val="clear" w:color="000000" w:fill="FFFFFF"/>
            <w:noWrap/>
            <w:vAlign w:val="bottom"/>
            <w:hideMark/>
          </w:tcPr>
          <w:p w14:paraId="20962903" w14:textId="57E13417" w:rsidR="00CC5265" w:rsidRPr="00CC33C4" w:rsidRDefault="00CC5265" w:rsidP="00CC5265">
            <w:pPr>
              <w:ind w:left="0" w:right="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rPr>
            </w:pPr>
            <w:r w:rsidRPr="00CC33C4">
              <w:rPr>
                <w:rFonts w:ascii="Calibri" w:hAnsi="Calibri" w:cs="Calibri"/>
                <w:color w:val="000000"/>
                <w:sz w:val="24"/>
                <w:szCs w:val="24"/>
              </w:rPr>
              <w:t>0.134</w:t>
            </w:r>
          </w:p>
        </w:tc>
        <w:tc>
          <w:tcPr>
            <w:tcW w:w="851" w:type="dxa"/>
            <w:tcBorders>
              <w:top w:val="nil"/>
              <w:left w:val="nil"/>
              <w:bottom w:val="single" w:sz="4" w:space="0" w:color="auto"/>
              <w:right w:val="single" w:sz="4" w:space="0" w:color="auto"/>
            </w:tcBorders>
            <w:shd w:val="clear" w:color="000000" w:fill="FFFFFF"/>
            <w:noWrap/>
            <w:vAlign w:val="bottom"/>
            <w:hideMark/>
          </w:tcPr>
          <w:p w14:paraId="3BB016F5" w14:textId="75983536" w:rsidR="00CC5265" w:rsidRPr="00CC33C4" w:rsidRDefault="00CC5265" w:rsidP="00CC5265">
            <w:pPr>
              <w:ind w:left="0" w:right="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rPr>
            </w:pPr>
            <w:r w:rsidRPr="00CC33C4">
              <w:rPr>
                <w:rFonts w:ascii="Calibri" w:hAnsi="Calibri" w:cs="Calibri"/>
                <w:color w:val="000000"/>
                <w:sz w:val="24"/>
                <w:szCs w:val="24"/>
              </w:rPr>
              <w:t>4.258</w:t>
            </w:r>
          </w:p>
        </w:tc>
        <w:tc>
          <w:tcPr>
            <w:tcW w:w="850" w:type="dxa"/>
            <w:tcBorders>
              <w:top w:val="nil"/>
              <w:left w:val="nil"/>
              <w:bottom w:val="single" w:sz="4" w:space="0" w:color="auto"/>
              <w:right w:val="single" w:sz="4" w:space="0" w:color="auto"/>
            </w:tcBorders>
            <w:shd w:val="clear" w:color="000000" w:fill="FFFFFF"/>
            <w:noWrap/>
            <w:vAlign w:val="bottom"/>
            <w:hideMark/>
          </w:tcPr>
          <w:p w14:paraId="6D6D77B0" w14:textId="6B3E572B" w:rsidR="00CC5265" w:rsidRPr="00CC33C4" w:rsidRDefault="00CC5265" w:rsidP="00CC5265">
            <w:pPr>
              <w:ind w:left="0" w:right="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rPr>
            </w:pPr>
            <w:r w:rsidRPr="00CC33C4">
              <w:rPr>
                <w:rFonts w:ascii="Calibri" w:hAnsi="Calibri" w:cs="Calibri"/>
                <w:color w:val="000000"/>
                <w:sz w:val="24"/>
                <w:szCs w:val="24"/>
              </w:rPr>
              <w:t>0.007</w:t>
            </w:r>
          </w:p>
        </w:tc>
        <w:tc>
          <w:tcPr>
            <w:tcW w:w="993" w:type="dxa"/>
            <w:tcBorders>
              <w:top w:val="nil"/>
              <w:left w:val="nil"/>
              <w:bottom w:val="single" w:sz="4" w:space="0" w:color="auto"/>
              <w:right w:val="single" w:sz="4" w:space="0" w:color="auto"/>
            </w:tcBorders>
            <w:shd w:val="clear" w:color="000000" w:fill="FFFFFF"/>
            <w:noWrap/>
            <w:vAlign w:val="bottom"/>
            <w:hideMark/>
          </w:tcPr>
          <w:p w14:paraId="1B958E1B" w14:textId="51A304E1" w:rsidR="00CC5265" w:rsidRPr="00CC33C4" w:rsidRDefault="00CC5265" w:rsidP="00CC5265">
            <w:pPr>
              <w:ind w:left="0" w:right="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4"/>
                <w:szCs w:val="24"/>
              </w:rPr>
            </w:pPr>
            <w:r w:rsidRPr="00CC33C4">
              <w:rPr>
                <w:rFonts w:ascii="Calibri" w:hAnsi="Calibri" w:cs="Calibri"/>
                <w:b/>
                <w:bCs/>
                <w:color w:val="000000"/>
                <w:sz w:val="24"/>
                <w:szCs w:val="24"/>
              </w:rPr>
              <w:t>6.047</w:t>
            </w:r>
          </w:p>
        </w:tc>
      </w:tr>
      <w:tr w:rsidR="00CC5265" w:rsidRPr="00BF51FA" w14:paraId="7E6ECA2A" w14:textId="77777777" w:rsidTr="008A0360">
        <w:trPr>
          <w:trHeight w:val="300"/>
        </w:trPr>
        <w:tc>
          <w:tcPr>
            <w:cnfStyle w:val="001000000000" w:firstRow="0" w:lastRow="0" w:firstColumn="1" w:lastColumn="0" w:oddVBand="0" w:evenVBand="0" w:oddHBand="0" w:evenHBand="0" w:firstRowFirstColumn="0" w:firstRowLastColumn="0" w:lastRowFirstColumn="0" w:lastRowLastColumn="0"/>
            <w:tcW w:w="2773" w:type="dxa"/>
            <w:noWrap/>
            <w:hideMark/>
          </w:tcPr>
          <w:p w14:paraId="71D7D708" w14:textId="77777777" w:rsidR="00CC5265" w:rsidRPr="00CC33C4" w:rsidRDefault="00CC5265" w:rsidP="00CC5265">
            <w:pPr>
              <w:ind w:left="0" w:right="0"/>
              <w:rPr>
                <w:rFonts w:ascii="Calibri" w:eastAsia="Times New Roman" w:hAnsi="Calibri" w:cs="Calibri"/>
                <w:b/>
                <w:bCs/>
                <w:color w:val="000000"/>
                <w:sz w:val="24"/>
                <w:szCs w:val="24"/>
              </w:rPr>
            </w:pPr>
            <w:r w:rsidRPr="00CC33C4">
              <w:rPr>
                <w:rFonts w:ascii="Calibri" w:eastAsia="Times New Roman" w:hAnsi="Calibri" w:cs="Calibri"/>
                <w:b/>
                <w:bCs/>
                <w:color w:val="000000"/>
                <w:sz w:val="24"/>
                <w:szCs w:val="24"/>
              </w:rPr>
              <w:t>TARGET 100</w:t>
            </w:r>
          </w:p>
        </w:tc>
        <w:tc>
          <w:tcPr>
            <w:tcW w:w="850" w:type="dxa"/>
            <w:tcBorders>
              <w:top w:val="nil"/>
              <w:left w:val="single" w:sz="4" w:space="0" w:color="auto"/>
              <w:bottom w:val="single" w:sz="4" w:space="0" w:color="auto"/>
              <w:right w:val="single" w:sz="4" w:space="0" w:color="auto"/>
            </w:tcBorders>
            <w:shd w:val="clear" w:color="000000" w:fill="FFFFFF"/>
            <w:noWrap/>
            <w:vAlign w:val="bottom"/>
            <w:hideMark/>
          </w:tcPr>
          <w:p w14:paraId="006149EB" w14:textId="75FF1A1B" w:rsidR="00CC5265" w:rsidRPr="00CC33C4" w:rsidRDefault="00CC5265" w:rsidP="00CC5265">
            <w:pPr>
              <w:ind w:left="0" w:right="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rPr>
            </w:pPr>
            <w:r w:rsidRPr="00CC33C4">
              <w:rPr>
                <w:rFonts w:ascii="Calibri" w:hAnsi="Calibri" w:cs="Calibri"/>
                <w:color w:val="000000"/>
                <w:sz w:val="24"/>
                <w:szCs w:val="24"/>
              </w:rPr>
              <w:t>1.089</w:t>
            </w:r>
          </w:p>
        </w:tc>
        <w:tc>
          <w:tcPr>
            <w:tcW w:w="851" w:type="dxa"/>
            <w:tcBorders>
              <w:top w:val="nil"/>
              <w:left w:val="nil"/>
              <w:bottom w:val="single" w:sz="4" w:space="0" w:color="auto"/>
              <w:right w:val="single" w:sz="4" w:space="0" w:color="auto"/>
            </w:tcBorders>
            <w:shd w:val="clear" w:color="000000" w:fill="FFFFFF"/>
            <w:noWrap/>
            <w:vAlign w:val="bottom"/>
            <w:hideMark/>
          </w:tcPr>
          <w:p w14:paraId="2F5D612A" w14:textId="56996D00" w:rsidR="00CC5265" w:rsidRPr="00CC33C4" w:rsidRDefault="00CC5265" w:rsidP="00CC5265">
            <w:pPr>
              <w:ind w:left="0" w:right="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rPr>
            </w:pPr>
            <w:r w:rsidRPr="00CC33C4">
              <w:rPr>
                <w:rFonts w:ascii="Calibri" w:hAnsi="Calibri" w:cs="Calibri"/>
                <w:color w:val="000000"/>
                <w:sz w:val="24"/>
                <w:szCs w:val="24"/>
              </w:rPr>
              <w:t>0.414</w:t>
            </w:r>
          </w:p>
        </w:tc>
        <w:tc>
          <w:tcPr>
            <w:tcW w:w="850" w:type="dxa"/>
            <w:tcBorders>
              <w:top w:val="nil"/>
              <w:left w:val="nil"/>
              <w:bottom w:val="single" w:sz="4" w:space="0" w:color="auto"/>
              <w:right w:val="single" w:sz="4" w:space="0" w:color="auto"/>
            </w:tcBorders>
            <w:shd w:val="clear" w:color="000000" w:fill="FFFFFF"/>
            <w:noWrap/>
            <w:vAlign w:val="bottom"/>
            <w:hideMark/>
          </w:tcPr>
          <w:p w14:paraId="2C6542DB" w14:textId="56F7881E" w:rsidR="00CC5265" w:rsidRPr="00CC33C4" w:rsidRDefault="00CC5265" w:rsidP="00CC5265">
            <w:pPr>
              <w:ind w:left="0" w:right="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rPr>
            </w:pPr>
            <w:r w:rsidRPr="00CC33C4">
              <w:rPr>
                <w:rFonts w:ascii="Calibri" w:hAnsi="Calibri" w:cs="Calibri"/>
                <w:color w:val="000000"/>
                <w:sz w:val="24"/>
                <w:szCs w:val="24"/>
              </w:rPr>
              <w:t>0.122</w:t>
            </w:r>
          </w:p>
        </w:tc>
        <w:tc>
          <w:tcPr>
            <w:tcW w:w="851" w:type="dxa"/>
            <w:tcBorders>
              <w:top w:val="nil"/>
              <w:left w:val="nil"/>
              <w:bottom w:val="single" w:sz="4" w:space="0" w:color="auto"/>
              <w:right w:val="single" w:sz="4" w:space="0" w:color="auto"/>
            </w:tcBorders>
            <w:shd w:val="clear" w:color="000000" w:fill="FFFFFF"/>
            <w:noWrap/>
            <w:vAlign w:val="bottom"/>
            <w:hideMark/>
          </w:tcPr>
          <w:p w14:paraId="43C28F12" w14:textId="712DCF0C" w:rsidR="00CC5265" w:rsidRPr="00CC33C4" w:rsidRDefault="00CC5265" w:rsidP="00CC5265">
            <w:pPr>
              <w:ind w:left="0" w:right="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rPr>
            </w:pPr>
            <w:r w:rsidRPr="00CC33C4">
              <w:rPr>
                <w:rFonts w:ascii="Calibri" w:hAnsi="Calibri" w:cs="Calibri"/>
                <w:color w:val="000000"/>
                <w:sz w:val="24"/>
                <w:szCs w:val="24"/>
              </w:rPr>
              <w:t>3.882</w:t>
            </w:r>
          </w:p>
        </w:tc>
        <w:tc>
          <w:tcPr>
            <w:tcW w:w="850" w:type="dxa"/>
            <w:tcBorders>
              <w:top w:val="nil"/>
              <w:left w:val="nil"/>
              <w:bottom w:val="single" w:sz="4" w:space="0" w:color="auto"/>
              <w:right w:val="single" w:sz="4" w:space="0" w:color="auto"/>
            </w:tcBorders>
            <w:shd w:val="clear" w:color="000000" w:fill="FFFFFF"/>
            <w:noWrap/>
            <w:vAlign w:val="bottom"/>
            <w:hideMark/>
          </w:tcPr>
          <w:p w14:paraId="19F77245" w14:textId="056CEBA2" w:rsidR="00CC5265" w:rsidRPr="00CC33C4" w:rsidRDefault="00CC5265" w:rsidP="00CC5265">
            <w:pPr>
              <w:ind w:left="0" w:right="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rPr>
            </w:pPr>
            <w:r w:rsidRPr="00CC33C4">
              <w:rPr>
                <w:rFonts w:ascii="Calibri" w:hAnsi="Calibri" w:cs="Calibri"/>
                <w:color w:val="000000"/>
                <w:sz w:val="24"/>
                <w:szCs w:val="24"/>
              </w:rPr>
              <w:t>0.006</w:t>
            </w:r>
          </w:p>
        </w:tc>
        <w:tc>
          <w:tcPr>
            <w:tcW w:w="993" w:type="dxa"/>
            <w:tcBorders>
              <w:top w:val="nil"/>
              <w:left w:val="nil"/>
              <w:bottom w:val="single" w:sz="4" w:space="0" w:color="auto"/>
              <w:right w:val="single" w:sz="4" w:space="0" w:color="auto"/>
            </w:tcBorders>
            <w:shd w:val="clear" w:color="000000" w:fill="FFFFFF"/>
            <w:noWrap/>
            <w:vAlign w:val="bottom"/>
            <w:hideMark/>
          </w:tcPr>
          <w:p w14:paraId="44E7748B" w14:textId="3E986B76" w:rsidR="00CC5265" w:rsidRPr="00CC33C4" w:rsidRDefault="00CC5265" w:rsidP="00CC5265">
            <w:pPr>
              <w:ind w:left="0" w:right="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4"/>
                <w:szCs w:val="24"/>
              </w:rPr>
            </w:pPr>
            <w:r w:rsidRPr="00CC33C4">
              <w:rPr>
                <w:rFonts w:ascii="Calibri" w:hAnsi="Calibri" w:cs="Calibri"/>
                <w:b/>
                <w:bCs/>
                <w:color w:val="000000"/>
                <w:sz w:val="24"/>
                <w:szCs w:val="24"/>
              </w:rPr>
              <w:t>5.514</w:t>
            </w:r>
          </w:p>
        </w:tc>
      </w:tr>
      <w:tr w:rsidR="00CC5265" w:rsidRPr="00BF51FA" w14:paraId="6108C79C" w14:textId="77777777" w:rsidTr="008A0360">
        <w:trPr>
          <w:trHeight w:val="300"/>
        </w:trPr>
        <w:tc>
          <w:tcPr>
            <w:cnfStyle w:val="001000000000" w:firstRow="0" w:lastRow="0" w:firstColumn="1" w:lastColumn="0" w:oddVBand="0" w:evenVBand="0" w:oddHBand="0" w:evenHBand="0" w:firstRowFirstColumn="0" w:firstRowLastColumn="0" w:lastRowFirstColumn="0" w:lastRowLastColumn="0"/>
            <w:tcW w:w="2773" w:type="dxa"/>
            <w:noWrap/>
            <w:hideMark/>
          </w:tcPr>
          <w:p w14:paraId="7B4EAD02" w14:textId="77777777" w:rsidR="00CC5265" w:rsidRPr="00CC33C4" w:rsidRDefault="00CC5265" w:rsidP="00CC5265">
            <w:pPr>
              <w:ind w:left="0" w:right="0"/>
              <w:rPr>
                <w:rFonts w:ascii="Calibri" w:eastAsia="Times New Roman" w:hAnsi="Calibri" w:cs="Calibri"/>
                <w:b/>
                <w:bCs/>
                <w:color w:val="000000"/>
                <w:sz w:val="24"/>
                <w:szCs w:val="24"/>
              </w:rPr>
            </w:pPr>
            <w:r w:rsidRPr="00CC33C4">
              <w:rPr>
                <w:rFonts w:ascii="Calibri" w:eastAsia="Times New Roman" w:hAnsi="Calibri" w:cs="Calibri"/>
                <w:b/>
                <w:bCs/>
                <w:color w:val="000000"/>
                <w:sz w:val="24"/>
                <w:szCs w:val="24"/>
              </w:rPr>
              <w:t>REALISTIC ACHIEVABLE</w:t>
            </w:r>
          </w:p>
        </w:tc>
        <w:tc>
          <w:tcPr>
            <w:tcW w:w="850" w:type="dxa"/>
            <w:tcBorders>
              <w:top w:val="nil"/>
              <w:left w:val="single" w:sz="4" w:space="0" w:color="auto"/>
              <w:bottom w:val="single" w:sz="4" w:space="0" w:color="auto"/>
              <w:right w:val="single" w:sz="4" w:space="0" w:color="auto"/>
            </w:tcBorders>
            <w:shd w:val="clear" w:color="000000" w:fill="FFFFFF"/>
            <w:noWrap/>
            <w:vAlign w:val="bottom"/>
            <w:hideMark/>
          </w:tcPr>
          <w:p w14:paraId="14501A65" w14:textId="785F5DE3" w:rsidR="00CC5265" w:rsidRPr="00CC33C4" w:rsidRDefault="00CC5265" w:rsidP="00CC5265">
            <w:pPr>
              <w:ind w:left="0" w:right="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rPr>
            </w:pPr>
            <w:r w:rsidRPr="00CC33C4">
              <w:rPr>
                <w:rFonts w:ascii="Calibri" w:hAnsi="Calibri" w:cs="Calibri"/>
                <w:color w:val="000000"/>
                <w:sz w:val="24"/>
                <w:szCs w:val="24"/>
              </w:rPr>
              <w:t>0.931</w:t>
            </w:r>
          </w:p>
        </w:tc>
        <w:tc>
          <w:tcPr>
            <w:tcW w:w="851" w:type="dxa"/>
            <w:tcBorders>
              <w:top w:val="nil"/>
              <w:left w:val="nil"/>
              <w:bottom w:val="single" w:sz="4" w:space="0" w:color="auto"/>
              <w:right w:val="single" w:sz="4" w:space="0" w:color="auto"/>
            </w:tcBorders>
            <w:shd w:val="clear" w:color="000000" w:fill="FFFFFF"/>
            <w:noWrap/>
            <w:vAlign w:val="bottom"/>
            <w:hideMark/>
          </w:tcPr>
          <w:p w14:paraId="6011411F" w14:textId="7DA1CD5D" w:rsidR="00CC5265" w:rsidRPr="00CC33C4" w:rsidRDefault="00CC5265" w:rsidP="00CC5265">
            <w:pPr>
              <w:ind w:left="0" w:right="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rPr>
            </w:pPr>
            <w:r w:rsidRPr="00CC33C4">
              <w:rPr>
                <w:rFonts w:ascii="Calibri" w:hAnsi="Calibri" w:cs="Calibri"/>
                <w:color w:val="000000"/>
                <w:sz w:val="24"/>
                <w:szCs w:val="24"/>
              </w:rPr>
              <w:t>0.354</w:t>
            </w:r>
          </w:p>
        </w:tc>
        <w:tc>
          <w:tcPr>
            <w:tcW w:w="850" w:type="dxa"/>
            <w:tcBorders>
              <w:top w:val="nil"/>
              <w:left w:val="nil"/>
              <w:bottom w:val="single" w:sz="4" w:space="0" w:color="auto"/>
              <w:right w:val="single" w:sz="4" w:space="0" w:color="auto"/>
            </w:tcBorders>
            <w:shd w:val="clear" w:color="000000" w:fill="FFFFFF"/>
            <w:noWrap/>
            <w:vAlign w:val="bottom"/>
            <w:hideMark/>
          </w:tcPr>
          <w:p w14:paraId="10FC3774" w14:textId="43506B63" w:rsidR="00CC5265" w:rsidRPr="00CC33C4" w:rsidRDefault="00CC5265" w:rsidP="00CC5265">
            <w:pPr>
              <w:ind w:left="0" w:right="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rPr>
            </w:pPr>
            <w:r w:rsidRPr="00CC33C4">
              <w:rPr>
                <w:rFonts w:ascii="Calibri" w:hAnsi="Calibri" w:cs="Calibri"/>
                <w:color w:val="000000"/>
                <w:sz w:val="24"/>
                <w:szCs w:val="24"/>
              </w:rPr>
              <w:t>0.104</w:t>
            </w:r>
          </w:p>
        </w:tc>
        <w:tc>
          <w:tcPr>
            <w:tcW w:w="851" w:type="dxa"/>
            <w:tcBorders>
              <w:top w:val="nil"/>
              <w:left w:val="nil"/>
              <w:bottom w:val="single" w:sz="4" w:space="0" w:color="auto"/>
              <w:right w:val="single" w:sz="4" w:space="0" w:color="auto"/>
            </w:tcBorders>
            <w:shd w:val="clear" w:color="000000" w:fill="FFFFFF"/>
            <w:noWrap/>
            <w:vAlign w:val="bottom"/>
            <w:hideMark/>
          </w:tcPr>
          <w:p w14:paraId="36E813EA" w14:textId="7F347F84" w:rsidR="00CC5265" w:rsidRPr="00CC33C4" w:rsidRDefault="00CC5265" w:rsidP="00CC5265">
            <w:pPr>
              <w:ind w:left="0" w:right="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rPr>
            </w:pPr>
            <w:r w:rsidRPr="00CC33C4">
              <w:rPr>
                <w:rFonts w:ascii="Calibri" w:hAnsi="Calibri" w:cs="Calibri"/>
                <w:color w:val="000000"/>
                <w:sz w:val="24"/>
                <w:szCs w:val="24"/>
              </w:rPr>
              <w:t>3.319</w:t>
            </w:r>
          </w:p>
        </w:tc>
        <w:tc>
          <w:tcPr>
            <w:tcW w:w="850" w:type="dxa"/>
            <w:tcBorders>
              <w:top w:val="nil"/>
              <w:left w:val="nil"/>
              <w:bottom w:val="single" w:sz="4" w:space="0" w:color="auto"/>
              <w:right w:val="single" w:sz="4" w:space="0" w:color="auto"/>
            </w:tcBorders>
            <w:shd w:val="clear" w:color="000000" w:fill="FFFFFF"/>
            <w:noWrap/>
            <w:vAlign w:val="bottom"/>
            <w:hideMark/>
          </w:tcPr>
          <w:p w14:paraId="0050C962" w14:textId="1C0CE0E5" w:rsidR="00CC5265" w:rsidRPr="00CC33C4" w:rsidRDefault="00CC5265" w:rsidP="00CC5265">
            <w:pPr>
              <w:ind w:left="0" w:right="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rPr>
            </w:pPr>
            <w:r w:rsidRPr="00CC33C4">
              <w:rPr>
                <w:rFonts w:ascii="Calibri" w:hAnsi="Calibri" w:cs="Calibri"/>
                <w:color w:val="000000"/>
                <w:sz w:val="24"/>
                <w:szCs w:val="24"/>
              </w:rPr>
              <w:t>0.005</w:t>
            </w:r>
          </w:p>
        </w:tc>
        <w:tc>
          <w:tcPr>
            <w:tcW w:w="993" w:type="dxa"/>
            <w:tcBorders>
              <w:top w:val="nil"/>
              <w:left w:val="nil"/>
              <w:bottom w:val="single" w:sz="4" w:space="0" w:color="auto"/>
              <w:right w:val="single" w:sz="4" w:space="0" w:color="auto"/>
            </w:tcBorders>
            <w:shd w:val="clear" w:color="000000" w:fill="FFFFFF"/>
            <w:noWrap/>
            <w:vAlign w:val="bottom"/>
            <w:hideMark/>
          </w:tcPr>
          <w:p w14:paraId="364A721E" w14:textId="351C6112" w:rsidR="00CC5265" w:rsidRPr="00CC33C4" w:rsidRDefault="00CC5265" w:rsidP="00CC5265">
            <w:pPr>
              <w:ind w:left="0" w:right="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4"/>
                <w:szCs w:val="24"/>
              </w:rPr>
            </w:pPr>
            <w:r w:rsidRPr="00CC33C4">
              <w:rPr>
                <w:rFonts w:ascii="Calibri" w:hAnsi="Calibri" w:cs="Calibri"/>
                <w:b/>
                <w:bCs/>
                <w:color w:val="000000"/>
                <w:sz w:val="24"/>
                <w:szCs w:val="24"/>
              </w:rPr>
              <w:t>4.714</w:t>
            </w:r>
          </w:p>
        </w:tc>
      </w:tr>
      <w:tr w:rsidR="00CC5265" w:rsidRPr="00BF51FA" w14:paraId="631D50D8" w14:textId="77777777" w:rsidTr="008A0360">
        <w:trPr>
          <w:trHeight w:val="300"/>
        </w:trPr>
        <w:tc>
          <w:tcPr>
            <w:cnfStyle w:val="001000000000" w:firstRow="0" w:lastRow="0" w:firstColumn="1" w:lastColumn="0" w:oddVBand="0" w:evenVBand="0" w:oddHBand="0" w:evenHBand="0" w:firstRowFirstColumn="0" w:firstRowLastColumn="0" w:lastRowFirstColumn="0" w:lastRowLastColumn="0"/>
            <w:tcW w:w="2773" w:type="dxa"/>
            <w:noWrap/>
            <w:hideMark/>
          </w:tcPr>
          <w:p w14:paraId="28DE8450" w14:textId="77777777" w:rsidR="00CC5265" w:rsidRPr="00CC33C4" w:rsidRDefault="00CC5265" w:rsidP="00CC5265">
            <w:pPr>
              <w:ind w:left="0" w:right="0"/>
              <w:rPr>
                <w:rFonts w:ascii="Calibri" w:eastAsia="Times New Roman" w:hAnsi="Calibri" w:cs="Calibri"/>
                <w:b/>
                <w:bCs/>
                <w:color w:val="000000"/>
                <w:sz w:val="24"/>
                <w:szCs w:val="24"/>
              </w:rPr>
            </w:pPr>
            <w:r w:rsidRPr="00CC33C4">
              <w:rPr>
                <w:rFonts w:ascii="Calibri" w:eastAsia="Times New Roman" w:hAnsi="Calibri" w:cs="Calibri"/>
                <w:b/>
                <w:bCs/>
                <w:color w:val="000000"/>
                <w:sz w:val="24"/>
                <w:szCs w:val="24"/>
              </w:rPr>
              <w:t>AMBITIOUS</w:t>
            </w:r>
          </w:p>
        </w:tc>
        <w:tc>
          <w:tcPr>
            <w:tcW w:w="850" w:type="dxa"/>
            <w:tcBorders>
              <w:top w:val="nil"/>
              <w:left w:val="single" w:sz="4" w:space="0" w:color="auto"/>
              <w:bottom w:val="single" w:sz="4" w:space="0" w:color="auto"/>
              <w:right w:val="single" w:sz="4" w:space="0" w:color="auto"/>
            </w:tcBorders>
            <w:shd w:val="clear" w:color="000000" w:fill="FFFFFF"/>
            <w:noWrap/>
            <w:vAlign w:val="bottom"/>
            <w:hideMark/>
          </w:tcPr>
          <w:p w14:paraId="7B86C654" w14:textId="1CC4CC01" w:rsidR="00CC5265" w:rsidRPr="00CC33C4" w:rsidRDefault="00CC5265" w:rsidP="00CC5265">
            <w:pPr>
              <w:ind w:left="0" w:right="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rPr>
            </w:pPr>
            <w:r w:rsidRPr="00CC33C4">
              <w:rPr>
                <w:rFonts w:ascii="Calibri" w:hAnsi="Calibri" w:cs="Calibri"/>
                <w:color w:val="000000"/>
                <w:sz w:val="24"/>
                <w:szCs w:val="24"/>
              </w:rPr>
              <w:t>0.689</w:t>
            </w:r>
          </w:p>
        </w:tc>
        <w:tc>
          <w:tcPr>
            <w:tcW w:w="851" w:type="dxa"/>
            <w:tcBorders>
              <w:top w:val="nil"/>
              <w:left w:val="nil"/>
              <w:bottom w:val="single" w:sz="4" w:space="0" w:color="auto"/>
              <w:right w:val="single" w:sz="4" w:space="0" w:color="auto"/>
            </w:tcBorders>
            <w:shd w:val="clear" w:color="000000" w:fill="FFFFFF"/>
            <w:noWrap/>
            <w:vAlign w:val="bottom"/>
            <w:hideMark/>
          </w:tcPr>
          <w:p w14:paraId="7C73797A" w14:textId="44D2FB62" w:rsidR="00CC5265" w:rsidRPr="00CC33C4" w:rsidRDefault="00CC5265" w:rsidP="00CC5265">
            <w:pPr>
              <w:ind w:left="0" w:right="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rPr>
            </w:pPr>
            <w:r w:rsidRPr="00CC33C4">
              <w:rPr>
                <w:rFonts w:ascii="Calibri" w:hAnsi="Calibri" w:cs="Calibri"/>
                <w:color w:val="000000"/>
                <w:sz w:val="24"/>
                <w:szCs w:val="24"/>
              </w:rPr>
              <w:t>0.262</w:t>
            </w:r>
          </w:p>
        </w:tc>
        <w:tc>
          <w:tcPr>
            <w:tcW w:w="850" w:type="dxa"/>
            <w:tcBorders>
              <w:top w:val="nil"/>
              <w:left w:val="nil"/>
              <w:bottom w:val="single" w:sz="4" w:space="0" w:color="auto"/>
              <w:right w:val="single" w:sz="4" w:space="0" w:color="auto"/>
            </w:tcBorders>
            <w:shd w:val="clear" w:color="000000" w:fill="FFFFFF"/>
            <w:noWrap/>
            <w:vAlign w:val="bottom"/>
            <w:hideMark/>
          </w:tcPr>
          <w:p w14:paraId="75082BFD" w14:textId="6D02C134" w:rsidR="00CC5265" w:rsidRPr="00CC33C4" w:rsidRDefault="00CC5265" w:rsidP="00CC5265">
            <w:pPr>
              <w:ind w:left="0" w:right="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rPr>
            </w:pPr>
            <w:r w:rsidRPr="00CC33C4">
              <w:rPr>
                <w:rFonts w:ascii="Calibri" w:hAnsi="Calibri" w:cs="Calibri"/>
                <w:color w:val="000000"/>
                <w:sz w:val="24"/>
                <w:szCs w:val="24"/>
              </w:rPr>
              <w:t>0.077</w:t>
            </w:r>
          </w:p>
        </w:tc>
        <w:tc>
          <w:tcPr>
            <w:tcW w:w="851" w:type="dxa"/>
            <w:tcBorders>
              <w:top w:val="nil"/>
              <w:left w:val="nil"/>
              <w:bottom w:val="single" w:sz="4" w:space="0" w:color="auto"/>
              <w:right w:val="single" w:sz="4" w:space="0" w:color="auto"/>
            </w:tcBorders>
            <w:shd w:val="clear" w:color="000000" w:fill="FFFFFF"/>
            <w:noWrap/>
            <w:vAlign w:val="bottom"/>
            <w:hideMark/>
          </w:tcPr>
          <w:p w14:paraId="558C6DB0" w14:textId="1DBAE998" w:rsidR="00CC5265" w:rsidRPr="00CC33C4" w:rsidRDefault="00CC5265" w:rsidP="00CC5265">
            <w:pPr>
              <w:ind w:left="0" w:right="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rPr>
            </w:pPr>
            <w:r w:rsidRPr="00CC33C4">
              <w:rPr>
                <w:rFonts w:ascii="Calibri" w:hAnsi="Calibri" w:cs="Calibri"/>
                <w:color w:val="000000"/>
                <w:sz w:val="24"/>
                <w:szCs w:val="24"/>
              </w:rPr>
              <w:t>2.456</w:t>
            </w:r>
          </w:p>
        </w:tc>
        <w:tc>
          <w:tcPr>
            <w:tcW w:w="850" w:type="dxa"/>
            <w:tcBorders>
              <w:top w:val="nil"/>
              <w:left w:val="nil"/>
              <w:bottom w:val="single" w:sz="4" w:space="0" w:color="auto"/>
              <w:right w:val="single" w:sz="4" w:space="0" w:color="auto"/>
            </w:tcBorders>
            <w:shd w:val="clear" w:color="000000" w:fill="FFFFFF"/>
            <w:noWrap/>
            <w:vAlign w:val="bottom"/>
            <w:hideMark/>
          </w:tcPr>
          <w:p w14:paraId="0758DE9E" w14:textId="26A02FE2" w:rsidR="00CC5265" w:rsidRPr="00CC33C4" w:rsidRDefault="00CC5265" w:rsidP="00CC5265">
            <w:pPr>
              <w:ind w:left="0" w:right="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rPr>
            </w:pPr>
            <w:r w:rsidRPr="00CC33C4">
              <w:rPr>
                <w:rFonts w:ascii="Calibri" w:hAnsi="Calibri" w:cs="Calibri"/>
                <w:color w:val="000000"/>
                <w:sz w:val="24"/>
                <w:szCs w:val="24"/>
              </w:rPr>
              <w:t>0.004</w:t>
            </w:r>
          </w:p>
        </w:tc>
        <w:tc>
          <w:tcPr>
            <w:tcW w:w="993" w:type="dxa"/>
            <w:tcBorders>
              <w:top w:val="nil"/>
              <w:left w:val="nil"/>
              <w:bottom w:val="single" w:sz="4" w:space="0" w:color="auto"/>
              <w:right w:val="single" w:sz="4" w:space="0" w:color="auto"/>
            </w:tcBorders>
            <w:shd w:val="clear" w:color="000000" w:fill="FFFFFF"/>
            <w:noWrap/>
            <w:vAlign w:val="bottom"/>
            <w:hideMark/>
          </w:tcPr>
          <w:p w14:paraId="77611987" w14:textId="6A59A566" w:rsidR="00CC5265" w:rsidRPr="00CC33C4" w:rsidRDefault="00CC5265" w:rsidP="00CC5265">
            <w:pPr>
              <w:ind w:left="0" w:right="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4"/>
                <w:szCs w:val="24"/>
              </w:rPr>
            </w:pPr>
            <w:r w:rsidRPr="00CC33C4">
              <w:rPr>
                <w:rFonts w:ascii="Calibri" w:hAnsi="Calibri" w:cs="Calibri"/>
                <w:b/>
                <w:bCs/>
                <w:color w:val="000000"/>
                <w:sz w:val="24"/>
                <w:szCs w:val="24"/>
              </w:rPr>
              <w:t>3.488</w:t>
            </w:r>
          </w:p>
        </w:tc>
      </w:tr>
    </w:tbl>
    <w:p w14:paraId="76B35199" w14:textId="77777777" w:rsidR="00BF51FA" w:rsidRDefault="00BF51FA" w:rsidP="00BF51FA">
      <w:pPr>
        <w:pStyle w:val="JBAParaText"/>
      </w:pPr>
    </w:p>
    <w:p w14:paraId="584E4055" w14:textId="0C2B3205" w:rsidR="00BF51FA" w:rsidRDefault="00CC5265" w:rsidP="00BF51FA">
      <w:pPr>
        <w:pStyle w:val="JBAParaText"/>
        <w:keepNext/>
      </w:pPr>
      <w:r>
        <w:rPr>
          <w:noProof/>
        </w:rPr>
        <w:drawing>
          <wp:inline distT="0" distB="0" distL="0" distR="0" wp14:anchorId="424E681C" wp14:editId="4BFEFCF6">
            <wp:extent cx="5077023" cy="3138055"/>
            <wp:effectExtent l="0" t="0" r="0" b="5715"/>
            <wp:docPr id="12" name="Picture 12" descr="Pie chart showing the contribution to total water demand by local authority area. Horsham is 70% of total demand, Crawley is 20%, Chichester is 8%, South Downs National Park is 2% and Waverley is less than 0.1% of the to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Pie chart showing the contribution to total water demand by local authority area. Horsham is 70% of total demand, Crawley is 20%, Chichester is 8%, South Downs National Park is 2% and Waverley is less than 0.1% of the total."/>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94826" cy="3149059"/>
                    </a:xfrm>
                    <a:prstGeom prst="rect">
                      <a:avLst/>
                    </a:prstGeom>
                    <a:noFill/>
                  </pic:spPr>
                </pic:pic>
              </a:graphicData>
            </a:graphic>
          </wp:inline>
        </w:drawing>
      </w:r>
    </w:p>
    <w:p w14:paraId="4D06F07E" w14:textId="1C3D715A" w:rsidR="00BF51FA" w:rsidRPr="00BF51FA" w:rsidRDefault="00BF51FA" w:rsidP="00BF51FA">
      <w:pPr>
        <w:pStyle w:val="Caption"/>
        <w:jc w:val="both"/>
      </w:pPr>
      <w:bookmarkStart w:id="48" w:name="_Ref79747580"/>
      <w:bookmarkStart w:id="49" w:name="_Toc101855287"/>
      <w:r>
        <w:t xml:space="preserve">Figure </w:t>
      </w:r>
      <w:r w:rsidR="00075F24">
        <w:rPr>
          <w:noProof/>
        </w:rPr>
        <w:fldChar w:fldCharType="begin"/>
      </w:r>
      <w:r w:rsidR="00075F24">
        <w:rPr>
          <w:noProof/>
        </w:rPr>
        <w:instrText xml:space="preserve"> STYLEREF 1 \s </w:instrText>
      </w:r>
      <w:r w:rsidR="00075F24">
        <w:rPr>
          <w:noProof/>
        </w:rPr>
        <w:fldChar w:fldCharType="separate"/>
      </w:r>
      <w:r w:rsidR="00643E47">
        <w:rPr>
          <w:noProof/>
        </w:rPr>
        <w:t>2</w:t>
      </w:r>
      <w:r w:rsidR="00075F24">
        <w:rPr>
          <w:noProof/>
        </w:rPr>
        <w:fldChar w:fldCharType="end"/>
      </w:r>
      <w:r w:rsidR="000D1B78">
        <w:t>.</w:t>
      </w:r>
      <w:r w:rsidR="00075F24">
        <w:rPr>
          <w:noProof/>
        </w:rPr>
        <w:fldChar w:fldCharType="begin"/>
      </w:r>
      <w:r w:rsidR="00075F24">
        <w:rPr>
          <w:noProof/>
        </w:rPr>
        <w:instrText xml:space="preserve"> SEQ Figure \* ARABIC \s 1 </w:instrText>
      </w:r>
      <w:r w:rsidR="00075F24">
        <w:rPr>
          <w:noProof/>
        </w:rPr>
        <w:fldChar w:fldCharType="separate"/>
      </w:r>
      <w:r w:rsidR="00643E47">
        <w:rPr>
          <w:noProof/>
        </w:rPr>
        <w:t>2</w:t>
      </w:r>
      <w:r w:rsidR="00075F24">
        <w:rPr>
          <w:noProof/>
        </w:rPr>
        <w:fldChar w:fldCharType="end"/>
      </w:r>
      <w:bookmarkEnd w:id="48"/>
      <w:r>
        <w:t xml:space="preserve"> Water demand by LPA area (Target 100 scenario)</w:t>
      </w:r>
      <w:bookmarkEnd w:id="49"/>
    </w:p>
    <w:p w14:paraId="1E44F608" w14:textId="77777777" w:rsidR="00E47B9D" w:rsidRDefault="00E47B9D" w:rsidP="00D16C70">
      <w:pPr>
        <w:pStyle w:val="Heading2"/>
      </w:pPr>
      <w:bookmarkStart w:id="50" w:name="_Toc101856675"/>
      <w:r>
        <w:t>Demand Scenarios</w:t>
      </w:r>
      <w:bookmarkEnd w:id="50"/>
    </w:p>
    <w:p w14:paraId="569F45BB" w14:textId="77777777" w:rsidR="00E47B9D" w:rsidRPr="000F4160" w:rsidRDefault="009C336D" w:rsidP="00E47B9D">
      <w:pPr>
        <w:pStyle w:val="JBAParaText"/>
        <w:ind w:left="1571"/>
        <w:rPr>
          <w:rStyle w:val="JBABold"/>
          <w:b w:val="0"/>
          <w:bCs/>
        </w:rPr>
      </w:pPr>
      <w:r w:rsidRPr="000F4160">
        <w:rPr>
          <w:rStyle w:val="JBABold"/>
          <w:b w:val="0"/>
          <w:bCs/>
        </w:rPr>
        <w:t>As outlined in Part A, the following scenarios have been modelled in this work:</w:t>
      </w:r>
    </w:p>
    <w:p w14:paraId="3742F2F2" w14:textId="77777777" w:rsidR="00E47B9D" w:rsidRDefault="00E47B9D" w:rsidP="00E47B9D">
      <w:pPr>
        <w:pStyle w:val="JBAParaText"/>
        <w:ind w:left="1571"/>
      </w:pPr>
      <w:r w:rsidRPr="000F4160">
        <w:rPr>
          <w:rStyle w:val="JBABold"/>
        </w:rPr>
        <w:t>Building</w:t>
      </w:r>
      <w:r>
        <w:t xml:space="preserve"> </w:t>
      </w:r>
      <w:r w:rsidRPr="000F4160">
        <w:rPr>
          <w:rStyle w:val="JBABold"/>
        </w:rPr>
        <w:t>regulations</w:t>
      </w:r>
    </w:p>
    <w:p w14:paraId="1E6F09DA" w14:textId="77777777" w:rsidR="00E47B9D" w:rsidRDefault="00E47B9D" w:rsidP="00E47B9D">
      <w:pPr>
        <w:pStyle w:val="JBAParaText"/>
      </w:pPr>
      <w:r>
        <w:t xml:space="preserve">Building regulations currently state that new build housing should achieve a minimum of 125 l/p/d. A tighter target of 110l/p/d is allowed if the local authority can establish a clear need based on available evidence. </w:t>
      </w:r>
    </w:p>
    <w:p w14:paraId="24D9C52A" w14:textId="77777777" w:rsidR="00E47B9D" w:rsidRPr="000F4160" w:rsidRDefault="00E47B9D" w:rsidP="00E47B9D">
      <w:pPr>
        <w:pStyle w:val="JBAParaText"/>
        <w:ind w:left="1571"/>
        <w:rPr>
          <w:b/>
          <w:bCs/>
        </w:rPr>
      </w:pPr>
      <w:r w:rsidRPr="000F4160">
        <w:rPr>
          <w:b/>
          <w:bCs/>
        </w:rPr>
        <w:t>Southern Water – Target 100</w:t>
      </w:r>
    </w:p>
    <w:p w14:paraId="516DB559" w14:textId="6F07D001" w:rsidR="00E47B9D" w:rsidRDefault="00E47B9D" w:rsidP="00E47B9D">
      <w:pPr>
        <w:pStyle w:val="JBAParaText"/>
        <w:ind w:left="1571"/>
      </w:pPr>
      <w:r>
        <w:t xml:space="preserve">Southern Water have committed in their Water Resource Management Plan to a water efficiency policy that aims to achieve a PCC of 100 l/p/d </w:t>
      </w:r>
      <w:r w:rsidR="002E6D66">
        <w:t xml:space="preserve">across the whole of their supply area </w:t>
      </w:r>
      <w:r>
        <w:t xml:space="preserve">by 2040.  SW therefore advised the Councils </w:t>
      </w:r>
      <w:r w:rsidR="00D44740">
        <w:t xml:space="preserve">(before neutrality was required) </w:t>
      </w:r>
      <w:r>
        <w:t>that a target of 100 l/p/d should be adopted in policy for new build properties, and 80l/p/d for strategic developments where master planning and community level schemes can provide greater saving.</w:t>
      </w:r>
    </w:p>
    <w:p w14:paraId="78D2F00B" w14:textId="51AFCC1C" w:rsidR="00E47B9D" w:rsidRDefault="00E47B9D" w:rsidP="00E47B9D">
      <w:pPr>
        <w:pStyle w:val="JBAParaText"/>
        <w:ind w:left="1571"/>
      </w:pPr>
      <w:r>
        <w:t xml:space="preserve">The Target 100 figure </w:t>
      </w:r>
      <w:r w:rsidR="00D44740">
        <w:t>was</w:t>
      </w:r>
      <w:r>
        <w:t xml:space="preserve"> proposed to be adopted within Crawley and Horsham, with this standard reflected in the emerging Local Plans of both authorities. This represent</w:t>
      </w:r>
      <w:r w:rsidR="00D44740">
        <w:t>ed</w:t>
      </w:r>
      <w:r>
        <w:t xml:space="preserve"> a tightening of standards from those sought through adopted Local Plans, where a figure of 110l/p/d is currently required. The 110l/p/d target is also sought in Chichester through its adopted Local Plan (Policies 12 and 40).  However, in order to achieve water neutrality, more ambitious targets, particularly on larger developments </w:t>
      </w:r>
      <w:r w:rsidR="006A5167">
        <w:t>will be required.</w:t>
      </w:r>
      <w:r w:rsidR="00D44740">
        <w:t xml:space="preserve">  Without these, the remaining water demand to be offset is considerable, requiring a larger and more costly offsetting scheme</w:t>
      </w:r>
      <w:r w:rsidR="00867E41">
        <w:t xml:space="preserve"> with a lower certainty of success</w:t>
      </w:r>
      <w:r w:rsidR="00D44740">
        <w:t>.</w:t>
      </w:r>
    </w:p>
    <w:p w14:paraId="4F4FD898" w14:textId="77777777" w:rsidR="00E47B9D" w:rsidRPr="000F4160" w:rsidRDefault="00E47B9D" w:rsidP="00E47B9D">
      <w:pPr>
        <w:pStyle w:val="JBAParaText"/>
        <w:ind w:left="1571"/>
        <w:rPr>
          <w:b/>
          <w:bCs/>
        </w:rPr>
      </w:pPr>
      <w:r w:rsidRPr="000F4160">
        <w:rPr>
          <w:b/>
          <w:bCs/>
        </w:rPr>
        <w:t>Ofwat report into long term reductions in water demand</w:t>
      </w:r>
    </w:p>
    <w:p w14:paraId="45353023" w14:textId="77777777" w:rsidR="00E47B9D" w:rsidRDefault="00E47B9D" w:rsidP="00E47B9D">
      <w:pPr>
        <w:pStyle w:val="JBAParaText"/>
        <w:ind w:left="1571"/>
      </w:pPr>
      <w:r>
        <w:t>Ofwat published a study in 2018 into the long-term potential for reductions in household water demand</w:t>
      </w:r>
      <w:r w:rsidR="009C336D">
        <w:rPr>
          <w:rStyle w:val="FootnoteReference"/>
        </w:rPr>
        <w:footnoteReference w:id="5"/>
      </w:r>
      <w:r>
        <w:t xml:space="preserve">.  In this report, different scenarios for future water use were created based on a range of drivers, public acceptance, policy ambition, and factors such as climate change, resulting in different levels of ambition in terms of the scope for PCC reduction in 50 years’ time. </w:t>
      </w:r>
    </w:p>
    <w:p w14:paraId="24847E4A" w14:textId="77777777" w:rsidR="00E47B9D" w:rsidRDefault="00E47B9D" w:rsidP="00E47B9D">
      <w:pPr>
        <w:pStyle w:val="JBAParaText"/>
        <w:ind w:left="1571"/>
      </w:pPr>
      <w:r>
        <w:t xml:space="preserve">Their research showed that a demand as low as 49l/p/d was possible with high tech solutions such as waterless toilets, integration of “smart” devices, innovative tariffs and “pay-per-use” services.  As this study requires the development and adoption of new technology, and a significant shift in behaviour, we consider it to be too ambitious for a study on water neutrality for application during the next twenty years. </w:t>
      </w:r>
      <w:r w:rsidR="009C336D">
        <w:t xml:space="preserve"> </w:t>
      </w:r>
      <w:r>
        <w:t xml:space="preserve">However, it provides a useful indication for what might be achieved in the future. </w:t>
      </w:r>
    </w:p>
    <w:p w14:paraId="09EDB2FB" w14:textId="77777777" w:rsidR="00E47B9D" w:rsidRDefault="00E47B9D" w:rsidP="00E47B9D">
      <w:pPr>
        <w:pStyle w:val="JBAParaText"/>
        <w:ind w:left="1571"/>
      </w:pPr>
      <w:r>
        <w:t xml:space="preserve">An ambitious but more realistic scenario was modelled where water scarcity is widely recognised as an important issue, markets in water resources and water services results in widespread competition and local providers delivering integrated services.  It includes extensive use of RwH and GwR as well as some smart devices.  This scenario resulted in a PCC of 62 l/p/d.  </w:t>
      </w:r>
    </w:p>
    <w:p w14:paraId="7EF7EF57" w14:textId="77777777" w:rsidR="00E47B9D" w:rsidRDefault="00E47B9D" w:rsidP="00E47B9D">
      <w:pPr>
        <w:pStyle w:val="JBAParaText"/>
        <w:ind w:left="1571"/>
      </w:pPr>
      <w:r>
        <w:t xml:space="preserve">The Ofwat report also presents a scenario based on the installation of water efficient fittings, changing behaviours (less baths, minimising running taps etc.), maximising use of eco settings on appliances such as washing machines and dishwashers, and the use of water butts in the garden.  In this scenario, a water use of 86 l/p/d was achieved. </w:t>
      </w:r>
    </w:p>
    <w:p w14:paraId="08A5EA99" w14:textId="6036375F" w:rsidR="00E47B9D" w:rsidRDefault="00E47B9D" w:rsidP="00E47B9D">
      <w:pPr>
        <w:pStyle w:val="JBAParaText"/>
        <w:ind w:left="1571"/>
      </w:pPr>
      <w:r>
        <w:t>This is supported by research conducted by the Energy Saving Trust (EST) that showed that the best commercially available domestic technology could achieve 95 l/p/d, and the best commercially available technology (including non-domestic technology</w:t>
      </w:r>
      <w:r w:rsidR="004A460C">
        <w:rPr>
          <w:rStyle w:val="FootnoteReference"/>
        </w:rPr>
        <w:footnoteReference w:id="6"/>
      </w:r>
      <w:r>
        <w:t xml:space="preserve">) could achieve 85 l/p/d. </w:t>
      </w:r>
    </w:p>
    <w:p w14:paraId="6025AB26" w14:textId="103B495B" w:rsidR="00E47B9D" w:rsidRDefault="00E47B9D" w:rsidP="000F4160">
      <w:pPr>
        <w:pStyle w:val="JBAParaText"/>
        <w:ind w:left="1571"/>
      </w:pPr>
      <w:r>
        <w:t>This study will model the building regulations scenario as a baseline (summarised in Table 4.1), as well as Southern Water’s Target 100 ambition.  Further scenarios where water demand is cut more dramatically are also modelled including a “realistic achievable” consumption of 85 l/p/d based on current available technology</w:t>
      </w:r>
      <w:r w:rsidR="00D44740">
        <w:t xml:space="preserve"> (i.e.</w:t>
      </w:r>
      <w:r w:rsidR="00CC33C4">
        <w:t>,</w:t>
      </w:r>
      <w:r w:rsidR="00D44740">
        <w:t xml:space="preserve"> commercially available products not requiring development)</w:t>
      </w:r>
      <w:r>
        <w:t>, and an ambitious target of 62 l/p/d based on adoption of new technology</w:t>
      </w:r>
      <w:r w:rsidR="00D44740">
        <w:t xml:space="preserve"> (such as smart meters)</w:t>
      </w:r>
      <w:r>
        <w:t xml:space="preserve"> and significant behaviour change.  In reality it may be that during the local plan period, the level of ambition and available technology changes and a transition occurs</w:t>
      </w:r>
      <w:r w:rsidR="006A5167">
        <w:t>, for example,</w:t>
      </w:r>
      <w:r>
        <w:t xml:space="preserve"> from the Target 100 or realistic achievable consumption towards the “ambitious” consumption.</w:t>
      </w:r>
    </w:p>
    <w:p w14:paraId="2086C063" w14:textId="1F6ABC39" w:rsidR="006A5167" w:rsidRPr="00E47B9D" w:rsidRDefault="006A5167" w:rsidP="000F4160">
      <w:pPr>
        <w:pStyle w:val="JBAParaText"/>
        <w:ind w:left="1571"/>
      </w:pPr>
      <w:r>
        <w:t>Further information on these scenarios is contained in the Part A report.</w:t>
      </w:r>
    </w:p>
    <w:p w14:paraId="2023BA28" w14:textId="77777777" w:rsidR="00D16C70" w:rsidRDefault="00D16C70" w:rsidP="00D16C70">
      <w:pPr>
        <w:pStyle w:val="Heading2"/>
      </w:pPr>
      <w:bookmarkStart w:id="51" w:name="_Toc101856676"/>
      <w:r>
        <w:t>Achieving Water Neutrality</w:t>
      </w:r>
      <w:bookmarkEnd w:id="51"/>
    </w:p>
    <w:p w14:paraId="15A952D8" w14:textId="77777777" w:rsidR="00D16C70" w:rsidRDefault="00D16C70" w:rsidP="00D16C70">
      <w:pPr>
        <w:pStyle w:val="JBAParaText"/>
      </w:pPr>
      <w:r>
        <w:t xml:space="preserve">Achieving water neutrality involves a twin track approach. </w:t>
      </w:r>
      <w:r w:rsidR="00D8523E">
        <w:t xml:space="preserve"> </w:t>
      </w:r>
      <w:r>
        <w:t>First the demand for water from the new development must be reduced as far as is practicable, then this remaining demand should be offset within the region.  In following this approach, the volume that requires offsetting can be reduced, reducing the cost of the overall scheme.</w:t>
      </w:r>
      <w:r w:rsidR="00D8523E">
        <w:t xml:space="preserve"> </w:t>
      </w:r>
      <w:r>
        <w:t xml:space="preserve"> This is noted in the Waterwise neutrality definition, and they define three steps to achieve water neutrality in their recent review:</w:t>
      </w:r>
    </w:p>
    <w:p w14:paraId="1BDBF8CB" w14:textId="77777777" w:rsidR="00D16C70" w:rsidRDefault="00D16C70" w:rsidP="00D16C70">
      <w:pPr>
        <w:pStyle w:val="JBAParaText"/>
        <w:numPr>
          <w:ilvl w:val="0"/>
          <w:numId w:val="14"/>
        </w:numPr>
      </w:pPr>
      <w:r>
        <w:t>Reduce water demand in the new development through improvements in efficiency</w:t>
      </w:r>
    </w:p>
    <w:p w14:paraId="60E452CB" w14:textId="77777777" w:rsidR="00D16C70" w:rsidRDefault="00D16C70" w:rsidP="00D16C70">
      <w:pPr>
        <w:pStyle w:val="JBAParaText"/>
        <w:numPr>
          <w:ilvl w:val="0"/>
          <w:numId w:val="14"/>
        </w:numPr>
      </w:pPr>
      <w:r>
        <w:t>Re-use water where possible</w:t>
      </w:r>
    </w:p>
    <w:p w14:paraId="324927CA" w14:textId="77777777" w:rsidR="00D16C70" w:rsidRDefault="00D16C70" w:rsidP="00D16C70">
      <w:pPr>
        <w:pStyle w:val="JBAParaText"/>
        <w:numPr>
          <w:ilvl w:val="0"/>
          <w:numId w:val="14"/>
        </w:numPr>
      </w:pPr>
      <w:r>
        <w:t xml:space="preserve">And finally offset the remaining water demand from new development. </w:t>
      </w:r>
    </w:p>
    <w:p w14:paraId="3B883564" w14:textId="6CF1B328" w:rsidR="00D16C70" w:rsidRDefault="00D16C70" w:rsidP="00D16C70">
      <w:pPr>
        <w:pStyle w:val="JBAParaText"/>
      </w:pPr>
      <w:r>
        <w:t>Southern Water ha</w:t>
      </w:r>
      <w:r w:rsidR="00D77E49">
        <w:t>s</w:t>
      </w:r>
      <w:r>
        <w:t xml:space="preserve"> an ambitious target in </w:t>
      </w:r>
      <w:r w:rsidR="00D77E49">
        <w:t>its</w:t>
      </w:r>
      <w:r>
        <w:t xml:space="preserve"> </w:t>
      </w:r>
      <w:r w:rsidR="0076231A">
        <w:t xml:space="preserve">2019 </w:t>
      </w:r>
      <w:r>
        <w:t>Water Resource Management Plan (WRMP</w:t>
      </w:r>
      <w:r w:rsidR="0076231A">
        <w:t>19</w:t>
      </w:r>
      <w:r>
        <w:t>) that aims to reduce household water consumption to 100 litres per person per day on average by 2040</w:t>
      </w:r>
      <w:r w:rsidR="00BB7306">
        <w:t xml:space="preserve"> throughout their supply area (not just Sussex North)</w:t>
      </w:r>
      <w:r>
        <w:t xml:space="preserve">.  Their plan includes many measures typically associated with achieving water neutrality, such as home visits and smart metering.  </w:t>
      </w:r>
    </w:p>
    <w:p w14:paraId="73752254" w14:textId="77777777" w:rsidR="00EE24D4" w:rsidRDefault="00EE24D4" w:rsidP="00D16C70">
      <w:pPr>
        <w:pStyle w:val="JBAParaText"/>
      </w:pPr>
      <w:r>
        <w:t xml:space="preserve">Section 3 of the Part A report identifies measures that are currently planned in the Sussex North WRZ as part of activities by Southern Water. </w:t>
      </w:r>
    </w:p>
    <w:p w14:paraId="6FB2EB05" w14:textId="251DA521" w:rsidR="00EE24D4" w:rsidRDefault="00EE24D4" w:rsidP="00D16C70">
      <w:pPr>
        <w:pStyle w:val="JBAParaText"/>
      </w:pPr>
      <w:r>
        <w:t>Section 4 of the same report identifies the options for demand reduction and offsetting measures that may be used</w:t>
      </w:r>
      <w:r w:rsidR="00C95BA3">
        <w:t xml:space="preserve"> for growth</w:t>
      </w:r>
      <w:r>
        <w:t xml:space="preserve">, highlighting where there is synergy between SW’s actions and a water neutrality plan, and where there are risks that a benefit may be double counted.  Where an action has already been factored into the WRMP, </w:t>
      </w:r>
      <w:r w:rsidR="00140BEE">
        <w:t>care should be taken to ensure that the benefit is not double counted as part of a neutrality plan.</w:t>
      </w:r>
      <w:r w:rsidR="0002275E">
        <w:t xml:space="preserve">  </w:t>
      </w:r>
      <w:r w:rsidR="00B25A02">
        <w:t xml:space="preserve">However, SW’s WRMP accounted for a certain level of growth </w:t>
      </w:r>
      <w:r w:rsidR="006A5167">
        <w:t>between 2020 and 2037</w:t>
      </w:r>
      <w:r w:rsidR="00B25A02">
        <w:t xml:space="preserve">, and whilst the current projections from the councils are higher, and SW must take additional </w:t>
      </w:r>
      <w:r w:rsidR="00222DC1">
        <w:t>measures to maintain supply-demand balance taking into account a likely reduction in abstraction from Pulborough, a significant proportion of planned growth in Sussex North WRZ is already offset in SW’s plan.</w:t>
      </w:r>
      <w:r w:rsidR="00B25A02">
        <w:t xml:space="preserve"> </w:t>
      </w:r>
      <w:r w:rsidR="00222DC1">
        <w:t xml:space="preserve"> </w:t>
      </w:r>
      <w:r w:rsidR="0002275E">
        <w:t xml:space="preserve">The contribution that could be made through Southern Water’s activities is summarised </w:t>
      </w:r>
      <w:r w:rsidR="00015466">
        <w:t xml:space="preserve">in Section </w:t>
      </w:r>
      <w:r w:rsidR="00015466">
        <w:fldChar w:fldCharType="begin"/>
      </w:r>
      <w:r w:rsidR="00015466">
        <w:instrText xml:space="preserve"> REF _Ref95483351 \r \h </w:instrText>
      </w:r>
      <w:r w:rsidR="00015466">
        <w:fldChar w:fldCharType="separate"/>
      </w:r>
      <w:r w:rsidR="00643E47">
        <w:t>3.4</w:t>
      </w:r>
      <w:r w:rsidR="00015466">
        <w:fldChar w:fldCharType="end"/>
      </w:r>
      <w:r w:rsidR="00015466">
        <w:t xml:space="preserve"> </w:t>
      </w:r>
      <w:r w:rsidR="0002275E">
        <w:t>below.</w:t>
      </w:r>
    </w:p>
    <w:p w14:paraId="3DEF1E6B" w14:textId="77777777" w:rsidR="00FA76E6" w:rsidRDefault="00D26C26" w:rsidP="00D26C26">
      <w:pPr>
        <w:pStyle w:val="Heading2"/>
      </w:pPr>
      <w:bookmarkStart w:id="52" w:name="_Toc101856677"/>
      <w:r>
        <w:t>Southern Water</w:t>
      </w:r>
      <w:bookmarkEnd w:id="52"/>
    </w:p>
    <w:p w14:paraId="196ED59A" w14:textId="77777777" w:rsidR="00FA76E6" w:rsidRDefault="00FA76E6" w:rsidP="00D16C70">
      <w:pPr>
        <w:pStyle w:val="JBAParaText"/>
      </w:pPr>
      <w:r>
        <w:t xml:space="preserve">SW will have to address supply-demand balance in their next water resource management plan (WRMP24). </w:t>
      </w:r>
      <w:r w:rsidR="00573681">
        <w:t xml:space="preserve"> </w:t>
      </w:r>
      <w:r>
        <w:t>Work on this plan is already underway, although a draft will not be ready until after the conclusion of th</w:t>
      </w:r>
      <w:r w:rsidR="00C95BA3">
        <w:t>e current study</w:t>
      </w:r>
      <w:r>
        <w:t xml:space="preserve">. </w:t>
      </w:r>
    </w:p>
    <w:p w14:paraId="4C05298B" w14:textId="4913953A" w:rsidR="00FA76E6" w:rsidRDefault="00FA76E6" w:rsidP="00D16C70">
      <w:pPr>
        <w:pStyle w:val="JBAParaText"/>
      </w:pPr>
      <w:r>
        <w:t xml:space="preserve">In order to address the </w:t>
      </w:r>
      <w:r w:rsidR="009A291B">
        <w:t>supply-demand</w:t>
      </w:r>
      <w:r>
        <w:t xml:space="preserve"> balance, WRMP24 is likely to present plans to develop new water sources, make better use of existing sources, </w:t>
      </w:r>
      <w:r w:rsidR="00FB0627">
        <w:t xml:space="preserve">and / </w:t>
      </w:r>
      <w:r>
        <w:t>or propose strategic transfers.</w:t>
      </w:r>
    </w:p>
    <w:p w14:paraId="7D17A6F7" w14:textId="77777777" w:rsidR="00FA76E6" w:rsidRDefault="00FA76E6" w:rsidP="00D16C70">
      <w:pPr>
        <w:pStyle w:val="JBAParaText"/>
      </w:pPr>
      <w:r>
        <w:t>Large-scale water resources schemes take a considerable length of time to design and deliver and work will not take place until funding is agreed following approval of the WRMP</w:t>
      </w:r>
      <w:r w:rsidR="00C95BA3">
        <w:t xml:space="preserve"> in the Price Review (PR24)</w:t>
      </w:r>
      <w:r>
        <w:t xml:space="preserve">.  A scheme proposed in the WRMP24 is therefore unlikely to contribute to water resources until 2028 at the earliest. To ensure </w:t>
      </w:r>
      <w:r w:rsidR="001670A8">
        <w:t>abstraction is not increased in the WRZ, water neutrality is likely to be need</w:t>
      </w:r>
      <w:r w:rsidR="00F50D71">
        <w:t>ed</w:t>
      </w:r>
      <w:r w:rsidR="001670A8">
        <w:t xml:space="preserve"> for a period up to at least 2028. </w:t>
      </w:r>
    </w:p>
    <w:p w14:paraId="0F6D3A09" w14:textId="77777777" w:rsidR="001670A8" w:rsidRDefault="001670A8" w:rsidP="00D16C70">
      <w:pPr>
        <w:pStyle w:val="JBAParaText"/>
      </w:pPr>
      <w:r>
        <w:t>As future water resources schemes are not certain at this stage, a precautionary approach should be taken</w:t>
      </w:r>
      <w:r w:rsidR="00171974">
        <w:t>,</w:t>
      </w:r>
      <w:r>
        <w:t xml:space="preserve"> and it should be assumed that water neutrality is required beyond this date</w:t>
      </w:r>
      <w:r w:rsidR="00573681">
        <w:t>, up to the end of the local plan period (2037).</w:t>
      </w:r>
    </w:p>
    <w:p w14:paraId="2B379CBD" w14:textId="4ECC4034" w:rsidR="009843FD" w:rsidRDefault="00171974" w:rsidP="00D16C70">
      <w:pPr>
        <w:pStyle w:val="JBAParaText"/>
      </w:pPr>
      <w:r>
        <w:t xml:space="preserve">Southern Water have stated that they are working with the EA to mitigate the sustainability concerns raised by NE (as well as the outage at Weir Wood Reservoir).  This is being done by progressing a number of short-term actions including re-zoning some customers to SES Water and working </w:t>
      </w:r>
      <w:r w:rsidR="00FB6CB2">
        <w:t xml:space="preserve">with </w:t>
      </w:r>
      <w:r>
        <w:t xml:space="preserve">private abstractors in the Rother catchment to provide additional deployable output at the Pulborough surface water abstraction.  </w:t>
      </w:r>
      <w:r w:rsidR="00B47509">
        <w:t>This is aimed at maintaining their supply-demand balance and do</w:t>
      </w:r>
      <w:r w:rsidR="009A291B">
        <w:t>es</w:t>
      </w:r>
      <w:r w:rsidR="00B47509">
        <w:t xml:space="preserve"> not contribute directly to water neutrality.</w:t>
      </w:r>
    </w:p>
    <w:p w14:paraId="0F84BCDB" w14:textId="77777777" w:rsidR="00903571" w:rsidRDefault="00903571" w:rsidP="00903571">
      <w:pPr>
        <w:pStyle w:val="Heading2"/>
      </w:pPr>
      <w:bookmarkStart w:id="53" w:name="_Toc101856678"/>
      <w:r>
        <w:t>Impact of COVID-19</w:t>
      </w:r>
      <w:bookmarkEnd w:id="53"/>
    </w:p>
    <w:p w14:paraId="724DC7E4" w14:textId="0CC7DBE4" w:rsidR="00903571" w:rsidRPr="00903571" w:rsidRDefault="00903571" w:rsidP="00903571">
      <w:pPr>
        <w:pStyle w:val="JBAParaText"/>
      </w:pPr>
      <w:r>
        <w:t xml:space="preserve">The Part A report stated the </w:t>
      </w:r>
      <w:r w:rsidR="00DF4779">
        <w:t xml:space="preserve">daily </w:t>
      </w:r>
      <w:r>
        <w:t xml:space="preserve">saving </w:t>
      </w:r>
      <w:r w:rsidR="00B47509">
        <w:t xml:space="preserve">resulting </w:t>
      </w:r>
      <w:r>
        <w:t xml:space="preserve">from </w:t>
      </w:r>
      <w:r w:rsidR="00B47509">
        <w:t xml:space="preserve">a </w:t>
      </w:r>
      <w:r>
        <w:t xml:space="preserve">household visit as 36 litres per household.  Since the start of the COVID-19 pandemic, this has been observed to fall to 24 litres. </w:t>
      </w:r>
      <w:r w:rsidR="009843FD">
        <w:t xml:space="preserve"> Research conducted by the University of Manchester with consultants Artesia </w:t>
      </w:r>
      <w:r w:rsidR="002B70AC">
        <w:t>showed dramatic change in water use during the pandemic with a shift in water use from non-household settings to household, and an increase in water-intensive practices such as washing of groceries, and more intensive person</w:t>
      </w:r>
      <w:r w:rsidR="00DF4779">
        <w:t>al</w:t>
      </w:r>
      <w:r w:rsidR="002B70AC">
        <w:t xml:space="preserve"> hygiene and clothes washing.  There was also a big increase in outdoor water use with people spending more time in gardens.</w:t>
      </w:r>
      <w:r>
        <w:t xml:space="preserve"> </w:t>
      </w:r>
    </w:p>
    <w:p w14:paraId="2CFA67B8" w14:textId="77777777" w:rsidR="002B70AC" w:rsidRDefault="002B70AC" w:rsidP="00D16C70">
      <w:pPr>
        <w:pStyle w:val="JBAParaText"/>
      </w:pPr>
      <w:r w:rsidRPr="00103680">
        <w:rPr>
          <w:i/>
          <w:iCs/>
        </w:rPr>
        <w:t>“</w:t>
      </w:r>
      <w:r w:rsidR="009843FD" w:rsidRPr="00103680">
        <w:rPr>
          <w:i/>
          <w:iCs/>
        </w:rPr>
        <w:t>As people slowly return to their pre-coronavirus routine, it is likely that water intensive hygiene practices are likely to reduce. However, many people are expected to continue working from home post-COVID-19, which will result in long-term changes in domestic water use patterns such as taking longer showers throughout the day and the increased use of gardens</w:t>
      </w:r>
      <w:r>
        <w:t>”</w:t>
      </w:r>
      <w:r>
        <w:rPr>
          <w:rStyle w:val="FootnoteReference"/>
        </w:rPr>
        <w:footnoteReference w:id="7"/>
      </w:r>
    </w:p>
    <w:p w14:paraId="1D69DB48" w14:textId="6A4B7ADD" w:rsidR="00103680" w:rsidRDefault="002B70AC" w:rsidP="00D16C70">
      <w:pPr>
        <w:pStyle w:val="JBAParaText"/>
      </w:pPr>
      <w:r>
        <w:t xml:space="preserve">It is not yet known what the long-term impact of COVID-19 </w:t>
      </w:r>
      <w:r w:rsidR="004A460C">
        <w:t xml:space="preserve">on water demand </w:t>
      </w:r>
      <w:r>
        <w:t>will be, but some degree of hybrid working is likely which could increase household PCC</w:t>
      </w:r>
      <w:r w:rsidR="00B47509">
        <w:t xml:space="preserve"> and reduce workplace PCC</w:t>
      </w:r>
      <w:r>
        <w:t>.  This uncertainty must be accounted for in Part C.</w:t>
      </w:r>
    </w:p>
    <w:p w14:paraId="010E200B" w14:textId="77777777" w:rsidR="00103680" w:rsidRPr="00103680" w:rsidRDefault="00103680" w:rsidP="00103680">
      <w:pPr>
        <w:pStyle w:val="Heading2"/>
        <w:rPr>
          <w:szCs w:val="28"/>
        </w:rPr>
      </w:pPr>
      <w:bookmarkStart w:id="54" w:name="_Toc101856679"/>
      <w:r>
        <w:t>Education</w:t>
      </w:r>
      <w:bookmarkEnd w:id="54"/>
    </w:p>
    <w:p w14:paraId="15EFF308" w14:textId="6CB56399" w:rsidR="00E96B92" w:rsidRDefault="00E96B92" w:rsidP="000F4160">
      <w:pPr>
        <w:pStyle w:val="JBAParaText"/>
        <w:ind w:left="1571"/>
      </w:pPr>
      <w:r>
        <w:t>Despite a few recent news storie</w:t>
      </w:r>
      <w:r w:rsidR="00DF4779">
        <w:t>s</w:t>
      </w:r>
      <w:r>
        <w:t xml:space="preserve"> about future water shortages in England, awareness of water scarcity is fairly low, and some way behind awareness of climate change and energy use.</w:t>
      </w:r>
    </w:p>
    <w:p w14:paraId="314B33C1" w14:textId="77777777" w:rsidR="00E96B92" w:rsidRDefault="00E96B92" w:rsidP="000F4160">
      <w:pPr>
        <w:pStyle w:val="JBAParaText"/>
      </w:pPr>
      <w:r>
        <w:t xml:space="preserve">Raising awareness of the need to save water, the reason and benefits of fitting water efficient devices and the importance of maintaining existing efficient devices where already fitted are an important part of demand reduction activities, and in maintaining that reduction over time.  </w:t>
      </w:r>
    </w:p>
    <w:p w14:paraId="2D0D3AC9" w14:textId="77777777" w:rsidR="00E96B92" w:rsidRDefault="00E96B92" w:rsidP="000F4160">
      <w:pPr>
        <w:pStyle w:val="JBAParaText"/>
      </w:pPr>
      <w:r>
        <w:t xml:space="preserve">Southern Water are already communicating with customers on this topic and run a schools scheme as part of the Target 100 activities.  They do not regularly communicate with non-household customers in the same way, and there may be some benefit from an education / awareness programme aimed at businesses. </w:t>
      </w:r>
    </w:p>
    <w:p w14:paraId="6F94EDAC" w14:textId="77777777" w:rsidR="00AF2BA1" w:rsidRDefault="00E96B92">
      <w:pPr>
        <w:pStyle w:val="JBAParaText"/>
        <w:rPr>
          <w:szCs w:val="28"/>
        </w:rPr>
      </w:pPr>
      <w:r>
        <w:t>As noted in Part A, it is difficult to quantify the impact an education programme will have directly on PCC, and so no specific figure for demand reduction will be included within the calculations.  However, we would recommend that education and awareness must form an integral part of any water neutrality plan.</w:t>
      </w:r>
      <w:r w:rsidR="00AF2BA1">
        <w:br w:type="page"/>
      </w:r>
    </w:p>
    <w:p w14:paraId="3F6ECDF7" w14:textId="77777777" w:rsidR="00A56157" w:rsidRDefault="00A56157" w:rsidP="00121E39">
      <w:pPr>
        <w:pStyle w:val="Heading1"/>
      </w:pPr>
      <w:bookmarkStart w:id="55" w:name="_Toc101856680"/>
      <w:r>
        <w:t>Mitigation options</w:t>
      </w:r>
      <w:bookmarkEnd w:id="55"/>
    </w:p>
    <w:p w14:paraId="18E0634F" w14:textId="77777777" w:rsidR="00855CCE" w:rsidRDefault="00855CCE" w:rsidP="00855CCE">
      <w:pPr>
        <w:pStyle w:val="Heading2"/>
      </w:pPr>
      <w:bookmarkStart w:id="56" w:name="_Toc101856681"/>
      <w:bookmarkStart w:id="57" w:name="_Hlk79598268"/>
      <w:r>
        <w:t>Introduction</w:t>
      </w:r>
      <w:bookmarkEnd w:id="56"/>
    </w:p>
    <w:p w14:paraId="734E9AB9" w14:textId="35F138CB" w:rsidR="00F06655" w:rsidRDefault="00CB0010" w:rsidP="008E29A4">
      <w:pPr>
        <w:pStyle w:val="JBAParaText"/>
      </w:pPr>
      <w:r>
        <w:t xml:space="preserve">Section </w:t>
      </w:r>
      <w:r>
        <w:fldChar w:fldCharType="begin"/>
      </w:r>
      <w:r>
        <w:instrText xml:space="preserve"> REF _Ref79598396 \r \h </w:instrText>
      </w:r>
      <w:r>
        <w:fldChar w:fldCharType="separate"/>
      </w:r>
      <w:r w:rsidR="00643E47">
        <w:t>2</w:t>
      </w:r>
      <w:r>
        <w:fldChar w:fldCharType="end"/>
      </w:r>
      <w:r>
        <w:t xml:space="preserve"> defined the baseline water demand from growth in Sussex North WRZ</w:t>
      </w:r>
      <w:r w:rsidR="00222DC1">
        <w:t>, and the demand that had already been factored into Southern Water’s WRMP</w:t>
      </w:r>
      <w:r>
        <w:t>.  This section now assesses the options available to reduce and then offset th</w:t>
      </w:r>
      <w:r w:rsidR="00222DC1">
        <w:t>e remaining</w:t>
      </w:r>
      <w:r>
        <w:t xml:space="preserve"> demand. </w:t>
      </w:r>
      <w:bookmarkEnd w:id="57"/>
    </w:p>
    <w:p w14:paraId="2992A0EC" w14:textId="77777777" w:rsidR="00136BA1" w:rsidRDefault="00136BA1" w:rsidP="00136BA1">
      <w:pPr>
        <w:pStyle w:val="Heading2"/>
      </w:pPr>
      <w:bookmarkStart w:id="58" w:name="_Toc101856682"/>
      <w:r>
        <w:t>Methodology</w:t>
      </w:r>
      <w:bookmarkEnd w:id="58"/>
    </w:p>
    <w:p w14:paraId="79343EFE" w14:textId="77777777" w:rsidR="00136BA1" w:rsidRDefault="00136BA1" w:rsidP="00136BA1">
      <w:pPr>
        <w:pStyle w:val="Heading3"/>
      </w:pPr>
      <w:bookmarkStart w:id="59" w:name="_Toc101856683"/>
      <w:r>
        <w:t>Overall approach</w:t>
      </w:r>
      <w:bookmarkEnd w:id="59"/>
    </w:p>
    <w:p w14:paraId="64619E7E" w14:textId="1E848838" w:rsidR="00F56053" w:rsidRDefault="00F56053" w:rsidP="00F56053">
      <w:pPr>
        <w:pStyle w:val="JBAParaText"/>
      </w:pPr>
      <w:r>
        <w:t xml:space="preserve">The same methodology used in Part A was applied to Part B.  A water neutrality calculator was developed as part of a research and development project at JBA. </w:t>
      </w:r>
      <w:r w:rsidR="00A94C70">
        <w:t xml:space="preserve"> </w:t>
      </w:r>
      <w:r>
        <w:t>This estimates the future water use based on local authority growth forecasts and published water company data.  It also estimates the volume of water that could be offset through retrofitting properties, leakage reduction, metering, and other identified measures.</w:t>
      </w:r>
      <w:r w:rsidR="00BB7306" w:rsidRPr="00BB7306">
        <w:t xml:space="preserve">  The calculator uses the Southern Water standard occupancy figure for Sussex North, which averages at 2.43 people per residential dwelling over the period 2021-37. This is slightly greater than the average household sizes implied by the standard occupancy and housing mix figures projected individually by CBC, CDC, HDC and SDNPA</w:t>
      </w:r>
      <w:r w:rsidR="00BB7306">
        <w:rPr>
          <w:rStyle w:val="FootnoteReference"/>
        </w:rPr>
        <w:footnoteReference w:id="8"/>
      </w:r>
      <w:r w:rsidR="00BB7306" w:rsidRPr="00BB7306">
        <w:t xml:space="preserve"> (the local authority areas where the bulk of development in Sussex North is planned). </w:t>
      </w:r>
      <w:r w:rsidR="00BB7306">
        <w:t xml:space="preserve"> </w:t>
      </w:r>
      <w:r w:rsidR="00BB7306" w:rsidRPr="00BB7306">
        <w:t>By allowing for an element of headroom beyond local authority figures, the Southern Water standard occupancy figure ensures that a suitably precautionary approach is applied in line with the Habitats Regulations.</w:t>
      </w:r>
    </w:p>
    <w:p w14:paraId="100A2A4F" w14:textId="497DFB10" w:rsidR="00F56053" w:rsidRDefault="00BB7306" w:rsidP="00F56053">
      <w:pPr>
        <w:pStyle w:val="JBAParaText"/>
      </w:pPr>
      <w:r>
        <w:t xml:space="preserve">As explained in </w:t>
      </w:r>
      <w:r>
        <w:fldChar w:fldCharType="begin"/>
      </w:r>
      <w:r>
        <w:instrText xml:space="preserve"> REF _Ref100839585 \r \h </w:instrText>
      </w:r>
      <w:r>
        <w:fldChar w:fldCharType="separate"/>
      </w:r>
      <w:r w:rsidR="00643E47">
        <w:t>1.4</w:t>
      </w:r>
      <w:r>
        <w:fldChar w:fldCharType="end"/>
      </w:r>
      <w:r>
        <w:t xml:space="preserve">, </w:t>
      </w:r>
      <w:r w:rsidR="007679E5">
        <w:t xml:space="preserve">in order to take a precautionary approach, </w:t>
      </w:r>
      <w:r>
        <w:t xml:space="preserve">the WRZ boundary provided by SW, </w:t>
      </w:r>
      <w:r w:rsidR="007679E5">
        <w:t>and the area that is being rezoned to SESW</w:t>
      </w:r>
      <w:r w:rsidR="00F56053">
        <w:t xml:space="preserve"> w</w:t>
      </w:r>
      <w:r w:rsidR="007679E5">
        <w:t>ere</w:t>
      </w:r>
      <w:r w:rsidR="00F56053">
        <w:t xml:space="preserve"> used as the boundary of the study area in Part B, with statistics for the WRZ taken from the Water Resources Market Information tables for the Sussex North WRZ published in February 2020.</w:t>
      </w:r>
    </w:p>
    <w:p w14:paraId="7105C6B4" w14:textId="79BEFC67" w:rsidR="00F56053" w:rsidRPr="001A4461" w:rsidRDefault="00F56053" w:rsidP="00F56053">
      <w:pPr>
        <w:pStyle w:val="JBAParaText"/>
      </w:pPr>
      <w:r>
        <w:t xml:space="preserve">It is important when undertaking calculations as part of a water neutrality </w:t>
      </w:r>
      <w:r w:rsidR="0080657B">
        <w:t>strategy</w:t>
      </w:r>
      <w:r>
        <w:t xml:space="preserve"> to account for uncertainty.  The expected water efficiency saving may not be realised in full, so if water neutrality is only just achieved, in theory the </w:t>
      </w:r>
      <w:r w:rsidR="0080657B">
        <w:t>strategy</w:t>
      </w:r>
      <w:r>
        <w:t xml:space="preserve"> may not be sustainable in reality. </w:t>
      </w:r>
      <w:r w:rsidR="0080657B">
        <w:t xml:space="preserve"> </w:t>
      </w:r>
      <w:r>
        <w:t xml:space="preserve">Headroom should therefore be built into any future </w:t>
      </w:r>
      <w:r w:rsidR="0080657B">
        <w:t>strategy</w:t>
      </w:r>
      <w:r w:rsidR="007F1419">
        <w:t xml:space="preserve">, and a percentage uncertainty presented on each measure included so that a suitable buffer can be built into the </w:t>
      </w:r>
      <w:r w:rsidR="0080657B">
        <w:t>strategy</w:t>
      </w:r>
      <w:r>
        <w:t>.</w:t>
      </w:r>
    </w:p>
    <w:p w14:paraId="05A4D577" w14:textId="06DE397C" w:rsidR="00F56053" w:rsidRPr="00BB5105" w:rsidRDefault="00F56053" w:rsidP="00F56053">
      <w:pPr>
        <w:pStyle w:val="JBAParaText"/>
      </w:pPr>
      <w:r>
        <w:t xml:space="preserve">A range of household demand scenarios was used based on the analysis in Part A and shown in </w:t>
      </w:r>
      <w:r>
        <w:fldChar w:fldCharType="begin"/>
      </w:r>
      <w:r>
        <w:instrText xml:space="preserve"> REF _Ref79506822 \h </w:instrText>
      </w:r>
      <w:r>
        <w:fldChar w:fldCharType="separate"/>
      </w:r>
      <w:r w:rsidR="00643E47">
        <w:t xml:space="preserve">Table </w:t>
      </w:r>
      <w:r w:rsidR="00643E47">
        <w:rPr>
          <w:noProof/>
        </w:rPr>
        <w:t>2</w:t>
      </w:r>
      <w:r w:rsidR="00643E47">
        <w:t>.</w:t>
      </w:r>
      <w:r w:rsidR="00643E47">
        <w:rPr>
          <w:noProof/>
        </w:rPr>
        <w:t>6</w:t>
      </w:r>
      <w:r>
        <w:fldChar w:fldCharType="end"/>
      </w:r>
      <w:r>
        <w:t xml:space="preserve">. </w:t>
      </w:r>
    </w:p>
    <w:p w14:paraId="1F9DE344" w14:textId="77777777" w:rsidR="00F56053" w:rsidRDefault="00F56053" w:rsidP="00F56053">
      <w:pPr>
        <w:pStyle w:val="JBAParaText"/>
      </w:pPr>
      <w:r>
        <w:t>The non-household demand was estimated based on the number of employees. The British Water code of practice, “Flows and Loads 4</w:t>
      </w:r>
      <w:r>
        <w:rPr>
          <w:rStyle w:val="FootnoteReference"/>
        </w:rPr>
        <w:footnoteReference w:id="9"/>
      </w:r>
      <w:r>
        <w:t>” was used to create an equivalent PCC for employees based on a blended rate between office workers with and without a canteen (100l wastewater per day and 50l respectively), adjusted down to reflect a five-day working week.  An assumption was made that approximately 75% of employees eat in a canteen</w:t>
      </w:r>
      <w:r>
        <w:rPr>
          <w:rStyle w:val="FootnoteReference"/>
        </w:rPr>
        <w:footnoteReference w:id="10"/>
      </w:r>
      <w:r w:rsidRPr="00062968">
        <w:rPr>
          <w:rStyle w:val="JBASuperscript"/>
        </w:rPr>
        <w:t>,</w:t>
      </w:r>
      <w:r>
        <w:rPr>
          <w:rStyle w:val="FootnoteReference"/>
        </w:rPr>
        <w:footnoteReference w:id="11"/>
      </w:r>
      <w:r>
        <w:rPr>
          <w:rStyle w:val="JBASuperscript"/>
        </w:rPr>
        <w:t xml:space="preserve"> </w:t>
      </w:r>
      <w:r w:rsidRPr="002C311D">
        <w:t xml:space="preserve">(skewed by larger businesses </w:t>
      </w:r>
      <w:r>
        <w:t>being more likely to have a canteen).  This gives an estimated PCC of 63 l/p/d for employees.  This was applied to the Building Regulation scenarios and the Target 100 scenario.  Where a more ambitious household PCC was being applied, this report assumes that a more ambitious non-household target is also applied via the BREEAM New Construction standard.  In the “realistic achievable” scenario, a 40% reduction in demand is applied (a PCC of 37.9 l/p/d) and in the “ambitious” scenario the exemplar standard of a 65% reduction in demand is applied producing a PCC of just 22.1 l/p/d.</w:t>
      </w:r>
      <w:r w:rsidR="00A2651C">
        <w:rPr>
          <w:rStyle w:val="FootnoteReference"/>
        </w:rPr>
        <w:footnoteReference w:id="12"/>
      </w:r>
    </w:p>
    <w:p w14:paraId="0724618D" w14:textId="77777777" w:rsidR="00F56053" w:rsidRDefault="008E29A4" w:rsidP="008E29A4">
      <w:pPr>
        <w:pStyle w:val="Heading3"/>
      </w:pPr>
      <w:bookmarkStart w:id="60" w:name="_Toc101856684"/>
      <w:r>
        <w:t>Available options</w:t>
      </w:r>
      <w:bookmarkEnd w:id="60"/>
    </w:p>
    <w:p w14:paraId="19BF1A65" w14:textId="284F61D7" w:rsidR="00136BA1" w:rsidRPr="00136BA1" w:rsidRDefault="00F56053" w:rsidP="00F56053">
      <w:pPr>
        <w:pStyle w:val="JBAParaText"/>
      </w:pPr>
      <w:r>
        <w:t xml:space="preserve">This section outlines measures that may be available to LPAs within the Sussex North WRZ as part of a water neutrality plan both to reduce demand from planned growth, and to offset remaining additional demand.  Part A contained a number of possible mitigation options (which are summarised in </w:t>
      </w:r>
      <w:r>
        <w:fldChar w:fldCharType="begin"/>
      </w:r>
      <w:r>
        <w:instrText xml:space="preserve"> REF _Ref79598324 \h </w:instrText>
      </w:r>
      <w:r>
        <w:fldChar w:fldCharType="separate"/>
      </w:r>
      <w:r w:rsidR="00643E47">
        <w:t xml:space="preserve">Table </w:t>
      </w:r>
      <w:r w:rsidR="00643E47">
        <w:rPr>
          <w:noProof/>
        </w:rPr>
        <w:t>3</w:t>
      </w:r>
      <w:r w:rsidR="00643E47">
        <w:t>.</w:t>
      </w:r>
      <w:r w:rsidR="00643E47">
        <w:rPr>
          <w:noProof/>
        </w:rPr>
        <w:t>1</w:t>
      </w:r>
      <w:r>
        <w:fldChar w:fldCharType="end"/>
      </w:r>
      <w:r>
        <w:t xml:space="preserve"> below).  Where a mitigation option is considered to have potential to be incorporated into a water neutrality plan in Part C it is considered in the sections below.</w:t>
      </w:r>
      <w:r w:rsidR="00695ED3">
        <w:t xml:space="preserve"> All of the figures on potential water demand reduction or offsetting are indicative at this stage and will be refined further in Part C.</w:t>
      </w:r>
    </w:p>
    <w:p w14:paraId="536442B2" w14:textId="171EE963" w:rsidR="00F56053" w:rsidRDefault="00F56053" w:rsidP="00F56053">
      <w:pPr>
        <w:pStyle w:val="Caption"/>
        <w:keepNext/>
      </w:pPr>
      <w:bookmarkStart w:id="61" w:name="_Ref79598324"/>
      <w:bookmarkStart w:id="62" w:name="_Toc101856741"/>
      <w:r>
        <w:t xml:space="preserve">Table </w:t>
      </w:r>
      <w:r w:rsidR="00E6462B">
        <w:fldChar w:fldCharType="begin"/>
      </w:r>
      <w:r w:rsidR="00E6462B">
        <w:instrText xml:space="preserve"> STYLEREF 1 \s </w:instrText>
      </w:r>
      <w:r w:rsidR="00E6462B">
        <w:fldChar w:fldCharType="separate"/>
      </w:r>
      <w:r w:rsidR="00643E47">
        <w:rPr>
          <w:noProof/>
        </w:rPr>
        <w:t>3</w:t>
      </w:r>
      <w:r w:rsidR="00E6462B">
        <w:rPr>
          <w:noProof/>
        </w:rPr>
        <w:fldChar w:fldCharType="end"/>
      </w:r>
      <w:r w:rsidR="00DF396A">
        <w:t>.</w:t>
      </w:r>
      <w:r w:rsidR="00E6462B">
        <w:fldChar w:fldCharType="begin"/>
      </w:r>
      <w:r w:rsidR="00E6462B">
        <w:instrText xml:space="preserve"> SEQ Table \* ARABIC \s 1 </w:instrText>
      </w:r>
      <w:r w:rsidR="00E6462B">
        <w:fldChar w:fldCharType="separate"/>
      </w:r>
      <w:r w:rsidR="00643E47">
        <w:rPr>
          <w:noProof/>
        </w:rPr>
        <w:t>1</w:t>
      </w:r>
      <w:r w:rsidR="00E6462B">
        <w:rPr>
          <w:noProof/>
        </w:rPr>
        <w:fldChar w:fldCharType="end"/>
      </w:r>
      <w:bookmarkEnd w:id="61"/>
      <w:r>
        <w:t xml:space="preserve"> Mitigation options</w:t>
      </w:r>
      <w:r w:rsidR="00872F67">
        <w:t xml:space="preserve"> identified in Part A</w:t>
      </w:r>
      <w:bookmarkEnd w:id="62"/>
    </w:p>
    <w:tbl>
      <w:tblPr>
        <w:tblStyle w:val="JBATable13"/>
        <w:tblW w:w="8788" w:type="dxa"/>
        <w:tblInd w:w="1668" w:type="dxa"/>
        <w:tblLook w:val="04A0" w:firstRow="1" w:lastRow="0" w:firstColumn="1" w:lastColumn="0" w:noHBand="0" w:noVBand="1"/>
      </w:tblPr>
      <w:tblGrid>
        <w:gridCol w:w="1694"/>
        <w:gridCol w:w="4968"/>
        <w:gridCol w:w="2126"/>
      </w:tblGrid>
      <w:tr w:rsidR="001009F4" w14:paraId="4D3F1CDE" w14:textId="77777777" w:rsidTr="00A2651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94" w:type="dxa"/>
          </w:tcPr>
          <w:p w14:paraId="485F94BC" w14:textId="77777777" w:rsidR="001009F4" w:rsidRDefault="001009F4" w:rsidP="006E1945">
            <w:pPr>
              <w:pStyle w:val="JBAParaText"/>
              <w:ind w:left="0" w:right="25"/>
              <w:jc w:val="center"/>
            </w:pPr>
            <w:r>
              <w:t>Mitigation option</w:t>
            </w:r>
          </w:p>
        </w:tc>
        <w:tc>
          <w:tcPr>
            <w:tcW w:w="4968" w:type="dxa"/>
          </w:tcPr>
          <w:p w14:paraId="15D9C39F" w14:textId="77777777" w:rsidR="001009F4" w:rsidRDefault="001009F4" w:rsidP="006E1945">
            <w:pPr>
              <w:pStyle w:val="JBAParaText"/>
              <w:ind w:left="0" w:right="-2"/>
              <w:jc w:val="center"/>
              <w:cnfStyle w:val="100000000000" w:firstRow="1" w:lastRow="0" w:firstColumn="0" w:lastColumn="0" w:oddVBand="0" w:evenVBand="0" w:oddHBand="0" w:evenHBand="0" w:firstRowFirstColumn="0" w:firstRowLastColumn="0" w:lastRowFirstColumn="0" w:lastRowLastColumn="0"/>
            </w:pPr>
            <w:r>
              <w:t>Summary</w:t>
            </w:r>
          </w:p>
        </w:tc>
        <w:tc>
          <w:tcPr>
            <w:tcW w:w="2126" w:type="dxa"/>
          </w:tcPr>
          <w:p w14:paraId="5E325DA3" w14:textId="77777777" w:rsidR="001009F4" w:rsidRDefault="001009F4" w:rsidP="006E1945">
            <w:pPr>
              <w:pStyle w:val="JBAParaText"/>
              <w:ind w:left="0" w:right="-2"/>
              <w:jc w:val="center"/>
              <w:cnfStyle w:val="100000000000" w:firstRow="1" w:lastRow="0" w:firstColumn="0" w:lastColumn="0" w:oddVBand="0" w:evenVBand="0" w:oddHBand="0" w:evenHBand="0" w:firstRowFirstColumn="0" w:firstRowLastColumn="0" w:lastRowFirstColumn="0" w:lastRowLastColumn="0"/>
            </w:pPr>
            <w:r>
              <w:t>Considered in Part B</w:t>
            </w:r>
            <w:r w:rsidR="00FB6CB2">
              <w:t>?</w:t>
            </w:r>
          </w:p>
        </w:tc>
      </w:tr>
      <w:tr w:rsidR="001009F4" w14:paraId="5675E84D" w14:textId="77777777" w:rsidTr="00A2651C">
        <w:tc>
          <w:tcPr>
            <w:cnfStyle w:val="001000000000" w:firstRow="0" w:lastRow="0" w:firstColumn="1" w:lastColumn="0" w:oddVBand="0" w:evenVBand="0" w:oddHBand="0" w:evenHBand="0" w:firstRowFirstColumn="0" w:firstRowLastColumn="0" w:lastRowFirstColumn="0" w:lastRowLastColumn="0"/>
            <w:tcW w:w="1694" w:type="dxa"/>
          </w:tcPr>
          <w:p w14:paraId="094344A6" w14:textId="77777777" w:rsidR="001009F4" w:rsidRDefault="001009F4" w:rsidP="006E1945">
            <w:pPr>
              <w:pStyle w:val="JBAParaText"/>
              <w:ind w:left="0" w:right="25"/>
            </w:pPr>
            <w:r>
              <w:t>Leakage reduction</w:t>
            </w:r>
          </w:p>
        </w:tc>
        <w:tc>
          <w:tcPr>
            <w:tcW w:w="4968" w:type="dxa"/>
          </w:tcPr>
          <w:p w14:paraId="74AD392B" w14:textId="77777777" w:rsidR="001009F4" w:rsidRDefault="001009F4" w:rsidP="006E1945">
            <w:pPr>
              <w:pStyle w:val="JBAParaText"/>
              <w:ind w:left="0" w:right="-2"/>
              <w:cnfStyle w:val="000000000000" w:firstRow="0" w:lastRow="0" w:firstColumn="0" w:lastColumn="0" w:oddVBand="0" w:evenVBand="0" w:oddHBand="0" w:evenHBand="0" w:firstRowFirstColumn="0" w:firstRowLastColumn="0" w:lastRowFirstColumn="0" w:lastRowLastColumn="0"/>
            </w:pPr>
            <w:r>
              <w:t>SW already have a plan to reduce leakage on their network.  This measure would involve funding being provided for SW to go further and faster – reducing leakage at a faster rate.</w:t>
            </w:r>
            <w:r w:rsidR="00A94C70">
              <w:t xml:space="preserve">  It should be noted that the unit rate for leakage reduction increases as leakage reduces (i.e., it gets progressively more expensive to </w:t>
            </w:r>
            <w:r w:rsidR="00C80F5A">
              <w:t>achieve leakage reductions).</w:t>
            </w:r>
          </w:p>
        </w:tc>
        <w:tc>
          <w:tcPr>
            <w:tcW w:w="2126" w:type="dxa"/>
          </w:tcPr>
          <w:p w14:paraId="34770E8C" w14:textId="77777777" w:rsidR="001009F4" w:rsidRDefault="001009F4" w:rsidP="006E1945">
            <w:pPr>
              <w:pStyle w:val="JBAParaText"/>
              <w:ind w:left="0" w:right="-2"/>
              <w:cnfStyle w:val="000000000000" w:firstRow="0" w:lastRow="0" w:firstColumn="0" w:lastColumn="0" w:oddVBand="0" w:evenVBand="0" w:oddHBand="0" w:evenHBand="0" w:firstRowFirstColumn="0" w:firstRowLastColumn="0" w:lastRowFirstColumn="0" w:lastRowLastColumn="0"/>
            </w:pPr>
            <w:r>
              <w:t>Yes</w:t>
            </w:r>
            <w:r w:rsidR="00262517">
              <w:t xml:space="preserve"> – applicable to WRZ</w:t>
            </w:r>
          </w:p>
        </w:tc>
      </w:tr>
      <w:tr w:rsidR="001009F4" w14:paraId="4BCC0407" w14:textId="77777777" w:rsidTr="00A2651C">
        <w:tc>
          <w:tcPr>
            <w:cnfStyle w:val="001000000000" w:firstRow="0" w:lastRow="0" w:firstColumn="1" w:lastColumn="0" w:oddVBand="0" w:evenVBand="0" w:oddHBand="0" w:evenHBand="0" w:firstRowFirstColumn="0" w:firstRowLastColumn="0" w:lastRowFirstColumn="0" w:lastRowLastColumn="0"/>
            <w:tcW w:w="1694" w:type="dxa"/>
          </w:tcPr>
          <w:p w14:paraId="045DAAD7" w14:textId="77777777" w:rsidR="001009F4" w:rsidRDefault="001009F4" w:rsidP="006E1945">
            <w:pPr>
              <w:pStyle w:val="JBAParaText"/>
              <w:ind w:left="0" w:right="25"/>
            </w:pPr>
            <w:r>
              <w:t>Metering</w:t>
            </w:r>
          </w:p>
        </w:tc>
        <w:tc>
          <w:tcPr>
            <w:tcW w:w="4968" w:type="dxa"/>
          </w:tcPr>
          <w:p w14:paraId="186FBDEB" w14:textId="77777777" w:rsidR="002B70AC" w:rsidRDefault="001009F4" w:rsidP="008E1B30">
            <w:pPr>
              <w:pStyle w:val="JBAParaText"/>
              <w:ind w:left="0" w:right="-2"/>
              <w:cnfStyle w:val="000000000000" w:firstRow="0" w:lastRow="0" w:firstColumn="0" w:lastColumn="0" w:oddVBand="0" w:evenVBand="0" w:oddHBand="0" w:evenHBand="0" w:firstRowFirstColumn="0" w:firstRowLastColumn="0" w:lastRowFirstColumn="0" w:lastRowLastColumn="0"/>
            </w:pPr>
            <w:r>
              <w:t>As with leakage reduction a plan is already in place to increase the percentage of households with water meters. This measure would involve funding being provided to exten</w:t>
            </w:r>
            <w:r w:rsidR="008E1B30">
              <w:t>d</w:t>
            </w:r>
            <w:r>
              <w:t xml:space="preserve"> the metering penetration to a higher percentage than planned.  It could also include a faster rollout of smart meters.</w:t>
            </w:r>
          </w:p>
        </w:tc>
        <w:tc>
          <w:tcPr>
            <w:tcW w:w="2126" w:type="dxa"/>
          </w:tcPr>
          <w:p w14:paraId="11D5A29C" w14:textId="77777777" w:rsidR="001009F4" w:rsidRDefault="00262517" w:rsidP="006E1945">
            <w:pPr>
              <w:pStyle w:val="JBAParaText"/>
              <w:ind w:left="0" w:right="-2"/>
              <w:cnfStyle w:val="000000000000" w:firstRow="0" w:lastRow="0" w:firstColumn="0" w:lastColumn="0" w:oddVBand="0" w:evenVBand="0" w:oddHBand="0" w:evenHBand="0" w:firstRowFirstColumn="0" w:firstRowLastColumn="0" w:lastRowFirstColumn="0" w:lastRowLastColumn="0"/>
            </w:pPr>
            <w:r>
              <w:t>Yes – applicable to WRZ</w:t>
            </w:r>
          </w:p>
        </w:tc>
      </w:tr>
      <w:tr w:rsidR="001009F4" w14:paraId="05DB8D58" w14:textId="77777777" w:rsidTr="00A2651C">
        <w:tc>
          <w:tcPr>
            <w:cnfStyle w:val="001000000000" w:firstRow="0" w:lastRow="0" w:firstColumn="1" w:lastColumn="0" w:oddVBand="0" w:evenVBand="0" w:oddHBand="0" w:evenHBand="0" w:firstRowFirstColumn="0" w:firstRowLastColumn="0" w:lastRowFirstColumn="0" w:lastRowLastColumn="0"/>
            <w:tcW w:w="1694" w:type="dxa"/>
          </w:tcPr>
          <w:p w14:paraId="6CC353B6" w14:textId="77777777" w:rsidR="001009F4" w:rsidRDefault="001009F4" w:rsidP="006E1945">
            <w:pPr>
              <w:pStyle w:val="JBAParaText"/>
              <w:ind w:left="0" w:right="25"/>
            </w:pPr>
            <w:r>
              <w:t>Household visits</w:t>
            </w:r>
          </w:p>
        </w:tc>
        <w:tc>
          <w:tcPr>
            <w:tcW w:w="4968" w:type="dxa"/>
          </w:tcPr>
          <w:p w14:paraId="1C6F5EC9" w14:textId="77777777" w:rsidR="001009F4" w:rsidRDefault="001009F4" w:rsidP="006E1945">
            <w:pPr>
              <w:pStyle w:val="JBAParaText"/>
              <w:keepNext/>
              <w:ind w:left="0" w:right="-2"/>
              <w:cnfStyle w:val="000000000000" w:firstRow="0" w:lastRow="0" w:firstColumn="0" w:lastColumn="0" w:oddVBand="0" w:evenVBand="0" w:oddHBand="0" w:evenHBand="0" w:firstRowFirstColumn="0" w:firstRowLastColumn="0" w:lastRowFirstColumn="0" w:lastRowLastColumn="0"/>
            </w:pPr>
            <w:r>
              <w:t>Visits by a water company or contractor to provide advice on water saving, and to fit water efficient fittings and devices where possible. These are planned as part of the Target 100 programme, but the programme could be extended.</w:t>
            </w:r>
          </w:p>
        </w:tc>
        <w:tc>
          <w:tcPr>
            <w:tcW w:w="2126" w:type="dxa"/>
          </w:tcPr>
          <w:p w14:paraId="77940D9F" w14:textId="77777777" w:rsidR="001009F4" w:rsidRDefault="00262517" w:rsidP="006E1945">
            <w:pPr>
              <w:pStyle w:val="JBAParaText"/>
              <w:keepNext/>
              <w:ind w:left="0" w:right="-2"/>
              <w:cnfStyle w:val="000000000000" w:firstRow="0" w:lastRow="0" w:firstColumn="0" w:lastColumn="0" w:oddVBand="0" w:evenVBand="0" w:oddHBand="0" w:evenHBand="0" w:firstRowFirstColumn="0" w:firstRowLastColumn="0" w:lastRowFirstColumn="0" w:lastRowLastColumn="0"/>
            </w:pPr>
            <w:r>
              <w:t>Yes – applicable to WRZ</w:t>
            </w:r>
          </w:p>
        </w:tc>
      </w:tr>
      <w:tr w:rsidR="00262517" w14:paraId="21CDFA33" w14:textId="77777777" w:rsidTr="00A2651C">
        <w:tc>
          <w:tcPr>
            <w:cnfStyle w:val="001000000000" w:firstRow="0" w:lastRow="0" w:firstColumn="1" w:lastColumn="0" w:oddVBand="0" w:evenVBand="0" w:oddHBand="0" w:evenHBand="0" w:firstRowFirstColumn="0" w:firstRowLastColumn="0" w:lastRowFirstColumn="0" w:lastRowLastColumn="0"/>
            <w:tcW w:w="1694" w:type="dxa"/>
          </w:tcPr>
          <w:p w14:paraId="52CA10C1" w14:textId="77777777" w:rsidR="00262517" w:rsidRDefault="00262517" w:rsidP="006E1945">
            <w:pPr>
              <w:pStyle w:val="JBAParaText"/>
              <w:ind w:left="0" w:right="25"/>
            </w:pPr>
            <w:r>
              <w:t>Non-household visits</w:t>
            </w:r>
          </w:p>
        </w:tc>
        <w:tc>
          <w:tcPr>
            <w:tcW w:w="4968" w:type="dxa"/>
          </w:tcPr>
          <w:p w14:paraId="2CF1A743" w14:textId="77777777" w:rsidR="00262517" w:rsidRDefault="00262517" w:rsidP="006E1945">
            <w:pPr>
              <w:pStyle w:val="JBAParaText"/>
              <w:keepNext/>
              <w:ind w:left="0" w:right="-2"/>
              <w:cnfStyle w:val="000000000000" w:firstRow="0" w:lastRow="0" w:firstColumn="0" w:lastColumn="0" w:oddVBand="0" w:evenVBand="0" w:oddHBand="0" w:evenHBand="0" w:firstRowFirstColumn="0" w:firstRowLastColumn="0" w:lastRowFirstColumn="0" w:lastRowLastColumn="0"/>
            </w:pPr>
            <w:r>
              <w:t xml:space="preserve">Similar to household visits but targeted at offices and factories. </w:t>
            </w:r>
          </w:p>
        </w:tc>
        <w:tc>
          <w:tcPr>
            <w:tcW w:w="2126" w:type="dxa"/>
          </w:tcPr>
          <w:p w14:paraId="4DAA8570" w14:textId="77777777" w:rsidR="00262517" w:rsidRDefault="00262517" w:rsidP="006E1945">
            <w:pPr>
              <w:pStyle w:val="JBAParaText"/>
              <w:keepNext/>
              <w:ind w:left="0" w:right="-2"/>
              <w:cnfStyle w:val="000000000000" w:firstRow="0" w:lastRow="0" w:firstColumn="0" w:lastColumn="0" w:oddVBand="0" w:evenVBand="0" w:oddHBand="0" w:evenHBand="0" w:firstRowFirstColumn="0" w:firstRowLastColumn="0" w:lastRowFirstColumn="0" w:lastRowLastColumn="0"/>
            </w:pPr>
            <w:r>
              <w:t>Yes – applicable to WRZ</w:t>
            </w:r>
          </w:p>
        </w:tc>
      </w:tr>
      <w:tr w:rsidR="00262517" w14:paraId="40C4107F" w14:textId="77777777" w:rsidTr="00A2651C">
        <w:tc>
          <w:tcPr>
            <w:cnfStyle w:val="001000000000" w:firstRow="0" w:lastRow="0" w:firstColumn="1" w:lastColumn="0" w:oddVBand="0" w:evenVBand="0" w:oddHBand="0" w:evenHBand="0" w:firstRowFirstColumn="0" w:firstRowLastColumn="0" w:lastRowFirstColumn="0" w:lastRowLastColumn="0"/>
            <w:tcW w:w="1694" w:type="dxa"/>
          </w:tcPr>
          <w:p w14:paraId="76042834" w14:textId="77777777" w:rsidR="00262517" w:rsidRDefault="00262517" w:rsidP="006E1945">
            <w:pPr>
              <w:pStyle w:val="JBAParaText"/>
              <w:ind w:left="0" w:right="25"/>
            </w:pPr>
            <w:r>
              <w:t>Application of BREEAM in commercial properties</w:t>
            </w:r>
          </w:p>
        </w:tc>
        <w:tc>
          <w:tcPr>
            <w:tcW w:w="4968" w:type="dxa"/>
          </w:tcPr>
          <w:p w14:paraId="18873D24" w14:textId="77777777" w:rsidR="00262517" w:rsidRDefault="00262517" w:rsidP="006E1945">
            <w:pPr>
              <w:pStyle w:val="JBAParaText"/>
              <w:keepNext/>
              <w:ind w:left="0" w:right="-2"/>
              <w:cnfStyle w:val="000000000000" w:firstRow="0" w:lastRow="0" w:firstColumn="0" w:lastColumn="0" w:oddVBand="0" w:evenVBand="0" w:oddHBand="0" w:evenHBand="0" w:firstRowFirstColumn="0" w:firstRowLastColumn="0" w:lastRowFirstColumn="0" w:lastRowLastColumn="0"/>
            </w:pPr>
            <w:r>
              <w:t xml:space="preserve">Application of highest BREEAM standards for water efficiency for commercial buildings. </w:t>
            </w:r>
          </w:p>
        </w:tc>
        <w:tc>
          <w:tcPr>
            <w:tcW w:w="2126" w:type="dxa"/>
          </w:tcPr>
          <w:p w14:paraId="17415770" w14:textId="77777777" w:rsidR="00262517" w:rsidRDefault="00262517" w:rsidP="006E1945">
            <w:pPr>
              <w:pStyle w:val="JBAParaText"/>
              <w:keepNext/>
              <w:ind w:left="0" w:right="-2"/>
              <w:cnfStyle w:val="000000000000" w:firstRow="0" w:lastRow="0" w:firstColumn="0" w:lastColumn="0" w:oddVBand="0" w:evenVBand="0" w:oddHBand="0" w:evenHBand="0" w:firstRowFirstColumn="0" w:firstRowLastColumn="0" w:lastRowFirstColumn="0" w:lastRowLastColumn="0"/>
            </w:pPr>
            <w:r>
              <w:t>Yes – applicable to WRZ</w:t>
            </w:r>
          </w:p>
        </w:tc>
      </w:tr>
      <w:tr w:rsidR="00262517" w14:paraId="02123E26" w14:textId="77777777" w:rsidTr="00A2651C">
        <w:tc>
          <w:tcPr>
            <w:cnfStyle w:val="001000000000" w:firstRow="0" w:lastRow="0" w:firstColumn="1" w:lastColumn="0" w:oddVBand="0" w:evenVBand="0" w:oddHBand="0" w:evenHBand="0" w:firstRowFirstColumn="0" w:firstRowLastColumn="0" w:lastRowFirstColumn="0" w:lastRowLastColumn="0"/>
            <w:tcW w:w="1694" w:type="dxa"/>
          </w:tcPr>
          <w:p w14:paraId="3CB9A371" w14:textId="77777777" w:rsidR="00262517" w:rsidRDefault="00262517" w:rsidP="006E1945">
            <w:pPr>
              <w:pStyle w:val="JBAParaText"/>
              <w:ind w:left="0" w:right="25"/>
            </w:pPr>
            <w:r>
              <w:t>RwH – Newbuild household</w:t>
            </w:r>
          </w:p>
        </w:tc>
        <w:tc>
          <w:tcPr>
            <w:tcW w:w="4968" w:type="dxa"/>
          </w:tcPr>
          <w:p w14:paraId="38BFEE95" w14:textId="77777777" w:rsidR="00262517" w:rsidRDefault="00262517" w:rsidP="006E1945">
            <w:pPr>
              <w:pStyle w:val="JBAParaText"/>
              <w:keepNext/>
              <w:ind w:left="0" w:right="-2"/>
              <w:cnfStyle w:val="000000000000" w:firstRow="0" w:lastRow="0" w:firstColumn="0" w:lastColumn="0" w:oddVBand="0" w:evenVBand="0" w:oddHBand="0" w:evenHBand="0" w:firstRowFirstColumn="0" w:firstRowLastColumn="0" w:lastRowFirstColumn="0" w:lastRowLastColumn="0"/>
            </w:pPr>
            <w:r>
              <w:t xml:space="preserve">This measure will significantly reduce demand from new build houses prior to offsetting.  Rainwater is collected for use in toilets and washing machines. </w:t>
            </w:r>
          </w:p>
        </w:tc>
        <w:tc>
          <w:tcPr>
            <w:tcW w:w="2126" w:type="dxa"/>
          </w:tcPr>
          <w:p w14:paraId="36309D60" w14:textId="77777777" w:rsidR="00262517" w:rsidRDefault="00262517" w:rsidP="006E1945">
            <w:pPr>
              <w:pStyle w:val="JBAParaText"/>
              <w:keepNext/>
              <w:ind w:left="0" w:right="-2"/>
              <w:cnfStyle w:val="000000000000" w:firstRow="0" w:lastRow="0" w:firstColumn="0" w:lastColumn="0" w:oddVBand="0" w:evenVBand="0" w:oddHBand="0" w:evenHBand="0" w:firstRowFirstColumn="0" w:firstRowLastColumn="0" w:lastRowFirstColumn="0" w:lastRowLastColumn="0"/>
            </w:pPr>
            <w:r>
              <w:t>Yes – applicable to WRZ</w:t>
            </w:r>
          </w:p>
        </w:tc>
      </w:tr>
      <w:tr w:rsidR="00262517" w14:paraId="4BA95A21" w14:textId="77777777" w:rsidTr="00A2651C">
        <w:tc>
          <w:tcPr>
            <w:cnfStyle w:val="001000000000" w:firstRow="0" w:lastRow="0" w:firstColumn="1" w:lastColumn="0" w:oddVBand="0" w:evenVBand="0" w:oddHBand="0" w:evenHBand="0" w:firstRowFirstColumn="0" w:firstRowLastColumn="0" w:lastRowFirstColumn="0" w:lastRowLastColumn="0"/>
            <w:tcW w:w="1694" w:type="dxa"/>
          </w:tcPr>
          <w:p w14:paraId="10E6FC38" w14:textId="77777777" w:rsidR="00262517" w:rsidRDefault="00262517" w:rsidP="006E1945">
            <w:pPr>
              <w:pStyle w:val="JBAParaText"/>
              <w:ind w:left="0" w:right="25"/>
            </w:pPr>
            <w:r>
              <w:t>RwH – retrofit household</w:t>
            </w:r>
          </w:p>
        </w:tc>
        <w:tc>
          <w:tcPr>
            <w:tcW w:w="4968" w:type="dxa"/>
          </w:tcPr>
          <w:p w14:paraId="08669D9B" w14:textId="77777777" w:rsidR="00262517" w:rsidRDefault="00262517" w:rsidP="006E1945">
            <w:pPr>
              <w:pStyle w:val="JBAParaText"/>
              <w:keepNext/>
              <w:ind w:left="0" w:right="-2"/>
              <w:cnfStyle w:val="000000000000" w:firstRow="0" w:lastRow="0" w:firstColumn="0" w:lastColumn="0" w:oddVBand="0" w:evenVBand="0" w:oddHBand="0" w:evenHBand="0" w:firstRowFirstColumn="0" w:firstRowLastColumn="0" w:lastRowFirstColumn="0" w:lastRowLastColumn="0"/>
            </w:pPr>
            <w:r>
              <w:t>This measure reduces demand as above, but from existing houses. It is therefore an offsetting measure rather than a demand reduction measure in this case.</w:t>
            </w:r>
          </w:p>
        </w:tc>
        <w:tc>
          <w:tcPr>
            <w:tcW w:w="2126" w:type="dxa"/>
          </w:tcPr>
          <w:p w14:paraId="63B902B2" w14:textId="77777777" w:rsidR="00262517" w:rsidRDefault="00262517" w:rsidP="006E1945">
            <w:pPr>
              <w:pStyle w:val="JBAParaText"/>
              <w:keepNext/>
              <w:ind w:left="0" w:right="-2"/>
              <w:cnfStyle w:val="000000000000" w:firstRow="0" w:lastRow="0" w:firstColumn="0" w:lastColumn="0" w:oddVBand="0" w:evenVBand="0" w:oddHBand="0" w:evenHBand="0" w:firstRowFirstColumn="0" w:firstRowLastColumn="0" w:lastRowFirstColumn="0" w:lastRowLastColumn="0"/>
            </w:pPr>
            <w:r>
              <w:t>Yes – applicable to WRZ</w:t>
            </w:r>
          </w:p>
        </w:tc>
      </w:tr>
      <w:tr w:rsidR="00262517" w14:paraId="41F59736" w14:textId="77777777" w:rsidTr="00A2651C">
        <w:tc>
          <w:tcPr>
            <w:cnfStyle w:val="001000000000" w:firstRow="0" w:lastRow="0" w:firstColumn="1" w:lastColumn="0" w:oddVBand="0" w:evenVBand="0" w:oddHBand="0" w:evenHBand="0" w:firstRowFirstColumn="0" w:firstRowLastColumn="0" w:lastRowFirstColumn="0" w:lastRowLastColumn="0"/>
            <w:tcW w:w="1694" w:type="dxa"/>
          </w:tcPr>
          <w:p w14:paraId="3AF37A4E" w14:textId="77777777" w:rsidR="00262517" w:rsidRDefault="00262517" w:rsidP="006E1945">
            <w:pPr>
              <w:pStyle w:val="JBAParaText"/>
              <w:ind w:left="0" w:right="25"/>
            </w:pPr>
            <w:r>
              <w:t>RwH – retrofit commercial</w:t>
            </w:r>
          </w:p>
        </w:tc>
        <w:tc>
          <w:tcPr>
            <w:tcW w:w="4968" w:type="dxa"/>
          </w:tcPr>
          <w:p w14:paraId="29A7E5C4" w14:textId="77777777" w:rsidR="00262517" w:rsidRDefault="00262517" w:rsidP="006E1945">
            <w:pPr>
              <w:pStyle w:val="JBAParaText"/>
              <w:keepNext/>
              <w:ind w:left="0" w:right="-2"/>
              <w:cnfStyle w:val="000000000000" w:firstRow="0" w:lastRow="0" w:firstColumn="0" w:lastColumn="0" w:oddVBand="0" w:evenVBand="0" w:oddHBand="0" w:evenHBand="0" w:firstRowFirstColumn="0" w:firstRowLastColumn="0" w:lastRowFirstColumn="0" w:lastRowLastColumn="0"/>
            </w:pPr>
            <w:r>
              <w:t>Commercial buildings offer a large opportunity for RwH, particularly where buildings are large, or shared between multiple businesses.</w:t>
            </w:r>
          </w:p>
        </w:tc>
        <w:tc>
          <w:tcPr>
            <w:tcW w:w="2126" w:type="dxa"/>
          </w:tcPr>
          <w:p w14:paraId="29266B78" w14:textId="77777777" w:rsidR="00262517" w:rsidRDefault="00262517" w:rsidP="006E1945">
            <w:pPr>
              <w:pStyle w:val="JBAParaText"/>
              <w:keepNext/>
              <w:ind w:left="0" w:right="-2"/>
              <w:cnfStyle w:val="000000000000" w:firstRow="0" w:lastRow="0" w:firstColumn="0" w:lastColumn="0" w:oddVBand="0" w:evenVBand="0" w:oddHBand="0" w:evenHBand="0" w:firstRowFirstColumn="0" w:firstRowLastColumn="0" w:lastRowFirstColumn="0" w:lastRowLastColumn="0"/>
            </w:pPr>
            <w:r>
              <w:t>Yes – applicable to WRZ</w:t>
            </w:r>
          </w:p>
        </w:tc>
      </w:tr>
      <w:tr w:rsidR="00262517" w14:paraId="69DD2C69" w14:textId="77777777" w:rsidTr="00A2651C">
        <w:tc>
          <w:tcPr>
            <w:cnfStyle w:val="001000000000" w:firstRow="0" w:lastRow="0" w:firstColumn="1" w:lastColumn="0" w:oddVBand="0" w:evenVBand="0" w:oddHBand="0" w:evenHBand="0" w:firstRowFirstColumn="0" w:firstRowLastColumn="0" w:lastRowFirstColumn="0" w:lastRowLastColumn="0"/>
            <w:tcW w:w="1694" w:type="dxa"/>
          </w:tcPr>
          <w:p w14:paraId="05B6CA70" w14:textId="77777777" w:rsidR="00262517" w:rsidRDefault="00262517" w:rsidP="006E1945">
            <w:pPr>
              <w:pStyle w:val="JBAParaText"/>
              <w:ind w:left="0" w:right="25"/>
            </w:pPr>
            <w:r>
              <w:t>Education</w:t>
            </w:r>
          </w:p>
        </w:tc>
        <w:tc>
          <w:tcPr>
            <w:tcW w:w="4968" w:type="dxa"/>
          </w:tcPr>
          <w:p w14:paraId="5080D9AB" w14:textId="77777777" w:rsidR="00262517" w:rsidRDefault="00262517" w:rsidP="006E1945">
            <w:pPr>
              <w:pStyle w:val="JBAParaText"/>
              <w:keepNext/>
              <w:ind w:left="0" w:right="-2"/>
              <w:cnfStyle w:val="000000000000" w:firstRow="0" w:lastRow="0" w:firstColumn="0" w:lastColumn="0" w:oddVBand="0" w:evenVBand="0" w:oddHBand="0" w:evenHBand="0" w:firstRowFirstColumn="0" w:firstRowLastColumn="0" w:lastRowFirstColumn="0" w:lastRowLastColumn="0"/>
            </w:pPr>
            <w:r>
              <w:t xml:space="preserve">Awareness of water scarcity is relatively low.  Education is an important component of any water neutrality plan – both on the importance of saving water and the reasons for water efficient fittings.  </w:t>
            </w:r>
          </w:p>
        </w:tc>
        <w:tc>
          <w:tcPr>
            <w:tcW w:w="2126" w:type="dxa"/>
          </w:tcPr>
          <w:p w14:paraId="7A2B4AB0" w14:textId="1A25A3B5" w:rsidR="00262517" w:rsidRDefault="00262517" w:rsidP="006E1945">
            <w:pPr>
              <w:pStyle w:val="JBAParaText"/>
              <w:keepNext/>
              <w:ind w:left="0" w:right="-2"/>
              <w:cnfStyle w:val="000000000000" w:firstRow="0" w:lastRow="0" w:firstColumn="0" w:lastColumn="0" w:oddVBand="0" w:evenVBand="0" w:oddHBand="0" w:evenHBand="0" w:firstRowFirstColumn="0" w:firstRowLastColumn="0" w:lastRowFirstColumn="0" w:lastRowLastColumn="0"/>
            </w:pPr>
            <w:r>
              <w:t>No – not possible to quantify impact</w:t>
            </w:r>
            <w:r w:rsidR="00872F67">
              <w:t xml:space="preserve"> – although should be part of strategy</w:t>
            </w:r>
          </w:p>
        </w:tc>
      </w:tr>
      <w:tr w:rsidR="00262517" w14:paraId="4B2C215B" w14:textId="77777777" w:rsidTr="00A2651C">
        <w:tc>
          <w:tcPr>
            <w:cnfStyle w:val="001000000000" w:firstRow="0" w:lastRow="0" w:firstColumn="1" w:lastColumn="0" w:oddVBand="0" w:evenVBand="0" w:oddHBand="0" w:evenHBand="0" w:firstRowFirstColumn="0" w:firstRowLastColumn="0" w:lastRowFirstColumn="0" w:lastRowLastColumn="0"/>
            <w:tcW w:w="1694" w:type="dxa"/>
          </w:tcPr>
          <w:p w14:paraId="64FD9654" w14:textId="77777777" w:rsidR="00262517" w:rsidRDefault="00262517" w:rsidP="006E1945">
            <w:pPr>
              <w:pStyle w:val="JBAParaText"/>
              <w:ind w:left="0" w:right="25"/>
            </w:pPr>
            <w:r>
              <w:t>Wastewater re-direction</w:t>
            </w:r>
          </w:p>
        </w:tc>
        <w:tc>
          <w:tcPr>
            <w:tcW w:w="4968" w:type="dxa"/>
          </w:tcPr>
          <w:p w14:paraId="6F7CFAB7" w14:textId="77777777" w:rsidR="00262517" w:rsidRDefault="00262517" w:rsidP="006E1945">
            <w:pPr>
              <w:pStyle w:val="JBAParaText"/>
              <w:keepNext/>
              <w:ind w:left="0" w:right="-2"/>
              <w:cnfStyle w:val="000000000000" w:firstRow="0" w:lastRow="0" w:firstColumn="0" w:lastColumn="0" w:oddVBand="0" w:evenVBand="0" w:oddHBand="0" w:evenHBand="0" w:firstRowFirstColumn="0" w:firstRowLastColumn="0" w:lastRowFirstColumn="0" w:lastRowLastColumn="0"/>
            </w:pPr>
            <w:r>
              <w:t xml:space="preserve">Water used in the north of the WRZ </w:t>
            </w:r>
            <w:r w:rsidR="00826ED8">
              <w:t>flows to Crawley WwTW as wastewater and discharges north out of the WRZ.  If it were to discharge within the Sussex North WRZ, it could provide a contribution to maintaining river levels, providing more water for surface water abstraction, relieving pressure on groundwater abstraction at Pulborough.</w:t>
            </w:r>
          </w:p>
        </w:tc>
        <w:tc>
          <w:tcPr>
            <w:tcW w:w="2126" w:type="dxa"/>
          </w:tcPr>
          <w:p w14:paraId="28AB3565" w14:textId="77777777" w:rsidR="00262517" w:rsidRDefault="00262517" w:rsidP="006E1945">
            <w:pPr>
              <w:pStyle w:val="JBAParaText"/>
              <w:keepNext/>
              <w:ind w:left="0" w:right="-2"/>
              <w:cnfStyle w:val="000000000000" w:firstRow="0" w:lastRow="0" w:firstColumn="0" w:lastColumn="0" w:oddVBand="0" w:evenVBand="0" w:oddHBand="0" w:evenHBand="0" w:firstRowFirstColumn="0" w:firstRowLastColumn="0" w:lastRowFirstColumn="0" w:lastRowLastColumn="0"/>
            </w:pPr>
            <w:r>
              <w:t>No – extensive environmental assessment and water quality modelling required – outside the scope of this study</w:t>
            </w:r>
          </w:p>
        </w:tc>
      </w:tr>
      <w:tr w:rsidR="00826ED8" w14:paraId="44FACFDB" w14:textId="77777777" w:rsidTr="00A2651C">
        <w:tc>
          <w:tcPr>
            <w:cnfStyle w:val="001000000000" w:firstRow="0" w:lastRow="0" w:firstColumn="1" w:lastColumn="0" w:oddVBand="0" w:evenVBand="0" w:oddHBand="0" w:evenHBand="0" w:firstRowFirstColumn="0" w:firstRowLastColumn="0" w:lastRowFirstColumn="0" w:lastRowLastColumn="0"/>
            <w:tcW w:w="1694" w:type="dxa"/>
          </w:tcPr>
          <w:p w14:paraId="77088CB4" w14:textId="77777777" w:rsidR="00826ED8" w:rsidRDefault="00826ED8" w:rsidP="006E1945">
            <w:pPr>
              <w:pStyle w:val="JBAParaText"/>
              <w:ind w:left="0" w:right="25"/>
            </w:pPr>
            <w:r>
              <w:t>New water supplier from outside WRZ</w:t>
            </w:r>
          </w:p>
        </w:tc>
        <w:tc>
          <w:tcPr>
            <w:tcW w:w="4968" w:type="dxa"/>
          </w:tcPr>
          <w:p w14:paraId="1E0ABDC5" w14:textId="77777777" w:rsidR="00826ED8" w:rsidRDefault="00826ED8" w:rsidP="006E1945">
            <w:pPr>
              <w:pStyle w:val="JBAParaText"/>
              <w:keepNext/>
              <w:ind w:left="0" w:right="-2"/>
              <w:cnfStyle w:val="000000000000" w:firstRow="0" w:lastRow="0" w:firstColumn="0" w:lastColumn="0" w:oddVBand="0" w:evenVBand="0" w:oddHBand="0" w:evenHBand="0" w:firstRowFirstColumn="0" w:firstRowLastColumn="0" w:lastRowFirstColumn="0" w:lastRowLastColumn="0"/>
            </w:pPr>
            <w:r>
              <w:t xml:space="preserve">Bulk transfer of water into the WRZ from an adjacent supply </w:t>
            </w:r>
            <w:r w:rsidR="00AC09AF">
              <w:t>area or</w:t>
            </w:r>
            <w:r>
              <w:t xml:space="preserve"> switching supply to a different WRZ. </w:t>
            </w:r>
          </w:p>
        </w:tc>
        <w:tc>
          <w:tcPr>
            <w:tcW w:w="2126" w:type="dxa"/>
          </w:tcPr>
          <w:p w14:paraId="1D1EE318" w14:textId="77777777" w:rsidR="00826ED8" w:rsidRDefault="00826ED8" w:rsidP="006E1945">
            <w:pPr>
              <w:pStyle w:val="JBAParaText"/>
              <w:keepNext/>
              <w:ind w:left="0" w:right="-2"/>
              <w:cnfStyle w:val="000000000000" w:firstRow="0" w:lastRow="0" w:firstColumn="0" w:lastColumn="0" w:oddVBand="0" w:evenVBand="0" w:oddHBand="0" w:evenHBand="0" w:firstRowFirstColumn="0" w:firstRowLastColumn="0" w:lastRowFirstColumn="0" w:lastRowLastColumn="0"/>
            </w:pPr>
            <w:r>
              <w:t>Yes</w:t>
            </w:r>
          </w:p>
        </w:tc>
      </w:tr>
    </w:tbl>
    <w:p w14:paraId="6504F0FA" w14:textId="77777777" w:rsidR="00136BA1" w:rsidRDefault="00136BA1" w:rsidP="00D26C26">
      <w:pPr>
        <w:pStyle w:val="JBAParaText"/>
        <w:ind w:left="0"/>
      </w:pPr>
    </w:p>
    <w:p w14:paraId="099DA0A8" w14:textId="77777777" w:rsidR="00F06655" w:rsidRDefault="00F06655" w:rsidP="00695ED3">
      <w:pPr>
        <w:pStyle w:val="Heading2"/>
      </w:pPr>
      <w:bookmarkStart w:id="63" w:name="_Toc101856685"/>
      <w:r w:rsidRPr="00695ED3">
        <w:t>Demand</w:t>
      </w:r>
      <w:r>
        <w:t xml:space="preserve"> reduction</w:t>
      </w:r>
      <w:bookmarkEnd w:id="63"/>
    </w:p>
    <w:p w14:paraId="7F290DD7" w14:textId="77777777" w:rsidR="005F0E82" w:rsidRDefault="005F0E82" w:rsidP="005F0E82">
      <w:pPr>
        <w:pStyle w:val="Heading3"/>
      </w:pPr>
      <w:bookmarkStart w:id="64" w:name="_Toc101856686"/>
      <w:r>
        <w:t>Outline</w:t>
      </w:r>
      <w:bookmarkEnd w:id="64"/>
    </w:p>
    <w:p w14:paraId="6504F5E0" w14:textId="5AAA6070" w:rsidR="00DA24AB" w:rsidRDefault="00DA24AB" w:rsidP="00136BA1">
      <w:pPr>
        <w:pStyle w:val="JBAParaText"/>
      </w:pPr>
      <w:r>
        <w:t xml:space="preserve">The first step in a water neutrality </w:t>
      </w:r>
      <w:r w:rsidR="00666996">
        <w:t>strategy</w:t>
      </w:r>
      <w:r>
        <w:t xml:space="preserve"> is to reduce demand as far as is practicable.  This can be done through </w:t>
      </w:r>
      <w:r w:rsidR="00695ED3">
        <w:t xml:space="preserve">water efficient fittings (flow reducers, aerated shower heads etc), </w:t>
      </w:r>
      <w:r>
        <w:t xml:space="preserve">setting water efficiency targets in local plan policy, requiring rainwater harvesting or greywater recycling </w:t>
      </w:r>
      <w:r w:rsidR="00C80F5A">
        <w:t xml:space="preserve">be </w:t>
      </w:r>
      <w:r>
        <w:t>fitted in new build housing</w:t>
      </w:r>
      <w:r w:rsidR="00C329B0">
        <w:t xml:space="preserve"> (also through local plan policy)</w:t>
      </w:r>
      <w:r>
        <w:t>, and through education / information programmes.</w:t>
      </w:r>
      <w:r w:rsidR="00136BA1" w:rsidRPr="00136BA1">
        <w:t xml:space="preserve"> </w:t>
      </w:r>
      <w:r w:rsidR="00136BA1">
        <w:t xml:space="preserve"> Some increase in water demand in the WRZ </w:t>
      </w:r>
      <w:r w:rsidR="00DC22D9">
        <w:t xml:space="preserve">as a result of </w:t>
      </w:r>
      <w:r w:rsidR="00136BA1">
        <w:t xml:space="preserve">planned development during the local plan period (prior to mitigation) is inevitable. </w:t>
      </w:r>
      <w:r w:rsidR="00C80F5A">
        <w:t xml:space="preserve"> </w:t>
      </w:r>
      <w:r w:rsidR="00136BA1">
        <w:t xml:space="preserve">However, it can be minimised by making </w:t>
      </w:r>
      <w:r w:rsidR="00DC22D9">
        <w:t>developments</w:t>
      </w:r>
      <w:r w:rsidR="00136BA1">
        <w:t xml:space="preserve"> as water efficient as possible.</w:t>
      </w:r>
      <w:r w:rsidR="00136BA1" w:rsidRPr="00855CCE">
        <w:t xml:space="preserve"> </w:t>
      </w:r>
      <w:r w:rsidR="00136BA1">
        <w:t xml:space="preserve"> Local </w:t>
      </w:r>
      <w:r w:rsidR="00DC22D9">
        <w:t xml:space="preserve">Plan </w:t>
      </w:r>
      <w:r w:rsidR="00136BA1">
        <w:t>policy can require new residential developments to adopt minimum water efficiency targets</w:t>
      </w:r>
      <w:r w:rsidR="00666996">
        <w:t>, and this is essential to reduce the scale of the offsetting required to achieve neutrality</w:t>
      </w:r>
      <w:r w:rsidR="00136BA1">
        <w:t xml:space="preserve">. </w:t>
      </w:r>
    </w:p>
    <w:p w14:paraId="0A598D7C" w14:textId="3C74EB50" w:rsidR="00D26C26" w:rsidRDefault="00136BA1" w:rsidP="005F0E82">
      <w:pPr>
        <w:pStyle w:val="JBAParaText"/>
      </w:pPr>
      <w:r>
        <w:t>The same water demand scenarios used in Part A have also</w:t>
      </w:r>
      <w:r w:rsidR="005067F4">
        <w:t xml:space="preserve"> been</w:t>
      </w:r>
      <w:r>
        <w:t xml:space="preserve"> applied in Part B. </w:t>
      </w:r>
      <w:r w:rsidR="00DA24AB">
        <w:fldChar w:fldCharType="begin"/>
      </w:r>
      <w:r w:rsidR="00DA24AB">
        <w:instrText xml:space="preserve"> REF _Ref79506822 \h </w:instrText>
      </w:r>
      <w:r w:rsidR="00DA24AB">
        <w:fldChar w:fldCharType="separate"/>
      </w:r>
      <w:r w:rsidR="00643E47">
        <w:t xml:space="preserve">Table </w:t>
      </w:r>
      <w:r w:rsidR="00643E47">
        <w:rPr>
          <w:noProof/>
        </w:rPr>
        <w:t>2</w:t>
      </w:r>
      <w:r w:rsidR="00643E47">
        <w:t>.</w:t>
      </w:r>
      <w:r w:rsidR="00643E47">
        <w:rPr>
          <w:noProof/>
        </w:rPr>
        <w:t>6</w:t>
      </w:r>
      <w:r w:rsidR="00DA24AB">
        <w:fldChar w:fldCharType="end"/>
      </w:r>
      <w:r w:rsidR="00DA24AB">
        <w:t xml:space="preserve"> shows the impact of </w:t>
      </w:r>
      <w:r>
        <w:t xml:space="preserve">more stringent </w:t>
      </w:r>
      <w:r w:rsidR="00DA24AB">
        <w:t>water efficiency targets where they go beyond the standard options contained in building regulations.</w:t>
      </w:r>
    </w:p>
    <w:p w14:paraId="2895923C" w14:textId="77777777" w:rsidR="00136BA1" w:rsidRPr="00136BA1" w:rsidRDefault="00136BA1" w:rsidP="00136BA1">
      <w:pPr>
        <w:pStyle w:val="JBAParaText"/>
      </w:pPr>
      <w:r w:rsidRPr="00136BA1">
        <w:t>In order to achieve the water efficiency targets there are a number of measures that should be incorporated into new build housing. These were outlined in Figure 4.1 of Part A.  These same measures can be retrofitted to existing housing</w:t>
      </w:r>
      <w:r w:rsidR="005F0E82">
        <w:t>,</w:t>
      </w:r>
      <w:r w:rsidRPr="00136BA1">
        <w:t xml:space="preserve"> and many can also be applied to non-household settings such as wash facilities and canteens in office buildings.</w:t>
      </w:r>
    </w:p>
    <w:p w14:paraId="0D17C684" w14:textId="77777777" w:rsidR="0094068F" w:rsidRPr="00136BA1" w:rsidRDefault="00136BA1" w:rsidP="0094068F">
      <w:pPr>
        <w:pStyle w:val="JBAParaText"/>
      </w:pPr>
      <w:r w:rsidRPr="00136BA1">
        <w:t>Over time, water companies have reported an erosion of the benefits of fitting/retrofitting water efficient fittings in the UK, as they are replaced by</w:t>
      </w:r>
      <w:r w:rsidR="00DC22D9">
        <w:t xml:space="preserve"> less </w:t>
      </w:r>
      <w:r w:rsidR="00DC22D9" w:rsidRPr="00136BA1">
        <w:t xml:space="preserve">efficient </w:t>
      </w:r>
      <w:r w:rsidRPr="00136BA1">
        <w:t xml:space="preserve">fittings.  This points to either a need for rolling programmes of </w:t>
      </w:r>
      <w:r w:rsidR="007F1419" w:rsidRPr="00136BA1">
        <w:t>retrofitting</w:t>
      </w:r>
      <w:r w:rsidRPr="00136BA1">
        <w:t xml:space="preserve"> or mandatory efficiency requirements for fittings and appliances.  </w:t>
      </w:r>
      <w:r w:rsidR="00DC22D9">
        <w:t>National standards regulating the water efficiency of fittings and appliances could also be introduced to address this issue, but this would require national government intervention and therefore is considered to be beyond the scope of the Councils or Southern Water to influence.</w:t>
      </w:r>
      <w:r w:rsidR="000F44BA">
        <w:t xml:space="preserve">  </w:t>
      </w:r>
      <w:r w:rsidR="000D1DE6">
        <w:t xml:space="preserve">It expected that water labelling of appliances is coming, but unlikely to be in place in time to influence water efficiency during this plan.  </w:t>
      </w:r>
      <w:r w:rsidR="000F44BA">
        <w:t xml:space="preserve">An allowance must be made for the potential drop-off in effectiveness overtime. </w:t>
      </w:r>
    </w:p>
    <w:p w14:paraId="64276AB3" w14:textId="77777777" w:rsidR="00D26C26" w:rsidRDefault="005F0E82" w:rsidP="005F0E82">
      <w:pPr>
        <w:pStyle w:val="Heading3"/>
      </w:pPr>
      <w:bookmarkStart w:id="65" w:name="_Toc101856687"/>
      <w:r>
        <w:t>Rainwater Harvesting</w:t>
      </w:r>
      <w:bookmarkEnd w:id="65"/>
    </w:p>
    <w:p w14:paraId="5735506F" w14:textId="77777777" w:rsidR="00136BA1" w:rsidRDefault="00136BA1" w:rsidP="00136BA1">
      <w:pPr>
        <w:pStyle w:val="JBAParaText"/>
      </w:pPr>
      <w:r>
        <w:t>Rainwater harvesting (RwH) is the capture of water falling on buildings, roads or pathways that would normally be drained via a surface water sewer, infiltrate into the ground or evaporate.  In the UK, this water cannot currently be used as a drinking water supply as there are strict guidelines on potable water, but it can be used in other systems within domestic or commercial premises.</w:t>
      </w:r>
    </w:p>
    <w:p w14:paraId="335B9262" w14:textId="77777777" w:rsidR="00136BA1" w:rsidRDefault="00136BA1" w:rsidP="00136BA1">
      <w:pPr>
        <w:pStyle w:val="JBAParaText"/>
      </w:pPr>
      <w:r>
        <w:t>Systems for collection of rainwater can be simple water butts attached to a drainpipe on a house, or it could be a more complex underground storage system, with pumps to supply water for use in toilet flushing and washing machines. By utilising rainwater in this way there is a reduced dependence on mains water supply for a large proportion of the water use in a domestic property.</w:t>
      </w:r>
    </w:p>
    <w:p w14:paraId="5B0B8E32" w14:textId="77777777" w:rsidR="00136BA1" w:rsidRDefault="00136BA1" w:rsidP="00136BA1">
      <w:pPr>
        <w:pStyle w:val="JBAParaText"/>
      </w:pPr>
      <w:r>
        <w:t xml:space="preserve">RwH can be used to supply water uses where non-potable water is required.  </w:t>
      </w:r>
      <w:r w:rsidR="005F0E82">
        <w:t xml:space="preserve">Part A presented evidence that </w:t>
      </w:r>
      <w:r>
        <w:t xml:space="preserve">if toilet flushing, laundry, garden watering and car washing utilised water from RwH, a 33% saving in water use could be achieved. </w:t>
      </w:r>
    </w:p>
    <w:p w14:paraId="655AF0C6" w14:textId="77777777" w:rsidR="00136BA1" w:rsidRDefault="00136BA1" w:rsidP="005F0E82">
      <w:pPr>
        <w:pStyle w:val="JBAParaText"/>
      </w:pPr>
      <w:r>
        <w:t>RwH is not currently being considered in the early stages of the Target 100 plan. Therefore, there may be an opportunity to offer this in both new build houses, and as a retrofit in existing properties.</w:t>
      </w:r>
    </w:p>
    <w:p w14:paraId="6CD3C93F" w14:textId="55428D3E" w:rsidR="00136BA1" w:rsidRDefault="00136BA1" w:rsidP="00136BA1">
      <w:pPr>
        <w:pStyle w:val="JBAParaText"/>
      </w:pPr>
      <w:r>
        <w:t>The Waterwise independent review of RwH and GwR performed by consultants Ricardo, notes that integration of a R</w:t>
      </w:r>
      <w:r w:rsidR="008B6985">
        <w:t>w</w:t>
      </w:r>
      <w:r>
        <w:t>H system is more cost effective in new build properties.  It goes on to report consumer research that shows greater enthusiasm for RwH integrated into new build properties, but little interest from developers</w:t>
      </w:r>
      <w:r>
        <w:rPr>
          <w:rStyle w:val="FootnoteReference"/>
        </w:rPr>
        <w:footnoteReference w:id="13"/>
      </w:r>
      <w:r>
        <w:t xml:space="preserve">. </w:t>
      </w:r>
    </w:p>
    <w:p w14:paraId="13DC769E" w14:textId="77777777" w:rsidR="00EE6E6F" w:rsidRDefault="005F0E82" w:rsidP="005F0E82">
      <w:pPr>
        <w:pStyle w:val="JBAParaText"/>
      </w:pPr>
      <w:r>
        <w:t>It is particularly suited to larger developments where it can be incorporated into site landscaping or in flatted</w:t>
      </w:r>
      <w:r w:rsidRPr="0049068D">
        <w:t>, multi-stor</w:t>
      </w:r>
      <w:r w:rsidR="00DF1888">
        <w:t>e</w:t>
      </w:r>
      <w:r w:rsidRPr="0049068D">
        <w:t>y developments where it can be used as part of the SuDs storage and installed within the basement of the building</w:t>
      </w:r>
      <w:r>
        <w:t xml:space="preserve">. </w:t>
      </w:r>
    </w:p>
    <w:p w14:paraId="0BBF4147" w14:textId="61A5C870" w:rsidR="005F0E82" w:rsidRDefault="005F0E82" w:rsidP="005F0E82">
      <w:pPr>
        <w:pStyle w:val="JBAParaText"/>
      </w:pPr>
      <w:r>
        <w:t xml:space="preserve">If all new build homes </w:t>
      </w:r>
      <w:r w:rsidR="00FC5D5E">
        <w:t xml:space="preserve">(allocations) </w:t>
      </w:r>
      <w:r>
        <w:t xml:space="preserve">were installed with RwH systems, and the saving of </w:t>
      </w:r>
      <w:r w:rsidR="00612ACD">
        <w:t xml:space="preserve">33% </w:t>
      </w:r>
      <w:r w:rsidR="008B6985">
        <w:t xml:space="preserve">(as identified in Part A) </w:t>
      </w:r>
      <w:r>
        <w:t xml:space="preserve">was achieved, the total saving would be </w:t>
      </w:r>
      <w:r w:rsidR="00612ACD">
        <w:rPr>
          <w:b/>
          <w:bCs/>
        </w:rPr>
        <w:t>2.00</w:t>
      </w:r>
      <w:r w:rsidRPr="008105A9">
        <w:rPr>
          <w:b/>
          <w:bCs/>
        </w:rPr>
        <w:t>Ml/d</w:t>
      </w:r>
      <w:r>
        <w:t xml:space="preserve">. (Based on approx. </w:t>
      </w:r>
      <w:r w:rsidR="00612ACD">
        <w:t>22</w:t>
      </w:r>
      <w:r>
        <w:t>,</w:t>
      </w:r>
      <w:r w:rsidR="00612ACD">
        <w:t xml:space="preserve">064 </w:t>
      </w:r>
      <w:r>
        <w:t>houses over the remaining plan period, excluding sites with extant planning permission</w:t>
      </w:r>
      <w:r w:rsidR="00612ACD">
        <w:t>, and a baseline demand of 110l/p/d</w:t>
      </w:r>
      <w:r>
        <w:t>).</w:t>
      </w:r>
    </w:p>
    <w:p w14:paraId="4337E4E9" w14:textId="77777777" w:rsidR="005F0E82" w:rsidRDefault="00EE6E6F" w:rsidP="005F0E82">
      <w:pPr>
        <w:pStyle w:val="JBAParaText"/>
      </w:pPr>
      <w:r>
        <w:t xml:space="preserve">The estimated cost for a </w:t>
      </w:r>
      <w:r w:rsidR="0062324F">
        <w:t xml:space="preserve">new build </w:t>
      </w:r>
      <w:r>
        <w:t>RwH system</w:t>
      </w:r>
      <w:r w:rsidR="002942F2">
        <w:t xml:space="preserve"> </w:t>
      </w:r>
      <w:r>
        <w:t>is</w:t>
      </w:r>
      <w:r w:rsidR="005F0E82">
        <w:t xml:space="preserve"> approximately £2,000 per house (dependent on the size / type of dwelling, number of properties served etc)</w:t>
      </w:r>
      <w:r w:rsidR="005F0E82">
        <w:rPr>
          <w:rStyle w:val="FootnoteReference"/>
        </w:rPr>
        <w:footnoteReference w:id="14"/>
      </w:r>
      <w:r w:rsidR="005F0E82" w:rsidRPr="00FC5D5E">
        <w:rPr>
          <w:vertAlign w:val="superscript"/>
        </w:rPr>
        <w:t>,</w:t>
      </w:r>
      <w:r w:rsidR="005F0E82">
        <w:rPr>
          <w:rStyle w:val="FootnoteReference"/>
        </w:rPr>
        <w:footnoteReference w:id="15"/>
      </w:r>
      <w:r w:rsidR="005F0E82">
        <w:t xml:space="preserve"> this programme could </w:t>
      </w:r>
      <w:r>
        <w:t xml:space="preserve">therefore </w:t>
      </w:r>
      <w:r w:rsidR="005F0E82">
        <w:t xml:space="preserve">cost £38,000,000 </w:t>
      </w:r>
      <w:r>
        <w:t>in total, but</w:t>
      </w:r>
      <w:r w:rsidR="005F0E82">
        <w:t xml:space="preserve"> could offset a third of the demand in the “realistic achievable” scenario.</w:t>
      </w:r>
    </w:p>
    <w:p w14:paraId="52558740" w14:textId="30075C83" w:rsidR="005F0E82" w:rsidRDefault="005F0E82" w:rsidP="005F0E82">
      <w:pPr>
        <w:pStyle w:val="JBAParaText"/>
      </w:pPr>
      <w:r>
        <w:t xml:space="preserve">Incorporation into housing schemes may not be feasible / viable in every case but should be </w:t>
      </w:r>
      <w:r w:rsidR="00A64B51">
        <w:t xml:space="preserve">considered for </w:t>
      </w:r>
      <w:r>
        <w:t>incorporat</w:t>
      </w:r>
      <w:r w:rsidR="00A64B51">
        <w:t>ion</w:t>
      </w:r>
      <w:r>
        <w:t xml:space="preserve"> </w:t>
      </w:r>
      <w:r w:rsidRPr="00BC64F4">
        <w:rPr>
          <w:b/>
        </w:rPr>
        <w:t xml:space="preserve">as a minimum </w:t>
      </w:r>
      <w:r>
        <w:t>into strategic schemes</w:t>
      </w:r>
      <w:r w:rsidR="00BC64F4">
        <w:rPr>
          <w:rStyle w:val="FootnoteReference"/>
        </w:rPr>
        <w:footnoteReference w:id="16"/>
      </w:r>
      <w:r>
        <w:t xml:space="preserve"> where a saving of</w:t>
      </w:r>
      <w:r w:rsidR="002F1B45">
        <w:t xml:space="preserve"> approximately</w:t>
      </w:r>
      <w:r>
        <w:t xml:space="preserve"> </w:t>
      </w:r>
      <w:r w:rsidRPr="00E71D52">
        <w:rPr>
          <w:b/>
          <w:bCs/>
        </w:rPr>
        <w:t>0.8Ml/d</w:t>
      </w:r>
      <w:r>
        <w:t xml:space="preserve"> could be achieved.</w:t>
      </w:r>
      <w:r w:rsidR="0062324F">
        <w:t xml:space="preserve">  The figures above show an upper ceiling for what could be achieved if every new house were fitted with such a system.</w:t>
      </w:r>
    </w:p>
    <w:p w14:paraId="36327C77" w14:textId="77777777" w:rsidR="00344422" w:rsidRDefault="00EE6E6F" w:rsidP="00EE6E6F">
      <w:pPr>
        <w:pStyle w:val="JBAParaText"/>
      </w:pPr>
      <w:r>
        <w:t xml:space="preserve">In a similar way to the incorporation of SuDS on development sites, the onus should be on developers to justify why they cannot incorporate a RwH or GwR scheme.  Where it is not practical, the councils may wish to consider imposing a larger developer contribution in order to </w:t>
      </w:r>
      <w:r w:rsidR="00DC22D9">
        <w:t xml:space="preserve">fund a </w:t>
      </w:r>
      <w:r>
        <w:t>retrofit scheme elsewhere in the WRZ.</w:t>
      </w:r>
      <w:r w:rsidR="00344422" w:rsidRPr="00344422">
        <w:t xml:space="preserve"> </w:t>
      </w:r>
    </w:p>
    <w:p w14:paraId="49DDAF61" w14:textId="069FA363" w:rsidR="005F0E82" w:rsidRDefault="00344422" w:rsidP="00EE6E6F">
      <w:pPr>
        <w:pStyle w:val="JBAParaText"/>
      </w:pPr>
      <w:r>
        <w:t xml:space="preserve">However, the plan should recognise that the capacity of RwH systems </w:t>
      </w:r>
      <w:r w:rsidR="0049227B">
        <w:t>is</w:t>
      </w:r>
      <w:r>
        <w:t xml:space="preserve"> finite</w:t>
      </w:r>
      <w:r w:rsidR="009B422A">
        <w:t>,</w:t>
      </w:r>
      <w:r>
        <w:t xml:space="preserve"> and they may run dry during prolonged dry weather, and so be less effective when they are most needed.</w:t>
      </w:r>
      <w:r w:rsidR="00FE33F7">
        <w:t xml:space="preserve">  Greywater recycling schemes outlined below would avoid this constraint.</w:t>
      </w:r>
      <w:r>
        <w:t xml:space="preserve">  </w:t>
      </w:r>
    </w:p>
    <w:p w14:paraId="589E0762" w14:textId="77777777" w:rsidR="004917B1" w:rsidRDefault="00344422" w:rsidP="00344422">
      <w:pPr>
        <w:pStyle w:val="JBAParaText"/>
      </w:pPr>
      <w:r>
        <w:t xml:space="preserve">RwH can offer the largest potential water saving in a non-household setting.  Many commercial buildings have a large roof area that is ideal for the collection of rainwater.  One collection system could potentially provide water for toilet flushing for multiple businesses.  </w:t>
      </w:r>
    </w:p>
    <w:p w14:paraId="418E3110" w14:textId="77777777" w:rsidR="00344422" w:rsidRDefault="00344422" w:rsidP="00344422">
      <w:pPr>
        <w:pStyle w:val="JBAParaText"/>
      </w:pPr>
      <w:r>
        <w:t xml:space="preserve">The opportunity from </w:t>
      </w:r>
      <w:r w:rsidR="004917B1">
        <w:t xml:space="preserve">new </w:t>
      </w:r>
      <w:r>
        <w:t xml:space="preserve">employment growth has not been assessed in detail here as the size of the opportunity will depend on whether employees are situated in new buildings, or whether vacant buildings are being repurposed.  However, with a new non-household demand of approx. 0.5 Ml/d generated by new employees in toilets, </w:t>
      </w:r>
      <w:r w:rsidR="004917B1">
        <w:t xml:space="preserve">and </w:t>
      </w:r>
      <w:r>
        <w:t xml:space="preserve">canteens, </w:t>
      </w:r>
      <w:r w:rsidR="004917B1">
        <w:t xml:space="preserve">and assuming all toilet flushing could be done by RwH, it may be possible to reduce this demand by approximately 30%, providing a saving of </w:t>
      </w:r>
      <w:r w:rsidR="004917B1" w:rsidRPr="004917B1">
        <w:rPr>
          <w:b/>
          <w:bCs/>
        </w:rPr>
        <w:t>0.15Ml/d</w:t>
      </w:r>
      <w:r w:rsidR="004917B1">
        <w:t>.</w:t>
      </w:r>
    </w:p>
    <w:p w14:paraId="06FD1353" w14:textId="77777777" w:rsidR="005F0E82" w:rsidRDefault="005F0E82" w:rsidP="005F0E82">
      <w:pPr>
        <w:pStyle w:val="Heading3"/>
      </w:pPr>
      <w:bookmarkStart w:id="66" w:name="_Toc101856688"/>
      <w:r>
        <w:t>Greywater Recycling</w:t>
      </w:r>
      <w:bookmarkEnd w:id="66"/>
    </w:p>
    <w:p w14:paraId="35DB08D5" w14:textId="77777777" w:rsidR="005F0E82" w:rsidRDefault="005F0E82" w:rsidP="005F0E82">
      <w:pPr>
        <w:pStyle w:val="JBAParaText"/>
      </w:pPr>
      <w:r>
        <w:t>Greywater refers to water that has been “used” in the home in appliances such as washing machines, showers and hand basins.  Greywater recycling (GwR) is the treatment and re-use of this water in other systems such as for toilet flushing.  By their nature, GwR systems require more treatment and are more complex than RwH systems, and there are limited examples of their use in the UK.</w:t>
      </w:r>
    </w:p>
    <w:p w14:paraId="2EEE9744" w14:textId="77777777" w:rsidR="005F0E82" w:rsidRDefault="005F0E82" w:rsidP="005F0E82">
      <w:pPr>
        <w:pStyle w:val="JBAParaText"/>
      </w:pPr>
      <w:r w:rsidRPr="00A10D89">
        <w:rPr>
          <w:b/>
          <w:bCs/>
          <w:i/>
          <w:iCs/>
        </w:rPr>
        <w:t>Greywater re-use</w:t>
      </w:r>
      <w:r>
        <w:t xml:space="preserve"> refers to systems where wastewater is taken from source and used without further treatment.  An example of this is water from a bath or shower being used on plants in the garden. This sort of system is easy to install and maintain. However, as mentioned above, the lack of treatment to remove organic matter means the water cannot be stored for extended periods.</w:t>
      </w:r>
    </w:p>
    <w:p w14:paraId="122DD4E9" w14:textId="77777777" w:rsidR="005F0E82" w:rsidRDefault="005F0E82" w:rsidP="005F0E82">
      <w:pPr>
        <w:pStyle w:val="JBAParaText"/>
      </w:pPr>
      <w:r w:rsidRPr="00A10D89">
        <w:rPr>
          <w:b/>
          <w:bCs/>
          <w:i/>
          <w:iCs/>
        </w:rPr>
        <w:t>Greywater recycling</w:t>
      </w:r>
      <w:r>
        <w:t xml:space="preserve"> refers to systems where wastewater undergoes some treatment before it is used again.  These systems are complex and require a much higher level of maintenance than RwH or greywater re-use systems. </w:t>
      </w:r>
    </w:p>
    <w:p w14:paraId="034DB3E2" w14:textId="77777777" w:rsidR="00EE6E6F" w:rsidRDefault="005F0E82" w:rsidP="005F0E82">
      <w:pPr>
        <w:pStyle w:val="JBAParaText"/>
      </w:pPr>
      <w:r>
        <w:t>Domestic water demand can be significantly reduced by using GwR, and unlike with a RwH system where the availability of water is dependent on the weather, the source of water is usually constant (for instance if it is from bathing and showering).  However, the payback period for a GwR system is usually long</w:t>
      </w:r>
      <w:r w:rsidR="001123B1">
        <w:t>er</w:t>
      </w:r>
      <w:r>
        <w:t xml:space="preserve">, as the initial outlay is large, and the cost of water relatively low.  Viability of greywater systems for domestic applications is therefore currently limited.  </w:t>
      </w:r>
    </w:p>
    <w:p w14:paraId="56FA9248" w14:textId="77777777" w:rsidR="002A6119" w:rsidRDefault="005F0E82" w:rsidP="004917B1">
      <w:pPr>
        <w:pStyle w:val="JBAParaText"/>
      </w:pPr>
      <w:r>
        <w:t xml:space="preserve">However, communal systems may offer more opportunities where the cost can be shared between multiple households and may be of particular use in new large developments and flatted developments where they can be incorporated from the start. </w:t>
      </w:r>
      <w:r w:rsidR="00A135CA">
        <w:t xml:space="preserve"> GwR could also be applied to non-household development, where the commercial ownership could be an advantage when maintenance is considered.  </w:t>
      </w:r>
      <w:r w:rsidR="00EE6E6F">
        <w:t>The potential volume saved would be similar to a RwH system but has the significant advantage of added reliability in periods of dry weather</w:t>
      </w:r>
      <w:r w:rsidR="004917B1">
        <w:t>.</w:t>
      </w:r>
    </w:p>
    <w:p w14:paraId="65CAC24D" w14:textId="77777777" w:rsidR="00F06655" w:rsidRDefault="00E01781" w:rsidP="00FE33F7">
      <w:pPr>
        <w:pStyle w:val="Heading2"/>
      </w:pPr>
      <w:bookmarkStart w:id="67" w:name="_Ref95483351"/>
      <w:bookmarkStart w:id="68" w:name="_Toc101856689"/>
      <w:r>
        <w:t>Offsetting options</w:t>
      </w:r>
      <w:bookmarkEnd w:id="67"/>
      <w:bookmarkEnd w:id="68"/>
    </w:p>
    <w:p w14:paraId="2E8CF544" w14:textId="77777777" w:rsidR="004917B1" w:rsidRDefault="004917B1" w:rsidP="004917B1">
      <w:pPr>
        <w:pStyle w:val="Heading3"/>
      </w:pPr>
      <w:bookmarkStart w:id="69" w:name="_Toc101856690"/>
      <w:r>
        <w:t>Outline</w:t>
      </w:r>
      <w:bookmarkEnd w:id="69"/>
    </w:p>
    <w:p w14:paraId="70A9FDC1" w14:textId="77777777" w:rsidR="00E94C25" w:rsidRDefault="004917B1" w:rsidP="00E94C25">
      <w:pPr>
        <w:pStyle w:val="JBAParaText"/>
      </w:pPr>
      <w:r w:rsidRPr="00E94C25">
        <w:t>Once demand has been minimised by making new development as water efficient as possible, and collecting and re-using water where possible, the remaining demand must be offset. The section below outlines measures that could be taken across the WRZ.</w:t>
      </w:r>
      <w:r w:rsidR="00015466" w:rsidRPr="00E94C25">
        <w:t xml:space="preserve">  The first part of this section outlines the contribution that could be made by SW’s existing WRMP where </w:t>
      </w:r>
      <w:r w:rsidR="00015466" w:rsidRPr="00584C72">
        <w:t>a le</w:t>
      </w:r>
      <w:r w:rsidR="00015466" w:rsidRPr="001F006E">
        <w:t xml:space="preserve">vel </w:t>
      </w:r>
      <w:r w:rsidR="006B6065" w:rsidRPr="001F006E">
        <w:t xml:space="preserve">of </w:t>
      </w:r>
      <w:r w:rsidR="00015466" w:rsidRPr="001F006E">
        <w:t xml:space="preserve">growth within the WRZ </w:t>
      </w:r>
      <w:r w:rsidR="006B6065" w:rsidRPr="00B72410">
        <w:t>has already been</w:t>
      </w:r>
      <w:r w:rsidR="00015466" w:rsidRPr="00B72410">
        <w:t xml:space="preserve"> factored in.  </w:t>
      </w:r>
      <w:r w:rsidR="008056E5" w:rsidRPr="00B72410">
        <w:t xml:space="preserve">Once this has been defined, the sections that follow </w:t>
      </w:r>
      <w:r w:rsidR="00015466" w:rsidRPr="00B72410">
        <w:t>outline how the remaining demand may be</w:t>
      </w:r>
      <w:r w:rsidR="00E94C25" w:rsidRPr="00B72410">
        <w:t xml:space="preserve"> offset.</w:t>
      </w:r>
    </w:p>
    <w:p w14:paraId="4478BCF7" w14:textId="77777777" w:rsidR="00171974" w:rsidRPr="00E94C25" w:rsidRDefault="00E94C25" w:rsidP="00E94C25">
      <w:pPr>
        <w:pStyle w:val="Heading3"/>
      </w:pPr>
      <w:bookmarkStart w:id="70" w:name="_Ref100332784"/>
      <w:bookmarkStart w:id="71" w:name="_Toc101856691"/>
      <w:r w:rsidRPr="00E94C25">
        <w:t>Re-</w:t>
      </w:r>
      <w:r w:rsidR="00171974" w:rsidRPr="00E94C25">
        <w:t>zoning</w:t>
      </w:r>
      <w:bookmarkEnd w:id="70"/>
      <w:bookmarkEnd w:id="71"/>
    </w:p>
    <w:p w14:paraId="66F62047" w14:textId="386E6079" w:rsidR="001B128E" w:rsidRDefault="00015466" w:rsidP="00584C72">
      <w:pPr>
        <w:pStyle w:val="JBAParaText"/>
      </w:pPr>
      <w:r w:rsidRPr="00584C72">
        <w:t>I</w:t>
      </w:r>
      <w:r w:rsidRPr="001F006E">
        <w:t>n Part A</w:t>
      </w:r>
      <w:r w:rsidR="00D82FF8" w:rsidRPr="001F006E">
        <w:t>, Southern Water outlined</w:t>
      </w:r>
      <w:r w:rsidRPr="001F006E">
        <w:t xml:space="preserve"> a plan to re-zone the northern </w:t>
      </w:r>
      <w:r w:rsidRPr="00B72410">
        <w:t xml:space="preserve">part of the WRZ to SES Water.  It was thought this may have a contribution to make to achieving neutrality, however this measure is required by SW to </w:t>
      </w:r>
      <w:r w:rsidR="001B128E" w:rsidRPr="00B72410">
        <w:t xml:space="preserve">ensure their </w:t>
      </w:r>
      <w:r w:rsidR="009A291B">
        <w:t>supply-demand</w:t>
      </w:r>
      <w:r w:rsidR="001B128E" w:rsidRPr="00B72410">
        <w:t xml:space="preserve"> balance is met and will not be considered further in this report.</w:t>
      </w:r>
    </w:p>
    <w:p w14:paraId="0B4127C0" w14:textId="77777777" w:rsidR="008056E5" w:rsidRDefault="008056E5" w:rsidP="00E01781">
      <w:pPr>
        <w:pStyle w:val="Heading3"/>
      </w:pPr>
      <w:bookmarkStart w:id="72" w:name="_Toc101856692"/>
      <w:r>
        <w:t>SW’s WRMP</w:t>
      </w:r>
      <w:bookmarkEnd w:id="72"/>
    </w:p>
    <w:p w14:paraId="5D9EB010" w14:textId="628BDAC0" w:rsidR="008056E5" w:rsidRDefault="008056E5" w:rsidP="008056E5">
      <w:pPr>
        <w:pStyle w:val="JBAParaText"/>
      </w:pPr>
      <w:r>
        <w:t>The WRMP contains a number of measures by SW to reduce water demand</w:t>
      </w:r>
      <w:r w:rsidR="007E6399">
        <w:t xml:space="preserve"> in the Sussex North WRZ</w:t>
      </w:r>
      <w:r>
        <w:t xml:space="preserve">.  These include </w:t>
      </w:r>
      <w:r w:rsidR="007E6399">
        <w:t xml:space="preserve">a programme of work on the network to reduce leakage on the SW network, and activities aimed at reducing household demand through improvements in water efficiency, leading to a reduction in per capita consumption.  Assuming an overall supply-demand balance is </w:t>
      </w:r>
      <w:r w:rsidR="00E94C25">
        <w:t>maintained</w:t>
      </w:r>
      <w:r w:rsidR="007E6399">
        <w:t xml:space="preserve"> through re-zoning and strategic transfers, the demand reduction activities </w:t>
      </w:r>
      <w:r w:rsidR="007556C0">
        <w:t>already planned to account for development in the WRZ</w:t>
      </w:r>
      <w:r w:rsidR="00775950">
        <w:t xml:space="preserve"> will still be available to </w:t>
      </w:r>
      <w:r w:rsidR="007556C0">
        <w:t xml:space="preserve">offset a </w:t>
      </w:r>
      <w:r w:rsidR="00775950">
        <w:t>large proportion of growth in the local plan period.</w:t>
      </w:r>
    </w:p>
    <w:p w14:paraId="0E11019C" w14:textId="573CB919" w:rsidR="0021615F" w:rsidRDefault="006B2A85" w:rsidP="008056E5">
      <w:pPr>
        <w:pStyle w:val="JBAParaText"/>
      </w:pPr>
      <w:r>
        <w:t xml:space="preserve">The first phase of rezoning has already taken place and a further phase is planned in June 2022 dependent on SESW carrying out enabling works on their network.  Assurance will be sought separately to the Part B report that this will occur, or </w:t>
      </w:r>
      <w:r w:rsidR="009A291B">
        <w:t xml:space="preserve">that the </w:t>
      </w:r>
      <w:r>
        <w:t>supply</w:t>
      </w:r>
      <w:r w:rsidR="009A291B">
        <w:t>-</w:t>
      </w:r>
      <w:r>
        <w:t xml:space="preserve">demand balance will be maintained by other means. </w:t>
      </w:r>
      <w:r w:rsidR="0044547E">
        <w:t xml:space="preserve"> </w:t>
      </w:r>
      <w:r>
        <w:t xml:space="preserve">All of the calculations in this report have assumed that a </w:t>
      </w:r>
      <w:r w:rsidR="009A291B">
        <w:t>supply-demand</w:t>
      </w:r>
      <w:r>
        <w:t xml:space="preserve"> balance is maintained.</w:t>
      </w:r>
    </w:p>
    <w:p w14:paraId="2BD5424F" w14:textId="1637DC1B" w:rsidR="00506761" w:rsidRDefault="00506761" w:rsidP="00506761">
      <w:pPr>
        <w:pStyle w:val="JBAParaText"/>
      </w:pPr>
      <w:r>
        <w:t xml:space="preserve">The total contribution from leakage reduction through the </w:t>
      </w:r>
      <w:r w:rsidR="00775950">
        <w:t xml:space="preserve">local </w:t>
      </w:r>
      <w:r w:rsidRPr="00F71656">
        <w:t>plan period</w:t>
      </w:r>
      <w:r w:rsidR="00775950">
        <w:t xml:space="preserve"> (to 2037)</w:t>
      </w:r>
      <w:r>
        <w:t xml:space="preserve"> is predicted to be 3.</w:t>
      </w:r>
      <w:r w:rsidR="008D2AEF">
        <w:t>52</w:t>
      </w:r>
      <w:r>
        <w:t xml:space="preserve">Ml/d by 2037, and the contribution from household demand reduction is predicted to be </w:t>
      </w:r>
      <w:bookmarkStart w:id="73" w:name="_Hlk95675284"/>
      <w:r>
        <w:t>2.</w:t>
      </w:r>
      <w:r w:rsidR="008D2AEF">
        <w:t>29</w:t>
      </w:r>
      <w:r>
        <w:t>Ml/d</w:t>
      </w:r>
      <w:bookmarkEnd w:id="73"/>
      <w:r>
        <w:t xml:space="preserve">. </w:t>
      </w:r>
    </w:p>
    <w:p w14:paraId="2F5DAB24" w14:textId="4F95E838" w:rsidR="000D1B78" w:rsidRDefault="00CC5265" w:rsidP="000D1B78">
      <w:pPr>
        <w:pStyle w:val="JBAParaText"/>
        <w:keepNext/>
      </w:pPr>
      <w:r>
        <w:rPr>
          <w:noProof/>
        </w:rPr>
        <w:drawing>
          <wp:inline distT="0" distB="0" distL="0" distR="0" wp14:anchorId="6C9A2383" wp14:editId="14B3CBE4">
            <wp:extent cx="5492634" cy="2540000"/>
            <wp:effectExtent l="0" t="0" r="0" b="0"/>
            <wp:docPr id="13" name="Picture 13" descr="Line graph showing the water demand during the Local Plan period up to 2037 in the different scenarios used in this report. The is also a bar chart component showing Southern Water's contribution to offsetting this demand. A description of what this graph shows is in the main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Line graph showing the water demand during the Local Plan period up to 2037 in the different scenarios used in this report. The is also a bar chart component showing Southern Water's contribution to offsetting this demand. A description of what this graph shows is in the main tex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11658" cy="2548797"/>
                    </a:xfrm>
                    <a:prstGeom prst="rect">
                      <a:avLst/>
                    </a:prstGeom>
                    <a:noFill/>
                  </pic:spPr>
                </pic:pic>
              </a:graphicData>
            </a:graphic>
          </wp:inline>
        </w:drawing>
      </w:r>
    </w:p>
    <w:p w14:paraId="377B40C5" w14:textId="79EA7D45" w:rsidR="008D2AEF" w:rsidRDefault="000D1B78" w:rsidP="000D1B78">
      <w:pPr>
        <w:pStyle w:val="Caption"/>
        <w:jc w:val="both"/>
      </w:pPr>
      <w:bookmarkStart w:id="74" w:name="_Ref95675456"/>
      <w:bookmarkStart w:id="75" w:name="_Toc101855288"/>
      <w:r>
        <w:t xml:space="preserve">Figure </w:t>
      </w:r>
      <w:r w:rsidR="00075F24">
        <w:rPr>
          <w:noProof/>
        </w:rPr>
        <w:fldChar w:fldCharType="begin"/>
      </w:r>
      <w:r w:rsidR="00075F24">
        <w:rPr>
          <w:noProof/>
        </w:rPr>
        <w:instrText xml:space="preserve"> STYLEREF 1 \s </w:instrText>
      </w:r>
      <w:r w:rsidR="00075F24">
        <w:rPr>
          <w:noProof/>
        </w:rPr>
        <w:fldChar w:fldCharType="separate"/>
      </w:r>
      <w:r w:rsidR="00643E47">
        <w:rPr>
          <w:noProof/>
        </w:rPr>
        <w:t>3</w:t>
      </w:r>
      <w:r w:rsidR="00075F24">
        <w:rPr>
          <w:noProof/>
        </w:rPr>
        <w:fldChar w:fldCharType="end"/>
      </w:r>
      <w:r>
        <w:t>.</w:t>
      </w:r>
      <w:r w:rsidR="00075F24">
        <w:rPr>
          <w:noProof/>
        </w:rPr>
        <w:fldChar w:fldCharType="begin"/>
      </w:r>
      <w:r w:rsidR="00075F24">
        <w:rPr>
          <w:noProof/>
        </w:rPr>
        <w:instrText xml:space="preserve"> SEQ Figure \* ARABIC \s 1 </w:instrText>
      </w:r>
      <w:r w:rsidR="00075F24">
        <w:rPr>
          <w:noProof/>
        </w:rPr>
        <w:fldChar w:fldCharType="separate"/>
      </w:r>
      <w:r w:rsidR="00643E47">
        <w:rPr>
          <w:noProof/>
        </w:rPr>
        <w:t>1</w:t>
      </w:r>
      <w:r w:rsidR="00075F24">
        <w:rPr>
          <w:noProof/>
        </w:rPr>
        <w:fldChar w:fldCharType="end"/>
      </w:r>
      <w:bookmarkEnd w:id="74"/>
      <w:r>
        <w:t xml:space="preserve"> Contribution from SW WRMP measures</w:t>
      </w:r>
      <w:bookmarkEnd w:id="75"/>
    </w:p>
    <w:p w14:paraId="0E70A45B" w14:textId="0444B858" w:rsidR="000D4373" w:rsidRDefault="008D2AEF" w:rsidP="00506761">
      <w:pPr>
        <w:pStyle w:val="JBAParaText"/>
      </w:pPr>
      <w:r>
        <w:t xml:space="preserve">It can be seen from </w:t>
      </w:r>
      <w:r w:rsidR="00757947">
        <w:fldChar w:fldCharType="begin"/>
      </w:r>
      <w:r w:rsidR="00757947">
        <w:instrText xml:space="preserve"> REF _Ref95675456 \h </w:instrText>
      </w:r>
      <w:r w:rsidR="00757947">
        <w:fldChar w:fldCharType="separate"/>
      </w:r>
      <w:r w:rsidR="00643E47">
        <w:t xml:space="preserve">Figure </w:t>
      </w:r>
      <w:r w:rsidR="00643E47">
        <w:rPr>
          <w:noProof/>
        </w:rPr>
        <w:t>3</w:t>
      </w:r>
      <w:r w:rsidR="00643E47">
        <w:t>.</w:t>
      </w:r>
      <w:r w:rsidR="00643E47">
        <w:rPr>
          <w:noProof/>
        </w:rPr>
        <w:t>1</w:t>
      </w:r>
      <w:r w:rsidR="00757947">
        <w:fldChar w:fldCharType="end"/>
      </w:r>
      <w:r>
        <w:t xml:space="preserve"> that </w:t>
      </w:r>
      <w:r w:rsidR="00757947">
        <w:t xml:space="preserve">in a “business as usual” scenario using the optional building regulations target of 110 l/p/d, further mitigation is required to offset the remaining demand from growth.  In the target 100 scenario, the SW measures </w:t>
      </w:r>
      <w:r w:rsidR="00C36CAA">
        <w:t xml:space="preserve">are close </w:t>
      </w:r>
      <w:r w:rsidR="000D4373">
        <w:t xml:space="preserve">to </w:t>
      </w:r>
      <w:r w:rsidR="00C36CAA">
        <w:t xml:space="preserve">offsetting demand for much of the plan period.  </w:t>
      </w:r>
      <w:r w:rsidR="000D4373">
        <w:t>In the realistic achievable scenario (PCC in new builds of 85l/p/d) in most years neutrality could be achieved.</w:t>
      </w:r>
    </w:p>
    <w:p w14:paraId="125DE1EC" w14:textId="77777777" w:rsidR="000D4373" w:rsidRDefault="00C36CAA" w:rsidP="00506761">
      <w:pPr>
        <w:pStyle w:val="JBAParaText"/>
      </w:pPr>
      <w:r>
        <w:t>The error bars indicate the potential of the SW measures to overachieve</w:t>
      </w:r>
      <w:r w:rsidR="00A53978">
        <w:t xml:space="preserve"> (-10%)</w:t>
      </w:r>
      <w:r>
        <w:t xml:space="preserve"> or underachieve </w:t>
      </w:r>
      <w:r w:rsidR="00A53978">
        <w:t xml:space="preserve">(+10%) </w:t>
      </w:r>
      <w:r>
        <w:t>against their targets.  A precautionary approach should be taken</w:t>
      </w:r>
      <w:r w:rsidR="000D4373">
        <w:t>,</w:t>
      </w:r>
      <w:r>
        <w:t xml:space="preserve"> and </w:t>
      </w:r>
      <w:r w:rsidR="000D4373">
        <w:t>the assumption adopted that</w:t>
      </w:r>
      <w:r>
        <w:t xml:space="preserve"> the SW measures </w:t>
      </w:r>
      <w:r w:rsidR="000D4373">
        <w:t>do not achieve the expected result.  In all scenarios up to and including the realistic achievable scenario, further mitigation is therefore required to achieve neutrality.</w:t>
      </w:r>
      <w:r w:rsidR="00A53978">
        <w:t xml:space="preserve">  </w:t>
      </w:r>
      <w:r w:rsidR="008D566B">
        <w:t>T</w:t>
      </w:r>
      <w:r w:rsidR="00A53978">
        <w:t>he ±10% allowance applied for uncertainty applied here is above and beyond the complex uncertainty analysis applied to all aspects of calculation the supply-demand balance in the WRMP.</w:t>
      </w:r>
      <w:r w:rsidR="008D566B">
        <w:t xml:space="preserve">  It is worth noting that SW has regulatory Performance Commitments (PCs) for leakage reduction, PCC and water saved from water efficiency visits which attract bonus payments for out-performance and penalties of under-performance, and therefore have financial incentives to exceed these commitments.  </w:t>
      </w:r>
    </w:p>
    <w:p w14:paraId="36B0CA51" w14:textId="31CBF501" w:rsidR="00B72410" w:rsidRDefault="00B72410" w:rsidP="004274AC">
      <w:pPr>
        <w:pStyle w:val="Caption"/>
        <w:keepNext/>
      </w:pPr>
      <w:bookmarkStart w:id="76" w:name="_Toc101856742"/>
      <w:r>
        <w:t xml:space="preserve">Table </w:t>
      </w:r>
      <w:r w:rsidR="00E6462B">
        <w:fldChar w:fldCharType="begin"/>
      </w:r>
      <w:r w:rsidR="00E6462B">
        <w:instrText xml:space="preserve"> STYLEREF 1 \s </w:instrText>
      </w:r>
      <w:r w:rsidR="00E6462B">
        <w:fldChar w:fldCharType="separate"/>
      </w:r>
      <w:r w:rsidR="00643E47">
        <w:rPr>
          <w:noProof/>
        </w:rPr>
        <w:t>3</w:t>
      </w:r>
      <w:r w:rsidR="00E6462B">
        <w:rPr>
          <w:noProof/>
        </w:rPr>
        <w:fldChar w:fldCharType="end"/>
      </w:r>
      <w:r w:rsidR="00DF396A">
        <w:t>.</w:t>
      </w:r>
      <w:r w:rsidR="00E6462B">
        <w:fldChar w:fldCharType="begin"/>
      </w:r>
      <w:r w:rsidR="00E6462B">
        <w:instrText xml:space="preserve"> SEQ Table \* ARABIC \s 1 </w:instrText>
      </w:r>
      <w:r w:rsidR="00E6462B">
        <w:fldChar w:fldCharType="separate"/>
      </w:r>
      <w:r w:rsidR="00643E47">
        <w:rPr>
          <w:noProof/>
        </w:rPr>
        <w:t>2</w:t>
      </w:r>
      <w:r w:rsidR="00E6462B">
        <w:rPr>
          <w:noProof/>
        </w:rPr>
        <w:fldChar w:fldCharType="end"/>
      </w:r>
      <w:r>
        <w:t xml:space="preserve"> Remaining water demand to offset after SW's actions</w:t>
      </w:r>
      <w:bookmarkStart w:id="77" w:name="_Ref66437206"/>
      <w:bookmarkEnd w:id="76"/>
    </w:p>
    <w:tbl>
      <w:tblPr>
        <w:tblStyle w:val="JBATable13"/>
        <w:tblW w:w="0" w:type="auto"/>
        <w:tblInd w:w="1668" w:type="dxa"/>
        <w:tblLook w:val="04A0" w:firstRow="1" w:lastRow="0" w:firstColumn="1" w:lastColumn="0" w:noHBand="0" w:noVBand="1"/>
      </w:tblPr>
      <w:tblGrid>
        <w:gridCol w:w="2802"/>
        <w:gridCol w:w="1701"/>
        <w:gridCol w:w="1701"/>
        <w:gridCol w:w="1701"/>
      </w:tblGrid>
      <w:tr w:rsidR="000D4373" w14:paraId="0068EDDE" w14:textId="77777777" w:rsidTr="00AA58F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vAlign w:val="center"/>
          </w:tcPr>
          <w:p w14:paraId="374E4604" w14:textId="77777777" w:rsidR="000D4373" w:rsidRDefault="000D4373" w:rsidP="00AA58FB">
            <w:pPr>
              <w:pStyle w:val="JBAParaText"/>
              <w:ind w:left="0" w:right="0"/>
              <w:jc w:val="center"/>
            </w:pPr>
            <w:r>
              <w:t>Demand scenario</w:t>
            </w:r>
          </w:p>
        </w:tc>
        <w:tc>
          <w:tcPr>
            <w:tcW w:w="1701" w:type="dxa"/>
            <w:vAlign w:val="center"/>
          </w:tcPr>
          <w:p w14:paraId="50E0D0F5" w14:textId="77777777" w:rsidR="000D4373" w:rsidRDefault="007967F8" w:rsidP="00AA58FB">
            <w:pPr>
              <w:pStyle w:val="JBAParaText"/>
              <w:ind w:left="0" w:right="-2"/>
              <w:jc w:val="center"/>
              <w:cnfStyle w:val="100000000000" w:firstRow="1" w:lastRow="0" w:firstColumn="0" w:lastColumn="0" w:oddVBand="0" w:evenVBand="0" w:oddHBand="0" w:evenHBand="0" w:firstRowFirstColumn="0" w:firstRowLastColumn="0" w:lastRowFirstColumn="0" w:lastRowLastColumn="0"/>
            </w:pPr>
            <w:r>
              <w:t>Household PCC (l/p/d)</w:t>
            </w:r>
          </w:p>
        </w:tc>
        <w:tc>
          <w:tcPr>
            <w:tcW w:w="1701" w:type="dxa"/>
            <w:vAlign w:val="center"/>
          </w:tcPr>
          <w:p w14:paraId="5BBD281C" w14:textId="77777777" w:rsidR="000D4373" w:rsidRDefault="000D4373" w:rsidP="00AA58FB">
            <w:pPr>
              <w:pStyle w:val="JBAParaText"/>
              <w:ind w:left="0" w:right="-2"/>
              <w:jc w:val="center"/>
              <w:cnfStyle w:val="100000000000" w:firstRow="1" w:lastRow="0" w:firstColumn="0" w:lastColumn="0" w:oddVBand="0" w:evenVBand="0" w:oddHBand="0" w:evenHBand="0" w:firstRowFirstColumn="0" w:firstRowLastColumn="0" w:lastRowFirstColumn="0" w:lastRowLastColumn="0"/>
            </w:pPr>
            <w:r>
              <w:t>Non-household PCC (l/p/d)</w:t>
            </w:r>
          </w:p>
        </w:tc>
        <w:tc>
          <w:tcPr>
            <w:tcW w:w="1701" w:type="dxa"/>
          </w:tcPr>
          <w:p w14:paraId="02B8A39A" w14:textId="77777777" w:rsidR="000D4373" w:rsidRDefault="007967F8" w:rsidP="00AA58FB">
            <w:pPr>
              <w:pStyle w:val="JBAParaText"/>
              <w:ind w:left="0" w:right="-2"/>
              <w:jc w:val="center"/>
              <w:cnfStyle w:val="100000000000" w:firstRow="1" w:lastRow="0" w:firstColumn="0" w:lastColumn="0" w:oddVBand="0" w:evenVBand="0" w:oddHBand="0" w:evenHBand="0" w:firstRowFirstColumn="0" w:firstRowLastColumn="0" w:lastRowFirstColumn="0" w:lastRowLastColumn="0"/>
            </w:pPr>
            <w:r>
              <w:t>Remaining</w:t>
            </w:r>
            <w:r w:rsidR="000D4373">
              <w:t xml:space="preserve"> Water Demand</w:t>
            </w:r>
            <w:r>
              <w:t xml:space="preserve"> to Offset</w:t>
            </w:r>
            <w:r w:rsidR="000D4373">
              <w:t xml:space="preserve"> </w:t>
            </w:r>
            <w:r w:rsidR="00E067D7">
              <w:t xml:space="preserve">in 2037 </w:t>
            </w:r>
            <w:r w:rsidR="000D4373">
              <w:t>(Ml/d)</w:t>
            </w:r>
          </w:p>
        </w:tc>
      </w:tr>
      <w:tr w:rsidR="00CC5265" w14:paraId="2087B0A0" w14:textId="77777777" w:rsidTr="00AA58FB">
        <w:tc>
          <w:tcPr>
            <w:cnfStyle w:val="001000000000" w:firstRow="0" w:lastRow="0" w:firstColumn="1" w:lastColumn="0" w:oddVBand="0" w:evenVBand="0" w:oddHBand="0" w:evenHBand="0" w:firstRowFirstColumn="0" w:firstRowLastColumn="0" w:lastRowFirstColumn="0" w:lastRowLastColumn="0"/>
            <w:tcW w:w="2802" w:type="dxa"/>
          </w:tcPr>
          <w:p w14:paraId="547A037D" w14:textId="77777777" w:rsidR="00CC5265" w:rsidRDefault="00CC5265" w:rsidP="00CC5265">
            <w:pPr>
              <w:pStyle w:val="JBAParaText"/>
              <w:ind w:left="0" w:right="0"/>
            </w:pPr>
            <w:r>
              <w:t>Building Regs. Standard</w:t>
            </w:r>
          </w:p>
        </w:tc>
        <w:tc>
          <w:tcPr>
            <w:tcW w:w="1701" w:type="dxa"/>
          </w:tcPr>
          <w:p w14:paraId="67E4B8D4" w14:textId="77777777" w:rsidR="00CC5265" w:rsidRDefault="00CC5265" w:rsidP="00CC5265">
            <w:pPr>
              <w:pStyle w:val="JBAParaText"/>
              <w:ind w:left="0" w:right="-2"/>
              <w:jc w:val="center"/>
              <w:cnfStyle w:val="000000000000" w:firstRow="0" w:lastRow="0" w:firstColumn="0" w:lastColumn="0" w:oddVBand="0" w:evenVBand="0" w:oddHBand="0" w:evenHBand="0" w:firstRowFirstColumn="0" w:firstRowLastColumn="0" w:lastRowFirstColumn="0" w:lastRowLastColumn="0"/>
            </w:pPr>
            <w:r>
              <w:t>125</w:t>
            </w:r>
          </w:p>
        </w:tc>
        <w:tc>
          <w:tcPr>
            <w:tcW w:w="1701" w:type="dxa"/>
          </w:tcPr>
          <w:p w14:paraId="4C939892" w14:textId="77777777" w:rsidR="00CC5265" w:rsidRDefault="00CC5265" w:rsidP="00CC5265">
            <w:pPr>
              <w:pStyle w:val="JBAParaText"/>
              <w:ind w:left="0" w:right="-2"/>
              <w:jc w:val="center"/>
              <w:cnfStyle w:val="000000000000" w:firstRow="0" w:lastRow="0" w:firstColumn="0" w:lastColumn="0" w:oddVBand="0" w:evenVBand="0" w:oddHBand="0" w:evenHBand="0" w:firstRowFirstColumn="0" w:firstRowLastColumn="0" w:lastRowFirstColumn="0" w:lastRowLastColumn="0"/>
            </w:pPr>
            <w:r>
              <w:t>63</w:t>
            </w:r>
          </w:p>
        </w:tc>
        <w:tc>
          <w:tcPr>
            <w:tcW w:w="1701" w:type="dxa"/>
          </w:tcPr>
          <w:p w14:paraId="55510708" w14:textId="0B0B25E8" w:rsidR="00CC5265" w:rsidRDefault="00CC5265" w:rsidP="00CC5265">
            <w:pPr>
              <w:pStyle w:val="JBAParaText"/>
              <w:ind w:left="0" w:right="-2"/>
              <w:jc w:val="center"/>
              <w:cnfStyle w:val="000000000000" w:firstRow="0" w:lastRow="0" w:firstColumn="0" w:lastColumn="0" w:oddVBand="0" w:evenVBand="0" w:oddHBand="0" w:evenHBand="0" w:firstRowFirstColumn="0" w:firstRowLastColumn="0" w:lastRowFirstColumn="0" w:lastRowLastColumn="0"/>
            </w:pPr>
            <w:r w:rsidRPr="002233E9">
              <w:t>1.740</w:t>
            </w:r>
          </w:p>
        </w:tc>
      </w:tr>
      <w:tr w:rsidR="00CC5265" w14:paraId="15C479C5" w14:textId="77777777" w:rsidTr="00AA58FB">
        <w:tc>
          <w:tcPr>
            <w:cnfStyle w:val="001000000000" w:firstRow="0" w:lastRow="0" w:firstColumn="1" w:lastColumn="0" w:oddVBand="0" w:evenVBand="0" w:oddHBand="0" w:evenHBand="0" w:firstRowFirstColumn="0" w:firstRowLastColumn="0" w:lastRowFirstColumn="0" w:lastRowLastColumn="0"/>
            <w:tcW w:w="2802" w:type="dxa"/>
          </w:tcPr>
          <w:p w14:paraId="108FA120" w14:textId="77777777" w:rsidR="00CC5265" w:rsidRDefault="00CC5265" w:rsidP="00CC5265">
            <w:pPr>
              <w:pStyle w:val="JBAParaText"/>
              <w:ind w:left="0" w:right="0"/>
            </w:pPr>
            <w:r>
              <w:t>Building Regs. Optional (adopted 2015 Local Plan)</w:t>
            </w:r>
          </w:p>
        </w:tc>
        <w:tc>
          <w:tcPr>
            <w:tcW w:w="1701" w:type="dxa"/>
          </w:tcPr>
          <w:p w14:paraId="71250889" w14:textId="77777777" w:rsidR="00CC5265" w:rsidRDefault="00CC5265" w:rsidP="00CC5265">
            <w:pPr>
              <w:pStyle w:val="JBAParaText"/>
              <w:ind w:left="0" w:right="-2"/>
              <w:jc w:val="center"/>
              <w:cnfStyle w:val="000000000000" w:firstRow="0" w:lastRow="0" w:firstColumn="0" w:lastColumn="0" w:oddVBand="0" w:evenVBand="0" w:oddHBand="0" w:evenHBand="0" w:firstRowFirstColumn="0" w:firstRowLastColumn="0" w:lastRowFirstColumn="0" w:lastRowLastColumn="0"/>
            </w:pPr>
            <w:r>
              <w:t>110</w:t>
            </w:r>
          </w:p>
        </w:tc>
        <w:tc>
          <w:tcPr>
            <w:tcW w:w="1701" w:type="dxa"/>
          </w:tcPr>
          <w:p w14:paraId="34C56DA6" w14:textId="77777777" w:rsidR="00CC5265" w:rsidRDefault="00CC5265" w:rsidP="00CC5265">
            <w:pPr>
              <w:pStyle w:val="JBAParaText"/>
              <w:ind w:left="0" w:right="-2"/>
              <w:jc w:val="center"/>
              <w:cnfStyle w:val="000000000000" w:firstRow="0" w:lastRow="0" w:firstColumn="0" w:lastColumn="0" w:oddVBand="0" w:evenVBand="0" w:oddHBand="0" w:evenHBand="0" w:firstRowFirstColumn="0" w:firstRowLastColumn="0" w:lastRowFirstColumn="0" w:lastRowLastColumn="0"/>
            </w:pPr>
            <w:r>
              <w:t>63</w:t>
            </w:r>
          </w:p>
        </w:tc>
        <w:tc>
          <w:tcPr>
            <w:tcW w:w="1701" w:type="dxa"/>
          </w:tcPr>
          <w:p w14:paraId="150C5924" w14:textId="45B9EE00" w:rsidR="00CC5265" w:rsidRDefault="00CC5265" w:rsidP="00CC5265">
            <w:pPr>
              <w:pStyle w:val="JBAParaText"/>
              <w:ind w:left="0" w:right="-2"/>
              <w:jc w:val="center"/>
              <w:cnfStyle w:val="000000000000" w:firstRow="0" w:lastRow="0" w:firstColumn="0" w:lastColumn="0" w:oddVBand="0" w:evenVBand="0" w:oddHBand="0" w:evenHBand="0" w:firstRowFirstColumn="0" w:firstRowLastColumn="0" w:lastRowFirstColumn="0" w:lastRowLastColumn="0"/>
            </w:pPr>
            <w:r w:rsidRPr="002233E9">
              <w:t>0.940</w:t>
            </w:r>
          </w:p>
        </w:tc>
      </w:tr>
      <w:tr w:rsidR="00CC5265" w14:paraId="624A4337" w14:textId="77777777" w:rsidTr="00AA58FB">
        <w:tc>
          <w:tcPr>
            <w:cnfStyle w:val="001000000000" w:firstRow="0" w:lastRow="0" w:firstColumn="1" w:lastColumn="0" w:oddVBand="0" w:evenVBand="0" w:oddHBand="0" w:evenHBand="0" w:firstRowFirstColumn="0" w:firstRowLastColumn="0" w:lastRowFirstColumn="0" w:lastRowLastColumn="0"/>
            <w:tcW w:w="2802" w:type="dxa"/>
          </w:tcPr>
          <w:p w14:paraId="2D803D2E" w14:textId="77777777" w:rsidR="00CC5265" w:rsidRDefault="00CC5265" w:rsidP="00CC5265">
            <w:pPr>
              <w:pStyle w:val="JBAParaText"/>
              <w:ind w:left="0" w:right="0"/>
            </w:pPr>
            <w:r>
              <w:t xml:space="preserve">Target 100 </w:t>
            </w:r>
          </w:p>
        </w:tc>
        <w:tc>
          <w:tcPr>
            <w:tcW w:w="1701" w:type="dxa"/>
          </w:tcPr>
          <w:p w14:paraId="2BB7D38C" w14:textId="77777777" w:rsidR="00CC5265" w:rsidRDefault="00CC5265" w:rsidP="00CC5265">
            <w:pPr>
              <w:pStyle w:val="JBAParaText"/>
              <w:keepNext/>
              <w:ind w:left="0" w:right="-2"/>
              <w:jc w:val="center"/>
              <w:cnfStyle w:val="000000000000" w:firstRow="0" w:lastRow="0" w:firstColumn="0" w:lastColumn="0" w:oddVBand="0" w:evenVBand="0" w:oddHBand="0" w:evenHBand="0" w:firstRowFirstColumn="0" w:firstRowLastColumn="0" w:lastRowFirstColumn="0" w:lastRowLastColumn="0"/>
            </w:pPr>
            <w:r>
              <w:t>100</w:t>
            </w:r>
          </w:p>
        </w:tc>
        <w:tc>
          <w:tcPr>
            <w:tcW w:w="1701" w:type="dxa"/>
          </w:tcPr>
          <w:p w14:paraId="463B606D" w14:textId="77777777" w:rsidR="00CC5265" w:rsidRDefault="00CC5265" w:rsidP="00CC5265">
            <w:pPr>
              <w:pStyle w:val="JBAParaText"/>
              <w:keepNext/>
              <w:ind w:left="0" w:right="-2"/>
              <w:jc w:val="center"/>
              <w:cnfStyle w:val="000000000000" w:firstRow="0" w:lastRow="0" w:firstColumn="0" w:lastColumn="0" w:oddVBand="0" w:evenVBand="0" w:oddHBand="0" w:evenHBand="0" w:firstRowFirstColumn="0" w:firstRowLastColumn="0" w:lastRowFirstColumn="0" w:lastRowLastColumn="0"/>
            </w:pPr>
            <w:r>
              <w:t>63</w:t>
            </w:r>
          </w:p>
        </w:tc>
        <w:tc>
          <w:tcPr>
            <w:tcW w:w="1701" w:type="dxa"/>
          </w:tcPr>
          <w:p w14:paraId="6EEF02C5" w14:textId="08EC6319" w:rsidR="00CC5265" w:rsidRDefault="00CC5265" w:rsidP="00CC5265">
            <w:pPr>
              <w:pStyle w:val="JBAParaText"/>
              <w:keepNext/>
              <w:ind w:left="0" w:right="-2"/>
              <w:jc w:val="center"/>
              <w:cnfStyle w:val="000000000000" w:firstRow="0" w:lastRow="0" w:firstColumn="0" w:lastColumn="0" w:oddVBand="0" w:evenVBand="0" w:oddHBand="0" w:evenHBand="0" w:firstRowFirstColumn="0" w:firstRowLastColumn="0" w:lastRowFirstColumn="0" w:lastRowLastColumn="0"/>
            </w:pPr>
            <w:r w:rsidRPr="002233E9">
              <w:t>0.407</w:t>
            </w:r>
          </w:p>
        </w:tc>
      </w:tr>
      <w:tr w:rsidR="000D4373" w14:paraId="48D48773" w14:textId="77777777" w:rsidTr="00AA58FB">
        <w:tc>
          <w:tcPr>
            <w:cnfStyle w:val="001000000000" w:firstRow="0" w:lastRow="0" w:firstColumn="1" w:lastColumn="0" w:oddVBand="0" w:evenVBand="0" w:oddHBand="0" w:evenHBand="0" w:firstRowFirstColumn="0" w:firstRowLastColumn="0" w:lastRowFirstColumn="0" w:lastRowLastColumn="0"/>
            <w:tcW w:w="2802" w:type="dxa"/>
          </w:tcPr>
          <w:p w14:paraId="5601745D" w14:textId="77777777" w:rsidR="000D4373" w:rsidRDefault="000D4373" w:rsidP="00AA58FB">
            <w:pPr>
              <w:pStyle w:val="JBAParaText"/>
              <w:ind w:left="0" w:right="0"/>
            </w:pPr>
            <w:r>
              <w:t>Realistic achievable</w:t>
            </w:r>
          </w:p>
        </w:tc>
        <w:tc>
          <w:tcPr>
            <w:tcW w:w="1701" w:type="dxa"/>
          </w:tcPr>
          <w:p w14:paraId="10D9F665" w14:textId="77777777" w:rsidR="000D4373" w:rsidRDefault="000D4373" w:rsidP="00AA58FB">
            <w:pPr>
              <w:pStyle w:val="JBAParaText"/>
              <w:keepNext/>
              <w:ind w:left="0" w:right="-2"/>
              <w:jc w:val="center"/>
              <w:cnfStyle w:val="000000000000" w:firstRow="0" w:lastRow="0" w:firstColumn="0" w:lastColumn="0" w:oddVBand="0" w:evenVBand="0" w:oddHBand="0" w:evenHBand="0" w:firstRowFirstColumn="0" w:firstRowLastColumn="0" w:lastRowFirstColumn="0" w:lastRowLastColumn="0"/>
            </w:pPr>
            <w:r>
              <w:t>85</w:t>
            </w:r>
          </w:p>
        </w:tc>
        <w:tc>
          <w:tcPr>
            <w:tcW w:w="1701" w:type="dxa"/>
          </w:tcPr>
          <w:p w14:paraId="14CE35AB" w14:textId="77777777" w:rsidR="000D4373" w:rsidRDefault="000D4373" w:rsidP="00AA58FB">
            <w:pPr>
              <w:pStyle w:val="JBAParaText"/>
              <w:keepNext/>
              <w:ind w:left="0" w:right="-2"/>
              <w:jc w:val="center"/>
              <w:cnfStyle w:val="000000000000" w:firstRow="0" w:lastRow="0" w:firstColumn="0" w:lastColumn="0" w:oddVBand="0" w:evenVBand="0" w:oddHBand="0" w:evenHBand="0" w:firstRowFirstColumn="0" w:firstRowLastColumn="0" w:lastRowFirstColumn="0" w:lastRowLastColumn="0"/>
            </w:pPr>
            <w:r>
              <w:t>37.9</w:t>
            </w:r>
          </w:p>
        </w:tc>
        <w:tc>
          <w:tcPr>
            <w:tcW w:w="1701" w:type="dxa"/>
          </w:tcPr>
          <w:p w14:paraId="45EDA4B5" w14:textId="77777777" w:rsidR="000D4373" w:rsidRDefault="00E067D7" w:rsidP="00AA58FB">
            <w:pPr>
              <w:pStyle w:val="JBAParaText"/>
              <w:keepNext/>
              <w:ind w:left="0" w:right="-2"/>
              <w:jc w:val="center"/>
              <w:cnfStyle w:val="000000000000" w:firstRow="0" w:lastRow="0" w:firstColumn="0" w:lastColumn="0" w:oddVBand="0" w:evenVBand="0" w:oddHBand="0" w:evenHBand="0" w:firstRowFirstColumn="0" w:firstRowLastColumn="0" w:lastRowFirstColumn="0" w:lastRowLastColumn="0"/>
            </w:pPr>
            <w:r>
              <w:t>Achieved by end of plan period – but not in every year</w:t>
            </w:r>
          </w:p>
        </w:tc>
      </w:tr>
      <w:tr w:rsidR="000D4373" w14:paraId="06AD3C66" w14:textId="77777777" w:rsidTr="00AA58FB">
        <w:tc>
          <w:tcPr>
            <w:cnfStyle w:val="001000000000" w:firstRow="0" w:lastRow="0" w:firstColumn="1" w:lastColumn="0" w:oddVBand="0" w:evenVBand="0" w:oddHBand="0" w:evenHBand="0" w:firstRowFirstColumn="0" w:firstRowLastColumn="0" w:lastRowFirstColumn="0" w:lastRowLastColumn="0"/>
            <w:tcW w:w="2802" w:type="dxa"/>
          </w:tcPr>
          <w:p w14:paraId="1C5D1C7F" w14:textId="77777777" w:rsidR="000D4373" w:rsidRDefault="000D4373" w:rsidP="00AA58FB">
            <w:pPr>
              <w:pStyle w:val="JBAParaText"/>
              <w:ind w:left="0" w:right="0"/>
            </w:pPr>
            <w:r>
              <w:t>Ambitious</w:t>
            </w:r>
          </w:p>
        </w:tc>
        <w:tc>
          <w:tcPr>
            <w:tcW w:w="1701" w:type="dxa"/>
          </w:tcPr>
          <w:p w14:paraId="3B1B062F" w14:textId="77777777" w:rsidR="000D4373" w:rsidRDefault="000D4373" w:rsidP="00AA58FB">
            <w:pPr>
              <w:pStyle w:val="JBAParaText"/>
              <w:keepNext/>
              <w:ind w:left="0" w:right="-2"/>
              <w:jc w:val="center"/>
              <w:cnfStyle w:val="000000000000" w:firstRow="0" w:lastRow="0" w:firstColumn="0" w:lastColumn="0" w:oddVBand="0" w:evenVBand="0" w:oddHBand="0" w:evenHBand="0" w:firstRowFirstColumn="0" w:firstRowLastColumn="0" w:lastRowFirstColumn="0" w:lastRowLastColumn="0"/>
            </w:pPr>
            <w:r>
              <w:t>62</w:t>
            </w:r>
          </w:p>
        </w:tc>
        <w:tc>
          <w:tcPr>
            <w:tcW w:w="1701" w:type="dxa"/>
          </w:tcPr>
          <w:p w14:paraId="16C90EF2" w14:textId="77777777" w:rsidR="000D4373" w:rsidRDefault="000D4373" w:rsidP="00AA58FB">
            <w:pPr>
              <w:pStyle w:val="JBAParaText"/>
              <w:keepNext/>
              <w:ind w:left="0" w:right="-2"/>
              <w:jc w:val="center"/>
              <w:cnfStyle w:val="000000000000" w:firstRow="0" w:lastRow="0" w:firstColumn="0" w:lastColumn="0" w:oddVBand="0" w:evenVBand="0" w:oddHBand="0" w:evenHBand="0" w:firstRowFirstColumn="0" w:firstRowLastColumn="0" w:lastRowFirstColumn="0" w:lastRowLastColumn="0"/>
            </w:pPr>
            <w:r>
              <w:t>22.1</w:t>
            </w:r>
          </w:p>
        </w:tc>
        <w:tc>
          <w:tcPr>
            <w:tcW w:w="1701" w:type="dxa"/>
          </w:tcPr>
          <w:p w14:paraId="3A4F1389" w14:textId="77777777" w:rsidR="000D4373" w:rsidRDefault="00E067D7" w:rsidP="00AA58FB">
            <w:pPr>
              <w:pStyle w:val="JBAParaText"/>
              <w:keepNext/>
              <w:ind w:left="0" w:right="-2"/>
              <w:jc w:val="center"/>
              <w:cnfStyle w:val="000000000000" w:firstRow="0" w:lastRow="0" w:firstColumn="0" w:lastColumn="0" w:oddVBand="0" w:evenVBand="0" w:oddHBand="0" w:evenHBand="0" w:firstRowFirstColumn="0" w:firstRowLastColumn="0" w:lastRowFirstColumn="0" w:lastRowLastColumn="0"/>
            </w:pPr>
            <w:r>
              <w:t>Neutrality achieved</w:t>
            </w:r>
          </w:p>
        </w:tc>
      </w:tr>
    </w:tbl>
    <w:p w14:paraId="3EF2CF6D" w14:textId="77777777" w:rsidR="008D2AEF" w:rsidRDefault="008D2AEF" w:rsidP="00506761">
      <w:pPr>
        <w:pStyle w:val="JBAParaText"/>
      </w:pPr>
    </w:p>
    <w:p w14:paraId="67467598" w14:textId="77777777" w:rsidR="00E01781" w:rsidRDefault="00E01781" w:rsidP="00E01781">
      <w:pPr>
        <w:pStyle w:val="Heading3"/>
      </w:pPr>
      <w:bookmarkStart w:id="78" w:name="_Toc101856693"/>
      <w:r>
        <w:t>Leakage reduction</w:t>
      </w:r>
      <w:bookmarkEnd w:id="78"/>
    </w:p>
    <w:p w14:paraId="151A38EA" w14:textId="77777777" w:rsidR="0092155D" w:rsidRDefault="00E01781" w:rsidP="0092155D">
      <w:pPr>
        <w:pStyle w:val="JBAParaText"/>
      </w:pPr>
      <w:r>
        <w:t xml:space="preserve">Southern Water publish their forecast leakage reduction at the WRZ level as part of the Water Resources Market Information (WRMI) tables.  </w:t>
      </w:r>
      <w:r w:rsidR="0092155D">
        <w:t xml:space="preserve">The SW WRMP contains an objective to reduce leakage by 15% by 2025 and 50% by 2050, and a year-by-year forecast in their WRMI tables.  </w:t>
      </w:r>
    </w:p>
    <w:p w14:paraId="2A0623AE" w14:textId="476A4595" w:rsidR="0092155D" w:rsidRDefault="0092155D" w:rsidP="00E01781">
      <w:pPr>
        <w:pStyle w:val="JBAParaText"/>
      </w:pPr>
      <w:r>
        <w:t xml:space="preserve">If SW were to increase their leakage reduction activities by 10% (i.e., a further 10% of water saved in addition to </w:t>
      </w:r>
      <w:r w:rsidR="00775950">
        <w:t>what is already planned in their WRMP</w:t>
      </w:r>
      <w:r>
        <w:t xml:space="preserve">) then this measure could contribute </w:t>
      </w:r>
      <w:r w:rsidRPr="00080735">
        <w:rPr>
          <w:b/>
          <w:bCs/>
        </w:rPr>
        <w:t>0.</w:t>
      </w:r>
      <w:r>
        <w:rPr>
          <w:b/>
          <w:bCs/>
        </w:rPr>
        <w:t>36</w:t>
      </w:r>
      <w:r w:rsidRPr="00080735">
        <w:rPr>
          <w:b/>
          <w:bCs/>
        </w:rPr>
        <w:t xml:space="preserve"> Ml/d</w:t>
      </w:r>
      <w:r>
        <w:t xml:space="preserve"> to offsetting demand by 2037.  However, additional leakage reduction between now and PR24 would have to be </w:t>
      </w:r>
      <w:r w:rsidR="006F4F8D">
        <w:t>funded through</w:t>
      </w:r>
      <w:r>
        <w:t xml:space="preserve"> developer</w:t>
      </w:r>
      <w:r w:rsidR="006F4F8D">
        <w:t xml:space="preserve"> contribution</w:t>
      </w:r>
      <w:r>
        <w:t>s</w:t>
      </w:r>
      <w:r w:rsidR="00775950">
        <w:t xml:space="preserve"> (or another source)</w:t>
      </w:r>
      <w:r>
        <w:t xml:space="preserve"> as it goes beyond what has been budgeted for and agreed with the regulator.</w:t>
      </w:r>
      <w:r w:rsidR="001B128E">
        <w:t xml:space="preserve">  SW have also noted that the unit cost of achieving leakage reductions increases the further leakage is reduced as leaks get progressively harder to find and resolve.</w:t>
      </w:r>
    </w:p>
    <w:p w14:paraId="4893864E" w14:textId="77777777" w:rsidR="00E01781" w:rsidRDefault="0092155D" w:rsidP="0092155D">
      <w:pPr>
        <w:pStyle w:val="Heading3"/>
      </w:pPr>
      <w:bookmarkStart w:id="79" w:name="_Toc101856694"/>
      <w:r>
        <w:t xml:space="preserve">Extension of </w:t>
      </w:r>
      <w:r w:rsidR="00455172">
        <w:t xml:space="preserve">metering </w:t>
      </w:r>
      <w:r>
        <w:t>programme</w:t>
      </w:r>
      <w:bookmarkEnd w:id="79"/>
    </w:p>
    <w:p w14:paraId="5E942BBC" w14:textId="4A3B67D3" w:rsidR="001B128E" w:rsidRDefault="0092155D" w:rsidP="0092155D">
      <w:pPr>
        <w:pStyle w:val="JBAParaText"/>
      </w:pPr>
      <w:r>
        <w:t>The contribution from extending the metering programme</w:t>
      </w:r>
      <w:r w:rsidR="00775950">
        <w:t xml:space="preserve"> (beyond that already planned in the SW WRMP)</w:t>
      </w:r>
      <w:r>
        <w:t xml:space="preserve"> is difficult to calculate as the customers that do not currently have a meter are likely to have higher water demand and may be less likely to see a saving.  Assuming 100% metering penetration was achieved</w:t>
      </w:r>
      <w:r w:rsidR="00AE6E77">
        <w:t xml:space="preserve"> (which SW state would not be possible)</w:t>
      </w:r>
      <w:r>
        <w:t>, and the installation of the meter had the effect of reducing household consumption by 12-14%</w:t>
      </w:r>
      <w:r>
        <w:rPr>
          <w:rStyle w:val="FootnoteReference"/>
        </w:rPr>
        <w:footnoteReference w:id="17"/>
      </w:r>
      <w:r>
        <w:t xml:space="preserve"> observed during the SW universal metering programme, then a contribution to neutrality of up to </w:t>
      </w:r>
      <w:r w:rsidRPr="00F53F4F">
        <w:rPr>
          <w:b/>
          <w:bCs/>
        </w:rPr>
        <w:t>0.</w:t>
      </w:r>
      <w:r w:rsidR="004438DF">
        <w:rPr>
          <w:b/>
          <w:bCs/>
        </w:rPr>
        <w:t>85</w:t>
      </w:r>
      <w:r w:rsidRPr="00F53F4F">
        <w:rPr>
          <w:b/>
          <w:bCs/>
        </w:rPr>
        <w:t xml:space="preserve"> Ml/d</w:t>
      </w:r>
      <w:r>
        <w:t xml:space="preserve"> could </w:t>
      </w:r>
      <w:r w:rsidR="00AE6E77">
        <w:t xml:space="preserve">theoretically </w:t>
      </w:r>
      <w:r>
        <w:t>be achieved.  However, as the cost and difficulty of installing meters increases the closer to 100% the programme gets, total penetration is unlikely, costs will be high and the reduction in PCC achieved may be less.</w:t>
      </w:r>
      <w:r w:rsidR="007F5832">
        <w:t xml:space="preserve">  It is also likely that some of the savings observed were due to water efficiency </w:t>
      </w:r>
      <w:r w:rsidR="00CF5C1B">
        <w:t>messaging during the metering programme and not the metering alone.</w:t>
      </w:r>
    </w:p>
    <w:p w14:paraId="755EBD7C" w14:textId="77777777" w:rsidR="002B70AC" w:rsidRDefault="002B70AC" w:rsidP="0092155D">
      <w:pPr>
        <w:pStyle w:val="JBAParaText"/>
      </w:pPr>
      <w:r>
        <w:t>SW have stated that further increase to metering penetration would not be possible this AMP period (</w:t>
      </w:r>
      <w:r w:rsidR="00AC09AF">
        <w:t>2020 to 2025).  By March 2025, the Sussex North domestic metering coverage will be approximately 92% which is one of the highest in the country.  Opportunities to increase metering further are limited and expensive.</w:t>
      </w:r>
    </w:p>
    <w:p w14:paraId="4E98375B" w14:textId="77777777" w:rsidR="0092155D" w:rsidRDefault="001B128E" w:rsidP="00AE6E77">
      <w:pPr>
        <w:pStyle w:val="JBAParaText"/>
      </w:pPr>
      <w:r>
        <w:t xml:space="preserve">SW intend to roll out smart meters later in the WRMP period. This could be accelerated and incorporated into new build housing providing the </w:t>
      </w:r>
      <w:r w:rsidR="00DE2C18">
        <w:t>benefit of more accurate monitoring water use in new housing, verifying that water efficiency targets were being met, and to increase awareness of water use in households.</w:t>
      </w:r>
      <w:r w:rsidR="00AE6E77">
        <w:t xml:space="preserve">  Smart metering of new properties is limited by the time taken to set up a competitive tender and procure meters so may not be available until later in the plan.</w:t>
      </w:r>
    </w:p>
    <w:p w14:paraId="40907AE5" w14:textId="77777777" w:rsidR="004438DF" w:rsidRDefault="004438DF" w:rsidP="004438DF">
      <w:pPr>
        <w:pStyle w:val="Heading3"/>
      </w:pPr>
      <w:bookmarkStart w:id="80" w:name="_Toc101856695"/>
      <w:r>
        <w:t>Household visits</w:t>
      </w:r>
      <w:bookmarkEnd w:id="80"/>
    </w:p>
    <w:p w14:paraId="01C77F0F" w14:textId="77777777" w:rsidR="00E82469" w:rsidRDefault="006A42FC" w:rsidP="00855CCE">
      <w:pPr>
        <w:pStyle w:val="JBAParaText"/>
      </w:pPr>
      <w:r>
        <w:t>Southern Water have reported a 36-litre per household saving on average as a result of a household visit</w:t>
      </w:r>
      <w:r w:rsidR="000834E2">
        <w:rPr>
          <w:rStyle w:val="FootnoteReference"/>
        </w:rPr>
        <w:footnoteReference w:id="18"/>
      </w:r>
      <w:r>
        <w:t xml:space="preserve">.  </w:t>
      </w:r>
      <w:r w:rsidR="00CF5C1B">
        <w:t xml:space="preserve">This was achieved prior to the COVID-19 pandemic, and high consumption households were targeted.  Since the </w:t>
      </w:r>
      <w:r w:rsidR="00A53978">
        <w:t xml:space="preserve">start of the </w:t>
      </w:r>
      <w:r w:rsidR="00CF5C1B">
        <w:t xml:space="preserve">pandemic, SW have seen this figure reduce to 24 litres per household.  In order to maintain a precautionary approach in this work, the lower figure of 24 litres per household will be incorporated into the calculations.  This should be monitored further, and the figures adjusted in Part C if necessary.  </w:t>
      </w:r>
    </w:p>
    <w:p w14:paraId="5D620A16" w14:textId="333EF3CD" w:rsidR="00E82469" w:rsidRDefault="00E82469" w:rsidP="00E82469">
      <w:pPr>
        <w:pStyle w:val="JBAParaText"/>
      </w:pPr>
      <w:r>
        <w:t>If</w:t>
      </w:r>
      <w:r w:rsidR="006A42FC">
        <w:t xml:space="preserve"> every household in the WRZ (reported to be 119,230 in the WRMP) received a visit and achieved the expected saving, </w:t>
      </w:r>
      <w:r w:rsidR="000834E2">
        <w:t xml:space="preserve">the upper ceiling for </w:t>
      </w:r>
      <w:r w:rsidR="006A42FC">
        <w:t xml:space="preserve">a </w:t>
      </w:r>
      <w:r w:rsidR="000834E2">
        <w:t xml:space="preserve">theoretical </w:t>
      </w:r>
      <w:r w:rsidR="006A42FC">
        <w:t xml:space="preserve">total water demand saving of </w:t>
      </w:r>
      <w:r>
        <w:rPr>
          <w:b/>
          <w:bCs/>
        </w:rPr>
        <w:t>2.86</w:t>
      </w:r>
      <w:r w:rsidR="006A42FC" w:rsidRPr="00F53F4F">
        <w:rPr>
          <w:b/>
          <w:bCs/>
        </w:rPr>
        <w:t xml:space="preserve"> Ml/d</w:t>
      </w:r>
      <w:r w:rsidR="006A42FC">
        <w:t xml:space="preserve"> could be possible.</w:t>
      </w:r>
      <w:r w:rsidR="004A1DEB">
        <w:t xml:space="preserve">  It should be noted that </w:t>
      </w:r>
      <w:r w:rsidR="00290CB4">
        <w:t xml:space="preserve">it would not be possible to visit </w:t>
      </w:r>
      <w:r w:rsidR="004A1DEB">
        <w:t>100% of households, t</w:t>
      </w:r>
      <w:r w:rsidR="00AE6E77">
        <w:t>ypically, SW have a 25% take-up when household visits are offered.  Vulnerable and high consumption users are currently being targeted.</w:t>
      </w:r>
    </w:p>
    <w:p w14:paraId="7F65793B" w14:textId="77777777" w:rsidR="00E653B1" w:rsidRDefault="003B3A7F" w:rsidP="00E653B1">
      <w:pPr>
        <w:pStyle w:val="JBAParaText"/>
      </w:pPr>
      <w:r>
        <w:t xml:space="preserve">Household visits are included in the Target 100 activities and form part of the PCC reduction expected in the WRMP.  </w:t>
      </w:r>
      <w:r w:rsidR="00E653B1">
        <w:t xml:space="preserve">Southern Water have advised that 2,500 household visits were carried out in the first year of AMP7 (2020) out of a target of 5,000 with the programme hampered by COVID-19 restrictions.  For the second year of AMP 7, the plan is to carry out 11,875 household visits as well as a rollout of virtual water saving visits.  </w:t>
      </w:r>
    </w:p>
    <w:p w14:paraId="72E8C97C" w14:textId="2B721BBC" w:rsidR="00A135CA" w:rsidRDefault="00E653B1" w:rsidP="00A135CA">
      <w:pPr>
        <w:pStyle w:val="JBAParaText"/>
      </w:pPr>
      <w:r>
        <w:t>If an additional 2,000 houses per year were visited as part of an extension of the programme</w:t>
      </w:r>
      <w:r w:rsidR="004A1DEB">
        <w:t xml:space="preserve"> (between 2023 and 2037)</w:t>
      </w:r>
      <w:r>
        <w:t xml:space="preserve">, a saving of </w:t>
      </w:r>
      <w:r w:rsidRPr="00E653B1">
        <w:rPr>
          <w:b/>
          <w:bCs/>
        </w:rPr>
        <w:t>0.</w:t>
      </w:r>
      <w:r w:rsidR="004A1DEB">
        <w:rPr>
          <w:b/>
          <w:bCs/>
        </w:rPr>
        <w:t>72</w:t>
      </w:r>
      <w:r w:rsidR="002B4E99" w:rsidRPr="00E653B1">
        <w:rPr>
          <w:b/>
          <w:bCs/>
        </w:rPr>
        <w:t>Ml</w:t>
      </w:r>
      <w:r w:rsidRPr="00E653B1">
        <w:rPr>
          <w:b/>
          <w:bCs/>
        </w:rPr>
        <w:t>/d</w:t>
      </w:r>
      <w:r>
        <w:t xml:space="preserve"> could be provided </w:t>
      </w:r>
      <w:r w:rsidR="004A1DEB">
        <w:t>by the end of the</w:t>
      </w:r>
      <w:r>
        <w:t xml:space="preserve"> </w:t>
      </w:r>
      <w:r w:rsidR="0049227B">
        <w:t>L</w:t>
      </w:r>
      <w:r w:rsidR="00290CB4">
        <w:t xml:space="preserve">ocal </w:t>
      </w:r>
      <w:r w:rsidR="0049227B">
        <w:t>P</w:t>
      </w:r>
      <w:r>
        <w:t>lan period. The Greater Brighton Water Plan stated a cost provided by Southern Water of £70 to £100 per visit.  This extension to the programme would therefore cost between £140k and £200k each year.</w:t>
      </w:r>
      <w:r w:rsidR="00A135CA" w:rsidRPr="00A135CA">
        <w:t xml:space="preserve"> </w:t>
      </w:r>
      <w:r w:rsidR="00A135CA">
        <w:t xml:space="preserve"> </w:t>
      </w:r>
    </w:p>
    <w:p w14:paraId="6786A064" w14:textId="77777777" w:rsidR="00A135CA" w:rsidRDefault="00A135CA" w:rsidP="00A135CA">
      <w:pPr>
        <w:pStyle w:val="JBAParaText"/>
      </w:pPr>
      <w:r>
        <w:t xml:space="preserve">Once the contribution from SW’s measures are considered, an extension of the household visits programme already planned by SW could offset a significant proportion of the remaining demand. </w:t>
      </w:r>
    </w:p>
    <w:p w14:paraId="32C41065" w14:textId="77777777" w:rsidR="00473292" w:rsidRDefault="00473292" w:rsidP="00473292">
      <w:pPr>
        <w:pStyle w:val="Heading3"/>
      </w:pPr>
      <w:bookmarkStart w:id="81" w:name="_Toc101856696"/>
      <w:r>
        <w:t>Non-household visits</w:t>
      </w:r>
      <w:bookmarkEnd w:id="81"/>
    </w:p>
    <w:p w14:paraId="26B5B408" w14:textId="77777777" w:rsidR="00BE562C" w:rsidRDefault="00BE562C" w:rsidP="002461AB">
      <w:pPr>
        <w:pStyle w:val="JBAParaText"/>
      </w:pPr>
      <w:r>
        <w:t>Due to market separation in 20</w:t>
      </w:r>
      <w:r w:rsidR="00C87BD0">
        <w:t>17</w:t>
      </w:r>
      <w:r>
        <w:t xml:space="preserve">, Southern Water </w:t>
      </w:r>
      <w:r w:rsidR="004A1DEB">
        <w:t>(</w:t>
      </w:r>
      <w:r w:rsidR="004A460C">
        <w:t>along with other</w:t>
      </w:r>
      <w:r w:rsidR="004A1DEB">
        <w:t xml:space="preserve"> water companies) </w:t>
      </w:r>
      <w:r>
        <w:t xml:space="preserve">ceased much of their activities to promote water efficiency in the non-household sector.  </w:t>
      </w:r>
      <w:r w:rsidR="00C87BD0">
        <w:t>A 2020 parliamentary briefing</w:t>
      </w:r>
      <w:r w:rsidR="00C87BD0">
        <w:rPr>
          <w:rStyle w:val="FootnoteReference"/>
        </w:rPr>
        <w:footnoteReference w:id="19"/>
      </w:r>
      <w:r w:rsidR="00C87BD0">
        <w:t xml:space="preserve"> found that non-household retail competition “has not yet delivered on expectations for water efficiency improvements.”  </w:t>
      </w:r>
      <w:r>
        <w:t>There may therefore be significant opportunities in this area to reduce non-household demand.</w:t>
      </w:r>
    </w:p>
    <w:p w14:paraId="23C8595F" w14:textId="77777777" w:rsidR="00201354" w:rsidRDefault="003C2839" w:rsidP="002461AB">
      <w:pPr>
        <w:pStyle w:val="JBAParaText"/>
      </w:pPr>
      <w:r>
        <w:t xml:space="preserve">Part A presented an estimation of the contribution that could be achievable by non-household visits.  This was based on 25% of employees within LPA areas being reached with a visit and making the same percentage saving in water demand as has been observed with household visits. </w:t>
      </w:r>
      <w:r w:rsidR="00EE68AE">
        <w:t xml:space="preserve"> </w:t>
      </w:r>
    </w:p>
    <w:p w14:paraId="58194968" w14:textId="77777777" w:rsidR="00201354" w:rsidRDefault="002461AB" w:rsidP="002461AB">
      <w:pPr>
        <w:pStyle w:val="JBAParaText"/>
      </w:pPr>
      <w:r>
        <w:t>Non-household demand i</w:t>
      </w:r>
      <w:r w:rsidR="003C5FA2">
        <w:t>n</w:t>
      </w:r>
      <w:r>
        <w:t xml:space="preserve"> the Sussex North WRZ is 10.85Ml/d.  </w:t>
      </w:r>
      <w:r w:rsidR="00201354">
        <w:t>As the proposed re-zoning to SES Water is likely to be mostly employment land in the north of Crawley, it can be assumed that the 4Ml/d could be taken from the non-household demand leaving approximately 6.85Ml/d.</w:t>
      </w:r>
    </w:p>
    <w:p w14:paraId="5D2207F3" w14:textId="77777777" w:rsidR="00110BD1" w:rsidRDefault="00110BD1" w:rsidP="002461AB">
      <w:pPr>
        <w:pStyle w:val="JBAParaText"/>
      </w:pPr>
      <w:r>
        <w:t xml:space="preserve">Re-zoning in the north of Crawley will remove much of the </w:t>
      </w:r>
      <w:r w:rsidR="0035510C">
        <w:t xml:space="preserve">potential </w:t>
      </w:r>
      <w:r w:rsidR="007F5832">
        <w:t xml:space="preserve">non-household </w:t>
      </w:r>
      <w:r>
        <w:t xml:space="preserve">contribution that could be made from CBC, but the addition of Horsham </w:t>
      </w:r>
      <w:r w:rsidR="00925744">
        <w:t xml:space="preserve">District </w:t>
      </w:r>
      <w:r>
        <w:t>when we take a WRZ level approach is likely to offset this so the potential contribution from non-household visits at the WRZ level is likely to be comparable to what was proposed from Crawley in Part A</w:t>
      </w:r>
      <w:r w:rsidR="00235C64">
        <w:t xml:space="preserve"> (</w:t>
      </w:r>
      <w:r w:rsidR="00235C64" w:rsidRPr="00235C64">
        <w:rPr>
          <w:b/>
          <w:bCs/>
        </w:rPr>
        <w:t>0.16Ml/d</w:t>
      </w:r>
      <w:r w:rsidR="00235C64">
        <w:t>)</w:t>
      </w:r>
      <w:r>
        <w:t xml:space="preserve">. </w:t>
      </w:r>
    </w:p>
    <w:p w14:paraId="7D97E810" w14:textId="64780616" w:rsidR="007D4A6C" w:rsidRDefault="00110BD1" w:rsidP="00235C64">
      <w:pPr>
        <w:pStyle w:val="JBAParaText"/>
      </w:pPr>
      <w:r>
        <w:t>The contribution from Chichester, SDNP and LPAs on the edge of the WRZ such as Waverly is likely to be insignificant here.</w:t>
      </w:r>
      <w:r w:rsidR="00290CB4">
        <w:t xml:space="preserve">  However, there may be a significant contribution to non-household demand from </w:t>
      </w:r>
      <w:r w:rsidR="0044547E">
        <w:t>a</w:t>
      </w:r>
      <w:r w:rsidR="00290CB4">
        <w:t xml:space="preserve">griculture using mains water for farmyard activities (water for irrigation is typically abstracted privately and so is not considered here).  </w:t>
      </w:r>
    </w:p>
    <w:p w14:paraId="47AEB881" w14:textId="77777777" w:rsidR="00696A8B" w:rsidRDefault="00696A8B" w:rsidP="00235C64">
      <w:pPr>
        <w:pStyle w:val="JBAParaText"/>
      </w:pPr>
      <w:r>
        <w:t xml:space="preserve">Demand from new school places was estimated to be 0.36Ml/d by the end of the plan period.  It is feasible that all of this demand </w:t>
      </w:r>
      <w:r w:rsidR="009B6C39">
        <w:t>could be reduced where new school</w:t>
      </w:r>
      <w:r w:rsidR="004A460C">
        <w:t xml:space="preserve"> buildings</w:t>
      </w:r>
      <w:r w:rsidR="009B6C39">
        <w:t xml:space="preserve"> are being built by </w:t>
      </w:r>
      <w:r w:rsidR="004A460C">
        <w:t>design</w:t>
      </w:r>
      <w:r w:rsidR="009B6C39">
        <w:t xml:space="preserve">ing them to the highest BREEAM standards, and the remaining demand </w:t>
      </w:r>
      <w:r>
        <w:t>could be offset within existing schools by retrofitting water efficient devices</w:t>
      </w:r>
      <w:r w:rsidR="009B6C39">
        <w:t>.  An education programme here could have knock-on effects where the pupils apply water saving behaviour at home.</w:t>
      </w:r>
    </w:p>
    <w:p w14:paraId="14E90F19" w14:textId="77777777" w:rsidR="005D0AD9" w:rsidRDefault="005D0AD9" w:rsidP="005D0AD9">
      <w:pPr>
        <w:pStyle w:val="Heading3"/>
      </w:pPr>
      <w:bookmarkStart w:id="82" w:name="_Toc101856697"/>
      <w:r>
        <w:t>Application of BREEAM</w:t>
      </w:r>
      <w:bookmarkEnd w:id="82"/>
    </w:p>
    <w:p w14:paraId="4BF4EA94" w14:textId="509FC81E" w:rsidR="00F20D1C" w:rsidRDefault="005D0AD9" w:rsidP="00235C64">
      <w:pPr>
        <w:pStyle w:val="JBAParaText"/>
      </w:pPr>
      <w:r w:rsidRPr="005D0AD9">
        <w:t>Application of the BREEAM new construction standard has been incorporated into the demand forecasts for employment land. The refurbishment and fit-out standard could be applied to commercial properties whenever a building changed hands, although in many cases this will not trigger a planning application</w:t>
      </w:r>
      <w:r>
        <w:t>.</w:t>
      </w:r>
      <w:r w:rsidRPr="005D0AD9">
        <w:t xml:space="preserve">  In the “realistic achievable” scenario a reduction of employee PCC of 25.3 l/p/d was estimated based on a 40% improvement in water efficiency</w:t>
      </w:r>
      <w:r w:rsidR="00CE245E">
        <w:t xml:space="preserve"> from 3 BREEAM credits</w:t>
      </w:r>
      <w:r w:rsidR="003C7323">
        <w:t xml:space="preserve"> (Wat 01 Water consumption)</w:t>
      </w:r>
      <w:r w:rsidRPr="005D0AD9">
        <w:t xml:space="preserve">.  If the same saving was realised when a commercial property changed hands, for a business with 100 employees </w:t>
      </w:r>
      <w:r w:rsidR="003D553C">
        <w:t xml:space="preserve">where the BREEAM guidance had not previously been in place </w:t>
      </w:r>
      <w:r w:rsidRPr="005D0AD9">
        <w:t xml:space="preserve">the saving would be 2,529l/d. </w:t>
      </w:r>
      <w:r>
        <w:t>In Part A the impact of 40</w:t>
      </w:r>
      <w:r w:rsidRPr="005D0AD9">
        <w:t xml:space="preserve"> such transactions </w:t>
      </w:r>
      <w:r>
        <w:t xml:space="preserve">taking place was presented representing an optimistic estimate.  When considering the whole WRZ, the additional commercial land from Horsham, Chichester and the SDNP is unlikely to make up for the land re-zoned in the north of Crawley.  The estimate of </w:t>
      </w:r>
      <w:r w:rsidRPr="008E29A4">
        <w:rPr>
          <w:b/>
          <w:bCs/>
        </w:rPr>
        <w:t>0.1 Ml/d</w:t>
      </w:r>
      <w:r w:rsidRPr="005D0AD9">
        <w:t xml:space="preserve"> </w:t>
      </w:r>
      <w:r>
        <w:t xml:space="preserve">that the application of BREEAM might achieve from Part A has been retained in Part B, </w:t>
      </w:r>
      <w:r w:rsidR="00F20D1C">
        <w:t>although this unlikely to play a significant part.</w:t>
      </w:r>
    </w:p>
    <w:p w14:paraId="0DD807F6" w14:textId="77777777" w:rsidR="00F20D1C" w:rsidRDefault="00F20D1C" w:rsidP="00F20D1C">
      <w:pPr>
        <w:pStyle w:val="Heading3"/>
      </w:pPr>
      <w:bookmarkStart w:id="83" w:name="_Toc101856698"/>
      <w:r>
        <w:t>Rainwater Harvesting</w:t>
      </w:r>
      <w:r w:rsidR="008424BA">
        <w:t xml:space="preserve"> and Greywater Recycling</w:t>
      </w:r>
      <w:bookmarkEnd w:id="83"/>
    </w:p>
    <w:p w14:paraId="33B613D4" w14:textId="77777777" w:rsidR="003B3A7F" w:rsidRPr="00FA76E6" w:rsidRDefault="008433E9" w:rsidP="00855CCE">
      <w:pPr>
        <w:pStyle w:val="JBAParaText"/>
        <w:rPr>
          <w:b/>
          <w:bCs/>
        </w:rPr>
      </w:pPr>
      <w:r w:rsidRPr="00FA76E6">
        <w:rPr>
          <w:b/>
          <w:bCs/>
        </w:rPr>
        <w:t>Household</w:t>
      </w:r>
    </w:p>
    <w:p w14:paraId="6B236CFA" w14:textId="77777777" w:rsidR="005F0E82" w:rsidRDefault="00546EE6" w:rsidP="00855CCE">
      <w:pPr>
        <w:pStyle w:val="JBAParaText"/>
      </w:pPr>
      <w:r>
        <w:t xml:space="preserve">RwH has the potential to reduce water demand by a third if the RwH system was used for both toilet flushing and laundry, however the cost </w:t>
      </w:r>
      <w:r w:rsidR="00455172">
        <w:t xml:space="preserve">and disruption </w:t>
      </w:r>
      <w:r>
        <w:t>of retrofitting a system into existing housing (at a few thousand pounds per property) may limit the uptake for this sort of measure unless there are incentives for homeowners to come forward</w:t>
      </w:r>
      <w:r w:rsidR="00CE245E">
        <w:t xml:space="preserve"> and f</w:t>
      </w:r>
      <w:r>
        <w:t xml:space="preserve">inancial support is available. </w:t>
      </w:r>
      <w:r w:rsidR="00B71BA1">
        <w:t>However, the potential is significant</w:t>
      </w:r>
      <w:r w:rsidR="005B1202">
        <w:t xml:space="preserve">, equating to a reduction in PCC from 134.9 (average for Sussex North) to approximately 90 l/p/d, a saving of 44.5 l/p/d.  </w:t>
      </w:r>
    </w:p>
    <w:p w14:paraId="49189F2B" w14:textId="77777777" w:rsidR="00102341" w:rsidRDefault="005B1202" w:rsidP="008424BA">
      <w:pPr>
        <w:pStyle w:val="JBAParaText"/>
      </w:pPr>
      <w:r>
        <w:t xml:space="preserve">To offset growth in the Target 100 scenario </w:t>
      </w:r>
      <w:r w:rsidR="00A135CA">
        <w:t>51,300</w:t>
      </w:r>
      <w:r>
        <w:t xml:space="preserve"> houses would need to be retrofit, but the “realistic achievable” scenario would require </w:t>
      </w:r>
      <w:r w:rsidR="00A135CA">
        <w:t>44,100</w:t>
      </w:r>
      <w:r>
        <w:t xml:space="preserve"> properties to be retrofit.  </w:t>
      </w:r>
      <w:r w:rsidR="00A135CA">
        <w:t xml:space="preserve"> Once SW’s WRMP measures are taken into account 5,400 houses would require retrofitting in the Target 100 scenario.  In the realistic achievable scenario, the local plans would be water neutral at the end of the plan period, but mitigation may be required during the plan </w:t>
      </w:r>
      <w:r w:rsidR="00CD50C1">
        <w:t xml:space="preserve">to </w:t>
      </w:r>
      <w:r w:rsidR="00A135CA">
        <w:t>ensure neutrality throughout.</w:t>
      </w:r>
    </w:p>
    <w:p w14:paraId="509F0146" w14:textId="77777777" w:rsidR="008424BA" w:rsidRDefault="008424BA" w:rsidP="008424BA">
      <w:pPr>
        <w:pStyle w:val="JBAParaText"/>
      </w:pPr>
      <w:r>
        <w:t xml:space="preserve">Greywater Recycling is likely to produce similar results but has the benefit of reliability in periods of low rainfall. </w:t>
      </w:r>
    </w:p>
    <w:p w14:paraId="7F00AD4C" w14:textId="77777777" w:rsidR="008433E9" w:rsidRPr="00FA76E6" w:rsidRDefault="00FA76E6" w:rsidP="00855CCE">
      <w:pPr>
        <w:pStyle w:val="JBAParaText"/>
        <w:rPr>
          <w:b/>
          <w:bCs/>
        </w:rPr>
      </w:pPr>
      <w:r w:rsidRPr="00FA76E6">
        <w:rPr>
          <w:b/>
          <w:bCs/>
        </w:rPr>
        <w:t>Non-household</w:t>
      </w:r>
    </w:p>
    <w:p w14:paraId="580538C4" w14:textId="77777777" w:rsidR="00FA76E6" w:rsidRDefault="00E71D52" w:rsidP="00855CCE">
      <w:pPr>
        <w:pStyle w:val="JBAParaText"/>
      </w:pPr>
      <w:r>
        <w:t xml:space="preserve">Rainwater Harvesting and Greywater Recycling schemes are particularly suited to largescale developments or commercial buildings where the costs of installation and maintenance can be shared, and for commercial properties, such a scheme may </w:t>
      </w:r>
      <w:r w:rsidR="00546EE6">
        <w:t xml:space="preserve">also </w:t>
      </w:r>
      <w:r>
        <w:t xml:space="preserve">be useful to a company to demonstrate their commitment to Corporate Social Responsibility. </w:t>
      </w:r>
    </w:p>
    <w:p w14:paraId="5B5F904B" w14:textId="77777777" w:rsidR="0065322D" w:rsidRDefault="000232E1" w:rsidP="00136BA1">
      <w:pPr>
        <w:pStyle w:val="JBAParaText"/>
      </w:pPr>
      <w:r>
        <w:t xml:space="preserve">In Part A, the Manor Royal Business Improvement District was proposed as an example of an area where a large contribution from RwH could be made.  </w:t>
      </w:r>
      <w:r w:rsidR="00024D1C">
        <w:t xml:space="preserve">If the re-zoning goes ahead this is likely to fall within SES Water’s supply area and so could not contribute to water neutrality (although there are benefits to the region if such a scheme were implemented). </w:t>
      </w:r>
      <w:r w:rsidR="00F023AB">
        <w:t xml:space="preserve"> Although this is the largest commercial area within the WRZ, there are other areas within the WRZ such as Horsham where largescale RwH could be implemented</w:t>
      </w:r>
      <w:r w:rsidR="00EE45D2">
        <w:t>, for instance in the proposed development to the West of Ifield.</w:t>
      </w:r>
      <w:bookmarkEnd w:id="77"/>
      <w:r w:rsidR="0074353B">
        <w:t xml:space="preserve"> </w:t>
      </w:r>
    </w:p>
    <w:p w14:paraId="7C2F65F5" w14:textId="77777777" w:rsidR="00546EE6" w:rsidRDefault="00546EE6" w:rsidP="00546EE6">
      <w:pPr>
        <w:pStyle w:val="JBAParaText"/>
      </w:pPr>
      <w:r>
        <w:t>Specific commercial buildings or estates where communal systems can be applied should be identified</w:t>
      </w:r>
      <w:r w:rsidRPr="00546EE6">
        <w:t xml:space="preserve"> </w:t>
      </w:r>
      <w:r>
        <w:t>as part of the development of a neutrality plan.</w:t>
      </w:r>
    </w:p>
    <w:p w14:paraId="41676A9B" w14:textId="77777777" w:rsidR="0094068F" w:rsidRDefault="0094068F" w:rsidP="00546EE6">
      <w:pPr>
        <w:pStyle w:val="JBAParaText"/>
      </w:pPr>
    </w:p>
    <w:p w14:paraId="377186DD" w14:textId="77777777" w:rsidR="0094068F" w:rsidRDefault="0094068F" w:rsidP="00546EE6">
      <w:pPr>
        <w:pStyle w:val="JBAParaText"/>
      </w:pPr>
    </w:p>
    <w:p w14:paraId="194F9BDD" w14:textId="77777777" w:rsidR="0094068F" w:rsidRDefault="0094068F" w:rsidP="00546EE6">
      <w:pPr>
        <w:pStyle w:val="JBAParaText"/>
      </w:pPr>
    </w:p>
    <w:p w14:paraId="1E1B1D04" w14:textId="77777777" w:rsidR="0094068F" w:rsidRDefault="0094068F" w:rsidP="00546EE6">
      <w:pPr>
        <w:pStyle w:val="JBAParaText"/>
      </w:pPr>
    </w:p>
    <w:p w14:paraId="1134F0FB" w14:textId="77777777" w:rsidR="004A1DEB" w:rsidRDefault="004A1DEB">
      <w:pPr>
        <w:ind w:left="0" w:right="0"/>
        <w:rPr>
          <w:rFonts w:eastAsia="Times New Roman"/>
          <w:b/>
          <w:bCs/>
          <w:color w:val="153B55"/>
          <w:sz w:val="24"/>
          <w:szCs w:val="28"/>
        </w:rPr>
      </w:pPr>
      <w:r>
        <w:br w:type="page"/>
      </w:r>
    </w:p>
    <w:p w14:paraId="370D8E72" w14:textId="77777777" w:rsidR="00CE60AE" w:rsidRDefault="008424BA" w:rsidP="00CE60AE">
      <w:pPr>
        <w:pStyle w:val="Heading1"/>
      </w:pPr>
      <w:bookmarkStart w:id="84" w:name="_Toc101856699"/>
      <w:r>
        <w:t>Summary and conclusions</w:t>
      </w:r>
      <w:bookmarkEnd w:id="84"/>
    </w:p>
    <w:p w14:paraId="1E1E8D46" w14:textId="77777777" w:rsidR="003F05C5" w:rsidRPr="008424BA" w:rsidRDefault="008424BA" w:rsidP="008424BA">
      <w:pPr>
        <w:pStyle w:val="Heading2"/>
      </w:pPr>
      <w:bookmarkStart w:id="85" w:name="_Toc101856700"/>
      <w:r w:rsidRPr="008424BA">
        <w:t>Summary</w:t>
      </w:r>
      <w:bookmarkEnd w:id="85"/>
    </w:p>
    <w:bookmarkStart w:id="86" w:name="_Hlk66357552"/>
    <w:bookmarkStart w:id="87" w:name="_Hlk62801451"/>
    <w:p w14:paraId="151E7273" w14:textId="6A0B9230" w:rsidR="006F130A" w:rsidRPr="006972B9" w:rsidRDefault="008424BA" w:rsidP="006972B9">
      <w:pPr>
        <w:pStyle w:val="JBAParaText"/>
      </w:pPr>
      <w:r>
        <w:fldChar w:fldCharType="begin"/>
      </w:r>
      <w:r>
        <w:instrText xml:space="preserve"> REF _Ref79663523 \h </w:instrText>
      </w:r>
      <w:r>
        <w:fldChar w:fldCharType="separate"/>
      </w:r>
      <w:r w:rsidR="00643E47">
        <w:t xml:space="preserve">Table </w:t>
      </w:r>
      <w:r w:rsidR="00643E47">
        <w:rPr>
          <w:noProof/>
        </w:rPr>
        <w:t>2</w:t>
      </w:r>
      <w:r w:rsidR="00643E47">
        <w:t>.</w:t>
      </w:r>
      <w:r w:rsidR="00643E47">
        <w:rPr>
          <w:noProof/>
        </w:rPr>
        <w:t>1</w:t>
      </w:r>
      <w:r>
        <w:fldChar w:fldCharType="end"/>
      </w:r>
      <w:r>
        <w:t xml:space="preserve"> contains a summary of the measures identified above and updates the tables presented in Part A to present the feasibility of water neutrality at a water resource zone level. </w:t>
      </w:r>
    </w:p>
    <w:bookmarkEnd w:id="86"/>
    <w:p w14:paraId="4C196C36" w14:textId="77777777" w:rsidR="00690CCD" w:rsidRPr="00690CCD" w:rsidRDefault="00690CCD" w:rsidP="00690CCD">
      <w:pPr>
        <w:pStyle w:val="JBAParaText"/>
      </w:pPr>
    </w:p>
    <w:p w14:paraId="06592392" w14:textId="77777777" w:rsidR="002F1D3A" w:rsidRDefault="002F1D3A">
      <w:pPr>
        <w:ind w:left="0" w:right="0"/>
      </w:pPr>
      <w:r>
        <w:br w:type="page"/>
      </w:r>
    </w:p>
    <w:p w14:paraId="24B64440" w14:textId="77777777" w:rsidR="002F1D3A" w:rsidRDefault="002F1D3A" w:rsidP="009C6DA1">
      <w:pPr>
        <w:pStyle w:val="JBAParaText"/>
        <w:ind w:left="0"/>
        <w:sectPr w:rsidR="002F1D3A" w:rsidSect="004274AC">
          <w:headerReference w:type="default" r:id="rId21"/>
          <w:pgSz w:w="11906" w:h="16838"/>
          <w:pgMar w:top="1701" w:right="567" w:bottom="567" w:left="454" w:header="454" w:footer="170" w:gutter="0"/>
          <w:pgNumType w:start="1"/>
          <w:cols w:space="708"/>
          <w:docGrid w:linePitch="360"/>
        </w:sectPr>
      </w:pPr>
    </w:p>
    <w:p w14:paraId="7F65052B" w14:textId="6CBCFEC4" w:rsidR="00B00D8A" w:rsidRDefault="00B00D8A" w:rsidP="00B00D8A">
      <w:pPr>
        <w:pStyle w:val="Caption"/>
        <w:keepNext/>
      </w:pPr>
      <w:bookmarkStart w:id="88" w:name="_Toc101856743"/>
      <w:r>
        <w:t xml:space="preserve">Table </w:t>
      </w:r>
      <w:r w:rsidR="00E6462B">
        <w:fldChar w:fldCharType="begin"/>
      </w:r>
      <w:r w:rsidR="00E6462B">
        <w:instrText xml:space="preserve"> STYLEREF 1 \s </w:instrText>
      </w:r>
      <w:r w:rsidR="00E6462B">
        <w:fldChar w:fldCharType="separate"/>
      </w:r>
      <w:r w:rsidR="00643E47">
        <w:rPr>
          <w:noProof/>
        </w:rPr>
        <w:t>4</w:t>
      </w:r>
      <w:r w:rsidR="00E6462B">
        <w:rPr>
          <w:noProof/>
        </w:rPr>
        <w:fldChar w:fldCharType="end"/>
      </w:r>
      <w:r w:rsidR="00DF396A">
        <w:t>.</w:t>
      </w:r>
      <w:r w:rsidR="00E6462B">
        <w:fldChar w:fldCharType="begin"/>
      </w:r>
      <w:r w:rsidR="00E6462B">
        <w:instrText xml:space="preserve"> SEQ Table \* ARABIC \s 1 </w:instrText>
      </w:r>
      <w:r w:rsidR="00E6462B">
        <w:fldChar w:fldCharType="separate"/>
      </w:r>
      <w:r w:rsidR="00643E47">
        <w:rPr>
          <w:noProof/>
        </w:rPr>
        <w:t>1</w:t>
      </w:r>
      <w:r w:rsidR="00E6462B">
        <w:rPr>
          <w:noProof/>
        </w:rPr>
        <w:fldChar w:fldCharType="end"/>
      </w:r>
      <w:r>
        <w:t xml:space="preserve"> Offsetting options for </w:t>
      </w:r>
      <w:r w:rsidR="009C6784">
        <w:t>WRZ</w:t>
      </w:r>
      <w:bookmarkEnd w:id="88"/>
    </w:p>
    <w:tbl>
      <w:tblPr>
        <w:tblStyle w:val="JBATable13"/>
        <w:tblW w:w="14139" w:type="dxa"/>
        <w:tblInd w:w="421" w:type="dxa"/>
        <w:tblLook w:val="04A0" w:firstRow="1" w:lastRow="0" w:firstColumn="1" w:lastColumn="0" w:noHBand="0" w:noVBand="1"/>
      </w:tblPr>
      <w:tblGrid>
        <w:gridCol w:w="1744"/>
        <w:gridCol w:w="1693"/>
        <w:gridCol w:w="1729"/>
        <w:gridCol w:w="1607"/>
        <w:gridCol w:w="1607"/>
        <w:gridCol w:w="2153"/>
        <w:gridCol w:w="2035"/>
        <w:gridCol w:w="1571"/>
      </w:tblGrid>
      <w:tr w:rsidR="003C7323" w14:paraId="53FCCCBB" w14:textId="77777777" w:rsidTr="00C33D6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04" w:type="dxa"/>
          </w:tcPr>
          <w:p w14:paraId="61842C1E" w14:textId="77777777" w:rsidR="003C7323" w:rsidRDefault="003C7323" w:rsidP="00191A3A">
            <w:pPr>
              <w:pStyle w:val="JBAParaText"/>
              <w:ind w:left="0" w:right="25"/>
              <w:jc w:val="center"/>
            </w:pPr>
            <w:bookmarkStart w:id="89" w:name="_Hlk66359639"/>
            <w:r>
              <w:t>Mitigation option</w:t>
            </w:r>
          </w:p>
        </w:tc>
        <w:tc>
          <w:tcPr>
            <w:tcW w:w="1750" w:type="dxa"/>
          </w:tcPr>
          <w:p w14:paraId="269D7183" w14:textId="77777777" w:rsidR="003C7323" w:rsidRDefault="003C7323" w:rsidP="00634A53">
            <w:pPr>
              <w:pStyle w:val="JBAParaText"/>
              <w:ind w:left="0" w:right="-2"/>
              <w:jc w:val="center"/>
              <w:cnfStyle w:val="100000000000" w:firstRow="1" w:lastRow="0" w:firstColumn="0" w:lastColumn="0" w:oddVBand="0" w:evenVBand="0" w:oddHBand="0" w:evenHBand="0" w:firstRowFirstColumn="0" w:firstRowLastColumn="0" w:lastRowFirstColumn="0" w:lastRowLastColumn="0"/>
            </w:pPr>
            <w:r>
              <w:t>Potential water saving (Ml/d)</w:t>
            </w:r>
          </w:p>
        </w:tc>
        <w:tc>
          <w:tcPr>
            <w:tcW w:w="1350" w:type="dxa"/>
          </w:tcPr>
          <w:p w14:paraId="7081D4E6" w14:textId="77777777" w:rsidR="003C7323" w:rsidRDefault="003C7323" w:rsidP="003C7323">
            <w:pPr>
              <w:pStyle w:val="JBAParaText"/>
              <w:ind w:left="0" w:right="-2"/>
              <w:jc w:val="center"/>
              <w:cnfStyle w:val="100000000000" w:firstRow="1" w:lastRow="0" w:firstColumn="0" w:lastColumn="0" w:oddVBand="0" w:evenVBand="0" w:oddHBand="0" w:evenHBand="0" w:firstRowFirstColumn="0" w:firstRowLastColumn="0" w:lastRowFirstColumn="0" w:lastRowLastColumn="0"/>
              <w:rPr>
                <w:b w:val="0"/>
              </w:rPr>
            </w:pPr>
            <w:r>
              <w:t xml:space="preserve">% of neutrality target in </w:t>
            </w:r>
          </w:p>
          <w:p w14:paraId="2F332519" w14:textId="22AB0293" w:rsidR="003C7323" w:rsidRDefault="003C7323" w:rsidP="003C7323">
            <w:pPr>
              <w:pStyle w:val="JBAParaText"/>
              <w:ind w:left="0" w:right="-2"/>
              <w:jc w:val="center"/>
              <w:cnfStyle w:val="100000000000" w:firstRow="1" w:lastRow="0" w:firstColumn="0" w:lastColumn="0" w:oddVBand="0" w:evenVBand="0" w:oddHBand="0" w:evenHBand="0" w:firstRowFirstColumn="0" w:firstRowLastColumn="0" w:lastRowFirstColumn="0" w:lastRowLastColumn="0"/>
            </w:pPr>
            <w:r>
              <w:t>110 l/p/d scenario</w:t>
            </w:r>
          </w:p>
        </w:tc>
        <w:tc>
          <w:tcPr>
            <w:tcW w:w="1662" w:type="dxa"/>
          </w:tcPr>
          <w:p w14:paraId="011876AD" w14:textId="43870E0F" w:rsidR="003C7323" w:rsidRDefault="003C7323" w:rsidP="00634A53">
            <w:pPr>
              <w:pStyle w:val="JBAParaText"/>
              <w:ind w:left="0" w:right="-2"/>
              <w:jc w:val="center"/>
              <w:cnfStyle w:val="100000000000" w:firstRow="1" w:lastRow="0" w:firstColumn="0" w:lastColumn="0" w:oddVBand="0" w:evenVBand="0" w:oddHBand="0" w:evenHBand="0" w:firstRowFirstColumn="0" w:firstRowLastColumn="0" w:lastRowFirstColumn="0" w:lastRowLastColumn="0"/>
              <w:rPr>
                <w:b w:val="0"/>
              </w:rPr>
            </w:pPr>
            <w:r>
              <w:t xml:space="preserve">% of neutrality target in </w:t>
            </w:r>
          </w:p>
          <w:p w14:paraId="228D7449" w14:textId="77777777" w:rsidR="003C7323" w:rsidRDefault="003C7323" w:rsidP="00634A53">
            <w:pPr>
              <w:pStyle w:val="JBAParaText"/>
              <w:ind w:left="0" w:right="-2"/>
              <w:jc w:val="center"/>
              <w:cnfStyle w:val="100000000000" w:firstRow="1" w:lastRow="0" w:firstColumn="0" w:lastColumn="0" w:oddVBand="0" w:evenVBand="0" w:oddHBand="0" w:evenHBand="0" w:firstRowFirstColumn="0" w:firstRowLastColumn="0" w:lastRowFirstColumn="0" w:lastRowLastColumn="0"/>
            </w:pPr>
            <w:r>
              <w:t>100 l/p/d scenario</w:t>
            </w:r>
          </w:p>
        </w:tc>
        <w:tc>
          <w:tcPr>
            <w:tcW w:w="1662" w:type="dxa"/>
          </w:tcPr>
          <w:p w14:paraId="27B2D928" w14:textId="77777777" w:rsidR="003C7323" w:rsidRDefault="003C7323" w:rsidP="00634A53">
            <w:pPr>
              <w:pStyle w:val="JBAParaText"/>
              <w:ind w:left="0" w:right="-2"/>
              <w:jc w:val="center"/>
              <w:cnfStyle w:val="100000000000" w:firstRow="1" w:lastRow="0" w:firstColumn="0" w:lastColumn="0" w:oddVBand="0" w:evenVBand="0" w:oddHBand="0" w:evenHBand="0" w:firstRowFirstColumn="0" w:firstRowLastColumn="0" w:lastRowFirstColumn="0" w:lastRowLastColumn="0"/>
              <w:rPr>
                <w:b w:val="0"/>
              </w:rPr>
            </w:pPr>
            <w:r w:rsidRPr="006C55E4">
              <w:t>% of neutrality target</w:t>
            </w:r>
            <w:r>
              <w:t xml:space="preserve"> in</w:t>
            </w:r>
          </w:p>
          <w:p w14:paraId="1341A133" w14:textId="77777777" w:rsidR="003C7323" w:rsidRDefault="003C7323" w:rsidP="00634A53">
            <w:pPr>
              <w:pStyle w:val="JBAParaText"/>
              <w:ind w:left="0" w:right="-2"/>
              <w:jc w:val="center"/>
              <w:cnfStyle w:val="100000000000" w:firstRow="1" w:lastRow="0" w:firstColumn="0" w:lastColumn="0" w:oddVBand="0" w:evenVBand="0" w:oddHBand="0" w:evenHBand="0" w:firstRowFirstColumn="0" w:firstRowLastColumn="0" w:lastRowFirstColumn="0" w:lastRowLastColumn="0"/>
            </w:pPr>
            <w:r>
              <w:t>85 l/p/d scenario</w:t>
            </w:r>
          </w:p>
        </w:tc>
        <w:tc>
          <w:tcPr>
            <w:tcW w:w="2220" w:type="dxa"/>
          </w:tcPr>
          <w:p w14:paraId="57D1CC33" w14:textId="77777777" w:rsidR="003C7323" w:rsidRDefault="003C7323" w:rsidP="00634A53">
            <w:pPr>
              <w:pStyle w:val="JBAParaText"/>
              <w:ind w:left="0" w:right="-2"/>
              <w:jc w:val="center"/>
              <w:cnfStyle w:val="100000000000" w:firstRow="1" w:lastRow="0" w:firstColumn="0" w:lastColumn="0" w:oddVBand="0" w:evenVBand="0" w:oddHBand="0" w:evenHBand="0" w:firstRowFirstColumn="0" w:firstRowLastColumn="0" w:lastRowFirstColumn="0" w:lastRowLastColumn="0"/>
            </w:pPr>
            <w:r>
              <w:t>Opportunities</w:t>
            </w:r>
          </w:p>
        </w:tc>
        <w:tc>
          <w:tcPr>
            <w:tcW w:w="2100" w:type="dxa"/>
          </w:tcPr>
          <w:p w14:paraId="2693983C" w14:textId="77777777" w:rsidR="003C7323" w:rsidRDefault="003C7323" w:rsidP="00634A53">
            <w:pPr>
              <w:pStyle w:val="JBAParaText"/>
              <w:ind w:left="0" w:right="-2"/>
              <w:jc w:val="center"/>
              <w:cnfStyle w:val="100000000000" w:firstRow="1" w:lastRow="0" w:firstColumn="0" w:lastColumn="0" w:oddVBand="0" w:evenVBand="0" w:oddHBand="0" w:evenHBand="0" w:firstRowFirstColumn="0" w:firstRowLastColumn="0" w:lastRowFirstColumn="0" w:lastRowLastColumn="0"/>
            </w:pPr>
            <w:r>
              <w:t>Challenges</w:t>
            </w:r>
          </w:p>
        </w:tc>
        <w:tc>
          <w:tcPr>
            <w:tcW w:w="1591" w:type="dxa"/>
          </w:tcPr>
          <w:p w14:paraId="0743ED8C" w14:textId="77777777" w:rsidR="003C7323" w:rsidRDefault="003C7323" w:rsidP="00634A53">
            <w:pPr>
              <w:pStyle w:val="JBAParaText"/>
              <w:ind w:left="0" w:right="-2"/>
              <w:jc w:val="center"/>
              <w:cnfStyle w:val="100000000000" w:firstRow="1" w:lastRow="0" w:firstColumn="0" w:lastColumn="0" w:oddVBand="0" w:evenVBand="0" w:oddHBand="0" w:evenHBand="0" w:firstRowFirstColumn="0" w:firstRowLastColumn="0" w:lastRowFirstColumn="0" w:lastRowLastColumn="0"/>
            </w:pPr>
            <w:r>
              <w:t>Party best placed to deliver</w:t>
            </w:r>
          </w:p>
        </w:tc>
      </w:tr>
      <w:tr w:rsidR="003C7323" w14:paraId="023385AA" w14:textId="77777777" w:rsidTr="00090727">
        <w:tc>
          <w:tcPr>
            <w:cnfStyle w:val="001000000000" w:firstRow="0" w:lastRow="0" w:firstColumn="1" w:lastColumn="0" w:oddVBand="0" w:evenVBand="0" w:oddHBand="0" w:evenHBand="0" w:firstRowFirstColumn="0" w:firstRowLastColumn="0" w:lastRowFirstColumn="0" w:lastRowLastColumn="0"/>
            <w:tcW w:w="1804" w:type="dxa"/>
            <w:vAlign w:val="center"/>
          </w:tcPr>
          <w:p w14:paraId="2446F69B" w14:textId="77777777" w:rsidR="003C7323" w:rsidRDefault="003C7323" w:rsidP="00191A3A">
            <w:pPr>
              <w:pStyle w:val="JBAParaText"/>
              <w:ind w:left="0" w:right="25"/>
            </w:pPr>
            <w:r>
              <w:t>Leakage reduction</w:t>
            </w:r>
          </w:p>
        </w:tc>
        <w:tc>
          <w:tcPr>
            <w:tcW w:w="1750" w:type="dxa"/>
            <w:vAlign w:val="center"/>
          </w:tcPr>
          <w:p w14:paraId="516F5586" w14:textId="77777777" w:rsidR="003C7323" w:rsidRDefault="003C7323" w:rsidP="00D06108">
            <w:pPr>
              <w:pStyle w:val="JBAParaText"/>
              <w:ind w:left="0" w:right="-2"/>
              <w:jc w:val="center"/>
              <w:cnfStyle w:val="000000000000" w:firstRow="0" w:lastRow="0" w:firstColumn="0" w:lastColumn="0" w:oddVBand="0" w:evenVBand="0" w:oddHBand="0" w:evenHBand="0" w:firstRowFirstColumn="0" w:firstRowLastColumn="0" w:lastRowFirstColumn="0" w:lastRowLastColumn="0"/>
            </w:pPr>
            <w:r>
              <w:t>0.36</w:t>
            </w:r>
          </w:p>
        </w:tc>
        <w:tc>
          <w:tcPr>
            <w:tcW w:w="1350" w:type="dxa"/>
            <w:vAlign w:val="center"/>
          </w:tcPr>
          <w:p w14:paraId="53BC0ED8" w14:textId="5B090B9F" w:rsidR="003C7323" w:rsidRDefault="006B2A85" w:rsidP="00D06108">
            <w:pPr>
              <w:pStyle w:val="JBAParaText"/>
              <w:ind w:left="0" w:right="-2"/>
              <w:jc w:val="center"/>
              <w:cnfStyle w:val="000000000000" w:firstRow="0" w:lastRow="0" w:firstColumn="0" w:lastColumn="0" w:oddVBand="0" w:evenVBand="0" w:oddHBand="0" w:evenHBand="0" w:firstRowFirstColumn="0" w:firstRowLastColumn="0" w:lastRowFirstColumn="0" w:lastRowLastColumn="0"/>
            </w:pPr>
            <w:r>
              <w:t>38.3%</w:t>
            </w:r>
          </w:p>
        </w:tc>
        <w:tc>
          <w:tcPr>
            <w:tcW w:w="1662" w:type="dxa"/>
            <w:vAlign w:val="center"/>
          </w:tcPr>
          <w:p w14:paraId="3730DEE1" w14:textId="58230D24" w:rsidR="003C7323" w:rsidRDefault="003C7323" w:rsidP="00D06108">
            <w:pPr>
              <w:pStyle w:val="JBAParaText"/>
              <w:ind w:left="0" w:right="-2"/>
              <w:jc w:val="center"/>
              <w:cnfStyle w:val="000000000000" w:firstRow="0" w:lastRow="0" w:firstColumn="0" w:lastColumn="0" w:oddVBand="0" w:evenVBand="0" w:oddHBand="0" w:evenHBand="0" w:firstRowFirstColumn="0" w:firstRowLastColumn="0" w:lastRowFirstColumn="0" w:lastRowLastColumn="0"/>
            </w:pPr>
            <w:r>
              <w:t>59.9%</w:t>
            </w:r>
          </w:p>
        </w:tc>
        <w:tc>
          <w:tcPr>
            <w:tcW w:w="1662" w:type="dxa"/>
            <w:vAlign w:val="center"/>
          </w:tcPr>
          <w:p w14:paraId="68E33879" w14:textId="77777777" w:rsidR="003C7323" w:rsidRDefault="003C7323" w:rsidP="00D06108">
            <w:pPr>
              <w:pStyle w:val="JBAParaText"/>
              <w:ind w:left="0" w:right="-2"/>
              <w:jc w:val="center"/>
              <w:cnfStyle w:val="000000000000" w:firstRow="0" w:lastRow="0" w:firstColumn="0" w:lastColumn="0" w:oddVBand="0" w:evenVBand="0" w:oddHBand="0" w:evenHBand="0" w:firstRowFirstColumn="0" w:firstRowLastColumn="0" w:lastRowFirstColumn="0" w:lastRowLastColumn="0"/>
            </w:pPr>
            <w:r>
              <w:t>100%</w:t>
            </w:r>
          </w:p>
        </w:tc>
        <w:tc>
          <w:tcPr>
            <w:tcW w:w="2220" w:type="dxa"/>
          </w:tcPr>
          <w:p w14:paraId="6FFA78E2" w14:textId="77777777" w:rsidR="003C7323" w:rsidRDefault="003C7323" w:rsidP="00191A3A">
            <w:pPr>
              <w:pStyle w:val="JBAParaText"/>
              <w:ind w:left="0" w:right="-2"/>
              <w:cnfStyle w:val="000000000000" w:firstRow="0" w:lastRow="0" w:firstColumn="0" w:lastColumn="0" w:oddVBand="0" w:evenVBand="0" w:oddHBand="0" w:evenHBand="0" w:firstRowFirstColumn="0" w:firstRowLastColumn="0" w:lastRowFirstColumn="0" w:lastRowLastColumn="0"/>
            </w:pPr>
            <w:r>
              <w:t>Contractors already in place – extension to existing programme</w:t>
            </w:r>
          </w:p>
        </w:tc>
        <w:tc>
          <w:tcPr>
            <w:tcW w:w="2100" w:type="dxa"/>
          </w:tcPr>
          <w:p w14:paraId="76FC6AC3" w14:textId="77777777" w:rsidR="003C7323" w:rsidRDefault="003C7323" w:rsidP="00191A3A">
            <w:pPr>
              <w:pStyle w:val="JBAParaText"/>
              <w:ind w:left="0" w:right="-2"/>
              <w:cnfStyle w:val="000000000000" w:firstRow="0" w:lastRow="0" w:firstColumn="0" w:lastColumn="0" w:oddVBand="0" w:evenVBand="0" w:oddHBand="0" w:evenHBand="0" w:firstRowFirstColumn="0" w:firstRowLastColumn="0" w:lastRowFirstColumn="0" w:lastRowLastColumn="0"/>
            </w:pPr>
            <w:r w:rsidRPr="00E7719B">
              <w:t>Upfront funding required if SW are to deliver beyond their existing agreed plan</w:t>
            </w:r>
            <w:r>
              <w:t>.</w:t>
            </w:r>
          </w:p>
          <w:p w14:paraId="4C98B400" w14:textId="77777777" w:rsidR="003C7323" w:rsidRDefault="003C7323" w:rsidP="00191A3A">
            <w:pPr>
              <w:pStyle w:val="JBAParaText"/>
              <w:ind w:left="0" w:right="-2"/>
              <w:cnfStyle w:val="000000000000" w:firstRow="0" w:lastRow="0" w:firstColumn="0" w:lastColumn="0" w:oddVBand="0" w:evenVBand="0" w:oddHBand="0" w:evenHBand="0" w:firstRowFirstColumn="0" w:firstRowLastColumn="0" w:lastRowFirstColumn="0" w:lastRowLastColumn="0"/>
            </w:pPr>
            <w:r>
              <w:t>Per unit cost will increase as leakage is reduced.</w:t>
            </w:r>
          </w:p>
        </w:tc>
        <w:tc>
          <w:tcPr>
            <w:tcW w:w="1591" w:type="dxa"/>
          </w:tcPr>
          <w:p w14:paraId="193E32E7" w14:textId="77777777" w:rsidR="003C7323" w:rsidRDefault="003C7323" w:rsidP="00191A3A">
            <w:pPr>
              <w:pStyle w:val="JBAParaText"/>
              <w:ind w:left="0" w:right="-2"/>
              <w:cnfStyle w:val="000000000000" w:firstRow="0" w:lastRow="0" w:firstColumn="0" w:lastColumn="0" w:oddVBand="0" w:evenVBand="0" w:oddHBand="0" w:evenHBand="0" w:firstRowFirstColumn="0" w:firstRowLastColumn="0" w:lastRowFirstColumn="0" w:lastRowLastColumn="0"/>
            </w:pPr>
            <w:r>
              <w:t>Southern Water</w:t>
            </w:r>
          </w:p>
        </w:tc>
      </w:tr>
      <w:tr w:rsidR="003C7323" w14:paraId="3DFECD86" w14:textId="77777777" w:rsidTr="00090727">
        <w:tc>
          <w:tcPr>
            <w:cnfStyle w:val="001000000000" w:firstRow="0" w:lastRow="0" w:firstColumn="1" w:lastColumn="0" w:oddVBand="0" w:evenVBand="0" w:oddHBand="0" w:evenHBand="0" w:firstRowFirstColumn="0" w:firstRowLastColumn="0" w:lastRowFirstColumn="0" w:lastRowLastColumn="0"/>
            <w:tcW w:w="1804" w:type="dxa"/>
            <w:vAlign w:val="center"/>
          </w:tcPr>
          <w:p w14:paraId="0D9B71A6" w14:textId="77777777" w:rsidR="003C7323" w:rsidRDefault="003C7323" w:rsidP="00191A3A">
            <w:pPr>
              <w:pStyle w:val="JBAParaText"/>
              <w:ind w:left="0" w:right="25"/>
            </w:pPr>
            <w:r>
              <w:t>Metering</w:t>
            </w:r>
          </w:p>
        </w:tc>
        <w:tc>
          <w:tcPr>
            <w:tcW w:w="1750" w:type="dxa"/>
            <w:vAlign w:val="center"/>
          </w:tcPr>
          <w:p w14:paraId="1F63AB33" w14:textId="53615230" w:rsidR="003C7323" w:rsidRDefault="003C7323" w:rsidP="00D06108">
            <w:pPr>
              <w:pStyle w:val="JBAParaText"/>
              <w:ind w:left="0" w:right="-2"/>
              <w:jc w:val="center"/>
              <w:cnfStyle w:val="000000000000" w:firstRow="0" w:lastRow="0" w:firstColumn="0" w:lastColumn="0" w:oddVBand="0" w:evenVBand="0" w:oddHBand="0" w:evenHBand="0" w:firstRowFirstColumn="0" w:firstRowLastColumn="0" w:lastRowFirstColumn="0" w:lastRowLastColumn="0"/>
            </w:pPr>
            <w:r>
              <w:t>0.85 (</w:t>
            </w:r>
            <w:r w:rsidR="00A64B51">
              <w:t xml:space="preserve">theoretical </w:t>
            </w:r>
            <w:r>
              <w:t>max)</w:t>
            </w:r>
          </w:p>
        </w:tc>
        <w:tc>
          <w:tcPr>
            <w:tcW w:w="1350" w:type="dxa"/>
            <w:vAlign w:val="center"/>
          </w:tcPr>
          <w:p w14:paraId="39F245EE" w14:textId="643494B1" w:rsidR="003C7323" w:rsidRDefault="006B2A85" w:rsidP="00D06108">
            <w:pPr>
              <w:pStyle w:val="JBAParaText"/>
              <w:ind w:left="0" w:right="-2"/>
              <w:jc w:val="center"/>
              <w:cnfStyle w:val="000000000000" w:firstRow="0" w:lastRow="0" w:firstColumn="0" w:lastColumn="0" w:oddVBand="0" w:evenVBand="0" w:oddHBand="0" w:evenHBand="0" w:firstRowFirstColumn="0" w:firstRowLastColumn="0" w:lastRowFirstColumn="0" w:lastRowLastColumn="0"/>
            </w:pPr>
            <w:r>
              <w:t>90.4%</w:t>
            </w:r>
          </w:p>
        </w:tc>
        <w:tc>
          <w:tcPr>
            <w:tcW w:w="1662" w:type="dxa"/>
            <w:vAlign w:val="center"/>
          </w:tcPr>
          <w:p w14:paraId="4DAB8F5B" w14:textId="70925C77" w:rsidR="003C7323" w:rsidRDefault="003C7323" w:rsidP="00D06108">
            <w:pPr>
              <w:pStyle w:val="JBAParaText"/>
              <w:ind w:left="0" w:right="-2"/>
              <w:jc w:val="center"/>
              <w:cnfStyle w:val="000000000000" w:firstRow="0" w:lastRow="0" w:firstColumn="0" w:lastColumn="0" w:oddVBand="0" w:evenVBand="0" w:oddHBand="0" w:evenHBand="0" w:firstRowFirstColumn="0" w:firstRowLastColumn="0" w:lastRowFirstColumn="0" w:lastRowLastColumn="0"/>
            </w:pPr>
            <w:r>
              <w:t>100%</w:t>
            </w:r>
          </w:p>
        </w:tc>
        <w:tc>
          <w:tcPr>
            <w:tcW w:w="1662" w:type="dxa"/>
            <w:vAlign w:val="center"/>
          </w:tcPr>
          <w:p w14:paraId="49A76901" w14:textId="77777777" w:rsidR="003C7323" w:rsidRDefault="003C7323" w:rsidP="00D06108">
            <w:pPr>
              <w:pStyle w:val="JBAParaText"/>
              <w:ind w:left="0" w:right="-2"/>
              <w:jc w:val="center"/>
              <w:cnfStyle w:val="000000000000" w:firstRow="0" w:lastRow="0" w:firstColumn="0" w:lastColumn="0" w:oddVBand="0" w:evenVBand="0" w:oddHBand="0" w:evenHBand="0" w:firstRowFirstColumn="0" w:firstRowLastColumn="0" w:lastRowFirstColumn="0" w:lastRowLastColumn="0"/>
            </w:pPr>
            <w:r>
              <w:t>100%</w:t>
            </w:r>
          </w:p>
        </w:tc>
        <w:tc>
          <w:tcPr>
            <w:tcW w:w="2220" w:type="dxa"/>
          </w:tcPr>
          <w:p w14:paraId="36742820" w14:textId="77777777" w:rsidR="003C7323" w:rsidRDefault="003C7323" w:rsidP="00191A3A">
            <w:pPr>
              <w:pStyle w:val="JBAParaText"/>
              <w:ind w:left="0" w:right="-2"/>
              <w:cnfStyle w:val="000000000000" w:firstRow="0" w:lastRow="0" w:firstColumn="0" w:lastColumn="0" w:oddVBand="0" w:evenVBand="0" w:oddHBand="0" w:evenHBand="0" w:firstRowFirstColumn="0" w:firstRowLastColumn="0" w:lastRowFirstColumn="0" w:lastRowLastColumn="0"/>
            </w:pPr>
            <w:r>
              <w:t>Contractors already in place – extension to existing programme</w:t>
            </w:r>
          </w:p>
        </w:tc>
        <w:tc>
          <w:tcPr>
            <w:tcW w:w="2100" w:type="dxa"/>
          </w:tcPr>
          <w:p w14:paraId="21342885" w14:textId="77777777" w:rsidR="003C7323" w:rsidRDefault="003C7323" w:rsidP="00191A3A">
            <w:pPr>
              <w:pStyle w:val="JBAParaText"/>
              <w:ind w:left="0" w:right="-2"/>
              <w:cnfStyle w:val="000000000000" w:firstRow="0" w:lastRow="0" w:firstColumn="0" w:lastColumn="0" w:oddVBand="0" w:evenVBand="0" w:oddHBand="0" w:evenHBand="0" w:firstRowFirstColumn="0" w:firstRowLastColumn="0" w:lastRowFirstColumn="0" w:lastRowLastColumn="0"/>
            </w:pPr>
            <w:r>
              <w:t>Last unmetered households may be difficult to convert and may not provide the expected savings. 100% penetration would not be possible.</w:t>
            </w:r>
          </w:p>
        </w:tc>
        <w:tc>
          <w:tcPr>
            <w:tcW w:w="1591" w:type="dxa"/>
          </w:tcPr>
          <w:p w14:paraId="69034870" w14:textId="77777777" w:rsidR="003C7323" w:rsidRDefault="003C7323" w:rsidP="00191A3A">
            <w:pPr>
              <w:pStyle w:val="JBAParaText"/>
              <w:ind w:left="0" w:right="-2"/>
              <w:cnfStyle w:val="000000000000" w:firstRow="0" w:lastRow="0" w:firstColumn="0" w:lastColumn="0" w:oddVBand="0" w:evenVBand="0" w:oddHBand="0" w:evenHBand="0" w:firstRowFirstColumn="0" w:firstRowLastColumn="0" w:lastRowFirstColumn="0" w:lastRowLastColumn="0"/>
            </w:pPr>
            <w:r>
              <w:t>Southern Water</w:t>
            </w:r>
          </w:p>
        </w:tc>
      </w:tr>
      <w:tr w:rsidR="003C7323" w14:paraId="28874881" w14:textId="77777777" w:rsidTr="00090727">
        <w:tc>
          <w:tcPr>
            <w:cnfStyle w:val="001000000000" w:firstRow="0" w:lastRow="0" w:firstColumn="1" w:lastColumn="0" w:oddVBand="0" w:evenVBand="0" w:oddHBand="0" w:evenHBand="0" w:firstRowFirstColumn="0" w:firstRowLastColumn="0" w:lastRowFirstColumn="0" w:lastRowLastColumn="0"/>
            <w:tcW w:w="1804" w:type="dxa"/>
            <w:vAlign w:val="center"/>
          </w:tcPr>
          <w:p w14:paraId="731F698A" w14:textId="77777777" w:rsidR="003C7323" w:rsidRDefault="003C7323" w:rsidP="00191A3A">
            <w:pPr>
              <w:pStyle w:val="JBAParaText"/>
              <w:ind w:left="0" w:right="25"/>
            </w:pPr>
            <w:r>
              <w:t>Household visits</w:t>
            </w:r>
          </w:p>
        </w:tc>
        <w:tc>
          <w:tcPr>
            <w:tcW w:w="1750" w:type="dxa"/>
            <w:vAlign w:val="center"/>
          </w:tcPr>
          <w:p w14:paraId="1720C780" w14:textId="77777777" w:rsidR="003C7323" w:rsidRDefault="003C7323" w:rsidP="00D06108">
            <w:pPr>
              <w:pStyle w:val="JBAParaText"/>
              <w:keepNext/>
              <w:ind w:left="0" w:right="-2"/>
              <w:jc w:val="center"/>
              <w:cnfStyle w:val="000000000000" w:firstRow="0" w:lastRow="0" w:firstColumn="0" w:lastColumn="0" w:oddVBand="0" w:evenVBand="0" w:oddHBand="0" w:evenHBand="0" w:firstRowFirstColumn="0" w:firstRowLastColumn="0" w:lastRowFirstColumn="0" w:lastRowLastColumn="0"/>
            </w:pPr>
            <w:r>
              <w:t>2.86 (max)</w:t>
            </w:r>
          </w:p>
          <w:p w14:paraId="5F92306C" w14:textId="77777777" w:rsidR="003C7323" w:rsidRDefault="003C7323" w:rsidP="00D06108">
            <w:pPr>
              <w:pStyle w:val="JBAParaText"/>
              <w:keepNext/>
              <w:ind w:left="0" w:right="-2"/>
              <w:jc w:val="center"/>
              <w:cnfStyle w:val="000000000000" w:firstRow="0" w:lastRow="0" w:firstColumn="0" w:lastColumn="0" w:oddVBand="0" w:evenVBand="0" w:oddHBand="0" w:evenHBand="0" w:firstRowFirstColumn="0" w:firstRowLastColumn="0" w:lastRowFirstColumn="0" w:lastRowLastColumn="0"/>
            </w:pPr>
            <w:r>
              <w:t>0.72Ml/d realistic programme (2000 houses per year from 2023 to 2037)</w:t>
            </w:r>
          </w:p>
        </w:tc>
        <w:tc>
          <w:tcPr>
            <w:tcW w:w="1350" w:type="dxa"/>
            <w:vAlign w:val="center"/>
          </w:tcPr>
          <w:p w14:paraId="04AD9157" w14:textId="50A7959D" w:rsidR="003C7323" w:rsidRDefault="006B2A85" w:rsidP="00D06108">
            <w:pPr>
              <w:pStyle w:val="JBAParaText"/>
              <w:keepNext/>
              <w:ind w:left="0" w:right="-2"/>
              <w:jc w:val="center"/>
              <w:cnfStyle w:val="000000000000" w:firstRow="0" w:lastRow="0" w:firstColumn="0" w:lastColumn="0" w:oddVBand="0" w:evenVBand="0" w:oddHBand="0" w:evenHBand="0" w:firstRowFirstColumn="0" w:firstRowLastColumn="0" w:lastRowFirstColumn="0" w:lastRowLastColumn="0"/>
            </w:pPr>
            <w:r>
              <w:t>76.6% (realistic programme)</w:t>
            </w:r>
          </w:p>
        </w:tc>
        <w:tc>
          <w:tcPr>
            <w:tcW w:w="1662" w:type="dxa"/>
            <w:vAlign w:val="center"/>
          </w:tcPr>
          <w:p w14:paraId="06587E8C" w14:textId="1E718950" w:rsidR="003C7323" w:rsidRDefault="003C7323" w:rsidP="00D06108">
            <w:pPr>
              <w:pStyle w:val="JBAParaText"/>
              <w:keepNext/>
              <w:ind w:left="0" w:right="-2"/>
              <w:jc w:val="center"/>
              <w:cnfStyle w:val="000000000000" w:firstRow="0" w:lastRow="0" w:firstColumn="0" w:lastColumn="0" w:oddVBand="0" w:evenVBand="0" w:oddHBand="0" w:evenHBand="0" w:firstRowFirstColumn="0" w:firstRowLastColumn="0" w:lastRowFirstColumn="0" w:lastRowLastColumn="0"/>
            </w:pPr>
            <w:r>
              <w:t xml:space="preserve">100% </w:t>
            </w:r>
          </w:p>
        </w:tc>
        <w:tc>
          <w:tcPr>
            <w:tcW w:w="1662" w:type="dxa"/>
            <w:vAlign w:val="center"/>
          </w:tcPr>
          <w:p w14:paraId="0BFB7623" w14:textId="77777777" w:rsidR="003C7323" w:rsidRDefault="003C7323" w:rsidP="00D06108">
            <w:pPr>
              <w:pStyle w:val="JBAParaText"/>
              <w:keepNext/>
              <w:ind w:left="0" w:right="-2"/>
              <w:jc w:val="center"/>
              <w:cnfStyle w:val="000000000000" w:firstRow="0" w:lastRow="0" w:firstColumn="0" w:lastColumn="0" w:oddVBand="0" w:evenVBand="0" w:oddHBand="0" w:evenHBand="0" w:firstRowFirstColumn="0" w:firstRowLastColumn="0" w:lastRowFirstColumn="0" w:lastRowLastColumn="0"/>
            </w:pPr>
            <w:r>
              <w:t xml:space="preserve">100% </w:t>
            </w:r>
          </w:p>
        </w:tc>
        <w:tc>
          <w:tcPr>
            <w:tcW w:w="2220" w:type="dxa"/>
          </w:tcPr>
          <w:p w14:paraId="48EFD5CF" w14:textId="77777777" w:rsidR="003C7323" w:rsidRDefault="003C7323" w:rsidP="00191A3A">
            <w:pPr>
              <w:pStyle w:val="JBAParaText"/>
              <w:keepNext/>
              <w:ind w:left="0" w:right="-2"/>
              <w:cnfStyle w:val="000000000000" w:firstRow="0" w:lastRow="0" w:firstColumn="0" w:lastColumn="0" w:oddVBand="0" w:evenVBand="0" w:oddHBand="0" w:evenHBand="0" w:firstRowFirstColumn="0" w:firstRowLastColumn="0" w:lastRowFirstColumn="0" w:lastRowLastColumn="0"/>
            </w:pPr>
            <w:r>
              <w:t>Relatively cost effective</w:t>
            </w:r>
          </w:p>
          <w:p w14:paraId="33EA4FC6" w14:textId="77777777" w:rsidR="003C7323" w:rsidRDefault="003C7323" w:rsidP="00191A3A">
            <w:pPr>
              <w:pStyle w:val="JBAParaText"/>
              <w:keepNext/>
              <w:ind w:left="0" w:right="-2"/>
              <w:cnfStyle w:val="000000000000" w:firstRow="0" w:lastRow="0" w:firstColumn="0" w:lastColumn="0" w:oddVBand="0" w:evenVBand="0" w:oddHBand="0" w:evenHBand="0" w:firstRowFirstColumn="0" w:firstRowLastColumn="0" w:lastRowFirstColumn="0" w:lastRowLastColumn="0"/>
            </w:pPr>
            <w:r>
              <w:t>Contractors already in place – extension to existing programme</w:t>
            </w:r>
          </w:p>
          <w:p w14:paraId="3F033626" w14:textId="77777777" w:rsidR="003C7323" w:rsidRDefault="003C7323" w:rsidP="00191A3A">
            <w:pPr>
              <w:pStyle w:val="JBAParaText"/>
              <w:keepNext/>
              <w:ind w:left="0" w:right="-2"/>
              <w:cnfStyle w:val="000000000000" w:firstRow="0" w:lastRow="0" w:firstColumn="0" w:lastColumn="0" w:oddVBand="0" w:evenVBand="0" w:oddHBand="0" w:evenHBand="0" w:firstRowFirstColumn="0" w:firstRowLastColumn="0" w:lastRowFirstColumn="0" w:lastRowLastColumn="0"/>
            </w:pPr>
          </w:p>
        </w:tc>
        <w:tc>
          <w:tcPr>
            <w:tcW w:w="2100" w:type="dxa"/>
          </w:tcPr>
          <w:p w14:paraId="794113C3" w14:textId="77777777" w:rsidR="003C7323" w:rsidRDefault="003C7323" w:rsidP="00191A3A">
            <w:pPr>
              <w:pStyle w:val="JBAParaText"/>
              <w:keepNext/>
              <w:ind w:left="0" w:right="-2"/>
              <w:cnfStyle w:val="000000000000" w:firstRow="0" w:lastRow="0" w:firstColumn="0" w:lastColumn="0" w:oddVBand="0" w:evenVBand="0" w:oddHBand="0" w:evenHBand="0" w:firstRowFirstColumn="0" w:firstRowLastColumn="0" w:lastRowFirstColumn="0" w:lastRowLastColumn="0"/>
            </w:pPr>
            <w:r>
              <w:t xml:space="preserve">This is already included in Target 100 activities – uncertain how much could contribute to neutrality. The scheme is also voluntary and therefore the impact is uncertain </w:t>
            </w:r>
          </w:p>
        </w:tc>
        <w:tc>
          <w:tcPr>
            <w:tcW w:w="1591" w:type="dxa"/>
          </w:tcPr>
          <w:p w14:paraId="6981DBA3" w14:textId="6470740C" w:rsidR="003C7323" w:rsidRDefault="003C7323" w:rsidP="00191A3A">
            <w:pPr>
              <w:pStyle w:val="JBAParaText"/>
              <w:keepNext/>
              <w:ind w:left="0" w:right="-2"/>
              <w:cnfStyle w:val="000000000000" w:firstRow="0" w:lastRow="0" w:firstColumn="0" w:lastColumn="0" w:oddVBand="0" w:evenVBand="0" w:oddHBand="0" w:evenHBand="0" w:firstRowFirstColumn="0" w:firstRowLastColumn="0" w:lastRowFirstColumn="0" w:lastRowLastColumn="0"/>
            </w:pPr>
            <w:r>
              <w:t>Southern Water</w:t>
            </w:r>
          </w:p>
          <w:p w14:paraId="4920CB19" w14:textId="469DE355" w:rsidR="00350EDA" w:rsidRDefault="00350EDA" w:rsidP="00191A3A">
            <w:pPr>
              <w:pStyle w:val="JBAParaText"/>
              <w:keepNext/>
              <w:ind w:left="0" w:right="-2"/>
              <w:cnfStyle w:val="000000000000" w:firstRow="0" w:lastRow="0" w:firstColumn="0" w:lastColumn="0" w:oddVBand="0" w:evenVBand="0" w:oddHBand="0" w:evenHBand="0" w:firstRowFirstColumn="0" w:firstRowLastColumn="0" w:lastRowFirstColumn="0" w:lastRowLastColumn="0"/>
            </w:pPr>
            <w:r>
              <w:t>Councils (Council owned properties)</w:t>
            </w:r>
          </w:p>
          <w:p w14:paraId="50A01660" w14:textId="4567ED98" w:rsidR="00A64B51" w:rsidRDefault="00A64B51" w:rsidP="00191A3A">
            <w:pPr>
              <w:pStyle w:val="JBAParaText"/>
              <w:keepNext/>
              <w:ind w:left="0" w:right="-2"/>
              <w:cnfStyle w:val="000000000000" w:firstRow="0" w:lastRow="0" w:firstColumn="0" w:lastColumn="0" w:oddVBand="0" w:evenVBand="0" w:oddHBand="0" w:evenHBand="0" w:firstRowFirstColumn="0" w:firstRowLastColumn="0" w:lastRowFirstColumn="0" w:lastRowLastColumn="0"/>
            </w:pPr>
          </w:p>
        </w:tc>
      </w:tr>
      <w:tr w:rsidR="003C7323" w14:paraId="1A054451" w14:textId="77777777" w:rsidTr="00090727">
        <w:tc>
          <w:tcPr>
            <w:cnfStyle w:val="001000000000" w:firstRow="0" w:lastRow="0" w:firstColumn="1" w:lastColumn="0" w:oddVBand="0" w:evenVBand="0" w:oddHBand="0" w:evenHBand="0" w:firstRowFirstColumn="0" w:firstRowLastColumn="0" w:lastRowFirstColumn="0" w:lastRowLastColumn="0"/>
            <w:tcW w:w="1804" w:type="dxa"/>
            <w:vAlign w:val="center"/>
          </w:tcPr>
          <w:p w14:paraId="68F5385B" w14:textId="77777777" w:rsidR="003C7323" w:rsidRDefault="003C7323" w:rsidP="00191A3A">
            <w:pPr>
              <w:pStyle w:val="JBAParaText"/>
              <w:ind w:left="0" w:right="25"/>
            </w:pPr>
            <w:r>
              <w:t>Non-household visits</w:t>
            </w:r>
          </w:p>
        </w:tc>
        <w:tc>
          <w:tcPr>
            <w:tcW w:w="1750" w:type="dxa"/>
            <w:vAlign w:val="center"/>
          </w:tcPr>
          <w:p w14:paraId="227FDD71" w14:textId="77777777" w:rsidR="003C7323" w:rsidRDefault="003C7323" w:rsidP="00D06108">
            <w:pPr>
              <w:pStyle w:val="JBAParaText"/>
              <w:keepNext/>
              <w:ind w:left="0" w:right="-2"/>
              <w:jc w:val="center"/>
              <w:cnfStyle w:val="000000000000" w:firstRow="0" w:lastRow="0" w:firstColumn="0" w:lastColumn="0" w:oddVBand="0" w:evenVBand="0" w:oddHBand="0" w:evenHBand="0" w:firstRowFirstColumn="0" w:firstRowLastColumn="0" w:lastRowFirstColumn="0" w:lastRowLastColumn="0"/>
            </w:pPr>
            <w:r>
              <w:t>0.16</w:t>
            </w:r>
          </w:p>
        </w:tc>
        <w:tc>
          <w:tcPr>
            <w:tcW w:w="1350" w:type="dxa"/>
            <w:vAlign w:val="center"/>
          </w:tcPr>
          <w:p w14:paraId="45CE2DA9" w14:textId="5956BD0B" w:rsidR="003C7323" w:rsidRDefault="006B2A85" w:rsidP="00D06108">
            <w:pPr>
              <w:pStyle w:val="JBAParaText"/>
              <w:keepNext/>
              <w:ind w:left="0" w:right="-2"/>
              <w:jc w:val="center"/>
              <w:cnfStyle w:val="000000000000" w:firstRow="0" w:lastRow="0" w:firstColumn="0" w:lastColumn="0" w:oddVBand="0" w:evenVBand="0" w:oddHBand="0" w:evenHBand="0" w:firstRowFirstColumn="0" w:firstRowLastColumn="0" w:lastRowFirstColumn="0" w:lastRowLastColumn="0"/>
            </w:pPr>
            <w:r>
              <w:t>17%</w:t>
            </w:r>
          </w:p>
        </w:tc>
        <w:tc>
          <w:tcPr>
            <w:tcW w:w="1662" w:type="dxa"/>
            <w:vAlign w:val="center"/>
          </w:tcPr>
          <w:p w14:paraId="1E5EFE7C" w14:textId="11AD70D4" w:rsidR="003C7323" w:rsidRDefault="003C7323" w:rsidP="00D06108">
            <w:pPr>
              <w:pStyle w:val="JBAParaText"/>
              <w:keepNext/>
              <w:ind w:left="0" w:right="-2"/>
              <w:jc w:val="center"/>
              <w:cnfStyle w:val="000000000000" w:firstRow="0" w:lastRow="0" w:firstColumn="0" w:lastColumn="0" w:oddVBand="0" w:evenVBand="0" w:oddHBand="0" w:evenHBand="0" w:firstRowFirstColumn="0" w:firstRowLastColumn="0" w:lastRowFirstColumn="0" w:lastRowLastColumn="0"/>
            </w:pPr>
            <w:r>
              <w:t>26.6%</w:t>
            </w:r>
          </w:p>
        </w:tc>
        <w:tc>
          <w:tcPr>
            <w:tcW w:w="1662" w:type="dxa"/>
            <w:vAlign w:val="center"/>
          </w:tcPr>
          <w:p w14:paraId="3D55AAFF" w14:textId="77777777" w:rsidR="003C7323" w:rsidRDefault="003C7323" w:rsidP="00D06108">
            <w:pPr>
              <w:pStyle w:val="JBAParaText"/>
              <w:keepNext/>
              <w:ind w:left="0" w:right="-2"/>
              <w:jc w:val="center"/>
              <w:cnfStyle w:val="000000000000" w:firstRow="0" w:lastRow="0" w:firstColumn="0" w:lastColumn="0" w:oddVBand="0" w:evenVBand="0" w:oddHBand="0" w:evenHBand="0" w:firstRowFirstColumn="0" w:firstRowLastColumn="0" w:lastRowFirstColumn="0" w:lastRowLastColumn="0"/>
            </w:pPr>
            <w:r>
              <w:t>100%</w:t>
            </w:r>
          </w:p>
        </w:tc>
        <w:tc>
          <w:tcPr>
            <w:tcW w:w="2220" w:type="dxa"/>
          </w:tcPr>
          <w:p w14:paraId="1A8DCB36" w14:textId="77777777" w:rsidR="003C7323" w:rsidRDefault="003C7323" w:rsidP="00191A3A">
            <w:pPr>
              <w:pStyle w:val="JBAParaText"/>
              <w:keepNext/>
              <w:ind w:left="0" w:right="-2"/>
              <w:cnfStyle w:val="000000000000" w:firstRow="0" w:lastRow="0" w:firstColumn="0" w:lastColumn="0" w:oddVBand="0" w:evenVBand="0" w:oddHBand="0" w:evenHBand="0" w:firstRowFirstColumn="0" w:firstRowLastColumn="0" w:lastRowFirstColumn="0" w:lastRowLastColumn="0"/>
            </w:pPr>
            <w:r>
              <w:t>Potentially large gains especially at sites with large numbers of employees</w:t>
            </w:r>
          </w:p>
        </w:tc>
        <w:tc>
          <w:tcPr>
            <w:tcW w:w="2100" w:type="dxa"/>
          </w:tcPr>
          <w:p w14:paraId="4CB99089" w14:textId="77777777" w:rsidR="003C7323" w:rsidRDefault="003C7323" w:rsidP="00191A3A">
            <w:pPr>
              <w:pStyle w:val="JBAParaText"/>
              <w:keepNext/>
              <w:ind w:left="0" w:right="-2"/>
              <w:cnfStyle w:val="000000000000" w:firstRow="0" w:lastRow="0" w:firstColumn="0" w:lastColumn="0" w:oddVBand="0" w:evenVBand="0" w:oddHBand="0" w:evenHBand="0" w:firstRowFirstColumn="0" w:firstRowLastColumn="0" w:lastRowFirstColumn="0" w:lastRowLastColumn="0"/>
            </w:pPr>
            <w:r>
              <w:t>SW may not be the retail supplier for all non-household customers (SW would remain as the wholesale supplier)</w:t>
            </w:r>
          </w:p>
        </w:tc>
        <w:tc>
          <w:tcPr>
            <w:tcW w:w="1591" w:type="dxa"/>
          </w:tcPr>
          <w:p w14:paraId="1F125FD9" w14:textId="77777777" w:rsidR="003C7323" w:rsidRDefault="003C7323" w:rsidP="00191A3A">
            <w:pPr>
              <w:pStyle w:val="JBAParaText"/>
              <w:keepNext/>
              <w:ind w:left="0" w:right="-2"/>
              <w:cnfStyle w:val="000000000000" w:firstRow="0" w:lastRow="0" w:firstColumn="0" w:lastColumn="0" w:oddVBand="0" w:evenVBand="0" w:oddHBand="0" w:evenHBand="0" w:firstRowFirstColumn="0" w:firstRowLastColumn="0" w:lastRowFirstColumn="0" w:lastRowLastColumn="0"/>
            </w:pPr>
            <w:r>
              <w:t>Partner needs to be identified</w:t>
            </w:r>
          </w:p>
          <w:p w14:paraId="05EAC146" w14:textId="7E944651" w:rsidR="00350EDA" w:rsidRDefault="00350EDA" w:rsidP="00191A3A">
            <w:pPr>
              <w:pStyle w:val="JBAParaText"/>
              <w:keepNext/>
              <w:ind w:left="0" w:right="-2"/>
              <w:cnfStyle w:val="000000000000" w:firstRow="0" w:lastRow="0" w:firstColumn="0" w:lastColumn="0" w:oddVBand="0" w:evenVBand="0" w:oddHBand="0" w:evenHBand="0" w:firstRowFirstColumn="0" w:firstRowLastColumn="0" w:lastRowFirstColumn="0" w:lastRowLastColumn="0"/>
            </w:pPr>
            <w:r>
              <w:t>Councils for Council owned assets</w:t>
            </w:r>
          </w:p>
        </w:tc>
      </w:tr>
      <w:tr w:rsidR="003C7323" w14:paraId="479E046A" w14:textId="77777777" w:rsidTr="00090727">
        <w:tc>
          <w:tcPr>
            <w:cnfStyle w:val="001000000000" w:firstRow="0" w:lastRow="0" w:firstColumn="1" w:lastColumn="0" w:oddVBand="0" w:evenVBand="0" w:oddHBand="0" w:evenHBand="0" w:firstRowFirstColumn="0" w:firstRowLastColumn="0" w:lastRowFirstColumn="0" w:lastRowLastColumn="0"/>
            <w:tcW w:w="1804" w:type="dxa"/>
            <w:vAlign w:val="center"/>
          </w:tcPr>
          <w:p w14:paraId="571A9F81" w14:textId="77777777" w:rsidR="003C7323" w:rsidRDefault="003C7323" w:rsidP="00191A3A">
            <w:pPr>
              <w:pStyle w:val="JBAParaText"/>
              <w:ind w:left="0" w:right="25"/>
            </w:pPr>
            <w:r>
              <w:t>Water efficiency programme in schools</w:t>
            </w:r>
          </w:p>
        </w:tc>
        <w:tc>
          <w:tcPr>
            <w:tcW w:w="1750" w:type="dxa"/>
            <w:vAlign w:val="center"/>
          </w:tcPr>
          <w:p w14:paraId="33660E07" w14:textId="77777777" w:rsidR="003C7323" w:rsidRDefault="003C7323" w:rsidP="00D06108">
            <w:pPr>
              <w:pStyle w:val="JBAParaText"/>
              <w:keepNext/>
              <w:ind w:left="0" w:right="-2"/>
              <w:jc w:val="center"/>
              <w:cnfStyle w:val="000000000000" w:firstRow="0" w:lastRow="0" w:firstColumn="0" w:lastColumn="0" w:oddVBand="0" w:evenVBand="0" w:oddHBand="0" w:evenHBand="0" w:firstRowFirstColumn="0" w:firstRowLastColumn="0" w:lastRowFirstColumn="0" w:lastRowLastColumn="0"/>
            </w:pPr>
            <w:r>
              <w:t>0.36</w:t>
            </w:r>
          </w:p>
        </w:tc>
        <w:tc>
          <w:tcPr>
            <w:tcW w:w="1350" w:type="dxa"/>
            <w:vAlign w:val="center"/>
          </w:tcPr>
          <w:p w14:paraId="3D93E842" w14:textId="7A465E18" w:rsidR="003C7323" w:rsidRDefault="006B2A85" w:rsidP="00D06108">
            <w:pPr>
              <w:pStyle w:val="JBAParaText"/>
              <w:keepNext/>
              <w:ind w:left="0" w:right="-2"/>
              <w:jc w:val="center"/>
              <w:cnfStyle w:val="000000000000" w:firstRow="0" w:lastRow="0" w:firstColumn="0" w:lastColumn="0" w:oddVBand="0" w:evenVBand="0" w:oddHBand="0" w:evenHBand="0" w:firstRowFirstColumn="0" w:firstRowLastColumn="0" w:lastRowFirstColumn="0" w:lastRowLastColumn="0"/>
            </w:pPr>
            <w:r>
              <w:t>38.3%</w:t>
            </w:r>
          </w:p>
        </w:tc>
        <w:tc>
          <w:tcPr>
            <w:tcW w:w="1662" w:type="dxa"/>
            <w:vAlign w:val="center"/>
          </w:tcPr>
          <w:p w14:paraId="6D34E72D" w14:textId="11BA9286" w:rsidR="003C7323" w:rsidRDefault="003C7323" w:rsidP="00D06108">
            <w:pPr>
              <w:pStyle w:val="JBAParaText"/>
              <w:keepNext/>
              <w:ind w:left="0" w:right="-2"/>
              <w:jc w:val="center"/>
              <w:cnfStyle w:val="000000000000" w:firstRow="0" w:lastRow="0" w:firstColumn="0" w:lastColumn="0" w:oddVBand="0" w:evenVBand="0" w:oddHBand="0" w:evenHBand="0" w:firstRowFirstColumn="0" w:firstRowLastColumn="0" w:lastRowFirstColumn="0" w:lastRowLastColumn="0"/>
            </w:pPr>
            <w:r>
              <w:t>59.9%</w:t>
            </w:r>
          </w:p>
        </w:tc>
        <w:tc>
          <w:tcPr>
            <w:tcW w:w="1662" w:type="dxa"/>
            <w:vAlign w:val="center"/>
          </w:tcPr>
          <w:p w14:paraId="219591E0" w14:textId="77777777" w:rsidR="003C7323" w:rsidRDefault="003C7323" w:rsidP="00D06108">
            <w:pPr>
              <w:pStyle w:val="JBAParaText"/>
              <w:keepNext/>
              <w:ind w:left="0" w:right="-2"/>
              <w:jc w:val="center"/>
              <w:cnfStyle w:val="000000000000" w:firstRow="0" w:lastRow="0" w:firstColumn="0" w:lastColumn="0" w:oddVBand="0" w:evenVBand="0" w:oddHBand="0" w:evenHBand="0" w:firstRowFirstColumn="0" w:firstRowLastColumn="0" w:lastRowFirstColumn="0" w:lastRowLastColumn="0"/>
            </w:pPr>
            <w:r>
              <w:t>100%</w:t>
            </w:r>
          </w:p>
        </w:tc>
        <w:tc>
          <w:tcPr>
            <w:tcW w:w="2220" w:type="dxa"/>
          </w:tcPr>
          <w:p w14:paraId="020A00D7" w14:textId="77777777" w:rsidR="003C7323" w:rsidRDefault="003C7323" w:rsidP="00191A3A">
            <w:pPr>
              <w:pStyle w:val="JBAParaText"/>
              <w:keepNext/>
              <w:ind w:left="0" w:right="-2"/>
              <w:cnfStyle w:val="000000000000" w:firstRow="0" w:lastRow="0" w:firstColumn="0" w:lastColumn="0" w:oddVBand="0" w:evenVBand="0" w:oddHBand="0" w:evenHBand="0" w:firstRowFirstColumn="0" w:firstRowLastColumn="0" w:lastRowFirstColumn="0" w:lastRowLastColumn="0"/>
            </w:pPr>
            <w:r>
              <w:t>Measures applied in schools are generally within the control of the council and would have the certainty of being delivered and maintained.</w:t>
            </w:r>
          </w:p>
        </w:tc>
        <w:tc>
          <w:tcPr>
            <w:tcW w:w="2100" w:type="dxa"/>
          </w:tcPr>
          <w:p w14:paraId="54CEF000" w14:textId="77777777" w:rsidR="003C7323" w:rsidRDefault="003C7323" w:rsidP="00191A3A">
            <w:pPr>
              <w:pStyle w:val="JBAParaText"/>
              <w:keepNext/>
              <w:ind w:left="0" w:right="-2"/>
              <w:cnfStyle w:val="000000000000" w:firstRow="0" w:lastRow="0" w:firstColumn="0" w:lastColumn="0" w:oddVBand="0" w:evenVBand="0" w:oddHBand="0" w:evenHBand="0" w:firstRowFirstColumn="0" w:firstRowLastColumn="0" w:lastRowFirstColumn="0" w:lastRowLastColumn="0"/>
            </w:pPr>
          </w:p>
        </w:tc>
        <w:tc>
          <w:tcPr>
            <w:tcW w:w="1591" w:type="dxa"/>
          </w:tcPr>
          <w:p w14:paraId="21DA1D2D" w14:textId="1DCBE8A6" w:rsidR="003C7323" w:rsidRDefault="009B422A" w:rsidP="00191A3A">
            <w:pPr>
              <w:pStyle w:val="JBAParaText"/>
              <w:keepNext/>
              <w:ind w:left="0" w:right="-2"/>
              <w:cnfStyle w:val="000000000000" w:firstRow="0" w:lastRow="0" w:firstColumn="0" w:lastColumn="0" w:oddVBand="0" w:evenVBand="0" w:oddHBand="0" w:evenHBand="0" w:firstRowFirstColumn="0" w:firstRowLastColumn="0" w:lastRowFirstColumn="0" w:lastRowLastColumn="0"/>
            </w:pPr>
            <w:r>
              <w:t>WSCC</w:t>
            </w:r>
          </w:p>
        </w:tc>
      </w:tr>
      <w:tr w:rsidR="003C7323" w14:paraId="36278131" w14:textId="77777777" w:rsidTr="00090727">
        <w:tc>
          <w:tcPr>
            <w:cnfStyle w:val="001000000000" w:firstRow="0" w:lastRow="0" w:firstColumn="1" w:lastColumn="0" w:oddVBand="0" w:evenVBand="0" w:oddHBand="0" w:evenHBand="0" w:firstRowFirstColumn="0" w:firstRowLastColumn="0" w:lastRowFirstColumn="0" w:lastRowLastColumn="0"/>
            <w:tcW w:w="1804" w:type="dxa"/>
            <w:vAlign w:val="center"/>
          </w:tcPr>
          <w:p w14:paraId="141C31C6" w14:textId="77777777" w:rsidR="003C7323" w:rsidRDefault="003C7323" w:rsidP="00191A3A">
            <w:pPr>
              <w:pStyle w:val="JBAParaText"/>
              <w:ind w:left="0" w:right="25"/>
            </w:pPr>
            <w:r>
              <w:t>Application of BREEAM in commercial properties</w:t>
            </w:r>
          </w:p>
        </w:tc>
        <w:tc>
          <w:tcPr>
            <w:tcW w:w="1750" w:type="dxa"/>
            <w:vAlign w:val="center"/>
          </w:tcPr>
          <w:p w14:paraId="18AE358D" w14:textId="77777777" w:rsidR="003C7323" w:rsidRDefault="003C7323" w:rsidP="00D06108">
            <w:pPr>
              <w:pStyle w:val="JBAParaText"/>
              <w:keepNext/>
              <w:ind w:left="0" w:right="-2"/>
              <w:jc w:val="center"/>
              <w:cnfStyle w:val="000000000000" w:firstRow="0" w:lastRow="0" w:firstColumn="0" w:lastColumn="0" w:oddVBand="0" w:evenVBand="0" w:oddHBand="0" w:evenHBand="0" w:firstRowFirstColumn="0" w:firstRowLastColumn="0" w:lastRowFirstColumn="0" w:lastRowLastColumn="0"/>
            </w:pPr>
            <w:r>
              <w:t>0.1</w:t>
            </w:r>
          </w:p>
        </w:tc>
        <w:tc>
          <w:tcPr>
            <w:tcW w:w="1350" w:type="dxa"/>
            <w:vAlign w:val="center"/>
          </w:tcPr>
          <w:p w14:paraId="78081C06" w14:textId="3CD2CD1F" w:rsidR="003C7323" w:rsidRDefault="006B2A85" w:rsidP="00D06108">
            <w:pPr>
              <w:pStyle w:val="JBAParaText"/>
              <w:keepNext/>
              <w:ind w:left="0" w:right="-2"/>
              <w:jc w:val="center"/>
              <w:cnfStyle w:val="000000000000" w:firstRow="0" w:lastRow="0" w:firstColumn="0" w:lastColumn="0" w:oddVBand="0" w:evenVBand="0" w:oddHBand="0" w:evenHBand="0" w:firstRowFirstColumn="0" w:firstRowLastColumn="0" w:lastRowFirstColumn="0" w:lastRowLastColumn="0"/>
            </w:pPr>
            <w:r>
              <w:t>10.6%</w:t>
            </w:r>
          </w:p>
        </w:tc>
        <w:tc>
          <w:tcPr>
            <w:tcW w:w="1662" w:type="dxa"/>
            <w:vAlign w:val="center"/>
          </w:tcPr>
          <w:p w14:paraId="6E4913AC" w14:textId="6E42140D" w:rsidR="003C7323" w:rsidRDefault="003C7323" w:rsidP="00D06108">
            <w:pPr>
              <w:pStyle w:val="JBAParaText"/>
              <w:keepNext/>
              <w:ind w:left="0" w:right="-2"/>
              <w:jc w:val="center"/>
              <w:cnfStyle w:val="000000000000" w:firstRow="0" w:lastRow="0" w:firstColumn="0" w:lastColumn="0" w:oddVBand="0" w:evenVBand="0" w:oddHBand="0" w:evenHBand="0" w:firstRowFirstColumn="0" w:firstRowLastColumn="0" w:lastRowFirstColumn="0" w:lastRowLastColumn="0"/>
            </w:pPr>
            <w:r>
              <w:t>16.6%</w:t>
            </w:r>
          </w:p>
        </w:tc>
        <w:tc>
          <w:tcPr>
            <w:tcW w:w="1662" w:type="dxa"/>
            <w:vAlign w:val="center"/>
          </w:tcPr>
          <w:p w14:paraId="0484A932" w14:textId="77777777" w:rsidR="003C7323" w:rsidRDefault="003C7323" w:rsidP="00D06108">
            <w:pPr>
              <w:pStyle w:val="JBAParaText"/>
              <w:keepNext/>
              <w:ind w:left="0" w:right="-2"/>
              <w:jc w:val="center"/>
              <w:cnfStyle w:val="000000000000" w:firstRow="0" w:lastRow="0" w:firstColumn="0" w:lastColumn="0" w:oddVBand="0" w:evenVBand="0" w:oddHBand="0" w:evenHBand="0" w:firstRowFirstColumn="0" w:firstRowLastColumn="0" w:lastRowFirstColumn="0" w:lastRowLastColumn="0"/>
            </w:pPr>
            <w:r>
              <w:t>100%</w:t>
            </w:r>
          </w:p>
        </w:tc>
        <w:tc>
          <w:tcPr>
            <w:tcW w:w="2220" w:type="dxa"/>
          </w:tcPr>
          <w:p w14:paraId="705B9271" w14:textId="77777777" w:rsidR="003C7323" w:rsidRDefault="003C7323" w:rsidP="00191A3A">
            <w:pPr>
              <w:pStyle w:val="JBAParaText"/>
              <w:keepNext/>
              <w:ind w:left="0" w:right="-2"/>
              <w:cnfStyle w:val="000000000000" w:firstRow="0" w:lastRow="0" w:firstColumn="0" w:lastColumn="0" w:oddVBand="0" w:evenVBand="0" w:oddHBand="0" w:evenHBand="0" w:firstRowFirstColumn="0" w:firstRowLastColumn="0" w:lastRowFirstColumn="0" w:lastRowLastColumn="0"/>
            </w:pPr>
            <w:r>
              <w:t>Requiring BREEAM would have other environmental benefits</w:t>
            </w:r>
          </w:p>
        </w:tc>
        <w:tc>
          <w:tcPr>
            <w:tcW w:w="2100" w:type="dxa"/>
          </w:tcPr>
          <w:p w14:paraId="040DEA7F" w14:textId="77777777" w:rsidR="003C7323" w:rsidRDefault="003C7323" w:rsidP="00191A3A">
            <w:pPr>
              <w:pStyle w:val="JBAParaText"/>
              <w:keepNext/>
              <w:ind w:left="0" w:right="-2"/>
              <w:cnfStyle w:val="000000000000" w:firstRow="0" w:lastRow="0" w:firstColumn="0" w:lastColumn="0" w:oddVBand="0" w:evenVBand="0" w:oddHBand="0" w:evenHBand="0" w:firstRowFirstColumn="0" w:firstRowLastColumn="0" w:lastRowFirstColumn="0" w:lastRowLastColumn="0"/>
            </w:pPr>
          </w:p>
        </w:tc>
        <w:tc>
          <w:tcPr>
            <w:tcW w:w="1591" w:type="dxa"/>
          </w:tcPr>
          <w:p w14:paraId="24E9BDEA" w14:textId="77777777" w:rsidR="003C7323" w:rsidRDefault="003C7323" w:rsidP="00191A3A">
            <w:pPr>
              <w:pStyle w:val="JBAParaText"/>
              <w:keepNext/>
              <w:ind w:left="0" w:right="-2"/>
              <w:cnfStyle w:val="000000000000" w:firstRow="0" w:lastRow="0" w:firstColumn="0" w:lastColumn="0" w:oddVBand="0" w:evenVBand="0" w:oddHBand="0" w:evenHBand="0" w:firstRowFirstColumn="0" w:firstRowLastColumn="0" w:lastRowFirstColumn="0" w:lastRowLastColumn="0"/>
            </w:pPr>
            <w:r>
              <w:t>Councils through Local Plan policy</w:t>
            </w:r>
          </w:p>
        </w:tc>
      </w:tr>
      <w:tr w:rsidR="003C7323" w14:paraId="394E64B7" w14:textId="77777777" w:rsidTr="00090727">
        <w:tc>
          <w:tcPr>
            <w:cnfStyle w:val="001000000000" w:firstRow="0" w:lastRow="0" w:firstColumn="1" w:lastColumn="0" w:oddVBand="0" w:evenVBand="0" w:oddHBand="0" w:evenHBand="0" w:firstRowFirstColumn="0" w:firstRowLastColumn="0" w:lastRowFirstColumn="0" w:lastRowLastColumn="0"/>
            <w:tcW w:w="1804" w:type="dxa"/>
            <w:vAlign w:val="center"/>
          </w:tcPr>
          <w:p w14:paraId="2493FDB5" w14:textId="77777777" w:rsidR="003C7323" w:rsidRDefault="003C7323" w:rsidP="00191A3A">
            <w:pPr>
              <w:pStyle w:val="JBAParaText"/>
              <w:ind w:left="0" w:right="25"/>
            </w:pPr>
            <w:r>
              <w:t>RwH – Newbuild household</w:t>
            </w:r>
          </w:p>
        </w:tc>
        <w:tc>
          <w:tcPr>
            <w:tcW w:w="1750" w:type="dxa"/>
            <w:vAlign w:val="center"/>
          </w:tcPr>
          <w:p w14:paraId="5C78D87A" w14:textId="77777777" w:rsidR="003C7323" w:rsidRDefault="003C7323" w:rsidP="00D06108">
            <w:pPr>
              <w:pStyle w:val="JBAParaText"/>
              <w:keepNext/>
              <w:ind w:left="0" w:right="-2"/>
              <w:jc w:val="center"/>
              <w:cnfStyle w:val="000000000000" w:firstRow="0" w:lastRow="0" w:firstColumn="0" w:lastColumn="0" w:oddVBand="0" w:evenVBand="0" w:oddHBand="0" w:evenHBand="0" w:firstRowFirstColumn="0" w:firstRowLastColumn="0" w:lastRowFirstColumn="0" w:lastRowLastColumn="0"/>
            </w:pPr>
            <w:r>
              <w:t>2.1 (max)</w:t>
            </w:r>
          </w:p>
          <w:p w14:paraId="2315A45A" w14:textId="77777777" w:rsidR="003C7323" w:rsidRDefault="003C7323" w:rsidP="00D06108">
            <w:pPr>
              <w:pStyle w:val="JBAParaText"/>
              <w:keepNext/>
              <w:ind w:left="0" w:right="-2"/>
              <w:jc w:val="center"/>
              <w:cnfStyle w:val="000000000000" w:firstRow="0" w:lastRow="0" w:firstColumn="0" w:lastColumn="0" w:oddVBand="0" w:evenVBand="0" w:oddHBand="0" w:evenHBand="0" w:firstRowFirstColumn="0" w:firstRowLastColumn="0" w:lastRowFirstColumn="0" w:lastRowLastColumn="0"/>
            </w:pPr>
            <w:r>
              <w:t>0.8 (Strategic)</w:t>
            </w:r>
          </w:p>
        </w:tc>
        <w:tc>
          <w:tcPr>
            <w:tcW w:w="1350" w:type="dxa"/>
            <w:vAlign w:val="center"/>
          </w:tcPr>
          <w:p w14:paraId="1BE92749" w14:textId="0BA54DE2" w:rsidR="003C7323" w:rsidRDefault="006B2A85" w:rsidP="00D06108">
            <w:pPr>
              <w:pStyle w:val="JBAParaText"/>
              <w:keepNext/>
              <w:ind w:left="0" w:right="-2"/>
              <w:jc w:val="center"/>
              <w:cnfStyle w:val="000000000000" w:firstRow="0" w:lastRow="0" w:firstColumn="0" w:lastColumn="0" w:oddVBand="0" w:evenVBand="0" w:oddHBand="0" w:evenHBand="0" w:firstRowFirstColumn="0" w:firstRowLastColumn="0" w:lastRowFirstColumn="0" w:lastRowLastColumn="0"/>
            </w:pPr>
            <w:r>
              <w:t>85% (Strategic sites)</w:t>
            </w:r>
          </w:p>
        </w:tc>
        <w:tc>
          <w:tcPr>
            <w:tcW w:w="1662" w:type="dxa"/>
            <w:vAlign w:val="center"/>
          </w:tcPr>
          <w:p w14:paraId="104ED6FB" w14:textId="6A280232" w:rsidR="003C7323" w:rsidRDefault="003C7323" w:rsidP="00D06108">
            <w:pPr>
              <w:pStyle w:val="JBAParaText"/>
              <w:keepNext/>
              <w:ind w:left="0" w:right="-2"/>
              <w:jc w:val="center"/>
              <w:cnfStyle w:val="000000000000" w:firstRow="0" w:lastRow="0" w:firstColumn="0" w:lastColumn="0" w:oddVBand="0" w:evenVBand="0" w:oddHBand="0" w:evenHBand="0" w:firstRowFirstColumn="0" w:firstRowLastColumn="0" w:lastRowFirstColumn="0" w:lastRowLastColumn="0"/>
            </w:pPr>
            <w:r>
              <w:t>100%</w:t>
            </w:r>
          </w:p>
          <w:p w14:paraId="3B9A1D32" w14:textId="77777777" w:rsidR="003C7323" w:rsidRDefault="003C7323" w:rsidP="00D06108">
            <w:pPr>
              <w:pStyle w:val="JBAParaText"/>
              <w:keepNext/>
              <w:ind w:left="0" w:right="-2"/>
              <w:jc w:val="center"/>
              <w:cnfStyle w:val="000000000000" w:firstRow="0" w:lastRow="0" w:firstColumn="0" w:lastColumn="0" w:oddVBand="0" w:evenVBand="0" w:oddHBand="0" w:evenHBand="0" w:firstRowFirstColumn="0" w:firstRowLastColumn="0" w:lastRowFirstColumn="0" w:lastRowLastColumn="0"/>
            </w:pPr>
          </w:p>
        </w:tc>
        <w:tc>
          <w:tcPr>
            <w:tcW w:w="1662" w:type="dxa"/>
            <w:vAlign w:val="center"/>
          </w:tcPr>
          <w:p w14:paraId="225EE1FB" w14:textId="77777777" w:rsidR="003C7323" w:rsidRDefault="003C7323" w:rsidP="00D06108">
            <w:pPr>
              <w:pStyle w:val="JBAParaText"/>
              <w:keepNext/>
              <w:ind w:left="0" w:right="-2"/>
              <w:jc w:val="center"/>
              <w:cnfStyle w:val="000000000000" w:firstRow="0" w:lastRow="0" w:firstColumn="0" w:lastColumn="0" w:oddVBand="0" w:evenVBand="0" w:oddHBand="0" w:evenHBand="0" w:firstRowFirstColumn="0" w:firstRowLastColumn="0" w:lastRowFirstColumn="0" w:lastRowLastColumn="0"/>
            </w:pPr>
            <w:r>
              <w:t>100%</w:t>
            </w:r>
          </w:p>
          <w:p w14:paraId="2D10135B" w14:textId="77777777" w:rsidR="003C7323" w:rsidRDefault="003C7323" w:rsidP="00D06108">
            <w:pPr>
              <w:pStyle w:val="JBAParaText"/>
              <w:keepNext/>
              <w:ind w:left="0" w:right="-2"/>
              <w:jc w:val="center"/>
              <w:cnfStyle w:val="000000000000" w:firstRow="0" w:lastRow="0" w:firstColumn="0" w:lastColumn="0" w:oddVBand="0" w:evenVBand="0" w:oddHBand="0" w:evenHBand="0" w:firstRowFirstColumn="0" w:firstRowLastColumn="0" w:lastRowFirstColumn="0" w:lastRowLastColumn="0"/>
            </w:pPr>
          </w:p>
        </w:tc>
        <w:tc>
          <w:tcPr>
            <w:tcW w:w="2220" w:type="dxa"/>
          </w:tcPr>
          <w:p w14:paraId="5CC3543C" w14:textId="77777777" w:rsidR="003C7323" w:rsidRDefault="003C7323" w:rsidP="00191A3A">
            <w:pPr>
              <w:pStyle w:val="JBAParaText"/>
              <w:keepNext/>
              <w:ind w:left="0" w:right="-2"/>
              <w:cnfStyle w:val="000000000000" w:firstRow="0" w:lastRow="0" w:firstColumn="0" w:lastColumn="0" w:oddVBand="0" w:evenVBand="0" w:oddHBand="0" w:evenHBand="0" w:firstRowFirstColumn="0" w:firstRowLastColumn="0" w:lastRowFirstColumn="0" w:lastRowLastColumn="0"/>
            </w:pPr>
            <w:r>
              <w:t xml:space="preserve">Greater opportunity to integrate with design and include community scale systems than retrofit.  </w:t>
            </w:r>
          </w:p>
        </w:tc>
        <w:tc>
          <w:tcPr>
            <w:tcW w:w="2100" w:type="dxa"/>
          </w:tcPr>
          <w:p w14:paraId="4C837B41" w14:textId="77777777" w:rsidR="003C7323" w:rsidRDefault="003C7323" w:rsidP="00191A3A">
            <w:pPr>
              <w:pStyle w:val="JBAParaText"/>
              <w:keepNext/>
              <w:ind w:left="0" w:right="-2"/>
              <w:cnfStyle w:val="000000000000" w:firstRow="0" w:lastRow="0" w:firstColumn="0" w:lastColumn="0" w:oddVBand="0" w:evenVBand="0" w:oddHBand="0" w:evenHBand="0" w:firstRowFirstColumn="0" w:firstRowLastColumn="0" w:lastRowFirstColumn="0" w:lastRowLastColumn="0"/>
            </w:pPr>
            <w:r>
              <w:t>Significant cost – may not be supported by developer</w:t>
            </w:r>
          </w:p>
        </w:tc>
        <w:tc>
          <w:tcPr>
            <w:tcW w:w="1591" w:type="dxa"/>
          </w:tcPr>
          <w:p w14:paraId="6B1C574F" w14:textId="77777777" w:rsidR="003C7323" w:rsidRDefault="003C7323" w:rsidP="00191A3A">
            <w:pPr>
              <w:pStyle w:val="JBAParaText"/>
              <w:keepNext/>
              <w:ind w:left="0" w:right="-2"/>
              <w:cnfStyle w:val="000000000000" w:firstRow="0" w:lastRow="0" w:firstColumn="0" w:lastColumn="0" w:oddVBand="0" w:evenVBand="0" w:oddHBand="0" w:evenHBand="0" w:firstRowFirstColumn="0" w:firstRowLastColumn="0" w:lastRowFirstColumn="0" w:lastRowLastColumn="0"/>
            </w:pPr>
            <w:r>
              <w:t>Developer</w:t>
            </w:r>
          </w:p>
        </w:tc>
      </w:tr>
      <w:tr w:rsidR="003C7323" w14:paraId="4C9CD693" w14:textId="77777777" w:rsidTr="00090727">
        <w:tc>
          <w:tcPr>
            <w:cnfStyle w:val="001000000000" w:firstRow="0" w:lastRow="0" w:firstColumn="1" w:lastColumn="0" w:oddVBand="0" w:evenVBand="0" w:oddHBand="0" w:evenHBand="0" w:firstRowFirstColumn="0" w:firstRowLastColumn="0" w:lastRowFirstColumn="0" w:lastRowLastColumn="0"/>
            <w:tcW w:w="1804" w:type="dxa"/>
            <w:vAlign w:val="center"/>
          </w:tcPr>
          <w:p w14:paraId="0F7A936E" w14:textId="77777777" w:rsidR="003C7323" w:rsidRDefault="003C7323" w:rsidP="00191A3A">
            <w:pPr>
              <w:pStyle w:val="JBAParaText"/>
              <w:ind w:left="0" w:right="25"/>
            </w:pPr>
            <w:r>
              <w:t>RwH – retrofit household</w:t>
            </w:r>
          </w:p>
        </w:tc>
        <w:tc>
          <w:tcPr>
            <w:tcW w:w="1750" w:type="dxa"/>
            <w:vAlign w:val="center"/>
          </w:tcPr>
          <w:p w14:paraId="6C76995B" w14:textId="77777777" w:rsidR="003C7323" w:rsidRDefault="003C7323" w:rsidP="00D06108">
            <w:pPr>
              <w:pStyle w:val="JBAParaText"/>
              <w:keepNext/>
              <w:ind w:left="0" w:right="-2"/>
              <w:jc w:val="center"/>
              <w:cnfStyle w:val="000000000000" w:firstRow="0" w:lastRow="0" w:firstColumn="0" w:lastColumn="0" w:oddVBand="0" w:evenVBand="0" w:oddHBand="0" w:evenHBand="0" w:firstRowFirstColumn="0" w:firstRowLastColumn="0" w:lastRowFirstColumn="0" w:lastRowLastColumn="0"/>
            </w:pPr>
            <w:r>
              <w:t>13.24 (max)</w:t>
            </w:r>
          </w:p>
        </w:tc>
        <w:tc>
          <w:tcPr>
            <w:tcW w:w="1350" w:type="dxa"/>
            <w:vAlign w:val="center"/>
          </w:tcPr>
          <w:p w14:paraId="1BFAE59C" w14:textId="11E763FA" w:rsidR="003C7323" w:rsidRDefault="006B2A85" w:rsidP="00D06108">
            <w:pPr>
              <w:pStyle w:val="JBAParaText"/>
              <w:keepNext/>
              <w:ind w:left="0" w:right="-2"/>
              <w:jc w:val="center"/>
              <w:cnfStyle w:val="000000000000" w:firstRow="0" w:lastRow="0" w:firstColumn="0" w:lastColumn="0" w:oddVBand="0" w:evenVBand="0" w:oddHBand="0" w:evenHBand="0" w:firstRowFirstColumn="0" w:firstRowLastColumn="0" w:lastRowFirstColumn="0" w:lastRowLastColumn="0"/>
            </w:pPr>
            <w:r>
              <w:t>100%</w:t>
            </w:r>
          </w:p>
        </w:tc>
        <w:tc>
          <w:tcPr>
            <w:tcW w:w="1662" w:type="dxa"/>
            <w:vAlign w:val="center"/>
          </w:tcPr>
          <w:p w14:paraId="1CE63351" w14:textId="5A94DD4E" w:rsidR="003C7323" w:rsidRDefault="003C7323" w:rsidP="00D06108">
            <w:pPr>
              <w:pStyle w:val="JBAParaText"/>
              <w:keepNext/>
              <w:ind w:left="0" w:right="-2"/>
              <w:jc w:val="center"/>
              <w:cnfStyle w:val="000000000000" w:firstRow="0" w:lastRow="0" w:firstColumn="0" w:lastColumn="0" w:oddVBand="0" w:evenVBand="0" w:oddHBand="0" w:evenHBand="0" w:firstRowFirstColumn="0" w:firstRowLastColumn="0" w:lastRowFirstColumn="0" w:lastRowLastColumn="0"/>
            </w:pPr>
            <w:r>
              <w:t>100%</w:t>
            </w:r>
          </w:p>
        </w:tc>
        <w:tc>
          <w:tcPr>
            <w:tcW w:w="1662" w:type="dxa"/>
            <w:vAlign w:val="center"/>
          </w:tcPr>
          <w:p w14:paraId="464B7C9F" w14:textId="77777777" w:rsidR="003C7323" w:rsidRDefault="003C7323" w:rsidP="00D06108">
            <w:pPr>
              <w:pStyle w:val="JBAParaText"/>
              <w:keepNext/>
              <w:ind w:left="0" w:right="-2"/>
              <w:jc w:val="center"/>
              <w:cnfStyle w:val="000000000000" w:firstRow="0" w:lastRow="0" w:firstColumn="0" w:lastColumn="0" w:oddVBand="0" w:evenVBand="0" w:oddHBand="0" w:evenHBand="0" w:firstRowFirstColumn="0" w:firstRowLastColumn="0" w:lastRowFirstColumn="0" w:lastRowLastColumn="0"/>
            </w:pPr>
            <w:r>
              <w:t>100%</w:t>
            </w:r>
          </w:p>
        </w:tc>
        <w:tc>
          <w:tcPr>
            <w:tcW w:w="2220" w:type="dxa"/>
          </w:tcPr>
          <w:p w14:paraId="58F8C391" w14:textId="77777777" w:rsidR="003C7323" w:rsidRDefault="003C7323" w:rsidP="00191A3A">
            <w:pPr>
              <w:pStyle w:val="JBAParaText"/>
              <w:keepNext/>
              <w:ind w:left="0" w:right="-2"/>
              <w:cnfStyle w:val="000000000000" w:firstRow="0" w:lastRow="0" w:firstColumn="0" w:lastColumn="0" w:oddVBand="0" w:evenVBand="0" w:oddHBand="0" w:evenHBand="0" w:firstRowFirstColumn="0" w:firstRowLastColumn="0" w:lastRowFirstColumn="0" w:lastRowLastColumn="0"/>
            </w:pPr>
          </w:p>
        </w:tc>
        <w:tc>
          <w:tcPr>
            <w:tcW w:w="2100" w:type="dxa"/>
          </w:tcPr>
          <w:p w14:paraId="5A73696A" w14:textId="77777777" w:rsidR="003C7323" w:rsidRDefault="003C7323" w:rsidP="00191A3A">
            <w:pPr>
              <w:pStyle w:val="JBAParaText"/>
              <w:keepNext/>
              <w:ind w:left="0" w:right="-2"/>
              <w:cnfStyle w:val="000000000000" w:firstRow="0" w:lastRow="0" w:firstColumn="0" w:lastColumn="0" w:oddVBand="0" w:evenVBand="0" w:oddHBand="0" w:evenHBand="0" w:firstRowFirstColumn="0" w:firstRowLastColumn="0" w:lastRowFirstColumn="0" w:lastRowLastColumn="0"/>
            </w:pPr>
            <w:r>
              <w:t xml:space="preserve">Significant cost for a single household </w:t>
            </w:r>
            <w:r w:rsidRPr="00E7719B">
              <w:t>and uptake uncertain and voluntary so not likely to achieve full uptake.</w:t>
            </w:r>
          </w:p>
        </w:tc>
        <w:tc>
          <w:tcPr>
            <w:tcW w:w="1591" w:type="dxa"/>
          </w:tcPr>
          <w:p w14:paraId="189FFC40" w14:textId="77777777" w:rsidR="003C7323" w:rsidRDefault="003C7323" w:rsidP="00191A3A">
            <w:pPr>
              <w:pStyle w:val="JBAParaText"/>
              <w:keepNext/>
              <w:ind w:left="0" w:right="-2"/>
              <w:cnfStyle w:val="000000000000" w:firstRow="0" w:lastRow="0" w:firstColumn="0" w:lastColumn="0" w:oddVBand="0" w:evenVBand="0" w:oddHBand="0" w:evenHBand="0" w:firstRowFirstColumn="0" w:firstRowLastColumn="0" w:lastRowFirstColumn="0" w:lastRowLastColumn="0"/>
            </w:pPr>
            <w:r>
              <w:t>Partner needs to be identified</w:t>
            </w:r>
          </w:p>
        </w:tc>
      </w:tr>
      <w:tr w:rsidR="003C7323" w14:paraId="4ED3391D" w14:textId="77777777" w:rsidTr="00090727">
        <w:tc>
          <w:tcPr>
            <w:cnfStyle w:val="001000000000" w:firstRow="0" w:lastRow="0" w:firstColumn="1" w:lastColumn="0" w:oddVBand="0" w:evenVBand="0" w:oddHBand="0" w:evenHBand="0" w:firstRowFirstColumn="0" w:firstRowLastColumn="0" w:lastRowFirstColumn="0" w:lastRowLastColumn="0"/>
            <w:tcW w:w="1804" w:type="dxa"/>
            <w:vAlign w:val="center"/>
          </w:tcPr>
          <w:p w14:paraId="37E0AF80" w14:textId="77777777" w:rsidR="003C7323" w:rsidRDefault="003C7323" w:rsidP="00191A3A">
            <w:pPr>
              <w:pStyle w:val="JBAParaText"/>
              <w:ind w:left="0" w:right="25"/>
            </w:pPr>
            <w:r>
              <w:t>RwH – retrofit commercial</w:t>
            </w:r>
          </w:p>
        </w:tc>
        <w:tc>
          <w:tcPr>
            <w:tcW w:w="1750" w:type="dxa"/>
            <w:vAlign w:val="center"/>
          </w:tcPr>
          <w:p w14:paraId="41B9A322" w14:textId="77777777" w:rsidR="003C7323" w:rsidRDefault="003C7323" w:rsidP="00D06108">
            <w:pPr>
              <w:pStyle w:val="JBAParaText"/>
              <w:keepNext/>
              <w:ind w:left="0" w:right="-2"/>
              <w:jc w:val="center"/>
              <w:cnfStyle w:val="000000000000" w:firstRow="0" w:lastRow="0" w:firstColumn="0" w:lastColumn="0" w:oddVBand="0" w:evenVBand="0" w:oddHBand="0" w:evenHBand="0" w:firstRowFirstColumn="0" w:firstRowLastColumn="0" w:lastRowFirstColumn="0" w:lastRowLastColumn="0"/>
            </w:pPr>
            <w:r>
              <w:t>Need to identify specific buildings / estates</w:t>
            </w:r>
          </w:p>
        </w:tc>
        <w:tc>
          <w:tcPr>
            <w:tcW w:w="1350" w:type="dxa"/>
            <w:vAlign w:val="center"/>
          </w:tcPr>
          <w:p w14:paraId="62E9554F" w14:textId="6E524CFB" w:rsidR="003C7323" w:rsidRDefault="006B2A85" w:rsidP="00D06108">
            <w:pPr>
              <w:pStyle w:val="JBAParaText"/>
              <w:keepNext/>
              <w:ind w:left="0" w:right="-2"/>
              <w:jc w:val="center"/>
              <w:cnfStyle w:val="000000000000" w:firstRow="0" w:lastRow="0" w:firstColumn="0" w:lastColumn="0" w:oddVBand="0" w:evenVBand="0" w:oddHBand="0" w:evenHBand="0" w:firstRowFirstColumn="0" w:firstRowLastColumn="0" w:lastRowFirstColumn="0" w:lastRowLastColumn="0"/>
            </w:pPr>
            <w:r>
              <w:t>Unknown</w:t>
            </w:r>
          </w:p>
        </w:tc>
        <w:tc>
          <w:tcPr>
            <w:tcW w:w="1662" w:type="dxa"/>
            <w:vAlign w:val="center"/>
          </w:tcPr>
          <w:p w14:paraId="09B41CD5" w14:textId="03475736" w:rsidR="003C7323" w:rsidRDefault="003C7323" w:rsidP="00D06108">
            <w:pPr>
              <w:pStyle w:val="JBAParaText"/>
              <w:keepNext/>
              <w:ind w:left="0" w:right="-2"/>
              <w:jc w:val="center"/>
              <w:cnfStyle w:val="000000000000" w:firstRow="0" w:lastRow="0" w:firstColumn="0" w:lastColumn="0" w:oddVBand="0" w:evenVBand="0" w:oddHBand="0" w:evenHBand="0" w:firstRowFirstColumn="0" w:firstRowLastColumn="0" w:lastRowFirstColumn="0" w:lastRowLastColumn="0"/>
            </w:pPr>
            <w:r>
              <w:t xml:space="preserve">Unknown </w:t>
            </w:r>
          </w:p>
        </w:tc>
        <w:tc>
          <w:tcPr>
            <w:tcW w:w="1662" w:type="dxa"/>
            <w:vAlign w:val="center"/>
          </w:tcPr>
          <w:p w14:paraId="5DC2C3CF" w14:textId="77777777" w:rsidR="003C7323" w:rsidRDefault="003C7323" w:rsidP="00D06108">
            <w:pPr>
              <w:pStyle w:val="JBAParaText"/>
              <w:keepNext/>
              <w:ind w:left="0" w:right="-2"/>
              <w:jc w:val="center"/>
              <w:cnfStyle w:val="000000000000" w:firstRow="0" w:lastRow="0" w:firstColumn="0" w:lastColumn="0" w:oddVBand="0" w:evenVBand="0" w:oddHBand="0" w:evenHBand="0" w:firstRowFirstColumn="0" w:firstRowLastColumn="0" w:lastRowFirstColumn="0" w:lastRowLastColumn="0"/>
            </w:pPr>
            <w:r>
              <w:t>Unknown</w:t>
            </w:r>
          </w:p>
        </w:tc>
        <w:tc>
          <w:tcPr>
            <w:tcW w:w="2220" w:type="dxa"/>
          </w:tcPr>
          <w:p w14:paraId="13DED164" w14:textId="77777777" w:rsidR="003C7323" w:rsidRDefault="003C7323" w:rsidP="00191A3A">
            <w:pPr>
              <w:pStyle w:val="JBAParaText"/>
              <w:keepNext/>
              <w:ind w:left="0" w:right="-2"/>
              <w:cnfStyle w:val="000000000000" w:firstRow="0" w:lastRow="0" w:firstColumn="0" w:lastColumn="0" w:oddVBand="0" w:evenVBand="0" w:oddHBand="0" w:evenHBand="0" w:firstRowFirstColumn="0" w:firstRowLastColumn="0" w:lastRowFirstColumn="0" w:lastRowLastColumn="0"/>
            </w:pPr>
            <w:r>
              <w:t>Largescale scheme shared between businesses is more cost effective</w:t>
            </w:r>
          </w:p>
          <w:p w14:paraId="6613A019" w14:textId="77777777" w:rsidR="003C7323" w:rsidRDefault="003C7323" w:rsidP="00191A3A">
            <w:pPr>
              <w:pStyle w:val="JBAParaText"/>
              <w:keepNext/>
              <w:ind w:left="0" w:right="-2"/>
              <w:cnfStyle w:val="000000000000" w:firstRow="0" w:lastRow="0" w:firstColumn="0" w:lastColumn="0" w:oddVBand="0" w:evenVBand="0" w:oddHBand="0" w:evenHBand="0" w:firstRowFirstColumn="0" w:firstRowLastColumn="0" w:lastRowFirstColumn="0" w:lastRowLastColumn="0"/>
            </w:pPr>
            <w:r>
              <w:t>(other smaller scale schemes may be possible elsewhere in WRZ)</w:t>
            </w:r>
          </w:p>
        </w:tc>
        <w:tc>
          <w:tcPr>
            <w:tcW w:w="2100" w:type="dxa"/>
          </w:tcPr>
          <w:p w14:paraId="19F1D6D2" w14:textId="77777777" w:rsidR="003C7323" w:rsidRDefault="003C7323" w:rsidP="00191A3A">
            <w:pPr>
              <w:pStyle w:val="JBAParaText"/>
              <w:keepNext/>
              <w:ind w:left="0" w:right="-2"/>
              <w:cnfStyle w:val="000000000000" w:firstRow="0" w:lastRow="0" w:firstColumn="0" w:lastColumn="0" w:oddVBand="0" w:evenVBand="0" w:oddHBand="0" w:evenHBand="0" w:firstRowFirstColumn="0" w:firstRowLastColumn="0" w:lastRowFirstColumn="0" w:lastRowLastColumn="0"/>
            </w:pPr>
            <w:r>
              <w:t>Persuading companies to invest in the present climate may be difficult</w:t>
            </w:r>
          </w:p>
          <w:p w14:paraId="6DCAF3CD" w14:textId="77777777" w:rsidR="003C7323" w:rsidRDefault="003C7323" w:rsidP="00191A3A">
            <w:pPr>
              <w:pStyle w:val="JBAParaText"/>
              <w:keepNext/>
              <w:ind w:left="0" w:right="-2"/>
              <w:cnfStyle w:val="000000000000" w:firstRow="0" w:lastRow="0" w:firstColumn="0" w:lastColumn="0" w:oddVBand="0" w:evenVBand="0" w:oddHBand="0" w:evenHBand="0" w:firstRowFirstColumn="0" w:firstRowLastColumn="0" w:lastRowFirstColumn="0" w:lastRowLastColumn="0"/>
            </w:pPr>
            <w:r>
              <w:t xml:space="preserve">Largest opportunity area (Manor Royal Business District) may be re-zoned to SES Water </w:t>
            </w:r>
          </w:p>
        </w:tc>
        <w:tc>
          <w:tcPr>
            <w:tcW w:w="1591" w:type="dxa"/>
          </w:tcPr>
          <w:p w14:paraId="1DF8048C" w14:textId="77777777" w:rsidR="003C7323" w:rsidRDefault="003C7323" w:rsidP="00191A3A">
            <w:pPr>
              <w:pStyle w:val="JBAParaText"/>
              <w:keepNext/>
              <w:ind w:left="0" w:right="-2"/>
              <w:cnfStyle w:val="000000000000" w:firstRow="0" w:lastRow="0" w:firstColumn="0" w:lastColumn="0" w:oddVBand="0" w:evenVBand="0" w:oddHBand="0" w:evenHBand="0" w:firstRowFirstColumn="0" w:firstRowLastColumn="0" w:lastRowFirstColumn="0" w:lastRowLastColumn="0"/>
            </w:pPr>
            <w:r>
              <w:t>Councils</w:t>
            </w:r>
          </w:p>
        </w:tc>
      </w:tr>
      <w:tr w:rsidR="003C7323" w14:paraId="6E02CF0C" w14:textId="77777777" w:rsidTr="00090727">
        <w:tc>
          <w:tcPr>
            <w:cnfStyle w:val="001000000000" w:firstRow="0" w:lastRow="0" w:firstColumn="1" w:lastColumn="0" w:oddVBand="0" w:evenVBand="0" w:oddHBand="0" w:evenHBand="0" w:firstRowFirstColumn="0" w:firstRowLastColumn="0" w:lastRowFirstColumn="0" w:lastRowLastColumn="0"/>
            <w:tcW w:w="1804" w:type="dxa"/>
            <w:vAlign w:val="center"/>
          </w:tcPr>
          <w:p w14:paraId="1842E79A" w14:textId="77777777" w:rsidR="003C7323" w:rsidRDefault="003C7323" w:rsidP="00191A3A">
            <w:pPr>
              <w:pStyle w:val="JBAParaText"/>
              <w:ind w:left="0" w:right="25"/>
            </w:pPr>
            <w:r>
              <w:t>Education</w:t>
            </w:r>
          </w:p>
        </w:tc>
        <w:tc>
          <w:tcPr>
            <w:tcW w:w="1750" w:type="dxa"/>
            <w:vAlign w:val="center"/>
          </w:tcPr>
          <w:p w14:paraId="59BBBF28" w14:textId="77777777" w:rsidR="003C7323" w:rsidRDefault="003C7323" w:rsidP="00D06108">
            <w:pPr>
              <w:pStyle w:val="JBAParaText"/>
              <w:keepNext/>
              <w:ind w:left="0" w:right="-2"/>
              <w:jc w:val="center"/>
              <w:cnfStyle w:val="000000000000" w:firstRow="0" w:lastRow="0" w:firstColumn="0" w:lastColumn="0" w:oddVBand="0" w:evenVBand="0" w:oddHBand="0" w:evenHBand="0" w:firstRowFirstColumn="0" w:firstRowLastColumn="0" w:lastRowFirstColumn="0" w:lastRowLastColumn="0"/>
            </w:pPr>
            <w:r>
              <w:t>Unknown</w:t>
            </w:r>
          </w:p>
        </w:tc>
        <w:tc>
          <w:tcPr>
            <w:tcW w:w="1350" w:type="dxa"/>
            <w:vAlign w:val="center"/>
          </w:tcPr>
          <w:p w14:paraId="75C0DD36" w14:textId="74111BD0" w:rsidR="003C7323" w:rsidRDefault="006B2A85" w:rsidP="00D06108">
            <w:pPr>
              <w:pStyle w:val="JBAParaText"/>
              <w:keepNext/>
              <w:ind w:left="0" w:right="-2"/>
              <w:jc w:val="center"/>
              <w:cnfStyle w:val="000000000000" w:firstRow="0" w:lastRow="0" w:firstColumn="0" w:lastColumn="0" w:oddVBand="0" w:evenVBand="0" w:oddHBand="0" w:evenHBand="0" w:firstRowFirstColumn="0" w:firstRowLastColumn="0" w:lastRowFirstColumn="0" w:lastRowLastColumn="0"/>
            </w:pPr>
            <w:r>
              <w:t>N/A</w:t>
            </w:r>
          </w:p>
        </w:tc>
        <w:tc>
          <w:tcPr>
            <w:tcW w:w="1662" w:type="dxa"/>
            <w:vAlign w:val="center"/>
          </w:tcPr>
          <w:p w14:paraId="12A154ED" w14:textId="78C79E4F" w:rsidR="003C7323" w:rsidRDefault="006B2A85" w:rsidP="00D06108">
            <w:pPr>
              <w:pStyle w:val="JBAParaText"/>
              <w:keepNext/>
              <w:ind w:left="0" w:right="-2"/>
              <w:jc w:val="center"/>
              <w:cnfStyle w:val="000000000000" w:firstRow="0" w:lastRow="0" w:firstColumn="0" w:lastColumn="0" w:oddVBand="0" w:evenVBand="0" w:oddHBand="0" w:evenHBand="0" w:firstRowFirstColumn="0" w:firstRowLastColumn="0" w:lastRowFirstColumn="0" w:lastRowLastColumn="0"/>
            </w:pPr>
            <w:r>
              <w:t>N/A</w:t>
            </w:r>
          </w:p>
        </w:tc>
        <w:tc>
          <w:tcPr>
            <w:tcW w:w="1662" w:type="dxa"/>
            <w:vAlign w:val="center"/>
          </w:tcPr>
          <w:p w14:paraId="5243B115" w14:textId="0961EE44" w:rsidR="003C7323" w:rsidRDefault="006B2A85" w:rsidP="00D06108">
            <w:pPr>
              <w:pStyle w:val="JBAParaText"/>
              <w:keepNext/>
              <w:ind w:left="0" w:right="-2"/>
              <w:jc w:val="center"/>
              <w:cnfStyle w:val="000000000000" w:firstRow="0" w:lastRow="0" w:firstColumn="0" w:lastColumn="0" w:oddVBand="0" w:evenVBand="0" w:oddHBand="0" w:evenHBand="0" w:firstRowFirstColumn="0" w:firstRowLastColumn="0" w:lastRowFirstColumn="0" w:lastRowLastColumn="0"/>
            </w:pPr>
            <w:r>
              <w:t>N/A</w:t>
            </w:r>
          </w:p>
        </w:tc>
        <w:tc>
          <w:tcPr>
            <w:tcW w:w="2220" w:type="dxa"/>
          </w:tcPr>
          <w:p w14:paraId="09ED5A2F" w14:textId="77777777" w:rsidR="003C7323" w:rsidRDefault="003C7323" w:rsidP="00191A3A">
            <w:pPr>
              <w:pStyle w:val="JBAParaText"/>
              <w:keepNext/>
              <w:ind w:left="0" w:right="-2"/>
              <w:cnfStyle w:val="000000000000" w:firstRow="0" w:lastRow="0" w:firstColumn="0" w:lastColumn="0" w:oddVBand="0" w:evenVBand="0" w:oddHBand="0" w:evenHBand="0" w:firstRowFirstColumn="0" w:firstRowLastColumn="0" w:lastRowFirstColumn="0" w:lastRowLastColumn="0"/>
            </w:pPr>
            <w:r>
              <w:t xml:space="preserve">Awareness of water scarcity is low - </w:t>
            </w:r>
          </w:p>
        </w:tc>
        <w:tc>
          <w:tcPr>
            <w:tcW w:w="2100" w:type="dxa"/>
          </w:tcPr>
          <w:p w14:paraId="71A97199" w14:textId="77777777" w:rsidR="003C7323" w:rsidRDefault="003C7323" w:rsidP="00191A3A">
            <w:pPr>
              <w:pStyle w:val="JBAParaText"/>
              <w:keepNext/>
              <w:ind w:left="0" w:right="-2"/>
              <w:cnfStyle w:val="000000000000" w:firstRow="0" w:lastRow="0" w:firstColumn="0" w:lastColumn="0" w:oddVBand="0" w:evenVBand="0" w:oddHBand="0" w:evenHBand="0" w:firstRowFirstColumn="0" w:firstRowLastColumn="0" w:lastRowFirstColumn="0" w:lastRowLastColumn="0"/>
            </w:pPr>
            <w:r>
              <w:t>Difficult to quantify benefits or demonstrate success / lacks certainty</w:t>
            </w:r>
          </w:p>
        </w:tc>
        <w:tc>
          <w:tcPr>
            <w:tcW w:w="1591" w:type="dxa"/>
          </w:tcPr>
          <w:p w14:paraId="0C77E116" w14:textId="77777777" w:rsidR="003C7323" w:rsidRDefault="003C7323" w:rsidP="00191A3A">
            <w:pPr>
              <w:pStyle w:val="JBAParaText"/>
              <w:keepNext/>
              <w:ind w:left="0" w:right="-2"/>
              <w:cnfStyle w:val="000000000000" w:firstRow="0" w:lastRow="0" w:firstColumn="0" w:lastColumn="0" w:oddVBand="0" w:evenVBand="0" w:oddHBand="0" w:evenHBand="0" w:firstRowFirstColumn="0" w:firstRowLastColumn="0" w:lastRowFirstColumn="0" w:lastRowLastColumn="0"/>
            </w:pPr>
            <w:r>
              <w:t>Southern Water / Waterwise</w:t>
            </w:r>
          </w:p>
        </w:tc>
      </w:tr>
      <w:tr w:rsidR="003C7323" w14:paraId="530EED0B" w14:textId="77777777" w:rsidTr="00090727">
        <w:tc>
          <w:tcPr>
            <w:cnfStyle w:val="001000000000" w:firstRow="0" w:lastRow="0" w:firstColumn="1" w:lastColumn="0" w:oddVBand="0" w:evenVBand="0" w:oddHBand="0" w:evenHBand="0" w:firstRowFirstColumn="0" w:firstRowLastColumn="0" w:lastRowFirstColumn="0" w:lastRowLastColumn="0"/>
            <w:tcW w:w="1804" w:type="dxa"/>
            <w:vAlign w:val="center"/>
          </w:tcPr>
          <w:p w14:paraId="7CCDF930" w14:textId="77777777" w:rsidR="003C7323" w:rsidRDefault="003C7323" w:rsidP="00191A3A">
            <w:pPr>
              <w:pStyle w:val="JBAParaText"/>
              <w:ind w:left="0" w:right="25"/>
            </w:pPr>
            <w:r>
              <w:t>Wastewater re-direction</w:t>
            </w:r>
          </w:p>
        </w:tc>
        <w:tc>
          <w:tcPr>
            <w:tcW w:w="1750" w:type="dxa"/>
            <w:vAlign w:val="center"/>
          </w:tcPr>
          <w:p w14:paraId="04DDB421" w14:textId="77777777" w:rsidR="003C7323" w:rsidRDefault="003C7323" w:rsidP="00D06108">
            <w:pPr>
              <w:pStyle w:val="JBAParaText"/>
              <w:keepNext/>
              <w:ind w:left="0" w:right="-2"/>
              <w:jc w:val="center"/>
              <w:cnfStyle w:val="000000000000" w:firstRow="0" w:lastRow="0" w:firstColumn="0" w:lastColumn="0" w:oddVBand="0" w:evenVBand="0" w:oddHBand="0" w:evenHBand="0" w:firstRowFirstColumn="0" w:firstRowLastColumn="0" w:lastRowFirstColumn="0" w:lastRowLastColumn="0"/>
            </w:pPr>
            <w:r>
              <w:t>Complete</w:t>
            </w:r>
          </w:p>
        </w:tc>
        <w:tc>
          <w:tcPr>
            <w:tcW w:w="1350" w:type="dxa"/>
            <w:vAlign w:val="center"/>
          </w:tcPr>
          <w:p w14:paraId="49A8DA25" w14:textId="04B5597D" w:rsidR="003C7323" w:rsidRDefault="006B2A85" w:rsidP="00D06108">
            <w:pPr>
              <w:pStyle w:val="JBAParaText"/>
              <w:keepNext/>
              <w:ind w:left="0" w:right="-2"/>
              <w:jc w:val="center"/>
              <w:cnfStyle w:val="000000000000" w:firstRow="0" w:lastRow="0" w:firstColumn="0" w:lastColumn="0" w:oddVBand="0" w:evenVBand="0" w:oddHBand="0" w:evenHBand="0" w:firstRowFirstColumn="0" w:firstRowLastColumn="0" w:lastRowFirstColumn="0" w:lastRowLastColumn="0"/>
            </w:pPr>
            <w:r>
              <w:t>100%</w:t>
            </w:r>
          </w:p>
        </w:tc>
        <w:tc>
          <w:tcPr>
            <w:tcW w:w="1662" w:type="dxa"/>
            <w:vAlign w:val="center"/>
          </w:tcPr>
          <w:p w14:paraId="48541C0C" w14:textId="02F344F3" w:rsidR="003C7323" w:rsidRDefault="003C7323" w:rsidP="00D06108">
            <w:pPr>
              <w:pStyle w:val="JBAParaText"/>
              <w:keepNext/>
              <w:ind w:left="0" w:right="-2"/>
              <w:jc w:val="center"/>
              <w:cnfStyle w:val="000000000000" w:firstRow="0" w:lastRow="0" w:firstColumn="0" w:lastColumn="0" w:oddVBand="0" w:evenVBand="0" w:oddHBand="0" w:evenHBand="0" w:firstRowFirstColumn="0" w:firstRowLastColumn="0" w:lastRowFirstColumn="0" w:lastRowLastColumn="0"/>
            </w:pPr>
            <w:r>
              <w:t>100%</w:t>
            </w:r>
          </w:p>
        </w:tc>
        <w:tc>
          <w:tcPr>
            <w:tcW w:w="1662" w:type="dxa"/>
            <w:vAlign w:val="center"/>
          </w:tcPr>
          <w:p w14:paraId="5DC4CBD4" w14:textId="77777777" w:rsidR="003C7323" w:rsidRDefault="003C7323" w:rsidP="00D06108">
            <w:pPr>
              <w:pStyle w:val="JBAParaText"/>
              <w:keepNext/>
              <w:ind w:left="0" w:right="-2"/>
              <w:jc w:val="center"/>
              <w:cnfStyle w:val="000000000000" w:firstRow="0" w:lastRow="0" w:firstColumn="0" w:lastColumn="0" w:oddVBand="0" w:evenVBand="0" w:oddHBand="0" w:evenHBand="0" w:firstRowFirstColumn="0" w:firstRowLastColumn="0" w:lastRowFirstColumn="0" w:lastRowLastColumn="0"/>
            </w:pPr>
            <w:r>
              <w:t>100%</w:t>
            </w:r>
          </w:p>
        </w:tc>
        <w:tc>
          <w:tcPr>
            <w:tcW w:w="2220" w:type="dxa"/>
          </w:tcPr>
          <w:p w14:paraId="61CC6B31" w14:textId="77777777" w:rsidR="003C7323" w:rsidRDefault="003C7323" w:rsidP="00191A3A">
            <w:pPr>
              <w:pStyle w:val="JBAParaText"/>
              <w:keepNext/>
              <w:ind w:left="0" w:right="-2"/>
              <w:cnfStyle w:val="000000000000" w:firstRow="0" w:lastRow="0" w:firstColumn="0" w:lastColumn="0" w:oddVBand="0" w:evenVBand="0" w:oddHBand="0" w:evenHBand="0" w:firstRowFirstColumn="0" w:firstRowLastColumn="0" w:lastRowFirstColumn="0" w:lastRowLastColumn="0"/>
            </w:pPr>
          </w:p>
        </w:tc>
        <w:tc>
          <w:tcPr>
            <w:tcW w:w="2100" w:type="dxa"/>
          </w:tcPr>
          <w:p w14:paraId="7A391535" w14:textId="77777777" w:rsidR="003C7323" w:rsidRDefault="003C7323" w:rsidP="00191A3A">
            <w:pPr>
              <w:pStyle w:val="JBAParaText"/>
              <w:keepNext/>
              <w:ind w:left="0" w:right="-2"/>
              <w:cnfStyle w:val="000000000000" w:firstRow="0" w:lastRow="0" w:firstColumn="0" w:lastColumn="0" w:oddVBand="0" w:evenVBand="0" w:oddHBand="0" w:evenHBand="0" w:firstRowFirstColumn="0" w:firstRowLastColumn="0" w:lastRowFirstColumn="0" w:lastRowLastColumn="0"/>
            </w:pPr>
            <w:r>
              <w:t>Significant capital cost and potential environmental impact</w:t>
            </w:r>
          </w:p>
        </w:tc>
        <w:tc>
          <w:tcPr>
            <w:tcW w:w="1591" w:type="dxa"/>
          </w:tcPr>
          <w:p w14:paraId="7AEF8D5C" w14:textId="77777777" w:rsidR="003C7323" w:rsidRDefault="003C7323" w:rsidP="00191A3A">
            <w:pPr>
              <w:pStyle w:val="JBAParaText"/>
              <w:keepNext/>
              <w:ind w:left="0" w:right="-2"/>
              <w:cnfStyle w:val="000000000000" w:firstRow="0" w:lastRow="0" w:firstColumn="0" w:lastColumn="0" w:oddVBand="0" w:evenVBand="0" w:oddHBand="0" w:evenHBand="0" w:firstRowFirstColumn="0" w:firstRowLastColumn="0" w:lastRowFirstColumn="0" w:lastRowLastColumn="0"/>
            </w:pPr>
            <w:r>
              <w:t>Southern Water</w:t>
            </w:r>
          </w:p>
        </w:tc>
      </w:tr>
      <w:tr w:rsidR="003C7323" w14:paraId="11AC1804" w14:textId="77777777" w:rsidTr="00090727">
        <w:tc>
          <w:tcPr>
            <w:cnfStyle w:val="001000000000" w:firstRow="0" w:lastRow="0" w:firstColumn="1" w:lastColumn="0" w:oddVBand="0" w:evenVBand="0" w:oddHBand="0" w:evenHBand="0" w:firstRowFirstColumn="0" w:firstRowLastColumn="0" w:lastRowFirstColumn="0" w:lastRowLastColumn="0"/>
            <w:tcW w:w="1804" w:type="dxa"/>
            <w:vAlign w:val="center"/>
          </w:tcPr>
          <w:p w14:paraId="7EA8AB1D" w14:textId="77777777" w:rsidR="003C7323" w:rsidRDefault="003C7323" w:rsidP="00191A3A">
            <w:pPr>
              <w:pStyle w:val="JBAParaText"/>
              <w:ind w:left="0" w:right="25"/>
            </w:pPr>
            <w:r>
              <w:t>New water supplier from outside WRZ</w:t>
            </w:r>
          </w:p>
        </w:tc>
        <w:tc>
          <w:tcPr>
            <w:tcW w:w="1750" w:type="dxa"/>
            <w:vAlign w:val="center"/>
          </w:tcPr>
          <w:p w14:paraId="27B97BDC" w14:textId="77777777" w:rsidR="003C7323" w:rsidRDefault="003C7323" w:rsidP="00D06108">
            <w:pPr>
              <w:pStyle w:val="JBAParaText"/>
              <w:keepNext/>
              <w:ind w:left="0" w:right="-2"/>
              <w:jc w:val="center"/>
              <w:cnfStyle w:val="000000000000" w:firstRow="0" w:lastRow="0" w:firstColumn="0" w:lastColumn="0" w:oddVBand="0" w:evenVBand="0" w:oddHBand="0" w:evenHBand="0" w:firstRowFirstColumn="0" w:firstRowLastColumn="0" w:lastRowFirstColumn="0" w:lastRowLastColumn="0"/>
            </w:pPr>
            <w:r>
              <w:t>Unknown</w:t>
            </w:r>
          </w:p>
        </w:tc>
        <w:tc>
          <w:tcPr>
            <w:tcW w:w="1350" w:type="dxa"/>
            <w:vAlign w:val="center"/>
          </w:tcPr>
          <w:p w14:paraId="510A252A" w14:textId="3C36CA7B" w:rsidR="003C7323" w:rsidRDefault="006B2A85" w:rsidP="00D06108">
            <w:pPr>
              <w:pStyle w:val="JBAParaText"/>
              <w:keepNext/>
              <w:ind w:left="0" w:right="-2"/>
              <w:jc w:val="center"/>
              <w:cnfStyle w:val="000000000000" w:firstRow="0" w:lastRow="0" w:firstColumn="0" w:lastColumn="0" w:oddVBand="0" w:evenVBand="0" w:oddHBand="0" w:evenHBand="0" w:firstRowFirstColumn="0" w:firstRowLastColumn="0" w:lastRowFirstColumn="0" w:lastRowLastColumn="0"/>
            </w:pPr>
            <w:r>
              <w:t>-</w:t>
            </w:r>
          </w:p>
        </w:tc>
        <w:tc>
          <w:tcPr>
            <w:tcW w:w="1662" w:type="dxa"/>
            <w:vAlign w:val="center"/>
          </w:tcPr>
          <w:p w14:paraId="11D1785F" w14:textId="6DC59C4D" w:rsidR="003C7323" w:rsidRDefault="003C7323" w:rsidP="00D06108">
            <w:pPr>
              <w:pStyle w:val="JBAParaText"/>
              <w:keepNext/>
              <w:ind w:left="0" w:right="-2"/>
              <w:jc w:val="center"/>
              <w:cnfStyle w:val="000000000000" w:firstRow="0" w:lastRow="0" w:firstColumn="0" w:lastColumn="0" w:oddVBand="0" w:evenVBand="0" w:oddHBand="0" w:evenHBand="0" w:firstRowFirstColumn="0" w:firstRowLastColumn="0" w:lastRowFirstColumn="0" w:lastRowLastColumn="0"/>
            </w:pPr>
            <w:r>
              <w:t>-</w:t>
            </w:r>
          </w:p>
        </w:tc>
        <w:tc>
          <w:tcPr>
            <w:tcW w:w="1662" w:type="dxa"/>
            <w:vAlign w:val="center"/>
          </w:tcPr>
          <w:p w14:paraId="2C0398FF" w14:textId="77777777" w:rsidR="003C7323" w:rsidRDefault="003C7323" w:rsidP="00D06108">
            <w:pPr>
              <w:pStyle w:val="JBAParaText"/>
              <w:keepNext/>
              <w:ind w:left="0" w:right="-2"/>
              <w:jc w:val="center"/>
              <w:cnfStyle w:val="000000000000" w:firstRow="0" w:lastRow="0" w:firstColumn="0" w:lastColumn="0" w:oddVBand="0" w:evenVBand="0" w:oddHBand="0" w:evenHBand="0" w:firstRowFirstColumn="0" w:firstRowLastColumn="0" w:lastRowFirstColumn="0" w:lastRowLastColumn="0"/>
            </w:pPr>
            <w:r>
              <w:t>-</w:t>
            </w:r>
          </w:p>
        </w:tc>
        <w:tc>
          <w:tcPr>
            <w:tcW w:w="2220" w:type="dxa"/>
          </w:tcPr>
          <w:p w14:paraId="2111493A" w14:textId="77777777" w:rsidR="003C7323" w:rsidRDefault="003C7323" w:rsidP="00191A3A">
            <w:pPr>
              <w:pStyle w:val="JBAParaText"/>
              <w:keepNext/>
              <w:ind w:left="0" w:right="-2"/>
              <w:cnfStyle w:val="000000000000" w:firstRow="0" w:lastRow="0" w:firstColumn="0" w:lastColumn="0" w:oddVBand="0" w:evenVBand="0" w:oddHBand="0" w:evenHBand="0" w:firstRowFirstColumn="0" w:firstRowLastColumn="0" w:lastRowFirstColumn="0" w:lastRowLastColumn="0"/>
            </w:pPr>
            <w:r>
              <w:t>Utilise water resources from neighbouring WRZs</w:t>
            </w:r>
          </w:p>
        </w:tc>
        <w:tc>
          <w:tcPr>
            <w:tcW w:w="2100" w:type="dxa"/>
          </w:tcPr>
          <w:p w14:paraId="2F3300B3" w14:textId="77777777" w:rsidR="003C7323" w:rsidRDefault="003C7323" w:rsidP="00191A3A">
            <w:pPr>
              <w:pStyle w:val="JBAParaText"/>
              <w:keepNext/>
              <w:ind w:left="0" w:right="-2"/>
              <w:cnfStyle w:val="000000000000" w:firstRow="0" w:lastRow="0" w:firstColumn="0" w:lastColumn="0" w:oddVBand="0" w:evenVBand="0" w:oddHBand="0" w:evenHBand="0" w:firstRowFirstColumn="0" w:firstRowLastColumn="0" w:lastRowFirstColumn="0" w:lastRowLastColumn="0"/>
            </w:pPr>
            <w:r>
              <w:t>No identifiable surpluses in neighbouring zones.  May require strategic transfer from outside region.</w:t>
            </w:r>
          </w:p>
        </w:tc>
        <w:tc>
          <w:tcPr>
            <w:tcW w:w="1591" w:type="dxa"/>
          </w:tcPr>
          <w:p w14:paraId="52AEA992" w14:textId="77777777" w:rsidR="003C7323" w:rsidRDefault="003C7323" w:rsidP="00191A3A">
            <w:pPr>
              <w:pStyle w:val="JBAParaText"/>
              <w:keepNext/>
              <w:ind w:left="0" w:right="-2"/>
              <w:cnfStyle w:val="000000000000" w:firstRow="0" w:lastRow="0" w:firstColumn="0" w:lastColumn="0" w:oddVBand="0" w:evenVBand="0" w:oddHBand="0" w:evenHBand="0" w:firstRowFirstColumn="0" w:firstRowLastColumn="0" w:lastRowFirstColumn="0" w:lastRowLastColumn="0"/>
            </w:pPr>
            <w:r>
              <w:t>None identified through the WRMP19 process</w:t>
            </w:r>
          </w:p>
        </w:tc>
      </w:tr>
      <w:bookmarkEnd w:id="89"/>
    </w:tbl>
    <w:p w14:paraId="1221F9FE" w14:textId="77777777" w:rsidR="002F1D3A" w:rsidRDefault="002F1D3A" w:rsidP="005D4C76">
      <w:pPr>
        <w:pStyle w:val="JBAParaText"/>
        <w:ind w:left="0"/>
        <w:sectPr w:rsidR="002F1D3A" w:rsidSect="009C6DA1">
          <w:pgSz w:w="16838" w:h="11906" w:orient="landscape"/>
          <w:pgMar w:top="1701" w:right="1701" w:bottom="567" w:left="567" w:header="454" w:footer="170" w:gutter="0"/>
          <w:cols w:space="708"/>
          <w:docGrid w:linePitch="360"/>
        </w:sectPr>
      </w:pPr>
    </w:p>
    <w:p w14:paraId="1F97BDB5" w14:textId="77777777" w:rsidR="00E0488A" w:rsidRDefault="00E0488A" w:rsidP="00CE60AE">
      <w:pPr>
        <w:pStyle w:val="Heading2"/>
      </w:pPr>
      <w:bookmarkStart w:id="90" w:name="_Toc101856701"/>
      <w:r>
        <w:t>Impact on viability</w:t>
      </w:r>
      <w:bookmarkEnd w:id="90"/>
    </w:p>
    <w:p w14:paraId="1B5586A6" w14:textId="77777777" w:rsidR="005827B0" w:rsidRDefault="005827B0" w:rsidP="005827B0">
      <w:pPr>
        <w:pStyle w:val="Heading3"/>
      </w:pPr>
      <w:bookmarkStart w:id="91" w:name="_Toc101856702"/>
      <w:r>
        <w:t>Introduction</w:t>
      </w:r>
      <w:bookmarkEnd w:id="91"/>
    </w:p>
    <w:p w14:paraId="3B1B4321" w14:textId="77777777" w:rsidR="00E0488A" w:rsidRDefault="00E0488A" w:rsidP="00E0488A">
      <w:pPr>
        <w:pStyle w:val="JBAParaText"/>
      </w:pPr>
      <w:r>
        <w:t>The implementation of most schemes to achieve water neutrality will require funding</w:t>
      </w:r>
      <w:r w:rsidR="005827B0">
        <w:t>, either from developers, local councils, or the water companies</w:t>
      </w:r>
      <w:r>
        <w:t xml:space="preserve">.  </w:t>
      </w:r>
      <w:r w:rsidR="005827B0">
        <w:t xml:space="preserve">In some cases, this may have an </w:t>
      </w:r>
      <w:r>
        <w:t>impact on the viability of new housing in the water resource zone if measures are funded by</w:t>
      </w:r>
      <w:r w:rsidR="005827B0">
        <w:t xml:space="preserve"> or passed on to</w:t>
      </w:r>
      <w:r>
        <w:t xml:space="preserve"> developers.</w:t>
      </w:r>
    </w:p>
    <w:p w14:paraId="1FEB2501" w14:textId="666DF9EE" w:rsidR="005827B0" w:rsidRDefault="005827B0" w:rsidP="00E0488A">
      <w:pPr>
        <w:pStyle w:val="JBAParaText"/>
      </w:pPr>
      <w:r>
        <w:t xml:space="preserve">This section aims to provide some indicative </w:t>
      </w:r>
      <w:r w:rsidR="00CB44D8">
        <w:t xml:space="preserve">CAPEX </w:t>
      </w:r>
      <w:r>
        <w:t xml:space="preserve">costs for different measures in order to inform </w:t>
      </w:r>
      <w:r w:rsidR="00DD2E06">
        <w:t xml:space="preserve">separate housing </w:t>
      </w:r>
      <w:r>
        <w:t>viability assessment</w:t>
      </w:r>
      <w:r w:rsidR="00DD2E06">
        <w:t>s</w:t>
      </w:r>
      <w:r>
        <w:t xml:space="preserve">.  It is based on published cost data, and where possible adjusted to take into account inflation since the cost estimate was made.  It is recommended that councils undertake their own </w:t>
      </w:r>
      <w:r w:rsidR="009B422A">
        <w:t xml:space="preserve">viability </w:t>
      </w:r>
      <w:r>
        <w:t>assessment.</w:t>
      </w:r>
    </w:p>
    <w:p w14:paraId="1AF74CF1" w14:textId="5DBF4CF6" w:rsidR="00E0488A" w:rsidRDefault="005827B0" w:rsidP="005827B0">
      <w:pPr>
        <w:pStyle w:val="JBAParaText"/>
      </w:pPr>
      <w:r>
        <w:t>The cost of a water neutrality plan should be considered in two parts</w:t>
      </w:r>
      <w:r w:rsidR="00E0488A">
        <w:t>; the cost of making new housing more w</w:t>
      </w:r>
      <w:r w:rsidR="00D92B48">
        <w:t>ater efficient (</w:t>
      </w:r>
      <w:r w:rsidR="00EC428E">
        <w:t>i.e.,</w:t>
      </w:r>
      <w:r w:rsidR="00D92B48">
        <w:t xml:space="preserve"> driving the per capita consumption below 100 l/p/d to one of the more ambitious scenarios of 8</w:t>
      </w:r>
      <w:r w:rsidR="00153016">
        <w:t>5</w:t>
      </w:r>
      <w:r w:rsidR="00D92B48">
        <w:t xml:space="preserve">l/p/d or 62 l/p/d) and the cost of offsetting that demand </w:t>
      </w:r>
      <w:r w:rsidR="00871CF6">
        <w:t xml:space="preserve">for instance </w:t>
      </w:r>
      <w:r w:rsidR="00D92B48">
        <w:t xml:space="preserve">through </w:t>
      </w:r>
      <w:r w:rsidR="00871CF6">
        <w:t xml:space="preserve">demand management </w:t>
      </w:r>
      <w:r w:rsidR="00D92B48">
        <w:t xml:space="preserve">measures in the </w:t>
      </w:r>
      <w:r w:rsidR="009B422A">
        <w:t>WRZ</w:t>
      </w:r>
      <w:r w:rsidR="00D92B48">
        <w:t>.</w:t>
      </w:r>
    </w:p>
    <w:p w14:paraId="1C4F6829" w14:textId="77777777" w:rsidR="005827B0" w:rsidRDefault="005827B0" w:rsidP="005827B0">
      <w:pPr>
        <w:pStyle w:val="Heading3"/>
      </w:pPr>
      <w:bookmarkStart w:id="92" w:name="_Toc101856703"/>
      <w:r>
        <w:t>Demand reduction</w:t>
      </w:r>
      <w:bookmarkEnd w:id="92"/>
    </w:p>
    <w:p w14:paraId="2D5B9F9F" w14:textId="485E5400" w:rsidR="00D92B48" w:rsidRDefault="00350EDA" w:rsidP="00E0488A">
      <w:pPr>
        <w:pStyle w:val="JBAParaText"/>
      </w:pPr>
      <w:r>
        <w:t>It is for developers to determine a sustainable solution for their site in order to achieve the required water efficiency target.  Evidence suggests that a PCC of 85 l/p/d is achievable with water efficien</w:t>
      </w:r>
      <w:r w:rsidR="0044547E">
        <w:t>t</w:t>
      </w:r>
      <w:r>
        <w:t xml:space="preserve"> fittings and behaviour change, but in </w:t>
      </w:r>
      <w:r w:rsidR="00D92B48">
        <w:t xml:space="preserve">order to drive PCC below </w:t>
      </w:r>
      <w:r>
        <w:t>this figure</w:t>
      </w:r>
      <w:r w:rsidR="00D92B48">
        <w:t xml:space="preserve"> it is likely that RwH or GwR </w:t>
      </w:r>
      <w:r>
        <w:t xml:space="preserve">may </w:t>
      </w:r>
      <w:r w:rsidR="00D92B48">
        <w:t>be required.  The cost of installing these systems in new build housing was studied by a</w:t>
      </w:r>
      <w:r w:rsidR="00DD2E06">
        <w:t xml:space="preserve"> 2014</w:t>
      </w:r>
      <w:r w:rsidR="00D92B48">
        <w:t xml:space="preserve"> Government report on the cost of implementing </w:t>
      </w:r>
      <w:r w:rsidR="005827B0">
        <w:t>different proposed housing standards</w:t>
      </w:r>
      <w:r w:rsidR="00EC428E">
        <w:rPr>
          <w:rStyle w:val="FootnoteReference"/>
        </w:rPr>
        <w:footnoteReference w:id="20"/>
      </w:r>
      <w:r w:rsidR="00D92B48">
        <w:t>.  The estimated costs are summarised below</w:t>
      </w:r>
      <w:r w:rsidR="00ED0D02">
        <w:t>.</w:t>
      </w:r>
    </w:p>
    <w:p w14:paraId="2F076F7A" w14:textId="6D7B883F" w:rsidR="00ED0D02" w:rsidRDefault="00ED0D02" w:rsidP="00ED0D02">
      <w:pPr>
        <w:pStyle w:val="Caption"/>
        <w:keepNext/>
      </w:pPr>
      <w:bookmarkStart w:id="93" w:name="_Ref80080881"/>
      <w:bookmarkStart w:id="94" w:name="_Toc101856744"/>
      <w:r>
        <w:t xml:space="preserve">Table </w:t>
      </w:r>
      <w:r w:rsidR="00E6462B">
        <w:fldChar w:fldCharType="begin"/>
      </w:r>
      <w:r w:rsidR="00E6462B">
        <w:instrText xml:space="preserve"> STYLEREF 1 \s </w:instrText>
      </w:r>
      <w:r w:rsidR="00E6462B">
        <w:fldChar w:fldCharType="separate"/>
      </w:r>
      <w:r w:rsidR="00643E47">
        <w:rPr>
          <w:noProof/>
        </w:rPr>
        <w:t>4</w:t>
      </w:r>
      <w:r w:rsidR="00E6462B">
        <w:rPr>
          <w:noProof/>
        </w:rPr>
        <w:fldChar w:fldCharType="end"/>
      </w:r>
      <w:r w:rsidR="00DF396A">
        <w:t>.</w:t>
      </w:r>
      <w:r w:rsidR="00E6462B">
        <w:fldChar w:fldCharType="begin"/>
      </w:r>
      <w:r w:rsidR="00E6462B">
        <w:instrText xml:space="preserve"> SEQ Tab</w:instrText>
      </w:r>
      <w:r w:rsidR="00E6462B">
        <w:instrText xml:space="preserve">le \* ARABIC \s 1 </w:instrText>
      </w:r>
      <w:r w:rsidR="00E6462B">
        <w:fldChar w:fldCharType="separate"/>
      </w:r>
      <w:r w:rsidR="00643E47">
        <w:rPr>
          <w:noProof/>
        </w:rPr>
        <w:t>2</w:t>
      </w:r>
      <w:r w:rsidR="00E6462B">
        <w:rPr>
          <w:noProof/>
        </w:rPr>
        <w:fldChar w:fldCharType="end"/>
      </w:r>
      <w:bookmarkEnd w:id="93"/>
      <w:r>
        <w:t xml:space="preserve"> Estimated cost of fitting RwH to new building housing</w:t>
      </w:r>
      <w:bookmarkEnd w:id="94"/>
    </w:p>
    <w:tbl>
      <w:tblPr>
        <w:tblStyle w:val="JBATable13"/>
        <w:tblW w:w="5273" w:type="dxa"/>
        <w:tblInd w:w="1668" w:type="dxa"/>
        <w:tblLook w:val="04A0" w:firstRow="1" w:lastRow="0" w:firstColumn="1" w:lastColumn="0" w:noHBand="0" w:noVBand="1"/>
      </w:tblPr>
      <w:tblGrid>
        <w:gridCol w:w="2863"/>
        <w:gridCol w:w="2410"/>
      </w:tblGrid>
      <w:tr w:rsidR="00D92B48" w14:paraId="66C00B90" w14:textId="77777777" w:rsidTr="009B422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863" w:type="dxa"/>
          </w:tcPr>
          <w:p w14:paraId="4B4C778F" w14:textId="77777777" w:rsidR="00D92B48" w:rsidRDefault="00D92B48" w:rsidP="00DD2E06">
            <w:pPr>
              <w:pStyle w:val="JBAParaText"/>
              <w:ind w:left="0" w:right="25"/>
              <w:jc w:val="center"/>
            </w:pPr>
            <w:r>
              <w:t>Dwelling type</w:t>
            </w:r>
          </w:p>
        </w:tc>
        <w:tc>
          <w:tcPr>
            <w:tcW w:w="2410" w:type="dxa"/>
          </w:tcPr>
          <w:p w14:paraId="4F93736D" w14:textId="77777777" w:rsidR="00D92B48" w:rsidRDefault="00D92B48" w:rsidP="00DD2E06">
            <w:pPr>
              <w:pStyle w:val="JBAParaText"/>
              <w:ind w:left="0" w:right="-2"/>
              <w:jc w:val="center"/>
              <w:cnfStyle w:val="100000000000" w:firstRow="1" w:lastRow="0" w:firstColumn="0" w:lastColumn="0" w:oddVBand="0" w:evenVBand="0" w:oddHBand="0" w:evenHBand="0" w:firstRowFirstColumn="0" w:firstRowLastColumn="0" w:lastRowFirstColumn="0" w:lastRowLastColumn="0"/>
            </w:pPr>
            <w:r>
              <w:t>Estimated cost*</w:t>
            </w:r>
          </w:p>
        </w:tc>
      </w:tr>
      <w:tr w:rsidR="00D92B48" w14:paraId="50D4E50B" w14:textId="77777777" w:rsidTr="009B422A">
        <w:tc>
          <w:tcPr>
            <w:cnfStyle w:val="001000000000" w:firstRow="0" w:lastRow="0" w:firstColumn="1" w:lastColumn="0" w:oddVBand="0" w:evenVBand="0" w:oddHBand="0" w:evenHBand="0" w:firstRowFirstColumn="0" w:firstRowLastColumn="0" w:lastRowFirstColumn="0" w:lastRowLastColumn="0"/>
            <w:tcW w:w="2863" w:type="dxa"/>
          </w:tcPr>
          <w:p w14:paraId="708893E3" w14:textId="77777777" w:rsidR="00D92B48" w:rsidRDefault="00D92B48" w:rsidP="00DD2E06">
            <w:pPr>
              <w:pStyle w:val="JBAParaText"/>
              <w:ind w:left="0" w:right="25"/>
            </w:pPr>
            <w:r>
              <w:t>1 Bed Apartment</w:t>
            </w:r>
          </w:p>
        </w:tc>
        <w:tc>
          <w:tcPr>
            <w:tcW w:w="2410" w:type="dxa"/>
          </w:tcPr>
          <w:p w14:paraId="429E5FFA" w14:textId="77777777" w:rsidR="00D92B48" w:rsidRDefault="00D92B48" w:rsidP="00D92B48">
            <w:pPr>
              <w:pStyle w:val="JBAParaText"/>
              <w:ind w:left="0" w:right="-2"/>
              <w:jc w:val="center"/>
              <w:cnfStyle w:val="000000000000" w:firstRow="0" w:lastRow="0" w:firstColumn="0" w:lastColumn="0" w:oddVBand="0" w:evenVBand="0" w:oddHBand="0" w:evenHBand="0" w:firstRowFirstColumn="0" w:firstRowLastColumn="0" w:lastRowFirstColumn="0" w:lastRowLastColumn="0"/>
            </w:pPr>
            <w:r>
              <w:t>£1,016</w:t>
            </w:r>
          </w:p>
        </w:tc>
      </w:tr>
      <w:tr w:rsidR="00D92B48" w14:paraId="0D2514F2" w14:textId="77777777" w:rsidTr="009B422A">
        <w:tc>
          <w:tcPr>
            <w:cnfStyle w:val="001000000000" w:firstRow="0" w:lastRow="0" w:firstColumn="1" w:lastColumn="0" w:oddVBand="0" w:evenVBand="0" w:oddHBand="0" w:evenHBand="0" w:firstRowFirstColumn="0" w:firstRowLastColumn="0" w:lastRowFirstColumn="0" w:lastRowLastColumn="0"/>
            <w:tcW w:w="2863" w:type="dxa"/>
          </w:tcPr>
          <w:p w14:paraId="1263AE11" w14:textId="77777777" w:rsidR="00D92B48" w:rsidRDefault="00D92B48" w:rsidP="00DD2E06">
            <w:pPr>
              <w:pStyle w:val="JBAParaText"/>
              <w:ind w:left="0" w:right="25"/>
            </w:pPr>
            <w:r>
              <w:t>2 Bed Apartment</w:t>
            </w:r>
          </w:p>
        </w:tc>
        <w:tc>
          <w:tcPr>
            <w:tcW w:w="2410" w:type="dxa"/>
          </w:tcPr>
          <w:p w14:paraId="15197834" w14:textId="77777777" w:rsidR="00D92B48" w:rsidRDefault="00D92B48" w:rsidP="00D92B48">
            <w:pPr>
              <w:pStyle w:val="JBAParaText"/>
              <w:ind w:left="0" w:right="-2"/>
              <w:jc w:val="center"/>
              <w:cnfStyle w:val="000000000000" w:firstRow="0" w:lastRow="0" w:firstColumn="0" w:lastColumn="0" w:oddVBand="0" w:evenVBand="0" w:oddHBand="0" w:evenHBand="0" w:firstRowFirstColumn="0" w:firstRowLastColumn="0" w:lastRowFirstColumn="0" w:lastRowLastColumn="0"/>
            </w:pPr>
            <w:r>
              <w:t>£1,016</w:t>
            </w:r>
          </w:p>
        </w:tc>
      </w:tr>
      <w:tr w:rsidR="00D92B48" w14:paraId="2A302796" w14:textId="77777777" w:rsidTr="009B422A">
        <w:tc>
          <w:tcPr>
            <w:cnfStyle w:val="001000000000" w:firstRow="0" w:lastRow="0" w:firstColumn="1" w:lastColumn="0" w:oddVBand="0" w:evenVBand="0" w:oddHBand="0" w:evenHBand="0" w:firstRowFirstColumn="0" w:firstRowLastColumn="0" w:lastRowFirstColumn="0" w:lastRowLastColumn="0"/>
            <w:tcW w:w="2863" w:type="dxa"/>
          </w:tcPr>
          <w:p w14:paraId="62A14847" w14:textId="77777777" w:rsidR="00D92B48" w:rsidRDefault="00D92B48" w:rsidP="00DD2E06">
            <w:pPr>
              <w:pStyle w:val="JBAParaText"/>
              <w:ind w:left="0" w:right="25"/>
            </w:pPr>
            <w:r>
              <w:t>2 Bed Terrace</w:t>
            </w:r>
          </w:p>
        </w:tc>
        <w:tc>
          <w:tcPr>
            <w:tcW w:w="2410" w:type="dxa"/>
          </w:tcPr>
          <w:p w14:paraId="605EA6C1" w14:textId="77777777" w:rsidR="00D92B48" w:rsidRDefault="00D92B48" w:rsidP="00D92B48">
            <w:pPr>
              <w:pStyle w:val="JBAParaText"/>
              <w:keepNext/>
              <w:ind w:left="0" w:right="-2"/>
              <w:jc w:val="center"/>
              <w:cnfStyle w:val="000000000000" w:firstRow="0" w:lastRow="0" w:firstColumn="0" w:lastColumn="0" w:oddVBand="0" w:evenVBand="0" w:oddHBand="0" w:evenHBand="0" w:firstRowFirstColumn="0" w:firstRowLastColumn="0" w:lastRowFirstColumn="0" w:lastRowLastColumn="0"/>
            </w:pPr>
            <w:r>
              <w:t>£2,497</w:t>
            </w:r>
          </w:p>
        </w:tc>
      </w:tr>
      <w:tr w:rsidR="00D92B48" w14:paraId="7AEA547D" w14:textId="77777777" w:rsidTr="009B422A">
        <w:tc>
          <w:tcPr>
            <w:cnfStyle w:val="001000000000" w:firstRow="0" w:lastRow="0" w:firstColumn="1" w:lastColumn="0" w:oddVBand="0" w:evenVBand="0" w:oddHBand="0" w:evenHBand="0" w:firstRowFirstColumn="0" w:firstRowLastColumn="0" w:lastRowFirstColumn="0" w:lastRowLastColumn="0"/>
            <w:tcW w:w="2863" w:type="dxa"/>
          </w:tcPr>
          <w:p w14:paraId="146B676F" w14:textId="77777777" w:rsidR="00D92B48" w:rsidRDefault="00D92B48" w:rsidP="00DD2E06">
            <w:pPr>
              <w:pStyle w:val="JBAParaText"/>
              <w:ind w:left="0" w:right="25"/>
            </w:pPr>
            <w:r>
              <w:t>3 Bed Semi-detached</w:t>
            </w:r>
          </w:p>
        </w:tc>
        <w:tc>
          <w:tcPr>
            <w:tcW w:w="2410" w:type="dxa"/>
          </w:tcPr>
          <w:p w14:paraId="776BBACD" w14:textId="77777777" w:rsidR="00D92B48" w:rsidRDefault="00D92B48" w:rsidP="00D92B48">
            <w:pPr>
              <w:pStyle w:val="JBAParaText"/>
              <w:keepNext/>
              <w:ind w:left="0" w:right="-2"/>
              <w:jc w:val="center"/>
              <w:cnfStyle w:val="000000000000" w:firstRow="0" w:lastRow="0" w:firstColumn="0" w:lastColumn="0" w:oddVBand="0" w:evenVBand="0" w:oddHBand="0" w:evenHBand="0" w:firstRowFirstColumn="0" w:firstRowLastColumn="0" w:lastRowFirstColumn="0" w:lastRowLastColumn="0"/>
            </w:pPr>
            <w:r>
              <w:t>£3,062</w:t>
            </w:r>
          </w:p>
        </w:tc>
      </w:tr>
      <w:tr w:rsidR="00D92B48" w14:paraId="7C4B9731" w14:textId="77777777" w:rsidTr="009B422A">
        <w:tc>
          <w:tcPr>
            <w:cnfStyle w:val="001000000000" w:firstRow="0" w:lastRow="0" w:firstColumn="1" w:lastColumn="0" w:oddVBand="0" w:evenVBand="0" w:oddHBand="0" w:evenHBand="0" w:firstRowFirstColumn="0" w:firstRowLastColumn="0" w:lastRowFirstColumn="0" w:lastRowLastColumn="0"/>
            <w:tcW w:w="2863" w:type="dxa"/>
          </w:tcPr>
          <w:p w14:paraId="0AB82FBB" w14:textId="77777777" w:rsidR="00D92B48" w:rsidRDefault="00D92B48" w:rsidP="00DD2E06">
            <w:pPr>
              <w:pStyle w:val="JBAParaText"/>
              <w:ind w:left="0" w:right="25"/>
            </w:pPr>
            <w:r>
              <w:t>4 Bed Detached</w:t>
            </w:r>
          </w:p>
        </w:tc>
        <w:tc>
          <w:tcPr>
            <w:tcW w:w="2410" w:type="dxa"/>
          </w:tcPr>
          <w:p w14:paraId="570BD733" w14:textId="77777777" w:rsidR="00D92B48" w:rsidRDefault="00D92B48" w:rsidP="00D92B48">
            <w:pPr>
              <w:pStyle w:val="JBAParaText"/>
              <w:keepNext/>
              <w:ind w:left="0" w:right="-2"/>
              <w:jc w:val="center"/>
              <w:cnfStyle w:val="000000000000" w:firstRow="0" w:lastRow="0" w:firstColumn="0" w:lastColumn="0" w:oddVBand="0" w:evenVBand="0" w:oddHBand="0" w:evenHBand="0" w:firstRowFirstColumn="0" w:firstRowLastColumn="0" w:lastRowFirstColumn="0" w:lastRowLastColumn="0"/>
            </w:pPr>
            <w:r>
              <w:t>£3,062</w:t>
            </w:r>
          </w:p>
        </w:tc>
      </w:tr>
    </w:tbl>
    <w:p w14:paraId="7AF42091" w14:textId="77777777" w:rsidR="005827B0" w:rsidRPr="005827B0" w:rsidRDefault="005827B0" w:rsidP="005827B0">
      <w:pPr>
        <w:pStyle w:val="JBAParaText"/>
        <w:rPr>
          <w:i/>
          <w:iCs/>
        </w:rPr>
      </w:pPr>
      <w:r w:rsidRPr="005827B0">
        <w:rPr>
          <w:i/>
          <w:iCs/>
        </w:rPr>
        <w:t>*2014 cost adjusted to 2020 using Bank of England calculator</w:t>
      </w:r>
      <w:r w:rsidRPr="005827B0">
        <w:rPr>
          <w:rStyle w:val="FootnoteReference"/>
          <w:i/>
          <w:iCs/>
        </w:rPr>
        <w:footnoteReference w:id="21"/>
      </w:r>
    </w:p>
    <w:p w14:paraId="02925EEE" w14:textId="73B2B772" w:rsidR="00D528DC" w:rsidRDefault="00D230B1" w:rsidP="005827B0">
      <w:pPr>
        <w:pStyle w:val="JBAParaText"/>
      </w:pPr>
      <w:r>
        <w:t xml:space="preserve">Greywater recycling was not considered in the </w:t>
      </w:r>
      <w:r w:rsidR="00DD2E06">
        <w:t>2014</w:t>
      </w:r>
      <w:r>
        <w:t xml:space="preserve"> report due to the “significant cost and complexity” of a GwR system</w:t>
      </w:r>
      <w:r w:rsidR="00D528DC" w:rsidRPr="00D528DC">
        <w:t xml:space="preserve"> </w:t>
      </w:r>
      <w:r w:rsidR="00D528DC">
        <w:t>at the time</w:t>
      </w:r>
      <w:r w:rsidR="003328AD">
        <w:t xml:space="preserve">, so comparable costs to </w:t>
      </w:r>
      <w:r w:rsidR="003328AD">
        <w:fldChar w:fldCharType="begin"/>
      </w:r>
      <w:r w:rsidR="003328AD">
        <w:instrText xml:space="preserve"> REF _Ref80080881 \h </w:instrText>
      </w:r>
      <w:r w:rsidR="003328AD">
        <w:fldChar w:fldCharType="separate"/>
      </w:r>
      <w:r w:rsidR="00643E47">
        <w:t xml:space="preserve">Table </w:t>
      </w:r>
      <w:r w:rsidR="00643E47">
        <w:rPr>
          <w:noProof/>
        </w:rPr>
        <w:t>4</w:t>
      </w:r>
      <w:r w:rsidR="00643E47">
        <w:t>.</w:t>
      </w:r>
      <w:r w:rsidR="00643E47">
        <w:rPr>
          <w:noProof/>
        </w:rPr>
        <w:t>2</w:t>
      </w:r>
      <w:r w:rsidR="003328AD">
        <w:fldChar w:fldCharType="end"/>
      </w:r>
      <w:r w:rsidR="003328AD">
        <w:t xml:space="preserve"> are not available</w:t>
      </w:r>
      <w:r>
        <w:t xml:space="preserve">. </w:t>
      </w:r>
      <w:r w:rsidR="00D528DC">
        <w:t xml:space="preserve"> </w:t>
      </w:r>
    </w:p>
    <w:p w14:paraId="44507480" w14:textId="77777777" w:rsidR="003328AD" w:rsidRDefault="00D528DC" w:rsidP="005827B0">
      <w:pPr>
        <w:pStyle w:val="JBAParaText"/>
      </w:pPr>
      <w:r>
        <w:t>Waterwise commissioned a report on the costs and benefits of RwH and GwR systems</w:t>
      </w:r>
      <w:r w:rsidR="00FD4F61">
        <w:rPr>
          <w:rStyle w:val="FootnoteReference"/>
        </w:rPr>
        <w:footnoteReference w:id="22"/>
      </w:r>
      <w:r>
        <w:t xml:space="preserve">.  Costs </w:t>
      </w:r>
      <w:r w:rsidR="000E792B">
        <w:t>of</w:t>
      </w:r>
      <w:r>
        <w:t xml:space="preserve"> different sized schemes were presented based on </w:t>
      </w:r>
      <w:r w:rsidR="000E792B">
        <w:t xml:space="preserve">the reported costs contained in </w:t>
      </w:r>
      <w:r>
        <w:t>survey responses from suppliers</w:t>
      </w:r>
      <w:r w:rsidR="000E792B">
        <w:t xml:space="preserve">.  Unfortunately, these costs are averaged from a small number of responses and skewed towards commercial schemes that are different in design to </w:t>
      </w:r>
      <w:r w:rsidR="00DD2E06">
        <w:t>most residential development being planned in the Sussex North WRZ.  For example, RwH applied to a school, office complex or hotel would require only internal distribution pipework, whereas a significant, below-ground distribution network would be required to supply low to medium density housing developments.</w:t>
      </w:r>
      <w:r w:rsidR="000E792B">
        <w:t xml:space="preserve">  The</w:t>
      </w:r>
      <w:r w:rsidR="00DD2E06">
        <w:t xml:space="preserve"> costs in the Waterwise report cannot,</w:t>
      </w:r>
      <w:r w:rsidR="000E792B">
        <w:t xml:space="preserve"> therefore</w:t>
      </w:r>
      <w:r w:rsidR="00DD2E06">
        <w:t>,</w:t>
      </w:r>
      <w:r w:rsidR="000E792B">
        <w:t xml:space="preserve"> be used in this study to provide a </w:t>
      </w:r>
      <w:r w:rsidR="00FD4F61">
        <w:t xml:space="preserve">reliable </w:t>
      </w:r>
      <w:r w:rsidR="000E792B">
        <w:t>cost per dwelling.  The particularly low number of responses for GwR schemes reflects how new this technology is for residential developments</w:t>
      </w:r>
      <w:r w:rsidR="00DD2E06">
        <w:t xml:space="preserve"> in the UK</w:t>
      </w:r>
      <w:r w:rsidR="000E792B">
        <w:t xml:space="preserve">. </w:t>
      </w:r>
    </w:p>
    <w:p w14:paraId="5D923A80" w14:textId="1C1B9552" w:rsidR="00A0706D" w:rsidRDefault="003328AD" w:rsidP="003328AD">
      <w:pPr>
        <w:pStyle w:val="JBAParaText"/>
      </w:pPr>
      <w:r>
        <w:t xml:space="preserve">The report does state the cost of a small-scale domestic system as £900 to £3,000, which is comparable to the RwH costs in </w:t>
      </w:r>
      <w:r>
        <w:fldChar w:fldCharType="begin"/>
      </w:r>
      <w:r>
        <w:instrText xml:space="preserve"> REF _Ref80080881 \h </w:instrText>
      </w:r>
      <w:r>
        <w:fldChar w:fldCharType="separate"/>
      </w:r>
      <w:r w:rsidR="00643E47">
        <w:t xml:space="preserve">Table </w:t>
      </w:r>
      <w:r w:rsidR="00643E47">
        <w:rPr>
          <w:noProof/>
        </w:rPr>
        <w:t>4</w:t>
      </w:r>
      <w:r w:rsidR="00643E47">
        <w:t>.</w:t>
      </w:r>
      <w:r w:rsidR="00643E47">
        <w:rPr>
          <w:noProof/>
        </w:rPr>
        <w:t>2</w:t>
      </w:r>
      <w:r>
        <w:fldChar w:fldCharType="end"/>
      </w:r>
      <w:r>
        <w:t xml:space="preserve">.  For large-scale schemes, the costs appear to be greater for GwR than RwH, however, the size bands used by Ricardo are </w:t>
      </w:r>
      <w:r w:rsidR="00FD4F61">
        <w:t>different</w:t>
      </w:r>
      <w:r w:rsidR="001F2389">
        <w:t>,</w:t>
      </w:r>
      <w:r>
        <w:t xml:space="preserve"> so</w:t>
      </w:r>
      <w:r w:rsidR="00FD4F61">
        <w:t xml:space="preserve"> it is not possible to directly compare the costs.</w:t>
      </w:r>
      <w:r w:rsidR="000E792B">
        <w:t xml:space="preserve"> </w:t>
      </w:r>
      <w:r w:rsidR="003B2454">
        <w:t xml:space="preserve"> </w:t>
      </w:r>
    </w:p>
    <w:p w14:paraId="4DDB35D6" w14:textId="77777777" w:rsidR="005827B0" w:rsidRDefault="00D230B1" w:rsidP="00D230B1">
      <w:pPr>
        <w:pStyle w:val="Heading3"/>
      </w:pPr>
      <w:bookmarkStart w:id="95" w:name="_Toc101856704"/>
      <w:r>
        <w:t>Offsetting</w:t>
      </w:r>
      <w:bookmarkEnd w:id="95"/>
    </w:p>
    <w:p w14:paraId="6DAD3DD0" w14:textId="77777777" w:rsidR="005827B0" w:rsidRDefault="005827B0" w:rsidP="005827B0">
      <w:pPr>
        <w:pStyle w:val="JBAParaText"/>
      </w:pPr>
      <w:r>
        <w:t>Once demand from new</w:t>
      </w:r>
      <w:r w:rsidR="008659D3">
        <w:t xml:space="preserve"> </w:t>
      </w:r>
      <w:r>
        <w:t>build housing has been reduced as far as practicable, the cost of offsetting the rest of this demand needs to be considered.</w:t>
      </w:r>
    </w:p>
    <w:p w14:paraId="2A29440F" w14:textId="77777777" w:rsidR="005827B0" w:rsidRDefault="005827B0" w:rsidP="00ED0D02">
      <w:pPr>
        <w:pStyle w:val="JBAParaText"/>
      </w:pPr>
      <w:r>
        <w:t xml:space="preserve">One of the most effective methods is through household visits to provide advice on water use and fit water saving devices.  In Southern Water’s pilot scheme in the Greater Brighton area, the cost of one visit was found to be £70 to £100, and the average impact was 36 litres per household per day. </w:t>
      </w:r>
      <w:r w:rsidR="002604FC">
        <w:t xml:space="preserve"> </w:t>
      </w:r>
      <w:r w:rsidR="004C21B1">
        <w:t>However, r</w:t>
      </w:r>
      <w:r w:rsidR="002604FC">
        <w:t>ecent data suggests th</w:t>
      </w:r>
      <w:r w:rsidR="004C21B1">
        <w:t xml:space="preserve">is figure is reduced to </w:t>
      </w:r>
      <w:r w:rsidR="002604FC">
        <w:t>24 litres per household</w:t>
      </w:r>
      <w:r w:rsidR="005D4C76">
        <w:t>,</w:t>
      </w:r>
      <w:r w:rsidR="002604FC">
        <w:t xml:space="preserve"> </w:t>
      </w:r>
      <w:r w:rsidR="004C21B1">
        <w:t xml:space="preserve">so this lower figure </w:t>
      </w:r>
      <w:r w:rsidR="003B39C2">
        <w:t>was</w:t>
      </w:r>
      <w:r w:rsidR="004C21B1">
        <w:t xml:space="preserve"> used in the cost estimates below.</w:t>
      </w:r>
    </w:p>
    <w:p w14:paraId="0C24B1B8" w14:textId="44F3E0B0" w:rsidR="00B47711" w:rsidRDefault="00422C3F" w:rsidP="001F2389">
      <w:pPr>
        <w:pStyle w:val="JBAParaText"/>
      </w:pPr>
      <w:r>
        <w:t xml:space="preserve">These figures have been applied to growth in the WRZ in order to estimate the number of household visits and cost to offset each new dwelling.  In this analysis, just the demand from housing was considered, and the </w:t>
      </w:r>
      <w:r w:rsidR="006205B7">
        <w:t>upper end of the cost range was used</w:t>
      </w:r>
      <w:r>
        <w:t xml:space="preserve">. </w:t>
      </w:r>
      <w:r w:rsidR="00B47711">
        <w:t xml:space="preserve"> The costs stated in</w:t>
      </w:r>
      <w:r w:rsidR="001F2389">
        <w:t xml:space="preserve"> </w:t>
      </w:r>
      <w:r w:rsidR="001F2389">
        <w:fldChar w:fldCharType="begin"/>
      </w:r>
      <w:r w:rsidR="001F2389">
        <w:instrText xml:space="preserve"> REF _Ref89163614 \h </w:instrText>
      </w:r>
      <w:r w:rsidR="001F2389">
        <w:fldChar w:fldCharType="separate"/>
      </w:r>
      <w:r w:rsidR="00643E47">
        <w:t xml:space="preserve">Table </w:t>
      </w:r>
      <w:r w:rsidR="00643E47">
        <w:rPr>
          <w:noProof/>
        </w:rPr>
        <w:t>4</w:t>
      </w:r>
      <w:r w:rsidR="00643E47">
        <w:t>.</w:t>
      </w:r>
      <w:r w:rsidR="00643E47">
        <w:rPr>
          <w:noProof/>
        </w:rPr>
        <w:t>3</w:t>
      </w:r>
      <w:r w:rsidR="001F2389">
        <w:fldChar w:fldCharType="end"/>
      </w:r>
      <w:r w:rsidR="001F2389">
        <w:t xml:space="preserve"> </w:t>
      </w:r>
      <w:r w:rsidR="00B47711">
        <w:t>are for an average house across the WRZ, a one bed flat would have a smaller occupancy and therefore smaller water demand than a four-bed detached house and so would require fewer household visits to offset its growth.</w:t>
      </w:r>
      <w:bookmarkStart w:id="96" w:name="_Ref80093830"/>
    </w:p>
    <w:p w14:paraId="76C29125" w14:textId="27B1044B" w:rsidR="001D5311" w:rsidRDefault="001D5311" w:rsidP="00235CD1">
      <w:pPr>
        <w:pStyle w:val="Caption"/>
      </w:pPr>
      <w:bookmarkStart w:id="97" w:name="_Ref89163614"/>
      <w:bookmarkStart w:id="98" w:name="_Toc101856745"/>
      <w:r>
        <w:t xml:space="preserve">Table </w:t>
      </w:r>
      <w:r w:rsidR="00E6462B">
        <w:fldChar w:fldCharType="begin"/>
      </w:r>
      <w:r w:rsidR="00E6462B">
        <w:instrText xml:space="preserve"> STYLEREF 1 \s </w:instrText>
      </w:r>
      <w:r w:rsidR="00E6462B">
        <w:fldChar w:fldCharType="separate"/>
      </w:r>
      <w:r w:rsidR="00643E47">
        <w:rPr>
          <w:noProof/>
        </w:rPr>
        <w:t>4</w:t>
      </w:r>
      <w:r w:rsidR="00E6462B">
        <w:rPr>
          <w:noProof/>
        </w:rPr>
        <w:fldChar w:fldCharType="end"/>
      </w:r>
      <w:r w:rsidR="00DF396A">
        <w:t>.</w:t>
      </w:r>
      <w:r w:rsidR="00E6462B">
        <w:fldChar w:fldCharType="begin"/>
      </w:r>
      <w:r w:rsidR="00E6462B">
        <w:instrText xml:space="preserve"> SEQ Table \* ARABIC \s 1 </w:instrText>
      </w:r>
      <w:r w:rsidR="00E6462B">
        <w:fldChar w:fldCharType="separate"/>
      </w:r>
      <w:r w:rsidR="00643E47">
        <w:rPr>
          <w:noProof/>
        </w:rPr>
        <w:t>3</w:t>
      </w:r>
      <w:r w:rsidR="00E6462B">
        <w:rPr>
          <w:noProof/>
        </w:rPr>
        <w:fldChar w:fldCharType="end"/>
      </w:r>
      <w:bookmarkEnd w:id="96"/>
      <w:bookmarkEnd w:id="97"/>
      <w:r>
        <w:t xml:space="preserve"> Water demand from new housing</w:t>
      </w:r>
      <w:bookmarkEnd w:id="98"/>
    </w:p>
    <w:tbl>
      <w:tblPr>
        <w:tblStyle w:val="JBATable13"/>
        <w:tblW w:w="0" w:type="auto"/>
        <w:tblInd w:w="1668" w:type="dxa"/>
        <w:tblLook w:val="04A0" w:firstRow="1" w:lastRow="0" w:firstColumn="1" w:lastColumn="0" w:noHBand="0" w:noVBand="1"/>
      </w:tblPr>
      <w:tblGrid>
        <w:gridCol w:w="2409"/>
        <w:gridCol w:w="1701"/>
        <w:gridCol w:w="1843"/>
        <w:gridCol w:w="1611"/>
        <w:gridCol w:w="1577"/>
      </w:tblGrid>
      <w:tr w:rsidR="005A0465" w14:paraId="7A4BC64C" w14:textId="77777777" w:rsidTr="005A046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9" w:type="dxa"/>
            <w:vAlign w:val="center"/>
          </w:tcPr>
          <w:p w14:paraId="7BC006D5" w14:textId="77777777" w:rsidR="005A0465" w:rsidRDefault="005A0465" w:rsidP="00EA0153">
            <w:pPr>
              <w:pStyle w:val="JBAParaText"/>
              <w:ind w:left="0" w:right="0"/>
              <w:jc w:val="center"/>
            </w:pPr>
            <w:r>
              <w:t>Demand scenario</w:t>
            </w:r>
          </w:p>
        </w:tc>
        <w:tc>
          <w:tcPr>
            <w:tcW w:w="1701" w:type="dxa"/>
            <w:vAlign w:val="center"/>
          </w:tcPr>
          <w:p w14:paraId="10D322E0" w14:textId="77777777" w:rsidR="005A0465" w:rsidRDefault="005A0465" w:rsidP="00EA0153">
            <w:pPr>
              <w:pStyle w:val="JBAParaText"/>
              <w:ind w:left="0" w:right="-2"/>
              <w:jc w:val="center"/>
              <w:cnfStyle w:val="100000000000" w:firstRow="1" w:lastRow="0" w:firstColumn="0" w:lastColumn="0" w:oddVBand="0" w:evenVBand="0" w:oddHBand="0" w:evenHBand="0" w:firstRowFirstColumn="0" w:firstRowLastColumn="0" w:lastRowFirstColumn="0" w:lastRowLastColumn="0"/>
            </w:pPr>
            <w:r>
              <w:t>Household PCC (l/p/d)</w:t>
            </w:r>
          </w:p>
        </w:tc>
        <w:tc>
          <w:tcPr>
            <w:tcW w:w="1843" w:type="dxa"/>
          </w:tcPr>
          <w:p w14:paraId="0EEDAAD8" w14:textId="7BEEA388" w:rsidR="005A0465" w:rsidRDefault="005A0465" w:rsidP="00EA0153">
            <w:pPr>
              <w:pStyle w:val="JBAParaText"/>
              <w:ind w:left="0" w:right="-2"/>
              <w:jc w:val="center"/>
              <w:cnfStyle w:val="100000000000" w:firstRow="1" w:lastRow="0" w:firstColumn="0" w:lastColumn="0" w:oddVBand="0" w:evenVBand="0" w:oddHBand="0" w:evenHBand="0" w:firstRowFirstColumn="0" w:firstRowLastColumn="0" w:lastRowFirstColumn="0" w:lastRowLastColumn="0"/>
            </w:pPr>
            <w:r>
              <w:t xml:space="preserve">Additional Water Demand from </w:t>
            </w:r>
            <w:r w:rsidR="008A367B">
              <w:t xml:space="preserve">one </w:t>
            </w:r>
            <w:r>
              <w:t>hous</w:t>
            </w:r>
            <w:r w:rsidR="008A367B">
              <w:t>e (average occupancy of 2.43)</w:t>
            </w:r>
            <w:r>
              <w:t xml:space="preserve"> (l/d)</w:t>
            </w:r>
          </w:p>
        </w:tc>
        <w:tc>
          <w:tcPr>
            <w:tcW w:w="1559" w:type="dxa"/>
          </w:tcPr>
          <w:p w14:paraId="4EBFCE2D" w14:textId="77777777" w:rsidR="005A0465" w:rsidRDefault="005A0465" w:rsidP="00EA0153">
            <w:pPr>
              <w:pStyle w:val="JBAParaText"/>
              <w:ind w:left="0" w:right="-2"/>
              <w:jc w:val="center"/>
              <w:cnfStyle w:val="100000000000" w:firstRow="1" w:lastRow="0" w:firstColumn="0" w:lastColumn="0" w:oddVBand="0" w:evenVBand="0" w:oddHBand="0" w:evenHBand="0" w:firstRowFirstColumn="0" w:firstRowLastColumn="0" w:lastRowFirstColumn="0" w:lastRowLastColumn="0"/>
            </w:pPr>
            <w:r>
              <w:t xml:space="preserve">Number of household visits to offset one new house </w:t>
            </w:r>
          </w:p>
        </w:tc>
        <w:tc>
          <w:tcPr>
            <w:tcW w:w="1350" w:type="dxa"/>
          </w:tcPr>
          <w:p w14:paraId="2F55668C" w14:textId="77777777" w:rsidR="005A0465" w:rsidRDefault="005A0465" w:rsidP="00EA0153">
            <w:pPr>
              <w:pStyle w:val="JBAParaText"/>
              <w:ind w:left="0" w:right="-2"/>
              <w:jc w:val="center"/>
              <w:cnfStyle w:val="100000000000" w:firstRow="1" w:lastRow="0" w:firstColumn="0" w:lastColumn="0" w:oddVBand="0" w:evenVBand="0" w:oddHBand="0" w:evenHBand="0" w:firstRowFirstColumn="0" w:firstRowLastColumn="0" w:lastRowFirstColumn="0" w:lastRowLastColumn="0"/>
            </w:pPr>
            <w:r>
              <w:t>Indicative cost to offset one house</w:t>
            </w:r>
          </w:p>
        </w:tc>
      </w:tr>
      <w:tr w:rsidR="005A0465" w14:paraId="7F54F88D" w14:textId="77777777" w:rsidTr="00C33D61">
        <w:tc>
          <w:tcPr>
            <w:cnfStyle w:val="001000000000" w:firstRow="0" w:lastRow="0" w:firstColumn="1" w:lastColumn="0" w:oddVBand="0" w:evenVBand="0" w:oddHBand="0" w:evenHBand="0" w:firstRowFirstColumn="0" w:firstRowLastColumn="0" w:lastRowFirstColumn="0" w:lastRowLastColumn="0"/>
            <w:tcW w:w="2409" w:type="dxa"/>
          </w:tcPr>
          <w:p w14:paraId="48034FB7" w14:textId="77777777" w:rsidR="005A0465" w:rsidRDefault="005A0465" w:rsidP="005A0465">
            <w:pPr>
              <w:pStyle w:val="JBAParaText"/>
              <w:ind w:left="0" w:right="0"/>
            </w:pPr>
            <w:r>
              <w:t>Building Regs. Standard</w:t>
            </w:r>
          </w:p>
        </w:tc>
        <w:tc>
          <w:tcPr>
            <w:tcW w:w="1701" w:type="dxa"/>
            <w:vAlign w:val="center"/>
          </w:tcPr>
          <w:p w14:paraId="4215EDEE" w14:textId="77777777" w:rsidR="005A0465" w:rsidRPr="00CC33C4" w:rsidRDefault="005A0465" w:rsidP="005A0465">
            <w:pPr>
              <w:pStyle w:val="JBAParaText"/>
              <w:ind w:left="0" w:right="-2"/>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CC33C4">
              <w:rPr>
                <w:rFonts w:asciiTheme="minorHAnsi" w:hAnsiTheme="minorHAnsi" w:cstheme="minorHAnsi"/>
                <w:szCs w:val="24"/>
              </w:rPr>
              <w:t>125</w:t>
            </w:r>
          </w:p>
        </w:tc>
        <w:tc>
          <w:tcPr>
            <w:tcW w:w="1843" w:type="dxa"/>
            <w:tcBorders>
              <w:top w:val="nil"/>
              <w:left w:val="single" w:sz="4" w:space="0" w:color="auto"/>
              <w:bottom w:val="single" w:sz="4" w:space="0" w:color="auto"/>
              <w:right w:val="single" w:sz="4" w:space="0" w:color="auto"/>
            </w:tcBorders>
            <w:shd w:val="clear" w:color="auto" w:fill="auto"/>
            <w:vAlign w:val="center"/>
          </w:tcPr>
          <w:p w14:paraId="5E55A41E" w14:textId="51C96D10" w:rsidR="005A0465" w:rsidRPr="00CC33C4" w:rsidRDefault="008A367B" w:rsidP="00C33D61">
            <w:pPr>
              <w:pStyle w:val="JBAParaText"/>
              <w:ind w:left="0" w:right="-2"/>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CC33C4">
              <w:rPr>
                <w:rFonts w:asciiTheme="minorHAnsi" w:hAnsiTheme="minorHAnsi" w:cstheme="minorHAnsi"/>
                <w:color w:val="000000"/>
                <w:szCs w:val="24"/>
              </w:rPr>
              <w:t>303.75</w:t>
            </w:r>
          </w:p>
        </w:tc>
        <w:tc>
          <w:tcPr>
            <w:tcW w:w="1559" w:type="dxa"/>
            <w:vAlign w:val="center"/>
          </w:tcPr>
          <w:p w14:paraId="1685F8E1" w14:textId="77777777" w:rsidR="005A0465" w:rsidRPr="00CC33C4" w:rsidRDefault="005A0465" w:rsidP="005A0465">
            <w:pPr>
              <w:pStyle w:val="JBAParaText"/>
              <w:ind w:left="0" w:right="-2"/>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CC33C4">
              <w:rPr>
                <w:rFonts w:asciiTheme="minorHAnsi" w:hAnsiTheme="minorHAnsi" w:cstheme="minorHAnsi"/>
                <w:szCs w:val="24"/>
              </w:rPr>
              <w:t>12.6</w:t>
            </w:r>
          </w:p>
        </w:tc>
        <w:tc>
          <w:tcPr>
            <w:tcW w:w="1350" w:type="dxa"/>
            <w:vAlign w:val="center"/>
          </w:tcPr>
          <w:p w14:paraId="2CA98B62" w14:textId="77777777" w:rsidR="005A0465" w:rsidRPr="00CC33C4" w:rsidRDefault="005A0465" w:rsidP="005A0465">
            <w:pPr>
              <w:pStyle w:val="JBAParaText"/>
              <w:ind w:left="0" w:right="-2"/>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CC33C4">
              <w:rPr>
                <w:rFonts w:asciiTheme="minorHAnsi" w:hAnsiTheme="minorHAnsi" w:cstheme="minorHAnsi"/>
                <w:szCs w:val="24"/>
              </w:rPr>
              <w:t>£1,259</w:t>
            </w:r>
          </w:p>
        </w:tc>
      </w:tr>
      <w:tr w:rsidR="005A0465" w14:paraId="4410897A" w14:textId="77777777" w:rsidTr="00C33D61">
        <w:tc>
          <w:tcPr>
            <w:cnfStyle w:val="001000000000" w:firstRow="0" w:lastRow="0" w:firstColumn="1" w:lastColumn="0" w:oddVBand="0" w:evenVBand="0" w:oddHBand="0" w:evenHBand="0" w:firstRowFirstColumn="0" w:firstRowLastColumn="0" w:lastRowFirstColumn="0" w:lastRowLastColumn="0"/>
            <w:tcW w:w="2409" w:type="dxa"/>
          </w:tcPr>
          <w:p w14:paraId="79D04423" w14:textId="77777777" w:rsidR="005A0465" w:rsidRDefault="005A0465" w:rsidP="005A0465">
            <w:pPr>
              <w:pStyle w:val="JBAParaText"/>
              <w:ind w:left="0" w:right="0"/>
            </w:pPr>
            <w:r>
              <w:t>Building Regs. Optional (adopted 2015 Local Plan)</w:t>
            </w:r>
          </w:p>
        </w:tc>
        <w:tc>
          <w:tcPr>
            <w:tcW w:w="1701" w:type="dxa"/>
            <w:vAlign w:val="center"/>
          </w:tcPr>
          <w:p w14:paraId="45D2E9ED" w14:textId="77777777" w:rsidR="005A0465" w:rsidRPr="00CC33C4" w:rsidRDefault="005A0465" w:rsidP="005A0465">
            <w:pPr>
              <w:pStyle w:val="JBAParaText"/>
              <w:ind w:left="0" w:right="-2"/>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CC33C4">
              <w:rPr>
                <w:rFonts w:asciiTheme="minorHAnsi" w:hAnsiTheme="minorHAnsi" w:cstheme="minorHAnsi"/>
                <w:szCs w:val="24"/>
              </w:rPr>
              <w:t>110</w:t>
            </w:r>
          </w:p>
        </w:tc>
        <w:tc>
          <w:tcPr>
            <w:tcW w:w="1843" w:type="dxa"/>
            <w:tcBorders>
              <w:top w:val="nil"/>
              <w:left w:val="single" w:sz="4" w:space="0" w:color="auto"/>
              <w:bottom w:val="single" w:sz="4" w:space="0" w:color="auto"/>
              <w:right w:val="single" w:sz="4" w:space="0" w:color="auto"/>
            </w:tcBorders>
            <w:shd w:val="clear" w:color="auto" w:fill="auto"/>
            <w:vAlign w:val="center"/>
          </w:tcPr>
          <w:p w14:paraId="476502A3" w14:textId="17022223" w:rsidR="005A0465" w:rsidRPr="00CC33C4" w:rsidRDefault="008A367B" w:rsidP="005A0465">
            <w:pPr>
              <w:pStyle w:val="JBAParaText"/>
              <w:ind w:left="0" w:right="-2"/>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CC33C4">
              <w:rPr>
                <w:rFonts w:asciiTheme="minorHAnsi" w:hAnsiTheme="minorHAnsi" w:cstheme="minorHAnsi"/>
                <w:color w:val="000000"/>
                <w:szCs w:val="24"/>
              </w:rPr>
              <w:t>267.3</w:t>
            </w:r>
          </w:p>
        </w:tc>
        <w:tc>
          <w:tcPr>
            <w:tcW w:w="1559" w:type="dxa"/>
            <w:vAlign w:val="center"/>
          </w:tcPr>
          <w:p w14:paraId="09230361" w14:textId="77777777" w:rsidR="005A0465" w:rsidRPr="00CC33C4" w:rsidRDefault="005A0465" w:rsidP="005A0465">
            <w:pPr>
              <w:pStyle w:val="JBAParaText"/>
              <w:ind w:left="0" w:right="-2"/>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CC33C4">
              <w:rPr>
                <w:rFonts w:asciiTheme="minorHAnsi" w:hAnsiTheme="minorHAnsi" w:cstheme="minorHAnsi"/>
                <w:szCs w:val="24"/>
              </w:rPr>
              <w:t>11.1</w:t>
            </w:r>
          </w:p>
        </w:tc>
        <w:tc>
          <w:tcPr>
            <w:tcW w:w="1350" w:type="dxa"/>
            <w:vAlign w:val="center"/>
          </w:tcPr>
          <w:p w14:paraId="1F4563C0" w14:textId="77777777" w:rsidR="005A0465" w:rsidRPr="00CC33C4" w:rsidRDefault="005A0465" w:rsidP="005A0465">
            <w:pPr>
              <w:pStyle w:val="JBAParaText"/>
              <w:ind w:left="0" w:right="-2"/>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CC33C4">
              <w:rPr>
                <w:rFonts w:asciiTheme="minorHAnsi" w:hAnsiTheme="minorHAnsi" w:cstheme="minorHAnsi"/>
                <w:szCs w:val="24"/>
              </w:rPr>
              <w:t>£1,108</w:t>
            </w:r>
          </w:p>
        </w:tc>
      </w:tr>
      <w:tr w:rsidR="005A0465" w14:paraId="27567BDB" w14:textId="77777777" w:rsidTr="00C33D61">
        <w:tc>
          <w:tcPr>
            <w:cnfStyle w:val="001000000000" w:firstRow="0" w:lastRow="0" w:firstColumn="1" w:lastColumn="0" w:oddVBand="0" w:evenVBand="0" w:oddHBand="0" w:evenHBand="0" w:firstRowFirstColumn="0" w:firstRowLastColumn="0" w:lastRowFirstColumn="0" w:lastRowLastColumn="0"/>
            <w:tcW w:w="2409" w:type="dxa"/>
          </w:tcPr>
          <w:p w14:paraId="4976E729" w14:textId="77777777" w:rsidR="005A0465" w:rsidRDefault="005A0465" w:rsidP="005A0465">
            <w:pPr>
              <w:pStyle w:val="JBAParaText"/>
              <w:ind w:left="0" w:right="0"/>
            </w:pPr>
            <w:r>
              <w:t xml:space="preserve">Target 100 </w:t>
            </w:r>
          </w:p>
        </w:tc>
        <w:tc>
          <w:tcPr>
            <w:tcW w:w="1701" w:type="dxa"/>
            <w:vAlign w:val="center"/>
          </w:tcPr>
          <w:p w14:paraId="718EE190" w14:textId="77777777" w:rsidR="005A0465" w:rsidRPr="00CC33C4" w:rsidRDefault="005A0465" w:rsidP="005A0465">
            <w:pPr>
              <w:pStyle w:val="JBAParaText"/>
              <w:keepNext/>
              <w:ind w:left="0" w:right="-2"/>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CC33C4">
              <w:rPr>
                <w:rFonts w:asciiTheme="minorHAnsi" w:hAnsiTheme="minorHAnsi" w:cstheme="minorHAnsi"/>
                <w:szCs w:val="24"/>
              </w:rPr>
              <w:t>100</w:t>
            </w:r>
          </w:p>
        </w:tc>
        <w:tc>
          <w:tcPr>
            <w:tcW w:w="1843" w:type="dxa"/>
            <w:tcBorders>
              <w:top w:val="nil"/>
              <w:left w:val="single" w:sz="4" w:space="0" w:color="auto"/>
              <w:bottom w:val="single" w:sz="4" w:space="0" w:color="auto"/>
              <w:right w:val="single" w:sz="4" w:space="0" w:color="auto"/>
            </w:tcBorders>
            <w:shd w:val="clear" w:color="auto" w:fill="auto"/>
            <w:vAlign w:val="center"/>
          </w:tcPr>
          <w:p w14:paraId="11705112" w14:textId="494DED0A" w:rsidR="005A0465" w:rsidRPr="00CC33C4" w:rsidRDefault="008A367B" w:rsidP="005A0465">
            <w:pPr>
              <w:pStyle w:val="JBAParaText"/>
              <w:keepNext/>
              <w:ind w:left="0" w:right="-2"/>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CC33C4">
              <w:rPr>
                <w:rFonts w:asciiTheme="minorHAnsi" w:hAnsiTheme="minorHAnsi" w:cstheme="minorHAnsi"/>
                <w:color w:val="000000"/>
                <w:szCs w:val="24"/>
              </w:rPr>
              <w:t>243</w:t>
            </w:r>
          </w:p>
        </w:tc>
        <w:tc>
          <w:tcPr>
            <w:tcW w:w="1559" w:type="dxa"/>
            <w:vAlign w:val="center"/>
          </w:tcPr>
          <w:p w14:paraId="1CE2C77A" w14:textId="77777777" w:rsidR="005A0465" w:rsidRPr="00CC33C4" w:rsidRDefault="005A0465" w:rsidP="005A0465">
            <w:pPr>
              <w:pStyle w:val="JBAParaText"/>
              <w:keepNext/>
              <w:ind w:left="0" w:right="-2"/>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CC33C4">
              <w:rPr>
                <w:rFonts w:asciiTheme="minorHAnsi" w:hAnsiTheme="minorHAnsi" w:cstheme="minorHAnsi"/>
                <w:szCs w:val="24"/>
              </w:rPr>
              <w:t>10.1</w:t>
            </w:r>
          </w:p>
        </w:tc>
        <w:tc>
          <w:tcPr>
            <w:tcW w:w="1350" w:type="dxa"/>
            <w:vAlign w:val="center"/>
          </w:tcPr>
          <w:p w14:paraId="430B660B" w14:textId="77777777" w:rsidR="005A0465" w:rsidRPr="00CC33C4" w:rsidRDefault="005A0465" w:rsidP="005A0465">
            <w:pPr>
              <w:pStyle w:val="JBAParaText"/>
              <w:keepNext/>
              <w:ind w:left="0" w:right="-2"/>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CC33C4">
              <w:rPr>
                <w:rFonts w:asciiTheme="minorHAnsi" w:hAnsiTheme="minorHAnsi" w:cstheme="minorHAnsi"/>
                <w:szCs w:val="24"/>
              </w:rPr>
              <w:t>£1,007</w:t>
            </w:r>
          </w:p>
        </w:tc>
      </w:tr>
      <w:tr w:rsidR="005A0465" w14:paraId="2B3E9D13" w14:textId="77777777" w:rsidTr="00C33D61">
        <w:tc>
          <w:tcPr>
            <w:cnfStyle w:val="001000000000" w:firstRow="0" w:lastRow="0" w:firstColumn="1" w:lastColumn="0" w:oddVBand="0" w:evenVBand="0" w:oddHBand="0" w:evenHBand="0" w:firstRowFirstColumn="0" w:firstRowLastColumn="0" w:lastRowFirstColumn="0" w:lastRowLastColumn="0"/>
            <w:tcW w:w="2409" w:type="dxa"/>
          </w:tcPr>
          <w:p w14:paraId="3BDA3B74" w14:textId="77777777" w:rsidR="005A0465" w:rsidRDefault="005A0465" w:rsidP="005A0465">
            <w:pPr>
              <w:pStyle w:val="JBAParaText"/>
              <w:ind w:left="0" w:right="0"/>
            </w:pPr>
            <w:r>
              <w:t>Realistic achievable</w:t>
            </w:r>
          </w:p>
        </w:tc>
        <w:tc>
          <w:tcPr>
            <w:tcW w:w="1701" w:type="dxa"/>
            <w:vAlign w:val="center"/>
          </w:tcPr>
          <w:p w14:paraId="3E27A223" w14:textId="77777777" w:rsidR="005A0465" w:rsidRPr="00CC33C4" w:rsidRDefault="005A0465" w:rsidP="005A0465">
            <w:pPr>
              <w:pStyle w:val="JBAParaText"/>
              <w:keepNext/>
              <w:ind w:left="0" w:right="-2"/>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CC33C4">
              <w:rPr>
                <w:rFonts w:asciiTheme="minorHAnsi" w:hAnsiTheme="minorHAnsi" w:cstheme="minorHAnsi"/>
                <w:szCs w:val="24"/>
              </w:rPr>
              <w:t>85</w:t>
            </w:r>
          </w:p>
        </w:tc>
        <w:tc>
          <w:tcPr>
            <w:tcW w:w="1843" w:type="dxa"/>
            <w:tcBorders>
              <w:top w:val="nil"/>
              <w:left w:val="single" w:sz="4" w:space="0" w:color="auto"/>
              <w:bottom w:val="single" w:sz="4" w:space="0" w:color="auto"/>
              <w:right w:val="single" w:sz="4" w:space="0" w:color="auto"/>
            </w:tcBorders>
            <w:shd w:val="clear" w:color="auto" w:fill="auto"/>
            <w:vAlign w:val="center"/>
          </w:tcPr>
          <w:p w14:paraId="1184001E" w14:textId="284A4386" w:rsidR="005A0465" w:rsidRPr="00CC33C4" w:rsidRDefault="008A367B" w:rsidP="005A0465">
            <w:pPr>
              <w:pStyle w:val="JBAParaText"/>
              <w:keepNext/>
              <w:ind w:left="0" w:right="-2"/>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CC33C4">
              <w:rPr>
                <w:rFonts w:asciiTheme="minorHAnsi" w:hAnsiTheme="minorHAnsi" w:cstheme="minorHAnsi"/>
                <w:color w:val="000000"/>
                <w:szCs w:val="24"/>
              </w:rPr>
              <w:t>206.6</w:t>
            </w:r>
          </w:p>
        </w:tc>
        <w:tc>
          <w:tcPr>
            <w:tcW w:w="1559" w:type="dxa"/>
            <w:vAlign w:val="center"/>
          </w:tcPr>
          <w:p w14:paraId="10054BDA" w14:textId="77777777" w:rsidR="005A0465" w:rsidRPr="00CC33C4" w:rsidRDefault="005A0465" w:rsidP="005A0465">
            <w:pPr>
              <w:pStyle w:val="JBAParaText"/>
              <w:keepNext/>
              <w:ind w:left="0" w:right="-2"/>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CC33C4">
              <w:rPr>
                <w:rFonts w:asciiTheme="minorHAnsi" w:hAnsiTheme="minorHAnsi" w:cstheme="minorHAnsi"/>
                <w:szCs w:val="24"/>
              </w:rPr>
              <w:t>8.6</w:t>
            </w:r>
          </w:p>
        </w:tc>
        <w:tc>
          <w:tcPr>
            <w:tcW w:w="1350" w:type="dxa"/>
            <w:vAlign w:val="center"/>
          </w:tcPr>
          <w:p w14:paraId="363BB294" w14:textId="77777777" w:rsidR="005A0465" w:rsidRPr="00CC33C4" w:rsidRDefault="005A0465" w:rsidP="005A0465">
            <w:pPr>
              <w:pStyle w:val="JBAParaText"/>
              <w:keepNext/>
              <w:ind w:left="0" w:right="-2"/>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CC33C4">
              <w:rPr>
                <w:rFonts w:asciiTheme="minorHAnsi" w:hAnsiTheme="minorHAnsi" w:cstheme="minorHAnsi"/>
                <w:szCs w:val="24"/>
              </w:rPr>
              <w:t>£856</w:t>
            </w:r>
          </w:p>
        </w:tc>
      </w:tr>
      <w:tr w:rsidR="005A0465" w14:paraId="6291A60F" w14:textId="77777777" w:rsidTr="00C33D61">
        <w:tc>
          <w:tcPr>
            <w:cnfStyle w:val="001000000000" w:firstRow="0" w:lastRow="0" w:firstColumn="1" w:lastColumn="0" w:oddVBand="0" w:evenVBand="0" w:oddHBand="0" w:evenHBand="0" w:firstRowFirstColumn="0" w:firstRowLastColumn="0" w:lastRowFirstColumn="0" w:lastRowLastColumn="0"/>
            <w:tcW w:w="2409" w:type="dxa"/>
          </w:tcPr>
          <w:p w14:paraId="1C1CBC6B" w14:textId="77777777" w:rsidR="005A0465" w:rsidRDefault="005A0465" w:rsidP="005A0465">
            <w:pPr>
              <w:pStyle w:val="JBAParaText"/>
              <w:ind w:left="0" w:right="0"/>
            </w:pPr>
            <w:r>
              <w:t>Ambitious</w:t>
            </w:r>
          </w:p>
        </w:tc>
        <w:tc>
          <w:tcPr>
            <w:tcW w:w="1701" w:type="dxa"/>
            <w:vAlign w:val="center"/>
          </w:tcPr>
          <w:p w14:paraId="15751889" w14:textId="77777777" w:rsidR="005A0465" w:rsidRPr="00CC33C4" w:rsidRDefault="005A0465" w:rsidP="005A0465">
            <w:pPr>
              <w:pStyle w:val="JBAParaText"/>
              <w:keepNext/>
              <w:ind w:left="0" w:right="-2"/>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CC33C4">
              <w:rPr>
                <w:rFonts w:asciiTheme="minorHAnsi" w:hAnsiTheme="minorHAnsi" w:cstheme="minorHAnsi"/>
                <w:szCs w:val="24"/>
              </w:rPr>
              <w:t>62</w:t>
            </w:r>
          </w:p>
        </w:tc>
        <w:tc>
          <w:tcPr>
            <w:tcW w:w="1843" w:type="dxa"/>
            <w:tcBorders>
              <w:top w:val="nil"/>
              <w:left w:val="single" w:sz="4" w:space="0" w:color="auto"/>
              <w:bottom w:val="single" w:sz="4" w:space="0" w:color="auto"/>
              <w:right w:val="single" w:sz="4" w:space="0" w:color="auto"/>
            </w:tcBorders>
            <w:shd w:val="clear" w:color="auto" w:fill="auto"/>
            <w:vAlign w:val="center"/>
          </w:tcPr>
          <w:p w14:paraId="483AF412" w14:textId="36738607" w:rsidR="005A0465" w:rsidRPr="00CC33C4" w:rsidRDefault="008A367B" w:rsidP="005A0465">
            <w:pPr>
              <w:pStyle w:val="JBAParaText"/>
              <w:keepNext/>
              <w:ind w:left="0" w:right="-2"/>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CC33C4">
              <w:rPr>
                <w:rFonts w:asciiTheme="minorHAnsi" w:hAnsiTheme="minorHAnsi" w:cstheme="minorHAnsi"/>
                <w:color w:val="000000"/>
                <w:szCs w:val="24"/>
              </w:rPr>
              <w:t>150.7</w:t>
            </w:r>
          </w:p>
        </w:tc>
        <w:tc>
          <w:tcPr>
            <w:tcW w:w="1559" w:type="dxa"/>
            <w:vAlign w:val="center"/>
          </w:tcPr>
          <w:p w14:paraId="18B22824" w14:textId="77777777" w:rsidR="005A0465" w:rsidRPr="00CC33C4" w:rsidRDefault="005A0465" w:rsidP="005A0465">
            <w:pPr>
              <w:pStyle w:val="JBAParaText"/>
              <w:keepNext/>
              <w:ind w:left="0" w:right="-2"/>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CC33C4">
              <w:rPr>
                <w:rFonts w:asciiTheme="minorHAnsi" w:hAnsiTheme="minorHAnsi" w:cstheme="minorHAnsi"/>
                <w:szCs w:val="24"/>
              </w:rPr>
              <w:t>6.2</w:t>
            </w:r>
          </w:p>
        </w:tc>
        <w:tc>
          <w:tcPr>
            <w:tcW w:w="1350" w:type="dxa"/>
            <w:vAlign w:val="center"/>
          </w:tcPr>
          <w:p w14:paraId="05BA9924" w14:textId="77777777" w:rsidR="005A0465" w:rsidRPr="00CC33C4" w:rsidRDefault="005A0465" w:rsidP="005A0465">
            <w:pPr>
              <w:pStyle w:val="JBAParaText"/>
              <w:keepNext/>
              <w:ind w:left="0" w:right="-2"/>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CC33C4">
              <w:rPr>
                <w:rFonts w:asciiTheme="minorHAnsi" w:hAnsiTheme="minorHAnsi" w:cstheme="minorHAnsi"/>
                <w:szCs w:val="24"/>
              </w:rPr>
              <w:t>£624</w:t>
            </w:r>
          </w:p>
        </w:tc>
      </w:tr>
    </w:tbl>
    <w:p w14:paraId="50FBAEF5" w14:textId="77777777" w:rsidR="005A0465" w:rsidRDefault="005A0465" w:rsidP="001F2389">
      <w:pPr>
        <w:pStyle w:val="JBAParaText"/>
      </w:pPr>
    </w:p>
    <w:p w14:paraId="1D6D1AB4" w14:textId="16EF8E23" w:rsidR="00677EEC" w:rsidRDefault="00677EEC" w:rsidP="001F2389">
      <w:pPr>
        <w:pStyle w:val="JBAParaText"/>
      </w:pPr>
      <w:r>
        <w:t>When figures in</w:t>
      </w:r>
      <w:r w:rsidR="001F2389">
        <w:t xml:space="preserve"> </w:t>
      </w:r>
      <w:r w:rsidR="001F2389">
        <w:fldChar w:fldCharType="begin"/>
      </w:r>
      <w:r w:rsidR="001F2389">
        <w:instrText xml:space="preserve"> REF _Ref80080881 \h </w:instrText>
      </w:r>
      <w:r w:rsidR="001F2389">
        <w:fldChar w:fldCharType="separate"/>
      </w:r>
      <w:r w:rsidR="00643E47">
        <w:t xml:space="preserve">Table </w:t>
      </w:r>
      <w:r w:rsidR="00643E47">
        <w:rPr>
          <w:noProof/>
        </w:rPr>
        <w:t>4</w:t>
      </w:r>
      <w:r w:rsidR="00643E47">
        <w:t>.</w:t>
      </w:r>
      <w:r w:rsidR="00643E47">
        <w:rPr>
          <w:noProof/>
        </w:rPr>
        <w:t>2</w:t>
      </w:r>
      <w:r w:rsidR="001F2389">
        <w:fldChar w:fldCharType="end"/>
      </w:r>
      <w:r w:rsidR="001F2389">
        <w:t xml:space="preserve"> and </w:t>
      </w:r>
      <w:r w:rsidR="001F2389">
        <w:fldChar w:fldCharType="begin"/>
      </w:r>
      <w:r w:rsidR="001F2389">
        <w:instrText xml:space="preserve"> REF _Ref89163614 \h </w:instrText>
      </w:r>
      <w:r w:rsidR="001F2389">
        <w:fldChar w:fldCharType="separate"/>
      </w:r>
      <w:r w:rsidR="00643E47">
        <w:t xml:space="preserve">Table </w:t>
      </w:r>
      <w:r w:rsidR="00643E47">
        <w:rPr>
          <w:noProof/>
        </w:rPr>
        <w:t>4</w:t>
      </w:r>
      <w:r w:rsidR="00643E47">
        <w:t>.</w:t>
      </w:r>
      <w:r w:rsidR="00643E47">
        <w:rPr>
          <w:noProof/>
        </w:rPr>
        <w:t>3</w:t>
      </w:r>
      <w:r w:rsidR="001F2389">
        <w:fldChar w:fldCharType="end"/>
      </w:r>
      <w:r w:rsidR="001F2389">
        <w:t xml:space="preserve"> </w:t>
      </w:r>
      <w:r>
        <w:t xml:space="preserve">are compared, a conclusion could be drawn that it is more cost effective to offset the demand from a new dwelling in the Target 100 scenario, than it is to first reduce demand to the level in the “realistic Achievable” scenario, and then offset that growth. </w:t>
      </w:r>
    </w:p>
    <w:p w14:paraId="7DA622C2" w14:textId="2DC7FA5C" w:rsidR="004274AC" w:rsidRDefault="00677EEC" w:rsidP="00ED0D02">
      <w:pPr>
        <w:pStyle w:val="JBAParaText"/>
      </w:pPr>
      <w:r>
        <w:t>It should be remembered that</w:t>
      </w:r>
      <w:r w:rsidR="00B47711">
        <w:t xml:space="preserve"> in order</w:t>
      </w:r>
      <w:r>
        <w:t xml:space="preserve"> to achieve water neutrality, demand should </w:t>
      </w:r>
      <w:r w:rsidRPr="004C21B1">
        <w:rPr>
          <w:b/>
          <w:bCs/>
          <w:i/>
          <w:iCs/>
        </w:rPr>
        <w:t>first</w:t>
      </w:r>
      <w:r>
        <w:t xml:space="preserve"> be reduced, </w:t>
      </w:r>
      <w:r w:rsidRPr="004C21B1">
        <w:rPr>
          <w:b/>
          <w:bCs/>
          <w:i/>
          <w:iCs/>
        </w:rPr>
        <w:t>before</w:t>
      </w:r>
      <w:r>
        <w:t xml:space="preserve"> the remaining demand is offset.  </w:t>
      </w:r>
      <w:r w:rsidR="00B47711">
        <w:t xml:space="preserve">The number of houses available in the wider area to be used for offsetting is finite, so every </w:t>
      </w:r>
      <w:r w:rsidR="00F75926">
        <w:t xml:space="preserve">reasonable </w:t>
      </w:r>
      <w:r w:rsidR="00B47711">
        <w:t>effort should be made to first reduce demand in order to minimise the number required for offsetting.  Focussing on offsetting alone, although tempting to a developer, would be contrary to the definition and objective of water neutrality.</w:t>
      </w:r>
    </w:p>
    <w:p w14:paraId="69907598" w14:textId="77777777" w:rsidR="00153016" w:rsidRDefault="00153016" w:rsidP="00B47711">
      <w:pPr>
        <w:pStyle w:val="Heading3"/>
      </w:pPr>
      <w:bookmarkStart w:id="99" w:name="_Toc101856705"/>
      <w:r>
        <w:t>Metering</w:t>
      </w:r>
      <w:r w:rsidR="00A135CA">
        <w:t xml:space="preserve"> and leakage reduction</w:t>
      </w:r>
      <w:bookmarkEnd w:id="99"/>
    </w:p>
    <w:p w14:paraId="65FC31A4" w14:textId="77777777" w:rsidR="005D4C76" w:rsidRPr="005D4C76" w:rsidRDefault="00A135CA" w:rsidP="005D4C76">
      <w:pPr>
        <w:pStyle w:val="JBAParaText"/>
        <w:rPr>
          <w:b/>
          <w:bCs/>
        </w:rPr>
      </w:pPr>
      <w:r>
        <w:t>The cost of these programmes will be explored in Part C and requires information on both the cost of installing a meter from Southern Water, and a figure for the “cost per litre saved” for leakage reduction.</w:t>
      </w:r>
      <w:r w:rsidR="005D4C76">
        <w:t xml:space="preserve">  The cost of metering can also vary widely depending on the type of installation.</w:t>
      </w:r>
      <w:r>
        <w:t xml:space="preserve">  As noted earlier in the report, the unit cost of leakage reduction is likely to increase as leakage is reduced as the original programme is likely to have been designed around maximum benefit for minimum cost.  </w:t>
      </w:r>
    </w:p>
    <w:p w14:paraId="17095039" w14:textId="77777777" w:rsidR="00CE60AE" w:rsidRPr="00922A4C" w:rsidRDefault="00CE60AE" w:rsidP="00CE60AE">
      <w:pPr>
        <w:pStyle w:val="Heading2"/>
        <w:rPr>
          <w:rStyle w:val="JBAParaTextChar"/>
        </w:rPr>
      </w:pPr>
      <w:bookmarkStart w:id="100" w:name="_Toc101856706"/>
      <w:r w:rsidRPr="00922A4C">
        <w:rPr>
          <w:rStyle w:val="JBAParaTextChar"/>
        </w:rPr>
        <w:t>Conclusions and recommendations</w:t>
      </w:r>
      <w:bookmarkEnd w:id="100"/>
    </w:p>
    <w:bookmarkEnd w:id="87"/>
    <w:p w14:paraId="5B5766E8" w14:textId="77777777" w:rsidR="00C26235" w:rsidRDefault="00C26235" w:rsidP="00CE60AE">
      <w:pPr>
        <w:pStyle w:val="JBAParaText"/>
      </w:pPr>
      <w:r>
        <w:t xml:space="preserve">Part A of the water neutrality work investigated the feasibility of achieving water neutrality in Crawley and Chichester LPAs. Part B builds </w:t>
      </w:r>
      <w:r w:rsidR="004C21B1">
        <w:t xml:space="preserve">on </w:t>
      </w:r>
      <w:r>
        <w:t>this work, combining the growth forecasts of all LPAs in the water resource zone into an overall water demand.  The theoretical contribution that may be achieved from each of the mitigation measures identified in Part A is then presented, alongside the latest information provided by Southern Water on their emerging plans.</w:t>
      </w:r>
    </w:p>
    <w:p w14:paraId="4313C812" w14:textId="29D460AD" w:rsidR="00C26235" w:rsidRDefault="00C26235" w:rsidP="00CE60AE">
      <w:pPr>
        <w:pStyle w:val="JBAParaText"/>
      </w:pPr>
      <w:r>
        <w:t xml:space="preserve">New water demand during the plan period is found to be </w:t>
      </w:r>
      <w:r w:rsidR="004C21B1">
        <w:t>5.71</w:t>
      </w:r>
      <w:r>
        <w:t xml:space="preserve"> Ml/d should LPAs adopt a water efficiency target of 100 litres per person per day for new build houses in planning policy.  This can be significantly reduced if a more ambitious target of 85l/p/d or 62l/p/d were adopted.  This could be achieved with a combination of water efficient fittings, </w:t>
      </w:r>
      <w:r w:rsidR="007C5882">
        <w:t xml:space="preserve">and / or </w:t>
      </w:r>
      <w:r>
        <w:t xml:space="preserve">the requirement for new build housing to incorporate rainwater harvesting and/or greywater recycling schemes where possible.  The onus should be on developers to </w:t>
      </w:r>
      <w:r w:rsidR="00EF0C0E">
        <w:t xml:space="preserve">justify why this cannot be </w:t>
      </w:r>
      <w:r w:rsidR="007C5882">
        <w:t>achieved</w:t>
      </w:r>
      <w:r w:rsidR="00EF0C0E">
        <w:t xml:space="preserve">. In these cases, developers could be asked to pay a </w:t>
      </w:r>
      <w:r w:rsidR="00B71B3F">
        <w:t>significantly</w:t>
      </w:r>
      <w:r w:rsidR="00EF0C0E">
        <w:t xml:space="preserve"> higher contribution to offset the water demand from their development elsewhere.</w:t>
      </w:r>
    </w:p>
    <w:p w14:paraId="68EF22B1" w14:textId="77777777" w:rsidR="00835430" w:rsidRDefault="00835430" w:rsidP="00CE60AE">
      <w:pPr>
        <w:pStyle w:val="JBAParaText"/>
      </w:pPr>
      <w:r>
        <w:t xml:space="preserve">Southern Water have advised that </w:t>
      </w:r>
      <w:r w:rsidR="00B72410">
        <w:t>5.67</w:t>
      </w:r>
      <w:r>
        <w:t xml:space="preserve">Ml/d of the demand from growth has already been accommodated within their WRMP through measures such as household visits and leakage reduction.  </w:t>
      </w:r>
      <w:r w:rsidR="00B72410">
        <w:t xml:space="preserve">Once a </w:t>
      </w:r>
      <w:r w:rsidR="004274AC">
        <w:t xml:space="preserve">10% </w:t>
      </w:r>
      <w:r w:rsidR="00B72410">
        <w:t>buffer to account for the possibility of it not being possible for SW to deliver their entire plan</w:t>
      </w:r>
      <w:r w:rsidR="007558F5">
        <w:t xml:space="preserve"> is allowed for</w:t>
      </w:r>
      <w:r w:rsidR="00B72410">
        <w:t>, t</w:t>
      </w:r>
      <w:r>
        <w:t xml:space="preserve">he remaining water demand is therefore </w:t>
      </w:r>
      <w:r w:rsidR="00B72410">
        <w:t>0.6</w:t>
      </w:r>
      <w:r>
        <w:t>01Ml/d in the Target 100 scenario</w:t>
      </w:r>
      <w:r w:rsidR="00B72410">
        <w:t>.  In the realistic achievable scenario, water neutrality would be achieved by the end of the plan period, however there are several years within that period where demand would exceed the contribution from SW and further mitigation would be required.</w:t>
      </w:r>
    </w:p>
    <w:p w14:paraId="3912DD6F" w14:textId="77777777" w:rsidR="00C26235" w:rsidRDefault="00C26235" w:rsidP="00CE60AE">
      <w:pPr>
        <w:pStyle w:val="JBAParaText"/>
      </w:pPr>
      <w:r>
        <w:t>Th</w:t>
      </w:r>
      <w:r w:rsidR="00EF0C0E">
        <w:t>is</w:t>
      </w:r>
      <w:r>
        <w:t xml:space="preserve"> remaining demand must be offset during the plan period using a combination of measures summarised below:</w:t>
      </w:r>
    </w:p>
    <w:p w14:paraId="23C5ABD7" w14:textId="77777777" w:rsidR="00EF0C0E" w:rsidRDefault="00EF0C0E" w:rsidP="00EF0C0E">
      <w:pPr>
        <w:pStyle w:val="JBAParaText"/>
        <w:numPr>
          <w:ilvl w:val="0"/>
          <w:numId w:val="27"/>
        </w:numPr>
      </w:pPr>
      <w:r>
        <w:t xml:space="preserve">Household visits – a theoretical maximum of </w:t>
      </w:r>
      <w:r w:rsidR="00835430">
        <w:t>2.86</w:t>
      </w:r>
      <w:r>
        <w:t xml:space="preserve">Ml/d – a realistic </w:t>
      </w:r>
      <w:r w:rsidR="00FC3CFD">
        <w:t>programme of 2,000 visits per year would contribute 0.</w:t>
      </w:r>
      <w:r w:rsidR="005D4C76">
        <w:t>72</w:t>
      </w:r>
      <w:r>
        <w:t>Ml/</w:t>
      </w:r>
      <w:r w:rsidR="00FC3CFD">
        <w:t>d</w:t>
      </w:r>
      <w:r w:rsidR="00835430">
        <w:t xml:space="preserve"> and offset the remaining demand</w:t>
      </w:r>
    </w:p>
    <w:p w14:paraId="715E19A4" w14:textId="77777777" w:rsidR="00C26235" w:rsidRDefault="00EF0C0E" w:rsidP="006E1945">
      <w:pPr>
        <w:pStyle w:val="JBAParaText"/>
        <w:numPr>
          <w:ilvl w:val="0"/>
          <w:numId w:val="27"/>
        </w:numPr>
      </w:pPr>
      <w:r>
        <w:t xml:space="preserve">Extension of leakage reduction – a realistic contribution of </w:t>
      </w:r>
      <w:r w:rsidR="002518CB">
        <w:t>0.36</w:t>
      </w:r>
      <w:r>
        <w:t xml:space="preserve">Ml/d </w:t>
      </w:r>
    </w:p>
    <w:p w14:paraId="420A8DCE" w14:textId="77777777" w:rsidR="00EF0C0E" w:rsidRDefault="00EF0C0E" w:rsidP="006E1945">
      <w:pPr>
        <w:pStyle w:val="JBAParaText"/>
        <w:numPr>
          <w:ilvl w:val="0"/>
          <w:numId w:val="27"/>
        </w:numPr>
      </w:pPr>
      <w:r>
        <w:t xml:space="preserve">Extension of metering programme – </w:t>
      </w:r>
      <w:r w:rsidR="002518CB">
        <w:t>a theoretical maximum of 0.85Ml/d</w:t>
      </w:r>
    </w:p>
    <w:p w14:paraId="29EF00F6" w14:textId="77777777" w:rsidR="00EF0C0E" w:rsidRDefault="00EF0C0E" w:rsidP="006E1945">
      <w:pPr>
        <w:pStyle w:val="JBAParaText"/>
        <w:numPr>
          <w:ilvl w:val="0"/>
          <w:numId w:val="27"/>
        </w:numPr>
      </w:pPr>
      <w:r>
        <w:t>Non-household visits</w:t>
      </w:r>
      <w:r w:rsidR="002518CB">
        <w:t xml:space="preserve"> – </w:t>
      </w:r>
      <w:r w:rsidR="0035510C">
        <w:t xml:space="preserve">Part A estimate of </w:t>
      </w:r>
      <w:r w:rsidR="002518CB">
        <w:t>0.16Ml/d</w:t>
      </w:r>
    </w:p>
    <w:p w14:paraId="5104B123" w14:textId="77777777" w:rsidR="001F006E" w:rsidRDefault="001F006E" w:rsidP="006E1945">
      <w:pPr>
        <w:pStyle w:val="JBAParaText"/>
        <w:numPr>
          <w:ilvl w:val="0"/>
          <w:numId w:val="27"/>
        </w:numPr>
      </w:pPr>
      <w:r>
        <w:t>Water efficiency programme in schools – 0.36Ml/d</w:t>
      </w:r>
    </w:p>
    <w:p w14:paraId="3C0C6867" w14:textId="77777777" w:rsidR="00EF0C0E" w:rsidRDefault="00EF0C0E" w:rsidP="006E1945">
      <w:pPr>
        <w:pStyle w:val="JBAParaText"/>
        <w:numPr>
          <w:ilvl w:val="0"/>
          <w:numId w:val="27"/>
        </w:numPr>
      </w:pPr>
      <w:r>
        <w:t xml:space="preserve">Non-household rainwater </w:t>
      </w:r>
      <w:r w:rsidR="007F1419">
        <w:t>harvesting,</w:t>
      </w:r>
      <w:r w:rsidR="002518CB">
        <w:t xml:space="preserve"> or greywater recycling could also provide a significant contribution but would need to be assessed based on specific opportunities</w:t>
      </w:r>
    </w:p>
    <w:p w14:paraId="430E0558" w14:textId="3205332F" w:rsidR="00EF0C0E" w:rsidRDefault="00EF0C0E" w:rsidP="00EF0C0E">
      <w:pPr>
        <w:pStyle w:val="JBAParaText"/>
      </w:pPr>
      <w:r>
        <w:t xml:space="preserve">It is expected that Southern Water will address the </w:t>
      </w:r>
      <w:r w:rsidR="00835430">
        <w:t xml:space="preserve">long-term </w:t>
      </w:r>
      <w:r w:rsidR="009A291B">
        <w:t>supply-demand</w:t>
      </w:r>
      <w:r>
        <w:t xml:space="preserve"> balance, taking into account any sustainability reductions required to prevent environmental damage in the catchment.  This may include new water resources</w:t>
      </w:r>
      <w:r w:rsidR="0035510C">
        <w:t xml:space="preserve"> and </w:t>
      </w:r>
      <w:r>
        <w:t>better use of existing</w:t>
      </w:r>
      <w:r w:rsidR="00A135CA">
        <w:t xml:space="preserve"> </w:t>
      </w:r>
      <w:r>
        <w:t xml:space="preserve">strategic transfers.  This is likely to be included in the next </w:t>
      </w:r>
      <w:r w:rsidR="00753FF9">
        <w:t>WRMP but</w:t>
      </w:r>
      <w:r>
        <w:t xml:space="preserve"> may not be delivered until 2028.  Water neutrality will therefore be required at least up until this </w:t>
      </w:r>
      <w:r w:rsidR="00753FF9">
        <w:t>date and</w:t>
      </w:r>
      <w:r>
        <w:t xml:space="preserve"> may be required beyond should measures planned by Southern Water not be delivered on time.  The water neutrality plan therefore should assume a significant buffer beyond 2028 </w:t>
      </w:r>
      <w:r w:rsidR="00753FF9">
        <w:t>where additional offsetting measures may be required.</w:t>
      </w:r>
      <w:r w:rsidR="003A594A" w:rsidRPr="003A594A">
        <w:t xml:space="preserve"> </w:t>
      </w:r>
      <w:r w:rsidR="00584C72">
        <w:t xml:space="preserve"> </w:t>
      </w:r>
      <w:r w:rsidR="0035510C">
        <w:t>A worst-case</w:t>
      </w:r>
      <w:r w:rsidR="003A594A">
        <w:t xml:space="preserve"> assumption </w:t>
      </w:r>
      <w:r w:rsidR="0035510C">
        <w:t>was made</w:t>
      </w:r>
      <w:r w:rsidR="003A594A">
        <w:t xml:space="preserve"> that water neutrality </w:t>
      </w:r>
      <w:r w:rsidR="0035510C">
        <w:t>will be</w:t>
      </w:r>
      <w:r w:rsidR="003A594A">
        <w:t xml:space="preserve"> required throughout the </w:t>
      </w:r>
      <w:r w:rsidR="00390A15">
        <w:t xml:space="preserve">respective </w:t>
      </w:r>
      <w:r w:rsidR="003A594A">
        <w:t>Local Plan period</w:t>
      </w:r>
      <w:r w:rsidR="00390A15">
        <w:t>s</w:t>
      </w:r>
      <w:r w:rsidR="003A594A">
        <w:t xml:space="preserve"> to 203</w:t>
      </w:r>
      <w:r w:rsidR="00413324">
        <w:t>7</w:t>
      </w:r>
      <w:r w:rsidR="00390A15">
        <w:t>/ 2038</w:t>
      </w:r>
      <w:r w:rsidR="003A594A">
        <w:t>.</w:t>
      </w:r>
    </w:p>
    <w:p w14:paraId="0BEFD737" w14:textId="77777777" w:rsidR="00EF0C0E" w:rsidRDefault="00EF0C0E" w:rsidP="00EF0C0E">
      <w:pPr>
        <w:pStyle w:val="JBAParaText"/>
      </w:pPr>
      <w:r>
        <w:t xml:space="preserve">The next stage of this work is </w:t>
      </w:r>
      <w:r w:rsidR="00753FF9">
        <w:t xml:space="preserve">to </w:t>
      </w:r>
      <w:r>
        <w:t>produce a draft plan for how this will</w:t>
      </w:r>
      <w:r w:rsidR="00753FF9">
        <w:t xml:space="preserve"> be</w:t>
      </w:r>
      <w:r>
        <w:t xml:space="preserve"> delivered.  T</w:t>
      </w:r>
      <w:r w:rsidR="00753FF9">
        <w:t>his will include:</w:t>
      </w:r>
    </w:p>
    <w:p w14:paraId="0B200F15" w14:textId="6302C2AC" w:rsidR="00CF34A0" w:rsidRDefault="00CF34A0" w:rsidP="00753FF9">
      <w:pPr>
        <w:pStyle w:val="JBAParaText"/>
        <w:numPr>
          <w:ilvl w:val="0"/>
          <w:numId w:val="28"/>
        </w:numPr>
      </w:pPr>
      <w:r>
        <w:t xml:space="preserve">A series of workshops to be held with stakeholders to develop the details of a water neutrality plan.  These will build on the discussions to date and on stakeholder feedback to this report (see Appendix </w:t>
      </w:r>
      <w:r w:rsidR="00D4668B">
        <w:fldChar w:fldCharType="begin"/>
      </w:r>
      <w:r w:rsidR="00D4668B">
        <w:instrText xml:space="preserve"> REF _Ref95816767 \r \h </w:instrText>
      </w:r>
      <w:r w:rsidR="00D4668B">
        <w:fldChar w:fldCharType="separate"/>
      </w:r>
      <w:r w:rsidR="00643E47">
        <w:t>A</w:t>
      </w:r>
      <w:r w:rsidR="00D4668B">
        <w:fldChar w:fldCharType="end"/>
      </w:r>
      <w:r w:rsidR="00D4668B">
        <w:t>)</w:t>
      </w:r>
      <w:r>
        <w:t xml:space="preserve"> </w:t>
      </w:r>
    </w:p>
    <w:p w14:paraId="67EF51A6" w14:textId="51704D12" w:rsidR="00753FF9" w:rsidRDefault="00390A15" w:rsidP="00753FF9">
      <w:pPr>
        <w:pStyle w:val="JBAParaText"/>
        <w:numPr>
          <w:ilvl w:val="0"/>
          <w:numId w:val="28"/>
        </w:numPr>
      </w:pPr>
      <w:r>
        <w:t>A mitigation strategy</w:t>
      </w:r>
      <w:r w:rsidR="00753FF9">
        <w:t>, signed up to by stakeholders, defining the measures required to reduce demand and offset growth. Each action must have an identified owner and agreed timescale.</w:t>
      </w:r>
    </w:p>
    <w:p w14:paraId="631C2FE9" w14:textId="21542C8B" w:rsidR="00753FF9" w:rsidRDefault="00753FF9" w:rsidP="00753FF9">
      <w:pPr>
        <w:pStyle w:val="JBAParaText"/>
        <w:numPr>
          <w:ilvl w:val="0"/>
          <w:numId w:val="28"/>
        </w:numPr>
      </w:pPr>
      <w:r>
        <w:t xml:space="preserve">A technical document stating our assumptions for each mitigation measure included in the plan, </w:t>
      </w:r>
      <w:r w:rsidR="00E46047">
        <w:t>their</w:t>
      </w:r>
      <w:r w:rsidR="003C7323">
        <w:t xml:space="preserve"> estimated</w:t>
      </w:r>
      <w:r w:rsidR="00E46047">
        <w:t xml:space="preserve"> </w:t>
      </w:r>
      <w:r w:rsidR="003C7323">
        <w:t xml:space="preserve">indicative </w:t>
      </w:r>
      <w:r w:rsidR="00E46047">
        <w:t xml:space="preserve">costs, </w:t>
      </w:r>
      <w:r>
        <w:t>and the evidence base to support it.</w:t>
      </w:r>
    </w:p>
    <w:p w14:paraId="4B66D8FB" w14:textId="77777777" w:rsidR="00753FF9" w:rsidRDefault="00753FF9" w:rsidP="00753FF9">
      <w:pPr>
        <w:pStyle w:val="JBAParaText"/>
        <w:numPr>
          <w:ilvl w:val="0"/>
          <w:numId w:val="28"/>
        </w:numPr>
      </w:pPr>
      <w:r>
        <w:t>A water budget showing the expect</w:t>
      </w:r>
      <w:r w:rsidR="00DF1888">
        <w:t>ed</w:t>
      </w:r>
      <w:r>
        <w:t xml:space="preserve"> increase in demand year by year, and the contribution required from offsetting measures</w:t>
      </w:r>
    </w:p>
    <w:p w14:paraId="439EFF22" w14:textId="7367311A" w:rsidR="00D4668B" w:rsidRDefault="00D4668B" w:rsidP="00D4668B">
      <w:pPr>
        <w:pStyle w:val="JBAParaText"/>
      </w:pPr>
      <w:r>
        <w:t xml:space="preserve">The measures already planned by Southern Water to reduce household demand go a significant proportion of the way to achieving water neutrality during the plan period.  The size of the remaining demand that must be offset and the scope and complexity of any offsetting scheme depends on the water efficiency target for new build housing.  Water-use should be reduced as low as </w:t>
      </w:r>
      <w:r w:rsidR="00C33D61">
        <w:t xml:space="preserve">reasonably </w:t>
      </w:r>
      <w:r>
        <w:t>possible, as early as possible to minimise the need for offsetting later in the plan.</w:t>
      </w:r>
    </w:p>
    <w:p w14:paraId="45AE8F0C" w14:textId="77777777" w:rsidR="00553496" w:rsidRDefault="00DA6048" w:rsidP="00CE60AE">
      <w:pPr>
        <w:pStyle w:val="JBAParaText"/>
      </w:pPr>
      <w:r>
        <w:t>The carbon reduction that can be achieved through a reduction in water use should not be forgotten and could provide a significant contribution towards net zero climate targets</w:t>
      </w:r>
      <w:r w:rsidR="00B71B3F">
        <w:t xml:space="preserve"> though which sector would claim these benefits is unclear</w:t>
      </w:r>
      <w:r>
        <w:t>.</w:t>
      </w:r>
    </w:p>
    <w:p w14:paraId="620DF24F" w14:textId="63252D3B" w:rsidR="006363F3" w:rsidRDefault="00413324" w:rsidP="00C33D61">
      <w:pPr>
        <w:pStyle w:val="JBAParaText"/>
      </w:pPr>
      <w:r>
        <w:t xml:space="preserve">Parts of Crawley Borough and much of Chichester District are served from different water resource zones.  Whilst water neutrality is not currently required here, the whole of the south-east is under water stress, and there is a clear benefit to reducing water use across the region.  The councils should therefore consider </w:t>
      </w:r>
      <w:r w:rsidR="00584C72">
        <w:t xml:space="preserve">if </w:t>
      </w:r>
      <w:r>
        <w:t>a uniform policy approach across their area to water efficiency</w:t>
      </w:r>
      <w:r w:rsidR="00584C72">
        <w:t xml:space="preserve"> is appropriate</w:t>
      </w:r>
      <w:r>
        <w:t>.</w:t>
      </w:r>
    </w:p>
    <w:p w14:paraId="4C15BCEE" w14:textId="77777777" w:rsidR="006363F3" w:rsidRDefault="006363F3" w:rsidP="00CE60AE">
      <w:pPr>
        <w:pStyle w:val="JBAParaText"/>
      </w:pPr>
    </w:p>
    <w:p w14:paraId="78FDD671" w14:textId="77777777" w:rsidR="00CE60AE" w:rsidRDefault="00CE60AE" w:rsidP="00CE60AE">
      <w:pPr>
        <w:pStyle w:val="JBAParaText"/>
      </w:pPr>
    </w:p>
    <w:p w14:paraId="3D18A10A" w14:textId="77777777" w:rsidR="00CE60AE" w:rsidRPr="00CE60AE" w:rsidRDefault="00CE60AE" w:rsidP="00CE60AE">
      <w:pPr>
        <w:pStyle w:val="JBAParaText"/>
      </w:pPr>
    </w:p>
    <w:p w14:paraId="74E6DD5D" w14:textId="77777777" w:rsidR="00CF34A0" w:rsidRDefault="00D26903" w:rsidP="00635170">
      <w:pPr>
        <w:pStyle w:val="Heading1"/>
        <w:sectPr w:rsidR="00CF34A0" w:rsidSect="00565818">
          <w:pgSz w:w="11906" w:h="16838"/>
          <w:pgMar w:top="1701" w:right="567" w:bottom="567" w:left="454" w:header="454" w:footer="170" w:gutter="0"/>
          <w:cols w:space="708"/>
          <w:docGrid w:linePitch="360"/>
        </w:sectPr>
      </w:pPr>
      <w:r>
        <w:br w:type="page"/>
      </w:r>
    </w:p>
    <w:p w14:paraId="57C725BB" w14:textId="77777777" w:rsidR="00CF34A0" w:rsidRDefault="00CF34A0" w:rsidP="00A135CA">
      <w:pPr>
        <w:pStyle w:val="Heading6"/>
      </w:pPr>
      <w:r>
        <w:t>Appendices</w:t>
      </w:r>
    </w:p>
    <w:p w14:paraId="0DFF54F9" w14:textId="77777777" w:rsidR="00D26903" w:rsidRDefault="00CF34A0" w:rsidP="00A135CA">
      <w:pPr>
        <w:pStyle w:val="Heading7"/>
      </w:pPr>
      <w:bookmarkStart w:id="101" w:name="_Ref95816767"/>
      <w:bookmarkStart w:id="102" w:name="_Toc101856707"/>
      <w:r>
        <w:t xml:space="preserve">Appendix: </w:t>
      </w:r>
      <w:r w:rsidR="0000149A">
        <w:t>Stakeholder feedback</w:t>
      </w:r>
      <w:bookmarkEnd w:id="101"/>
      <w:bookmarkEnd w:id="102"/>
    </w:p>
    <w:p w14:paraId="176B865D" w14:textId="77777777" w:rsidR="00D818C5" w:rsidRPr="00D818C5" w:rsidRDefault="008D1339" w:rsidP="00423B41">
      <w:pPr>
        <w:pStyle w:val="JBAParaText"/>
      </w:pPr>
      <w:r>
        <w:t xml:space="preserve">This document is the first part in the preparation of a Water Neutrality Plan, and probably the first such plan in the UK.  </w:t>
      </w:r>
      <w:r w:rsidR="00D818C5">
        <w:t xml:space="preserve">During the review process of this report, a number of queries and issues were raised by stakeholders that are best addressed during the formulation of the draft plan (Part C).  These have been captured in </w:t>
      </w:r>
      <w:r w:rsidR="0000149A">
        <w:t>Table A.1</w:t>
      </w:r>
      <w:r w:rsidR="00D818C5">
        <w:t xml:space="preserve"> below</w:t>
      </w:r>
      <w:r>
        <w:t>, and should be used to inform the scope of Part C</w:t>
      </w:r>
      <w:r w:rsidR="00D818C5">
        <w:t>.</w:t>
      </w:r>
    </w:p>
    <w:p w14:paraId="130E5037" w14:textId="77777777" w:rsidR="00D818C5" w:rsidRDefault="00D818C5" w:rsidP="00D818C5">
      <w:pPr>
        <w:pStyle w:val="Caption"/>
        <w:keepNext/>
      </w:pPr>
      <w:bookmarkStart w:id="103" w:name="_Ref71528415"/>
      <w:r>
        <w:t xml:space="preserve">Table </w:t>
      </w:r>
      <w:r w:rsidR="0000149A">
        <w:rPr>
          <w:noProof/>
        </w:rPr>
        <w:t>A</w:t>
      </w:r>
      <w:r w:rsidR="001D5311">
        <w:t>.</w:t>
      </w:r>
      <w:r w:rsidR="0000149A">
        <w:t>1</w:t>
      </w:r>
      <w:bookmarkEnd w:id="103"/>
      <w:r>
        <w:t xml:space="preserve"> Stakeholder comments</w:t>
      </w:r>
    </w:p>
    <w:tbl>
      <w:tblPr>
        <w:tblStyle w:val="JBATable12"/>
        <w:tblW w:w="0" w:type="auto"/>
        <w:tblLook w:val="04A0" w:firstRow="1" w:lastRow="0" w:firstColumn="1" w:lastColumn="0" w:noHBand="0" w:noVBand="1"/>
      </w:tblPr>
      <w:tblGrid>
        <w:gridCol w:w="1841"/>
        <w:gridCol w:w="7411"/>
      </w:tblGrid>
      <w:tr w:rsidR="00635170" w14:paraId="54FDC712" w14:textId="77777777" w:rsidTr="00B71FC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769" w:type="dxa"/>
          </w:tcPr>
          <w:p w14:paraId="27280AD3" w14:textId="77777777" w:rsidR="00635170" w:rsidRDefault="00635170" w:rsidP="006024E2">
            <w:pPr>
              <w:pStyle w:val="JBAParaText"/>
              <w:ind w:left="0" w:right="-6"/>
              <w:jc w:val="center"/>
            </w:pPr>
            <w:r>
              <w:t>Stakeholder</w:t>
            </w:r>
          </w:p>
        </w:tc>
        <w:tc>
          <w:tcPr>
            <w:tcW w:w="7411" w:type="dxa"/>
          </w:tcPr>
          <w:p w14:paraId="46340703" w14:textId="77777777" w:rsidR="00635170" w:rsidRDefault="00635170" w:rsidP="00D818C5">
            <w:pPr>
              <w:pStyle w:val="JBAParaText"/>
              <w:ind w:left="0" w:right="-31"/>
              <w:jc w:val="center"/>
              <w:cnfStyle w:val="100000000000" w:firstRow="1" w:lastRow="0" w:firstColumn="0" w:lastColumn="0" w:oddVBand="0" w:evenVBand="0" w:oddHBand="0" w:evenHBand="0" w:firstRowFirstColumn="0" w:firstRowLastColumn="0" w:lastRowFirstColumn="0" w:lastRowLastColumn="0"/>
            </w:pPr>
            <w:r>
              <w:t>Comment</w:t>
            </w:r>
          </w:p>
        </w:tc>
      </w:tr>
      <w:tr w:rsidR="00635170" w14:paraId="16D50FFB" w14:textId="77777777" w:rsidTr="00B71FCA">
        <w:tc>
          <w:tcPr>
            <w:cnfStyle w:val="001000000000" w:firstRow="0" w:lastRow="0" w:firstColumn="1" w:lastColumn="0" w:oddVBand="0" w:evenVBand="0" w:oddHBand="0" w:evenHBand="0" w:firstRowFirstColumn="0" w:firstRowLastColumn="0" w:lastRowFirstColumn="0" w:lastRowLastColumn="0"/>
            <w:tcW w:w="1769" w:type="dxa"/>
          </w:tcPr>
          <w:p w14:paraId="26CAD43C" w14:textId="77777777" w:rsidR="00635170" w:rsidRDefault="00DA38C1" w:rsidP="006024E2">
            <w:pPr>
              <w:pStyle w:val="JBAParaText"/>
              <w:ind w:left="0" w:right="-6"/>
            </w:pPr>
            <w:r>
              <w:t>Lepus</w:t>
            </w:r>
            <w:r w:rsidR="008D1339">
              <w:t xml:space="preserve"> (HRA consultants)</w:t>
            </w:r>
          </w:p>
        </w:tc>
        <w:tc>
          <w:tcPr>
            <w:tcW w:w="7411" w:type="dxa"/>
          </w:tcPr>
          <w:p w14:paraId="4E3CBB57" w14:textId="77777777" w:rsidR="00635170" w:rsidRPr="00090727" w:rsidRDefault="00DA38C1" w:rsidP="00635170">
            <w:pPr>
              <w:pStyle w:val="JBAParaText"/>
              <w:ind w:left="0" w:right="-31"/>
              <w:cnfStyle w:val="000000000000" w:firstRow="0" w:lastRow="0" w:firstColumn="0" w:lastColumn="0" w:oddVBand="0" w:evenVBand="0" w:oddHBand="0" w:evenHBand="0" w:firstRowFirstColumn="0" w:firstRowLastColumn="0" w:lastRowFirstColumn="0" w:lastRowLastColumn="0"/>
              <w:rPr>
                <w:szCs w:val="24"/>
              </w:rPr>
            </w:pPr>
            <w:r w:rsidRPr="00090727">
              <w:rPr>
                <w:szCs w:val="24"/>
              </w:rPr>
              <w:t>“My understanding is that NE and Southern Water are currently undertaking a number of studies to provide the link between abstractions, change in water levels and changes in habitat / species distribution. It would be useful to know what work NE and Southern Water are doing to define this impact”</w:t>
            </w:r>
          </w:p>
          <w:p w14:paraId="0AEBE5A1" w14:textId="77777777" w:rsidR="003A594A" w:rsidRPr="00090727" w:rsidRDefault="003A594A" w:rsidP="00635170">
            <w:pPr>
              <w:pStyle w:val="JBAParaText"/>
              <w:ind w:left="0" w:right="-31"/>
              <w:cnfStyle w:val="000000000000" w:firstRow="0" w:lastRow="0" w:firstColumn="0" w:lastColumn="0" w:oddVBand="0" w:evenVBand="0" w:oddHBand="0" w:evenHBand="0" w:firstRowFirstColumn="0" w:firstRowLastColumn="0" w:lastRowFirstColumn="0" w:lastRowLastColumn="0"/>
              <w:rPr>
                <w:szCs w:val="24"/>
              </w:rPr>
            </w:pPr>
            <w:r w:rsidRPr="00090727">
              <w:rPr>
                <w:szCs w:val="24"/>
              </w:rPr>
              <w:t>NE response – “Yes this isn’t set out in a report yet – but we can pull something together for you but need to finish some of the work on the licences with the company and EA first… which we cannot discuss outside of the company and EA at this time but will do when we are able.”</w:t>
            </w:r>
          </w:p>
        </w:tc>
      </w:tr>
      <w:tr w:rsidR="00635170" w14:paraId="09F86899" w14:textId="77777777" w:rsidTr="00B71FCA">
        <w:tc>
          <w:tcPr>
            <w:cnfStyle w:val="001000000000" w:firstRow="0" w:lastRow="0" w:firstColumn="1" w:lastColumn="0" w:oddVBand="0" w:evenVBand="0" w:oddHBand="0" w:evenHBand="0" w:firstRowFirstColumn="0" w:firstRowLastColumn="0" w:lastRowFirstColumn="0" w:lastRowLastColumn="0"/>
            <w:tcW w:w="1769" w:type="dxa"/>
          </w:tcPr>
          <w:p w14:paraId="06D2D665" w14:textId="77777777" w:rsidR="00635170" w:rsidRDefault="00DA38C1" w:rsidP="006024E2">
            <w:pPr>
              <w:pStyle w:val="JBAParaText"/>
              <w:ind w:left="0" w:right="-6"/>
            </w:pPr>
            <w:r>
              <w:t>CBC</w:t>
            </w:r>
          </w:p>
        </w:tc>
        <w:tc>
          <w:tcPr>
            <w:tcW w:w="7411" w:type="dxa"/>
          </w:tcPr>
          <w:p w14:paraId="61779BBC" w14:textId="77777777" w:rsidR="00DA38C1" w:rsidRPr="00090727" w:rsidRDefault="00DF4721" w:rsidP="00DA38C1">
            <w:pPr>
              <w:pStyle w:val="CommentText"/>
              <w:cnfStyle w:val="000000000000" w:firstRow="0" w:lastRow="0" w:firstColumn="0" w:lastColumn="0" w:oddVBand="0" w:evenVBand="0" w:oddHBand="0" w:evenHBand="0" w:firstRowFirstColumn="0" w:firstRowLastColumn="0" w:lastRowFirstColumn="0" w:lastRowLastColumn="0"/>
              <w:rPr>
                <w:sz w:val="24"/>
                <w:szCs w:val="24"/>
              </w:rPr>
            </w:pPr>
            <w:r w:rsidRPr="00090727">
              <w:rPr>
                <w:sz w:val="24"/>
                <w:szCs w:val="24"/>
              </w:rPr>
              <w:t>“</w:t>
            </w:r>
            <w:r w:rsidR="00DA38C1" w:rsidRPr="00090727">
              <w:rPr>
                <w:sz w:val="24"/>
                <w:szCs w:val="24"/>
              </w:rPr>
              <w:t>There is a question here of how ‘offsetting’ is defined where it involves actions that are independent of the grant of consent. If the consent is not conditional on the offsetting actions occurring, then how certain can anyone be that they will actually occur? And how is the offsetting achieved by the actions attributed to particular developments? Surely there has to be a way of tying this down more precisely in order for it to be possible to say that a given development is ‘water neutral’? Would it be sufficient for this to be agreed through a ScG or similar? Would any monitoring be required to ensure that the savings were achieved? Noting that the ‘certainty’ required by Natural England is quite a high bar.</w:t>
            </w:r>
            <w:r w:rsidRPr="00090727">
              <w:rPr>
                <w:sz w:val="24"/>
                <w:szCs w:val="24"/>
              </w:rPr>
              <w:t>”</w:t>
            </w:r>
          </w:p>
          <w:p w14:paraId="449E5A3B" w14:textId="77777777" w:rsidR="00C353F9" w:rsidRPr="00090727" w:rsidRDefault="00C353F9" w:rsidP="00635170">
            <w:pPr>
              <w:pStyle w:val="JBAParaText"/>
              <w:ind w:left="0" w:right="-31"/>
              <w:cnfStyle w:val="000000000000" w:firstRow="0" w:lastRow="0" w:firstColumn="0" w:lastColumn="0" w:oddVBand="0" w:evenVBand="0" w:oddHBand="0" w:evenHBand="0" w:firstRowFirstColumn="0" w:firstRowLastColumn="0" w:lastRowFirstColumn="0" w:lastRowLastColumn="0"/>
              <w:rPr>
                <w:szCs w:val="24"/>
              </w:rPr>
            </w:pPr>
          </w:p>
        </w:tc>
      </w:tr>
      <w:tr w:rsidR="00DA38C1" w14:paraId="1A721A5E" w14:textId="77777777" w:rsidTr="00B71FCA">
        <w:tc>
          <w:tcPr>
            <w:cnfStyle w:val="001000000000" w:firstRow="0" w:lastRow="0" w:firstColumn="1" w:lastColumn="0" w:oddVBand="0" w:evenVBand="0" w:oddHBand="0" w:evenHBand="0" w:firstRowFirstColumn="0" w:firstRowLastColumn="0" w:lastRowFirstColumn="0" w:lastRowLastColumn="0"/>
            <w:tcW w:w="1769" w:type="dxa"/>
          </w:tcPr>
          <w:p w14:paraId="19D15CEC" w14:textId="77777777" w:rsidR="00DA38C1" w:rsidRDefault="00DF4721" w:rsidP="006024E2">
            <w:pPr>
              <w:pStyle w:val="JBAParaText"/>
              <w:ind w:left="0" w:right="-6"/>
            </w:pPr>
            <w:r>
              <w:t>CBC</w:t>
            </w:r>
          </w:p>
        </w:tc>
        <w:tc>
          <w:tcPr>
            <w:tcW w:w="7411" w:type="dxa"/>
          </w:tcPr>
          <w:p w14:paraId="0FE68B13" w14:textId="77777777" w:rsidR="00DA38C1" w:rsidRPr="00090727" w:rsidRDefault="00DF4721" w:rsidP="00DA38C1">
            <w:pPr>
              <w:pStyle w:val="CommentText"/>
              <w:cnfStyle w:val="000000000000" w:firstRow="0" w:lastRow="0" w:firstColumn="0" w:lastColumn="0" w:oddVBand="0" w:evenVBand="0" w:oddHBand="0" w:evenHBand="0" w:firstRowFirstColumn="0" w:firstRowLastColumn="0" w:lastRowFirstColumn="0" w:lastRowLastColumn="0"/>
              <w:rPr>
                <w:sz w:val="24"/>
                <w:szCs w:val="24"/>
              </w:rPr>
            </w:pPr>
            <w:r w:rsidRPr="00090727">
              <w:rPr>
                <w:sz w:val="24"/>
                <w:szCs w:val="24"/>
              </w:rPr>
              <w:t>“What would be the legislation/legal status of this?” (the Water Neutrality Plan)</w:t>
            </w:r>
          </w:p>
        </w:tc>
      </w:tr>
      <w:tr w:rsidR="00DF4721" w14:paraId="0DD7002A" w14:textId="77777777" w:rsidTr="00B71FCA">
        <w:tc>
          <w:tcPr>
            <w:cnfStyle w:val="001000000000" w:firstRow="0" w:lastRow="0" w:firstColumn="1" w:lastColumn="0" w:oddVBand="0" w:evenVBand="0" w:oddHBand="0" w:evenHBand="0" w:firstRowFirstColumn="0" w:firstRowLastColumn="0" w:lastRowFirstColumn="0" w:lastRowLastColumn="0"/>
            <w:tcW w:w="1769" w:type="dxa"/>
          </w:tcPr>
          <w:p w14:paraId="266A400C" w14:textId="77777777" w:rsidR="00DF4721" w:rsidRDefault="00DF4721" w:rsidP="006024E2">
            <w:pPr>
              <w:pStyle w:val="JBAParaText"/>
              <w:ind w:left="0" w:right="-6"/>
            </w:pPr>
            <w:r>
              <w:t>Lepus</w:t>
            </w:r>
          </w:p>
        </w:tc>
        <w:tc>
          <w:tcPr>
            <w:tcW w:w="7411" w:type="dxa"/>
          </w:tcPr>
          <w:p w14:paraId="5527D32A" w14:textId="77777777" w:rsidR="00DF4721" w:rsidRPr="00090727" w:rsidRDefault="00DF4721" w:rsidP="00DA38C1">
            <w:pPr>
              <w:pStyle w:val="CommentText"/>
              <w:cnfStyle w:val="000000000000" w:firstRow="0" w:lastRow="0" w:firstColumn="0" w:lastColumn="0" w:oddVBand="0" w:evenVBand="0" w:oddHBand="0" w:evenHBand="0" w:firstRowFirstColumn="0" w:firstRowLastColumn="0" w:lastRowFirstColumn="0" w:lastRowLastColumn="0"/>
              <w:rPr>
                <w:sz w:val="24"/>
                <w:szCs w:val="24"/>
              </w:rPr>
            </w:pPr>
            <w:r w:rsidRPr="00090727">
              <w:rPr>
                <w:sz w:val="24"/>
                <w:szCs w:val="24"/>
              </w:rPr>
              <w:t>“Before development comes forward.  There needs to be a ‘hook’ in the plan which will ensure that development will only come forward once mitigation has been implemented to achieve overall neutrality.”</w:t>
            </w:r>
          </w:p>
          <w:p w14:paraId="73DCE50C" w14:textId="77777777" w:rsidR="00127344" w:rsidRPr="00090727" w:rsidRDefault="00127344" w:rsidP="00DA38C1">
            <w:pPr>
              <w:pStyle w:val="CommentText"/>
              <w:cnfStyle w:val="000000000000" w:firstRow="0" w:lastRow="0" w:firstColumn="0" w:lastColumn="0" w:oddVBand="0" w:evenVBand="0" w:oddHBand="0" w:evenHBand="0" w:firstRowFirstColumn="0" w:firstRowLastColumn="0" w:lastRowFirstColumn="0" w:lastRowLastColumn="0"/>
              <w:rPr>
                <w:sz w:val="24"/>
                <w:szCs w:val="24"/>
              </w:rPr>
            </w:pPr>
          </w:p>
          <w:p w14:paraId="7C4BE1AF" w14:textId="77777777" w:rsidR="00127344" w:rsidRPr="00090727" w:rsidRDefault="00127344" w:rsidP="00127344">
            <w:pPr>
              <w:pStyle w:val="CommentText"/>
              <w:cnfStyle w:val="000000000000" w:firstRow="0" w:lastRow="0" w:firstColumn="0" w:lastColumn="0" w:oddVBand="0" w:evenVBand="0" w:oddHBand="0" w:evenHBand="0" w:firstRowFirstColumn="0" w:firstRowLastColumn="0" w:lastRowFirstColumn="0" w:lastRowLastColumn="0"/>
              <w:rPr>
                <w:sz w:val="24"/>
                <w:szCs w:val="24"/>
              </w:rPr>
            </w:pPr>
            <w:r w:rsidRPr="00090727">
              <w:rPr>
                <w:sz w:val="24"/>
                <w:szCs w:val="24"/>
              </w:rPr>
              <w:t>In terms of the HRA, case law indicates that mitigation must be effective, timely, reliable, guaranteed to be delivered and as long term as necessary.  The ‘hook’ in planning policy to achieve this must reflect this requirement.</w:t>
            </w:r>
          </w:p>
          <w:p w14:paraId="061DFF2C" w14:textId="77777777" w:rsidR="00127344" w:rsidRPr="00090727" w:rsidRDefault="00127344" w:rsidP="00127344">
            <w:pPr>
              <w:pStyle w:val="CommentText"/>
              <w:cnfStyle w:val="000000000000" w:firstRow="0" w:lastRow="0" w:firstColumn="0" w:lastColumn="0" w:oddVBand="0" w:evenVBand="0" w:oddHBand="0" w:evenHBand="0" w:firstRowFirstColumn="0" w:firstRowLastColumn="0" w:lastRowFirstColumn="0" w:lastRowLastColumn="0"/>
              <w:rPr>
                <w:sz w:val="24"/>
                <w:szCs w:val="24"/>
              </w:rPr>
            </w:pPr>
          </w:p>
          <w:p w14:paraId="47D2F38E" w14:textId="77777777" w:rsidR="00127344" w:rsidRPr="00090727" w:rsidRDefault="00127344" w:rsidP="00127344">
            <w:pPr>
              <w:pStyle w:val="CommentText"/>
              <w:cnfStyle w:val="000000000000" w:firstRow="0" w:lastRow="0" w:firstColumn="0" w:lastColumn="0" w:oddVBand="0" w:evenVBand="0" w:oddHBand="0" w:evenHBand="0" w:firstRowFirstColumn="0" w:firstRowLastColumn="0" w:lastRowFirstColumn="0" w:lastRowLastColumn="0"/>
              <w:rPr>
                <w:sz w:val="24"/>
                <w:szCs w:val="24"/>
              </w:rPr>
            </w:pPr>
            <w:r w:rsidRPr="00090727">
              <w:rPr>
                <w:sz w:val="24"/>
                <w:szCs w:val="24"/>
              </w:rPr>
              <w:t xml:space="preserve">Just a note from an HRA perspective on consideration of future reductions in other plans / policy in relation to the Dutch Ruling.   </w:t>
            </w:r>
          </w:p>
          <w:p w14:paraId="02D66DC0" w14:textId="77777777" w:rsidR="00127344" w:rsidRPr="00090727" w:rsidRDefault="00127344" w:rsidP="00127344">
            <w:pPr>
              <w:pStyle w:val="CommentText"/>
              <w:cnfStyle w:val="000000000000" w:firstRow="0" w:lastRow="0" w:firstColumn="0" w:lastColumn="0" w:oddVBand="0" w:evenVBand="0" w:oddHBand="0" w:evenHBand="0" w:firstRowFirstColumn="0" w:firstRowLastColumn="0" w:lastRowFirstColumn="0" w:lastRowLastColumn="0"/>
              <w:rPr>
                <w:sz w:val="24"/>
                <w:szCs w:val="24"/>
              </w:rPr>
            </w:pPr>
          </w:p>
          <w:p w14:paraId="773D0616" w14:textId="77777777" w:rsidR="00127344" w:rsidRPr="00090727" w:rsidRDefault="00127344" w:rsidP="00127344">
            <w:pPr>
              <w:pStyle w:val="CommentText"/>
              <w:cnfStyle w:val="000000000000" w:firstRow="0" w:lastRow="0" w:firstColumn="0" w:lastColumn="0" w:oddVBand="0" w:evenVBand="0" w:oddHBand="0" w:evenHBand="0" w:firstRowFirstColumn="0" w:firstRowLastColumn="0" w:lastRowFirstColumn="0" w:lastRowLastColumn="0"/>
              <w:rPr>
                <w:sz w:val="24"/>
                <w:szCs w:val="24"/>
              </w:rPr>
            </w:pPr>
            <w:r w:rsidRPr="00090727">
              <w:rPr>
                <w:sz w:val="24"/>
                <w:szCs w:val="24"/>
              </w:rPr>
              <w:t>The Dutch Nitrogen Ruling CJEU Cases C-293/17 &amp; C-293/18</w:t>
            </w:r>
          </w:p>
          <w:p w14:paraId="7B1F61B1" w14:textId="77777777" w:rsidR="00127344" w:rsidRPr="00090727" w:rsidRDefault="00127344" w:rsidP="00127344">
            <w:pPr>
              <w:pStyle w:val="CommentText"/>
              <w:cnfStyle w:val="000000000000" w:firstRow="0" w:lastRow="0" w:firstColumn="0" w:lastColumn="0" w:oddVBand="0" w:evenVBand="0" w:oddHBand="0" w:evenHBand="0" w:firstRowFirstColumn="0" w:firstRowLastColumn="0" w:lastRowFirstColumn="0" w:lastRowLastColumn="0"/>
              <w:rPr>
                <w:sz w:val="24"/>
                <w:szCs w:val="24"/>
              </w:rPr>
            </w:pPr>
          </w:p>
          <w:p w14:paraId="7DF3C333" w14:textId="77777777" w:rsidR="00127344" w:rsidRPr="00090727" w:rsidRDefault="00127344" w:rsidP="00127344">
            <w:pPr>
              <w:pStyle w:val="CommentText"/>
              <w:cnfStyle w:val="000000000000" w:firstRow="0" w:lastRow="0" w:firstColumn="0" w:lastColumn="0" w:oddVBand="0" w:evenVBand="0" w:oddHBand="0" w:evenHBand="0" w:firstRowFirstColumn="0" w:firstRowLastColumn="0" w:lastRowFirstColumn="0" w:lastRowLastColumn="0"/>
              <w:rPr>
                <w:sz w:val="24"/>
                <w:szCs w:val="24"/>
              </w:rPr>
            </w:pPr>
            <w:r w:rsidRPr="00090727">
              <w:rPr>
                <w:sz w:val="24"/>
                <w:szCs w:val="24"/>
              </w:rPr>
              <w:t xml:space="preserve">In HRA appropriate assessment we cannot take account of the future benefits of other wider measures if the expected benefits are uncertain (para 130).  This may be because:  </w:t>
            </w:r>
          </w:p>
          <w:p w14:paraId="0B947E22" w14:textId="77777777" w:rsidR="00127344" w:rsidRPr="00090727" w:rsidRDefault="00127344" w:rsidP="00127344">
            <w:pPr>
              <w:pStyle w:val="CommentText"/>
              <w:cnfStyle w:val="000000000000" w:firstRow="0" w:lastRow="0" w:firstColumn="0" w:lastColumn="0" w:oddVBand="0" w:evenVBand="0" w:oddHBand="0" w:evenHBand="0" w:firstRowFirstColumn="0" w:firstRowLastColumn="0" w:lastRowFirstColumn="0" w:lastRowLastColumn="0"/>
              <w:rPr>
                <w:sz w:val="24"/>
                <w:szCs w:val="24"/>
              </w:rPr>
            </w:pPr>
            <w:r w:rsidRPr="00090727">
              <w:rPr>
                <w:sz w:val="24"/>
                <w:szCs w:val="24"/>
              </w:rPr>
              <w:t>• procedures to implement measures are not yet in place; or</w:t>
            </w:r>
          </w:p>
          <w:p w14:paraId="5AB7828A" w14:textId="77777777" w:rsidR="00127344" w:rsidRPr="00090727" w:rsidRDefault="00127344" w:rsidP="00127344">
            <w:pPr>
              <w:pStyle w:val="CommentText"/>
              <w:cnfStyle w:val="000000000000" w:firstRow="0" w:lastRow="0" w:firstColumn="0" w:lastColumn="0" w:oddVBand="0" w:evenVBand="0" w:oddHBand="0" w:evenHBand="0" w:firstRowFirstColumn="0" w:firstRowLastColumn="0" w:lastRowFirstColumn="0" w:lastRowLastColumn="0"/>
              <w:rPr>
                <w:sz w:val="24"/>
                <w:szCs w:val="24"/>
              </w:rPr>
            </w:pPr>
            <w:r w:rsidRPr="00090727">
              <w:rPr>
                <w:sz w:val="24"/>
                <w:szCs w:val="24"/>
              </w:rPr>
              <w:t xml:space="preserve">• scientific knowledge doesn’t allow benefits to be identified or quantified </w:t>
            </w:r>
          </w:p>
          <w:p w14:paraId="4D17DE12" w14:textId="77777777" w:rsidR="00127344" w:rsidRPr="00090727" w:rsidRDefault="00127344" w:rsidP="00127344">
            <w:pPr>
              <w:pStyle w:val="CommentText"/>
              <w:cnfStyle w:val="000000000000" w:firstRow="0" w:lastRow="0" w:firstColumn="0" w:lastColumn="0" w:oddVBand="0" w:evenVBand="0" w:oddHBand="0" w:evenHBand="0" w:firstRowFirstColumn="0" w:firstRowLastColumn="0" w:lastRowFirstColumn="0" w:lastRowLastColumn="0"/>
              <w:rPr>
                <w:sz w:val="24"/>
                <w:szCs w:val="24"/>
              </w:rPr>
            </w:pPr>
          </w:p>
          <w:p w14:paraId="27AF2EA2" w14:textId="77777777" w:rsidR="00127344" w:rsidRPr="00090727" w:rsidRDefault="00127344" w:rsidP="00127344">
            <w:pPr>
              <w:pStyle w:val="CommentText"/>
              <w:cnfStyle w:val="000000000000" w:firstRow="0" w:lastRow="0" w:firstColumn="0" w:lastColumn="0" w:oddVBand="0" w:evenVBand="0" w:oddHBand="0" w:evenHBand="0" w:firstRowFirstColumn="0" w:firstRowLastColumn="0" w:lastRowFirstColumn="0" w:lastRowLastColumn="0"/>
              <w:rPr>
                <w:sz w:val="24"/>
                <w:szCs w:val="24"/>
              </w:rPr>
            </w:pPr>
            <w:r w:rsidRPr="00090727">
              <w:rPr>
                <w:sz w:val="24"/>
                <w:szCs w:val="24"/>
              </w:rPr>
              <w:t>But the HRA appropriate assessment can take account of all measures above where the expected benefits are certain at the time of the assessment.</w:t>
            </w:r>
          </w:p>
          <w:p w14:paraId="069CCB61" w14:textId="77777777" w:rsidR="00127344" w:rsidRPr="00090727" w:rsidRDefault="00127344" w:rsidP="00127344">
            <w:pPr>
              <w:pStyle w:val="CommentText"/>
              <w:cnfStyle w:val="000000000000" w:firstRow="0" w:lastRow="0" w:firstColumn="0" w:lastColumn="0" w:oddVBand="0" w:evenVBand="0" w:oddHBand="0" w:evenHBand="0" w:firstRowFirstColumn="0" w:firstRowLastColumn="0" w:lastRowFirstColumn="0" w:lastRowLastColumn="0"/>
              <w:rPr>
                <w:sz w:val="24"/>
                <w:szCs w:val="24"/>
              </w:rPr>
            </w:pPr>
          </w:p>
          <w:p w14:paraId="48330980" w14:textId="77777777" w:rsidR="00127344" w:rsidRPr="00090727" w:rsidRDefault="00127344" w:rsidP="00127344">
            <w:pPr>
              <w:pStyle w:val="CommentText"/>
              <w:cnfStyle w:val="000000000000" w:firstRow="0" w:lastRow="0" w:firstColumn="0" w:lastColumn="0" w:oddVBand="0" w:evenVBand="0" w:oddHBand="0" w:evenHBand="0" w:firstRowFirstColumn="0" w:firstRowLastColumn="0" w:lastRowFirstColumn="0" w:lastRowLastColumn="0"/>
              <w:rPr>
                <w:sz w:val="24"/>
                <w:szCs w:val="24"/>
              </w:rPr>
            </w:pPr>
          </w:p>
          <w:p w14:paraId="6900555B" w14:textId="77777777" w:rsidR="00127344" w:rsidRPr="00090727" w:rsidRDefault="00127344" w:rsidP="00127344">
            <w:pPr>
              <w:pStyle w:val="CommentText"/>
              <w:cnfStyle w:val="000000000000" w:firstRow="0" w:lastRow="0" w:firstColumn="0" w:lastColumn="0" w:oddVBand="0" w:evenVBand="0" w:oddHBand="0" w:evenHBand="0" w:firstRowFirstColumn="0" w:firstRowLastColumn="0" w:lastRowFirstColumn="0" w:lastRowLastColumn="0"/>
              <w:rPr>
                <w:sz w:val="24"/>
                <w:szCs w:val="24"/>
              </w:rPr>
            </w:pPr>
          </w:p>
          <w:p w14:paraId="4CD76670" w14:textId="77777777" w:rsidR="00127344" w:rsidRPr="00090727" w:rsidRDefault="00127344" w:rsidP="00127344">
            <w:pPr>
              <w:pStyle w:val="CommentText"/>
              <w:cnfStyle w:val="000000000000" w:firstRow="0" w:lastRow="0" w:firstColumn="0" w:lastColumn="0" w:oddVBand="0" w:evenVBand="0" w:oddHBand="0" w:evenHBand="0" w:firstRowFirstColumn="0" w:firstRowLastColumn="0" w:lastRowFirstColumn="0" w:lastRowLastColumn="0"/>
              <w:rPr>
                <w:sz w:val="24"/>
                <w:szCs w:val="24"/>
              </w:rPr>
            </w:pPr>
            <w:r w:rsidRPr="00090727">
              <w:rPr>
                <w:sz w:val="24"/>
                <w:szCs w:val="24"/>
              </w:rPr>
              <w:t>I wonder how we would quantify and ensure enforcement of some of these behavioural changes – the HRA needs to rely upon mitigation which is, beyond reasonable scientific doubt, effective, timely, reliable, guaranteed to be delivered and as long term as necessary.</w:t>
            </w:r>
          </w:p>
          <w:p w14:paraId="7E81C37B" w14:textId="77777777" w:rsidR="00127344" w:rsidRPr="00090727" w:rsidRDefault="00127344" w:rsidP="00127344">
            <w:pPr>
              <w:pStyle w:val="CommentText"/>
              <w:cnfStyle w:val="000000000000" w:firstRow="0" w:lastRow="0" w:firstColumn="0" w:lastColumn="0" w:oddVBand="0" w:evenVBand="0" w:oddHBand="0" w:evenHBand="0" w:firstRowFirstColumn="0" w:firstRowLastColumn="0" w:lastRowFirstColumn="0" w:lastRowLastColumn="0"/>
              <w:rPr>
                <w:sz w:val="24"/>
                <w:szCs w:val="24"/>
              </w:rPr>
            </w:pPr>
          </w:p>
          <w:p w14:paraId="53353BFF" w14:textId="77777777" w:rsidR="00127344" w:rsidRPr="00090727" w:rsidRDefault="00127344" w:rsidP="00127344">
            <w:pPr>
              <w:pStyle w:val="CommentText"/>
              <w:cnfStyle w:val="000000000000" w:firstRow="0" w:lastRow="0" w:firstColumn="0" w:lastColumn="0" w:oddVBand="0" w:evenVBand="0" w:oddHBand="0" w:evenHBand="0" w:firstRowFirstColumn="0" w:firstRowLastColumn="0" w:lastRowFirstColumn="0" w:lastRowLastColumn="0"/>
              <w:rPr>
                <w:sz w:val="24"/>
                <w:szCs w:val="24"/>
              </w:rPr>
            </w:pPr>
          </w:p>
          <w:p w14:paraId="3C4B7848" w14:textId="77777777" w:rsidR="00127344" w:rsidRPr="00090727" w:rsidRDefault="00751224" w:rsidP="00DA38C1">
            <w:pPr>
              <w:pStyle w:val="CommentText"/>
              <w:cnfStyle w:val="000000000000" w:firstRow="0" w:lastRow="0" w:firstColumn="0" w:lastColumn="0" w:oddVBand="0" w:evenVBand="0" w:oddHBand="0" w:evenHBand="0" w:firstRowFirstColumn="0" w:firstRowLastColumn="0" w:lastRowFirstColumn="0" w:lastRowLastColumn="0"/>
              <w:rPr>
                <w:sz w:val="24"/>
                <w:szCs w:val="24"/>
              </w:rPr>
            </w:pPr>
            <w:r w:rsidRPr="00090727">
              <w:rPr>
                <w:sz w:val="24"/>
                <w:szCs w:val="24"/>
              </w:rPr>
              <w:t xml:space="preserve">How would we demonstrate that such measures will in reality take place in the future?  </w:t>
            </w:r>
          </w:p>
          <w:p w14:paraId="36524969" w14:textId="77777777" w:rsidR="00751224" w:rsidRPr="00090727" w:rsidRDefault="00751224" w:rsidP="00DA38C1">
            <w:pPr>
              <w:pStyle w:val="CommentText"/>
              <w:cnfStyle w:val="000000000000" w:firstRow="0" w:lastRow="0" w:firstColumn="0" w:lastColumn="0" w:oddVBand="0" w:evenVBand="0" w:oddHBand="0" w:evenHBand="0" w:firstRowFirstColumn="0" w:firstRowLastColumn="0" w:lastRowFirstColumn="0" w:lastRowLastColumn="0"/>
              <w:rPr>
                <w:sz w:val="24"/>
                <w:szCs w:val="24"/>
              </w:rPr>
            </w:pPr>
          </w:p>
        </w:tc>
      </w:tr>
      <w:tr w:rsidR="00DF4721" w14:paraId="315F8C55" w14:textId="77777777" w:rsidTr="00B71FCA">
        <w:tc>
          <w:tcPr>
            <w:cnfStyle w:val="001000000000" w:firstRow="0" w:lastRow="0" w:firstColumn="1" w:lastColumn="0" w:oddVBand="0" w:evenVBand="0" w:oddHBand="0" w:evenHBand="0" w:firstRowFirstColumn="0" w:firstRowLastColumn="0" w:lastRowFirstColumn="0" w:lastRowLastColumn="0"/>
            <w:tcW w:w="1769" w:type="dxa"/>
          </w:tcPr>
          <w:p w14:paraId="0C2DF585" w14:textId="77777777" w:rsidR="00DF4721" w:rsidRDefault="00DF4721" w:rsidP="00635170">
            <w:pPr>
              <w:pStyle w:val="JBAParaText"/>
              <w:ind w:left="0" w:right="-105"/>
            </w:pPr>
            <w:r>
              <w:t>CBC</w:t>
            </w:r>
          </w:p>
        </w:tc>
        <w:tc>
          <w:tcPr>
            <w:tcW w:w="7411" w:type="dxa"/>
          </w:tcPr>
          <w:p w14:paraId="5A30B3E0" w14:textId="77777777" w:rsidR="00DF4721" w:rsidRPr="00090727" w:rsidRDefault="00DF4721" w:rsidP="00DF4721">
            <w:pPr>
              <w:pStyle w:val="CommentText"/>
              <w:cnfStyle w:val="000000000000" w:firstRow="0" w:lastRow="0" w:firstColumn="0" w:lastColumn="0" w:oddVBand="0" w:evenVBand="0" w:oddHBand="0" w:evenHBand="0" w:firstRowFirstColumn="0" w:firstRowLastColumn="0" w:lastRowFirstColumn="0" w:lastRowLastColumn="0"/>
              <w:rPr>
                <w:sz w:val="24"/>
                <w:szCs w:val="24"/>
              </w:rPr>
            </w:pPr>
            <w:r w:rsidRPr="00090727">
              <w:rPr>
                <w:sz w:val="24"/>
                <w:szCs w:val="24"/>
              </w:rPr>
              <w:t>(On timing of implementing measures) “How does this work when we are bringing forward the same developments under the existing adopted Local Plan, which was considered without this being an issue raised in the HRA? Should we be requiring mini-HRAs for all planning applications as they are doing in Wealden/Mid Sussex in relation to the air quality impacts on the Ashdown Forest? Or is the borough’s adopted Local Plan enough?”</w:t>
            </w:r>
          </w:p>
          <w:p w14:paraId="197179EF" w14:textId="77777777" w:rsidR="00DF4721" w:rsidRPr="00090727" w:rsidRDefault="00DF4721" w:rsidP="00DF4721">
            <w:pPr>
              <w:pStyle w:val="CommentText"/>
              <w:cnfStyle w:val="000000000000" w:firstRow="0" w:lastRow="0" w:firstColumn="0" w:lastColumn="0" w:oddVBand="0" w:evenVBand="0" w:oddHBand="0" w:evenHBand="0" w:firstRowFirstColumn="0" w:firstRowLastColumn="0" w:lastRowFirstColumn="0" w:lastRowLastColumn="0"/>
              <w:rPr>
                <w:sz w:val="24"/>
                <w:szCs w:val="24"/>
              </w:rPr>
            </w:pPr>
          </w:p>
        </w:tc>
      </w:tr>
      <w:tr w:rsidR="00DF4721" w14:paraId="74CA0149" w14:textId="77777777" w:rsidTr="007D46C9">
        <w:tc>
          <w:tcPr>
            <w:cnfStyle w:val="001000000000" w:firstRow="0" w:lastRow="0" w:firstColumn="1" w:lastColumn="0" w:oddVBand="0" w:evenVBand="0" w:oddHBand="0" w:evenHBand="0" w:firstRowFirstColumn="0" w:firstRowLastColumn="0" w:lastRowFirstColumn="0" w:lastRowLastColumn="0"/>
            <w:tcW w:w="1769" w:type="dxa"/>
          </w:tcPr>
          <w:p w14:paraId="39976FCC" w14:textId="77777777" w:rsidR="00DF4721" w:rsidRDefault="00DF4721" w:rsidP="00635170">
            <w:pPr>
              <w:pStyle w:val="JBAParaText"/>
              <w:ind w:left="0" w:right="-105"/>
            </w:pPr>
            <w:r>
              <w:t>CDC</w:t>
            </w:r>
          </w:p>
        </w:tc>
        <w:tc>
          <w:tcPr>
            <w:tcW w:w="7411" w:type="dxa"/>
          </w:tcPr>
          <w:p w14:paraId="01A8B390" w14:textId="77777777" w:rsidR="00DF4721" w:rsidRPr="00090727" w:rsidRDefault="00DF4721" w:rsidP="00DF4721">
            <w:pPr>
              <w:pStyle w:val="CommentText"/>
              <w:cnfStyle w:val="000000000000" w:firstRow="0" w:lastRow="0" w:firstColumn="0" w:lastColumn="0" w:oddVBand="0" w:evenVBand="0" w:oddHBand="0" w:evenHBand="0" w:firstRowFirstColumn="0" w:firstRowLastColumn="0" w:lastRowFirstColumn="0" w:lastRowLastColumn="0"/>
              <w:rPr>
                <w:sz w:val="24"/>
                <w:szCs w:val="24"/>
              </w:rPr>
            </w:pPr>
            <w:r w:rsidRPr="00090727">
              <w:rPr>
                <w:sz w:val="24"/>
                <w:szCs w:val="24"/>
              </w:rPr>
              <w:t>On the uncertainty on environmental impact - “Don’t we have clear advice on this point at present?”</w:t>
            </w:r>
          </w:p>
          <w:p w14:paraId="3FFD559B" w14:textId="77777777" w:rsidR="00C353F9" w:rsidRPr="00090727" w:rsidRDefault="00C353F9" w:rsidP="00DF4721">
            <w:pPr>
              <w:pStyle w:val="CommentText"/>
              <w:cnfStyle w:val="000000000000" w:firstRow="0" w:lastRow="0" w:firstColumn="0" w:lastColumn="0" w:oddVBand="0" w:evenVBand="0" w:oddHBand="0" w:evenHBand="0" w:firstRowFirstColumn="0" w:firstRowLastColumn="0" w:lastRowFirstColumn="0" w:lastRowLastColumn="0"/>
              <w:rPr>
                <w:sz w:val="24"/>
                <w:szCs w:val="24"/>
              </w:rPr>
            </w:pPr>
            <w:r w:rsidRPr="00090727">
              <w:rPr>
                <w:sz w:val="24"/>
                <w:szCs w:val="24"/>
              </w:rPr>
              <w:t>NE response – “Yes if the impact is uncertain – you treat it as if it were certain as you have to prove there is not an adverse effect on integrity. “</w:t>
            </w:r>
          </w:p>
        </w:tc>
      </w:tr>
      <w:tr w:rsidR="00DF4721" w14:paraId="3A599F55" w14:textId="77777777" w:rsidTr="007D46C9">
        <w:tc>
          <w:tcPr>
            <w:cnfStyle w:val="001000000000" w:firstRow="0" w:lastRow="0" w:firstColumn="1" w:lastColumn="0" w:oddVBand="0" w:evenVBand="0" w:oddHBand="0" w:evenHBand="0" w:firstRowFirstColumn="0" w:firstRowLastColumn="0" w:lastRowFirstColumn="0" w:lastRowLastColumn="0"/>
            <w:tcW w:w="1769" w:type="dxa"/>
          </w:tcPr>
          <w:p w14:paraId="04A03AFE" w14:textId="77777777" w:rsidR="00DF4721" w:rsidRDefault="00751224" w:rsidP="00635170">
            <w:pPr>
              <w:pStyle w:val="JBAParaText"/>
              <w:ind w:left="0" w:right="-105"/>
            </w:pPr>
            <w:r>
              <w:t>Lepus</w:t>
            </w:r>
          </w:p>
        </w:tc>
        <w:tc>
          <w:tcPr>
            <w:tcW w:w="7411" w:type="dxa"/>
          </w:tcPr>
          <w:p w14:paraId="1203E44A" w14:textId="77777777" w:rsidR="00DF4721" w:rsidRPr="00090727" w:rsidRDefault="00751224" w:rsidP="00DF4721">
            <w:pPr>
              <w:pStyle w:val="CommentText"/>
              <w:cnfStyle w:val="000000000000" w:firstRow="0" w:lastRow="0" w:firstColumn="0" w:lastColumn="0" w:oddVBand="0" w:evenVBand="0" w:oddHBand="0" w:evenHBand="0" w:firstRowFirstColumn="0" w:firstRowLastColumn="0" w:lastRowFirstColumn="0" w:lastRowLastColumn="0"/>
              <w:rPr>
                <w:sz w:val="24"/>
                <w:szCs w:val="24"/>
              </w:rPr>
            </w:pPr>
            <w:r w:rsidRPr="00090727">
              <w:rPr>
                <w:sz w:val="24"/>
                <w:szCs w:val="24"/>
              </w:rPr>
              <w:t>Given metering and household visits are relying on a behavioural change I would wonder how we would be confident in reductions.  The leakage reductions (above) would be more reliable as presumably SW would sign up to a more ambitious target over a certain time period.</w:t>
            </w:r>
          </w:p>
        </w:tc>
      </w:tr>
      <w:tr w:rsidR="00DF4721" w14:paraId="7E594608" w14:textId="77777777" w:rsidTr="007D46C9">
        <w:tc>
          <w:tcPr>
            <w:cnfStyle w:val="001000000000" w:firstRow="0" w:lastRow="0" w:firstColumn="1" w:lastColumn="0" w:oddVBand="0" w:evenVBand="0" w:oddHBand="0" w:evenHBand="0" w:firstRowFirstColumn="0" w:firstRowLastColumn="0" w:lastRowFirstColumn="0" w:lastRowLastColumn="0"/>
            <w:tcW w:w="1769" w:type="dxa"/>
          </w:tcPr>
          <w:p w14:paraId="1B425F6A" w14:textId="77777777" w:rsidR="00DF4721" w:rsidRDefault="00136C67" w:rsidP="00635170">
            <w:pPr>
              <w:pStyle w:val="JBAParaText"/>
              <w:ind w:left="0" w:right="-105"/>
            </w:pPr>
            <w:r>
              <w:t>CBC</w:t>
            </w:r>
          </w:p>
        </w:tc>
        <w:tc>
          <w:tcPr>
            <w:tcW w:w="7411" w:type="dxa"/>
          </w:tcPr>
          <w:p w14:paraId="5C532FAF" w14:textId="77777777" w:rsidR="00DF4721" w:rsidRPr="00090727" w:rsidRDefault="00136C67" w:rsidP="00DF4721">
            <w:pPr>
              <w:pStyle w:val="CommentText"/>
              <w:cnfStyle w:val="000000000000" w:firstRow="0" w:lastRow="0" w:firstColumn="0" w:lastColumn="0" w:oddVBand="0" w:evenVBand="0" w:oddHBand="0" w:evenHBand="0" w:firstRowFirstColumn="0" w:firstRowLastColumn="0" w:lastRowFirstColumn="0" w:lastRowLastColumn="0"/>
              <w:rPr>
                <w:sz w:val="24"/>
                <w:szCs w:val="24"/>
              </w:rPr>
            </w:pPr>
            <w:r w:rsidRPr="00090727">
              <w:rPr>
                <w:sz w:val="24"/>
                <w:szCs w:val="24"/>
              </w:rPr>
              <w:t>Responsibility for these measures is spread across various stakeholders and is outside the planning process to a large extent, so question arises as to how the resulting savings are attributed to Crawley and to the Local Plan period.</w:t>
            </w:r>
          </w:p>
        </w:tc>
      </w:tr>
      <w:tr w:rsidR="0034302A" w14:paraId="0518013E" w14:textId="77777777" w:rsidTr="007D46C9">
        <w:tc>
          <w:tcPr>
            <w:cnfStyle w:val="001000000000" w:firstRow="0" w:lastRow="0" w:firstColumn="1" w:lastColumn="0" w:oddVBand="0" w:evenVBand="0" w:oddHBand="0" w:evenHBand="0" w:firstRowFirstColumn="0" w:firstRowLastColumn="0" w:lastRowFirstColumn="0" w:lastRowLastColumn="0"/>
            <w:tcW w:w="1769" w:type="dxa"/>
          </w:tcPr>
          <w:p w14:paraId="41E08B9B" w14:textId="77777777" w:rsidR="0034302A" w:rsidRDefault="0034302A" w:rsidP="00635170">
            <w:pPr>
              <w:pStyle w:val="JBAParaText"/>
              <w:ind w:left="0" w:right="-105"/>
            </w:pPr>
            <w:r>
              <w:t>SW</w:t>
            </w:r>
          </w:p>
        </w:tc>
        <w:tc>
          <w:tcPr>
            <w:tcW w:w="7411" w:type="dxa"/>
          </w:tcPr>
          <w:p w14:paraId="5E5885F5" w14:textId="77777777" w:rsidR="0034302A" w:rsidRPr="00090727" w:rsidRDefault="0034302A" w:rsidP="00DF4721">
            <w:pPr>
              <w:pStyle w:val="CommentText"/>
              <w:cnfStyle w:val="000000000000" w:firstRow="0" w:lastRow="0" w:firstColumn="0" w:lastColumn="0" w:oddVBand="0" w:evenVBand="0" w:oddHBand="0" w:evenHBand="0" w:firstRowFirstColumn="0" w:firstRowLastColumn="0" w:lastRowFirstColumn="0" w:lastRowLastColumn="0"/>
              <w:rPr>
                <w:sz w:val="24"/>
                <w:szCs w:val="24"/>
              </w:rPr>
            </w:pPr>
            <w:r w:rsidRPr="00090727">
              <w:rPr>
                <w:sz w:val="24"/>
                <w:szCs w:val="24"/>
              </w:rPr>
              <w:t>“Have you considered the long term effects of Covid-19 which will likely result in more people working from home in future?”</w:t>
            </w:r>
          </w:p>
        </w:tc>
      </w:tr>
      <w:tr w:rsidR="003C29B9" w14:paraId="4304A9C7" w14:textId="77777777" w:rsidTr="007D46C9">
        <w:tc>
          <w:tcPr>
            <w:cnfStyle w:val="001000000000" w:firstRow="0" w:lastRow="0" w:firstColumn="1" w:lastColumn="0" w:oddVBand="0" w:evenVBand="0" w:oddHBand="0" w:evenHBand="0" w:firstRowFirstColumn="0" w:firstRowLastColumn="0" w:lastRowFirstColumn="0" w:lastRowLastColumn="0"/>
            <w:tcW w:w="1769" w:type="dxa"/>
          </w:tcPr>
          <w:p w14:paraId="04F456F5" w14:textId="77777777" w:rsidR="003C29B9" w:rsidRDefault="003C29B9" w:rsidP="00635170">
            <w:pPr>
              <w:pStyle w:val="JBAParaText"/>
              <w:ind w:left="0" w:right="-105"/>
            </w:pPr>
            <w:r>
              <w:t>NE</w:t>
            </w:r>
          </w:p>
        </w:tc>
        <w:tc>
          <w:tcPr>
            <w:tcW w:w="7411" w:type="dxa"/>
          </w:tcPr>
          <w:p w14:paraId="2CB8A7A8" w14:textId="77777777" w:rsidR="003C29B9" w:rsidRPr="00090727" w:rsidRDefault="003C29B9" w:rsidP="00DF4721">
            <w:pPr>
              <w:pStyle w:val="CommentText"/>
              <w:cnfStyle w:val="000000000000" w:firstRow="0" w:lastRow="0" w:firstColumn="0" w:lastColumn="0" w:oddVBand="0" w:evenVBand="0" w:oddHBand="0" w:evenHBand="0" w:firstRowFirstColumn="0" w:firstRowLastColumn="0" w:lastRowFirstColumn="0" w:lastRowLastColumn="0"/>
              <w:rPr>
                <w:sz w:val="24"/>
                <w:szCs w:val="24"/>
              </w:rPr>
            </w:pPr>
            <w:r w:rsidRPr="00090727">
              <w:rPr>
                <w:sz w:val="24"/>
                <w:szCs w:val="24"/>
              </w:rPr>
              <w:t>Regarding water efficient fittings – “These have a shelf life and can be removed by home owners so needs evidence from water sector on how much this happens… and that needs to be taken account of – also need evidence that it doesn’t happen quickly – as it only needs to be secure until the new Water supply is implemented.”</w:t>
            </w:r>
          </w:p>
        </w:tc>
      </w:tr>
      <w:tr w:rsidR="007D46C9" w14:paraId="023F62E9" w14:textId="77777777" w:rsidTr="007D46C9">
        <w:tc>
          <w:tcPr>
            <w:cnfStyle w:val="001000000000" w:firstRow="0" w:lastRow="0" w:firstColumn="1" w:lastColumn="0" w:oddVBand="0" w:evenVBand="0" w:oddHBand="0" w:evenHBand="0" w:firstRowFirstColumn="0" w:firstRowLastColumn="0" w:lastRowFirstColumn="0" w:lastRowLastColumn="0"/>
            <w:tcW w:w="1769" w:type="dxa"/>
          </w:tcPr>
          <w:p w14:paraId="24F217A7" w14:textId="77777777" w:rsidR="007D46C9" w:rsidRDefault="007D46C9" w:rsidP="00635170">
            <w:pPr>
              <w:pStyle w:val="JBAParaText"/>
              <w:ind w:left="0" w:right="-105"/>
            </w:pPr>
            <w:r>
              <w:t>NE</w:t>
            </w:r>
          </w:p>
        </w:tc>
        <w:tc>
          <w:tcPr>
            <w:tcW w:w="7411" w:type="dxa"/>
          </w:tcPr>
          <w:p w14:paraId="76822BC5" w14:textId="77777777" w:rsidR="00E436CE" w:rsidRPr="00090727" w:rsidRDefault="007D46C9" w:rsidP="007D46C9">
            <w:pPr>
              <w:pStyle w:val="CommentText"/>
              <w:cnfStyle w:val="000000000000" w:firstRow="0" w:lastRow="0" w:firstColumn="0" w:lastColumn="0" w:oddVBand="0" w:evenVBand="0" w:oddHBand="0" w:evenHBand="0" w:firstRowFirstColumn="0" w:firstRowLastColumn="0" w:lastRowFirstColumn="0" w:lastRowLastColumn="0"/>
              <w:rPr>
                <w:sz w:val="24"/>
                <w:szCs w:val="24"/>
              </w:rPr>
            </w:pPr>
            <w:r w:rsidRPr="00090727">
              <w:rPr>
                <w:sz w:val="24"/>
                <w:szCs w:val="24"/>
              </w:rPr>
              <w:t xml:space="preserve">On the potential carbon saving: </w:t>
            </w:r>
          </w:p>
          <w:p w14:paraId="7AD6170E" w14:textId="77777777" w:rsidR="007D46C9" w:rsidRPr="00090727" w:rsidRDefault="007D46C9" w:rsidP="007D46C9">
            <w:pPr>
              <w:pStyle w:val="CommentText"/>
              <w:cnfStyle w:val="000000000000" w:firstRow="0" w:lastRow="0" w:firstColumn="0" w:lastColumn="0" w:oddVBand="0" w:evenVBand="0" w:oddHBand="0" w:evenHBand="0" w:firstRowFirstColumn="0" w:firstRowLastColumn="0" w:lastRowFirstColumn="0" w:lastRowLastColumn="0"/>
              <w:rPr>
                <w:sz w:val="24"/>
                <w:szCs w:val="24"/>
              </w:rPr>
            </w:pPr>
            <w:r w:rsidRPr="00090727">
              <w:rPr>
                <w:sz w:val="24"/>
                <w:szCs w:val="24"/>
              </w:rPr>
              <w:t>“Absolutely especially when you combine it with water heating so short showers instead of baths - big energy saving per household and big carbon saving.</w:t>
            </w:r>
            <w:r w:rsidR="00E436CE" w:rsidRPr="00090727">
              <w:rPr>
                <w:sz w:val="24"/>
                <w:szCs w:val="24"/>
              </w:rPr>
              <w:t xml:space="preserve"> </w:t>
            </w:r>
            <w:r w:rsidRPr="00090727">
              <w:rPr>
                <w:sz w:val="24"/>
                <w:szCs w:val="24"/>
              </w:rPr>
              <w:t>It is important who takes this carbon offsetting as it could be double or even triple counted… so need to be clear who is claiming the carbon.”</w:t>
            </w:r>
          </w:p>
        </w:tc>
      </w:tr>
      <w:tr w:rsidR="001220E2" w14:paraId="2127A002" w14:textId="77777777" w:rsidTr="007D46C9">
        <w:tc>
          <w:tcPr>
            <w:cnfStyle w:val="001000000000" w:firstRow="0" w:lastRow="0" w:firstColumn="1" w:lastColumn="0" w:oddVBand="0" w:evenVBand="0" w:oddHBand="0" w:evenHBand="0" w:firstRowFirstColumn="0" w:firstRowLastColumn="0" w:lastRowFirstColumn="0" w:lastRowLastColumn="0"/>
            <w:tcW w:w="1769" w:type="dxa"/>
          </w:tcPr>
          <w:p w14:paraId="54C22AA2" w14:textId="77777777" w:rsidR="001220E2" w:rsidRDefault="001220E2" w:rsidP="00635170">
            <w:pPr>
              <w:pStyle w:val="JBAParaText"/>
              <w:ind w:left="0" w:right="-105"/>
            </w:pPr>
            <w:r>
              <w:t>NE</w:t>
            </w:r>
          </w:p>
        </w:tc>
        <w:tc>
          <w:tcPr>
            <w:tcW w:w="7411" w:type="dxa"/>
          </w:tcPr>
          <w:p w14:paraId="37EA6637" w14:textId="77777777" w:rsidR="001220E2" w:rsidRPr="00090727" w:rsidRDefault="00E436CE" w:rsidP="001220E2">
            <w:pPr>
              <w:pStyle w:val="CommentText"/>
              <w:cnfStyle w:val="000000000000" w:firstRow="0" w:lastRow="0" w:firstColumn="0" w:lastColumn="0" w:oddVBand="0" w:evenVBand="0" w:oddHBand="0" w:evenHBand="0" w:firstRowFirstColumn="0" w:firstRowLastColumn="0" w:lastRowFirstColumn="0" w:lastRowLastColumn="0"/>
              <w:rPr>
                <w:sz w:val="24"/>
                <w:szCs w:val="24"/>
              </w:rPr>
            </w:pPr>
            <w:r w:rsidRPr="00090727">
              <w:rPr>
                <w:sz w:val="24"/>
                <w:szCs w:val="24"/>
              </w:rPr>
              <w:t>“</w:t>
            </w:r>
            <w:r w:rsidR="001220E2" w:rsidRPr="00090727">
              <w:rPr>
                <w:sz w:val="24"/>
                <w:szCs w:val="24"/>
              </w:rPr>
              <w:t>For school there is loads that can be done to save water that saves them money and the fixture and fittings here will not be ripped out so are certain</w:t>
            </w:r>
            <w:r w:rsidRPr="00090727">
              <w:rPr>
                <w:sz w:val="24"/>
                <w:szCs w:val="24"/>
              </w:rPr>
              <w:t>”</w:t>
            </w:r>
          </w:p>
          <w:p w14:paraId="366022E6" w14:textId="77777777" w:rsidR="001220E2" w:rsidRPr="00090727" w:rsidRDefault="001220E2" w:rsidP="007D46C9">
            <w:pPr>
              <w:pStyle w:val="CommentText"/>
              <w:cnfStyle w:val="000000000000" w:firstRow="0" w:lastRow="0" w:firstColumn="0" w:lastColumn="0" w:oddVBand="0" w:evenVBand="0" w:oddHBand="0" w:evenHBand="0" w:firstRowFirstColumn="0" w:firstRowLastColumn="0" w:lastRowFirstColumn="0" w:lastRowLastColumn="0"/>
              <w:rPr>
                <w:sz w:val="24"/>
                <w:szCs w:val="24"/>
              </w:rPr>
            </w:pPr>
          </w:p>
        </w:tc>
      </w:tr>
      <w:tr w:rsidR="00FB0627" w14:paraId="04C9DDC2" w14:textId="77777777" w:rsidTr="007D46C9">
        <w:tc>
          <w:tcPr>
            <w:cnfStyle w:val="001000000000" w:firstRow="0" w:lastRow="0" w:firstColumn="1" w:lastColumn="0" w:oddVBand="0" w:evenVBand="0" w:oddHBand="0" w:evenHBand="0" w:firstRowFirstColumn="0" w:firstRowLastColumn="0" w:lastRowFirstColumn="0" w:lastRowLastColumn="0"/>
            <w:tcW w:w="1769" w:type="dxa"/>
          </w:tcPr>
          <w:p w14:paraId="08322706" w14:textId="77777777" w:rsidR="00FB0627" w:rsidRDefault="00FB0627" w:rsidP="00635170">
            <w:pPr>
              <w:pStyle w:val="JBAParaText"/>
              <w:ind w:left="0" w:right="-105"/>
            </w:pPr>
            <w:r>
              <w:t>NE</w:t>
            </w:r>
          </w:p>
        </w:tc>
        <w:tc>
          <w:tcPr>
            <w:tcW w:w="7411" w:type="dxa"/>
          </w:tcPr>
          <w:p w14:paraId="070FD0CC" w14:textId="77777777" w:rsidR="00FB0627" w:rsidRPr="00090727" w:rsidRDefault="00FB0627" w:rsidP="001220E2">
            <w:pPr>
              <w:pStyle w:val="CommentText"/>
              <w:cnfStyle w:val="000000000000" w:firstRow="0" w:lastRow="0" w:firstColumn="0" w:lastColumn="0" w:oddVBand="0" w:evenVBand="0" w:oddHBand="0" w:evenHBand="0" w:firstRowFirstColumn="0" w:firstRowLastColumn="0" w:lastRowFirstColumn="0" w:lastRowLastColumn="0"/>
              <w:rPr>
                <w:rStyle w:val="CommentReference"/>
                <w:sz w:val="24"/>
                <w:szCs w:val="24"/>
              </w:rPr>
            </w:pPr>
            <w:r w:rsidRPr="00090727">
              <w:rPr>
                <w:sz w:val="24"/>
                <w:szCs w:val="24"/>
              </w:rPr>
              <w:t>On the employment PCC – “Does this take account of works with showers for workers cycling to work? Presume this is already in the office data?  As obviously we want to join this up with sustainable transport strategies… etc…”</w:t>
            </w:r>
          </w:p>
        </w:tc>
      </w:tr>
      <w:tr w:rsidR="0062324F" w14:paraId="171BBDA2" w14:textId="77777777" w:rsidTr="007D46C9">
        <w:tc>
          <w:tcPr>
            <w:cnfStyle w:val="001000000000" w:firstRow="0" w:lastRow="0" w:firstColumn="1" w:lastColumn="0" w:oddVBand="0" w:evenVBand="0" w:oddHBand="0" w:evenHBand="0" w:firstRowFirstColumn="0" w:firstRowLastColumn="0" w:lastRowFirstColumn="0" w:lastRowLastColumn="0"/>
            <w:tcW w:w="1769" w:type="dxa"/>
          </w:tcPr>
          <w:p w14:paraId="4F4CFF11" w14:textId="77777777" w:rsidR="0062324F" w:rsidRDefault="0062324F" w:rsidP="00635170">
            <w:pPr>
              <w:pStyle w:val="JBAParaText"/>
              <w:ind w:left="0" w:right="-105"/>
            </w:pPr>
            <w:r>
              <w:t>NE</w:t>
            </w:r>
          </w:p>
        </w:tc>
        <w:tc>
          <w:tcPr>
            <w:tcW w:w="7411" w:type="dxa"/>
          </w:tcPr>
          <w:p w14:paraId="57E213BA" w14:textId="77777777" w:rsidR="0062324F" w:rsidRPr="00090727" w:rsidRDefault="0062324F" w:rsidP="001220E2">
            <w:pPr>
              <w:pStyle w:val="CommentText"/>
              <w:cnfStyle w:val="000000000000" w:firstRow="0" w:lastRow="0" w:firstColumn="0" w:lastColumn="0" w:oddVBand="0" w:evenVBand="0" w:oddHBand="0" w:evenHBand="0" w:firstRowFirstColumn="0" w:firstRowLastColumn="0" w:lastRowFirstColumn="0" w:lastRowLastColumn="0"/>
              <w:rPr>
                <w:sz w:val="24"/>
                <w:szCs w:val="24"/>
              </w:rPr>
            </w:pPr>
            <w:r w:rsidRPr="00090727">
              <w:rPr>
                <w:sz w:val="24"/>
                <w:szCs w:val="24"/>
              </w:rPr>
              <w:t>“How much mitigation wi</w:t>
            </w:r>
            <w:r w:rsidR="00E436CE" w:rsidRPr="00090727">
              <w:rPr>
                <w:sz w:val="24"/>
                <w:szCs w:val="24"/>
              </w:rPr>
              <w:t>ll</w:t>
            </w:r>
            <w:r w:rsidRPr="00090727">
              <w:rPr>
                <w:sz w:val="24"/>
                <w:szCs w:val="24"/>
              </w:rPr>
              <w:t xml:space="preserve"> rainwater harvesting offer in dry weather – will this offer the reductions in weather conditions in which the groundwater is used. it is worth noting a reduction needs to be made for this to be precautionary…”</w:t>
            </w:r>
          </w:p>
        </w:tc>
      </w:tr>
      <w:tr w:rsidR="00CE245E" w14:paraId="4E149D54" w14:textId="77777777" w:rsidTr="007D46C9">
        <w:tc>
          <w:tcPr>
            <w:cnfStyle w:val="001000000000" w:firstRow="0" w:lastRow="0" w:firstColumn="1" w:lastColumn="0" w:oddVBand="0" w:evenVBand="0" w:oddHBand="0" w:evenHBand="0" w:firstRowFirstColumn="0" w:firstRowLastColumn="0" w:lastRowFirstColumn="0" w:lastRowLastColumn="0"/>
            <w:tcW w:w="1769" w:type="dxa"/>
          </w:tcPr>
          <w:p w14:paraId="1E46BB62" w14:textId="77777777" w:rsidR="00CE245E" w:rsidRDefault="00CE245E" w:rsidP="00635170">
            <w:pPr>
              <w:pStyle w:val="JBAParaText"/>
              <w:ind w:left="0" w:right="-105"/>
            </w:pPr>
            <w:r>
              <w:t>CBC</w:t>
            </w:r>
          </w:p>
        </w:tc>
        <w:tc>
          <w:tcPr>
            <w:tcW w:w="7411" w:type="dxa"/>
          </w:tcPr>
          <w:p w14:paraId="1A8F55AD" w14:textId="77777777" w:rsidR="00E436CE" w:rsidRPr="00090727" w:rsidRDefault="00CE245E" w:rsidP="001220E2">
            <w:pPr>
              <w:pStyle w:val="CommentText"/>
              <w:cnfStyle w:val="000000000000" w:firstRow="0" w:lastRow="0" w:firstColumn="0" w:lastColumn="0" w:oddVBand="0" w:evenVBand="0" w:oddHBand="0" w:evenHBand="0" w:firstRowFirstColumn="0" w:firstRowLastColumn="0" w:lastRowFirstColumn="0" w:lastRowLastColumn="0"/>
              <w:rPr>
                <w:sz w:val="24"/>
                <w:szCs w:val="24"/>
              </w:rPr>
            </w:pPr>
            <w:r w:rsidRPr="00090727">
              <w:rPr>
                <w:sz w:val="24"/>
                <w:szCs w:val="24"/>
              </w:rPr>
              <w:t xml:space="preserve">On the number of residential properties to be retrofit: </w:t>
            </w:r>
          </w:p>
          <w:p w14:paraId="07D694BC" w14:textId="77777777" w:rsidR="00CE245E" w:rsidRPr="00090727" w:rsidRDefault="00CE245E" w:rsidP="001220E2">
            <w:pPr>
              <w:pStyle w:val="CommentText"/>
              <w:cnfStyle w:val="000000000000" w:firstRow="0" w:lastRow="0" w:firstColumn="0" w:lastColumn="0" w:oddVBand="0" w:evenVBand="0" w:oddHBand="0" w:evenHBand="0" w:firstRowFirstColumn="0" w:firstRowLastColumn="0" w:lastRowFirstColumn="0" w:lastRowLastColumn="0"/>
              <w:rPr>
                <w:sz w:val="24"/>
                <w:szCs w:val="24"/>
              </w:rPr>
            </w:pPr>
            <w:r w:rsidRPr="00090727">
              <w:rPr>
                <w:sz w:val="24"/>
                <w:szCs w:val="24"/>
              </w:rPr>
              <w:t>“Possibly for Part C(?) but is this where we would rely on the council-owned stock for retrofit? Are there 21,600 council owned properties across Sussex North, or would this to an extent rely on the retrofit of private homes?”</w:t>
            </w:r>
          </w:p>
        </w:tc>
      </w:tr>
      <w:tr w:rsidR="003138C8" w14:paraId="25162D08" w14:textId="77777777" w:rsidTr="007D46C9">
        <w:tc>
          <w:tcPr>
            <w:cnfStyle w:val="001000000000" w:firstRow="0" w:lastRow="0" w:firstColumn="1" w:lastColumn="0" w:oddVBand="0" w:evenVBand="0" w:oddHBand="0" w:evenHBand="0" w:firstRowFirstColumn="0" w:firstRowLastColumn="0" w:lastRowFirstColumn="0" w:lastRowLastColumn="0"/>
            <w:tcW w:w="1769" w:type="dxa"/>
          </w:tcPr>
          <w:p w14:paraId="07E47FBA" w14:textId="77777777" w:rsidR="003138C8" w:rsidRDefault="003138C8" w:rsidP="00635170">
            <w:pPr>
              <w:pStyle w:val="JBAParaText"/>
              <w:ind w:left="0" w:right="-105"/>
            </w:pPr>
            <w:r>
              <w:t>SW</w:t>
            </w:r>
          </w:p>
        </w:tc>
        <w:tc>
          <w:tcPr>
            <w:tcW w:w="7411" w:type="dxa"/>
          </w:tcPr>
          <w:p w14:paraId="6404BEBC" w14:textId="77777777" w:rsidR="003138C8" w:rsidRPr="00090727" w:rsidRDefault="003138C8" w:rsidP="001220E2">
            <w:pPr>
              <w:pStyle w:val="CommentText"/>
              <w:cnfStyle w:val="000000000000" w:firstRow="0" w:lastRow="0" w:firstColumn="0" w:lastColumn="0" w:oddVBand="0" w:evenVBand="0" w:oddHBand="0" w:evenHBand="0" w:firstRowFirstColumn="0" w:firstRowLastColumn="0" w:lastRowFirstColumn="0" w:lastRowLastColumn="0"/>
              <w:rPr>
                <w:sz w:val="24"/>
                <w:szCs w:val="24"/>
              </w:rPr>
            </w:pPr>
            <w:r w:rsidRPr="00090727">
              <w:rPr>
                <w:sz w:val="24"/>
                <w:szCs w:val="24"/>
              </w:rPr>
              <w:t>Occupancy should be considered when setting up an offsetting programme, i.e., the contribution from a four-bed house should be greater than a one bed flat</w:t>
            </w:r>
          </w:p>
        </w:tc>
      </w:tr>
      <w:tr w:rsidR="00584C72" w14:paraId="15CD594D" w14:textId="77777777" w:rsidTr="007D46C9">
        <w:tc>
          <w:tcPr>
            <w:cnfStyle w:val="001000000000" w:firstRow="0" w:lastRow="0" w:firstColumn="1" w:lastColumn="0" w:oddVBand="0" w:evenVBand="0" w:oddHBand="0" w:evenHBand="0" w:firstRowFirstColumn="0" w:firstRowLastColumn="0" w:lastRowFirstColumn="0" w:lastRowLastColumn="0"/>
            <w:tcW w:w="1769" w:type="dxa"/>
          </w:tcPr>
          <w:p w14:paraId="5ECA539C" w14:textId="77777777" w:rsidR="00584C72" w:rsidRDefault="00584C72" w:rsidP="00635170">
            <w:pPr>
              <w:pStyle w:val="JBAParaText"/>
              <w:ind w:left="0" w:right="-105"/>
            </w:pPr>
            <w:r>
              <w:t>CBC</w:t>
            </w:r>
          </w:p>
        </w:tc>
        <w:tc>
          <w:tcPr>
            <w:tcW w:w="7411" w:type="dxa"/>
          </w:tcPr>
          <w:p w14:paraId="12F6815C" w14:textId="77777777" w:rsidR="00584C72" w:rsidRPr="00090727" w:rsidRDefault="00584C72" w:rsidP="001220E2">
            <w:pPr>
              <w:pStyle w:val="CommentText"/>
              <w:cnfStyle w:val="000000000000" w:firstRow="0" w:lastRow="0" w:firstColumn="0" w:lastColumn="0" w:oddVBand="0" w:evenVBand="0" w:oddHBand="0" w:evenHBand="0" w:firstRowFirstColumn="0" w:firstRowLastColumn="0" w:lastRowFirstColumn="0" w:lastRowLastColumn="0"/>
              <w:rPr>
                <w:sz w:val="24"/>
                <w:szCs w:val="24"/>
              </w:rPr>
            </w:pPr>
            <w:r w:rsidRPr="00090727">
              <w:rPr>
                <w:sz w:val="24"/>
                <w:szCs w:val="24"/>
              </w:rPr>
              <w:t>“Do we need a paragraph to justify us applying a borough wide policy approach in the local plan? The mitigation measures would of course be justified in much of Crawley which is supplied by SW, but with areas supplied by SES and also SE Water, is there justification for applying the policy approach in this area outside of SW supply? (my feeling is that it would be justified as the entire south east is subject to water stress, and it is important that the local plan applies a consistent approach across the borough).”</w:t>
            </w:r>
          </w:p>
        </w:tc>
      </w:tr>
    </w:tbl>
    <w:p w14:paraId="01E79F44" w14:textId="77777777" w:rsidR="00635170" w:rsidRDefault="00635170" w:rsidP="00423B41">
      <w:pPr>
        <w:pStyle w:val="JBAParaText"/>
      </w:pPr>
    </w:p>
    <w:p w14:paraId="1B117822" w14:textId="77777777" w:rsidR="00F24F07" w:rsidRPr="00F24F07" w:rsidRDefault="00F24F07" w:rsidP="00090727">
      <w:pPr>
        <w:pStyle w:val="JBAParaText"/>
        <w:ind w:left="0"/>
        <w:sectPr w:rsidR="00F24F07" w:rsidRPr="00F24F07" w:rsidSect="00D26903">
          <w:headerReference w:type="even" r:id="rId22"/>
          <w:headerReference w:type="first" r:id="rId23"/>
          <w:pgSz w:w="11906" w:h="16838"/>
          <w:pgMar w:top="1985" w:right="454" w:bottom="284" w:left="454" w:header="454" w:footer="170" w:gutter="0"/>
          <w:cols w:space="708"/>
          <w:docGrid w:linePitch="360"/>
        </w:sectPr>
      </w:pPr>
    </w:p>
    <w:p w14:paraId="083A6AA6" w14:textId="77777777" w:rsidR="0074260A" w:rsidRDefault="0074260A" w:rsidP="0029036F">
      <w:pPr>
        <w:pStyle w:val="Heading6"/>
      </w:pPr>
    </w:p>
    <w:p w14:paraId="441A21EB" w14:textId="77777777" w:rsidR="001C45F3" w:rsidRDefault="001C45F3" w:rsidP="0029036F">
      <w:pPr>
        <w:pStyle w:val="Heading6"/>
      </w:pPr>
    </w:p>
    <w:p w14:paraId="39941661" w14:textId="77777777" w:rsidR="001C45F3" w:rsidRDefault="001C45F3" w:rsidP="0029036F">
      <w:pPr>
        <w:pStyle w:val="Heading6"/>
      </w:pPr>
    </w:p>
    <w:p w14:paraId="012B5132" w14:textId="77777777" w:rsidR="001C45F3" w:rsidRDefault="001C45F3" w:rsidP="0029036F">
      <w:pPr>
        <w:pStyle w:val="Heading6"/>
      </w:pPr>
    </w:p>
    <w:tbl>
      <w:tblPr>
        <w:tblW w:w="5158" w:type="pct"/>
        <w:tblInd w:w="250" w:type="dxa"/>
        <w:tblLayout w:type="fixed"/>
        <w:tblLook w:val="04A0" w:firstRow="1" w:lastRow="0" w:firstColumn="1" w:lastColumn="0" w:noHBand="0" w:noVBand="1"/>
      </w:tblPr>
      <w:tblGrid>
        <w:gridCol w:w="6980"/>
        <w:gridCol w:w="4366"/>
      </w:tblGrid>
      <w:tr w:rsidR="0074260A" w:rsidRPr="001D013F" w14:paraId="081983AD" w14:textId="77777777" w:rsidTr="009A35FB">
        <w:trPr>
          <w:trHeight w:val="9421"/>
        </w:trPr>
        <w:tc>
          <w:tcPr>
            <w:tcW w:w="6980" w:type="dxa"/>
            <w:tcBorders>
              <w:bottom w:val="nil"/>
            </w:tcBorders>
          </w:tcPr>
          <w:p w14:paraId="75D6A95A" w14:textId="77777777" w:rsidR="0074260A" w:rsidRDefault="0074260A" w:rsidP="005349E0">
            <w:pPr>
              <w:pStyle w:val="JBAParaText"/>
            </w:pPr>
          </w:p>
        </w:tc>
        <w:tc>
          <w:tcPr>
            <w:tcW w:w="4366" w:type="dxa"/>
          </w:tcPr>
          <w:p w14:paraId="472BD8C2" w14:textId="77777777" w:rsidR="0074260A" w:rsidRPr="00A31059" w:rsidRDefault="0074260A" w:rsidP="00800BC9">
            <w:pPr>
              <w:rPr>
                <w:rStyle w:val="JBAListofoffices"/>
              </w:rPr>
            </w:pPr>
            <w:r w:rsidRPr="00800BC9">
              <w:t>Offices</w:t>
            </w:r>
            <w:r w:rsidRPr="00A31059">
              <w:rPr>
                <w:rStyle w:val="JBAListofoffices"/>
              </w:rPr>
              <w:t xml:space="preserve"> at</w:t>
            </w:r>
          </w:p>
          <w:p w14:paraId="7827619D" w14:textId="77777777" w:rsidR="0074260A" w:rsidRPr="00A31059" w:rsidRDefault="0074260A" w:rsidP="00A31059">
            <w:pPr>
              <w:pStyle w:val="JBAAddresses"/>
              <w:rPr>
                <w:rStyle w:val="JBAListofoffices"/>
              </w:rPr>
            </w:pPr>
            <w:r w:rsidRPr="00A31059">
              <w:rPr>
                <w:rStyle w:val="JBAListofoffices"/>
              </w:rPr>
              <w:t>Coleshill</w:t>
            </w:r>
          </w:p>
          <w:p w14:paraId="19D8CDC2" w14:textId="77777777" w:rsidR="0074260A" w:rsidRPr="00A31059" w:rsidRDefault="0074260A" w:rsidP="00A31059">
            <w:pPr>
              <w:pStyle w:val="JBAAddresses"/>
              <w:rPr>
                <w:rStyle w:val="JBAListofoffices"/>
              </w:rPr>
            </w:pPr>
            <w:r w:rsidRPr="00A31059">
              <w:rPr>
                <w:rStyle w:val="JBAListofoffices"/>
              </w:rPr>
              <w:t>Doncaster</w:t>
            </w:r>
          </w:p>
          <w:p w14:paraId="2D5A398F" w14:textId="77777777" w:rsidR="0074260A" w:rsidRPr="00A31059" w:rsidRDefault="0074260A" w:rsidP="00A31059">
            <w:pPr>
              <w:pStyle w:val="JBAAddresses"/>
              <w:rPr>
                <w:rStyle w:val="JBAListofoffices"/>
              </w:rPr>
            </w:pPr>
            <w:r w:rsidRPr="00A31059">
              <w:rPr>
                <w:rStyle w:val="JBAListofoffices"/>
              </w:rPr>
              <w:t>Dublin</w:t>
            </w:r>
          </w:p>
          <w:p w14:paraId="795EF19F" w14:textId="77777777" w:rsidR="0074260A" w:rsidRPr="00A31059" w:rsidRDefault="0074260A" w:rsidP="00A31059">
            <w:pPr>
              <w:pStyle w:val="JBAAddresses"/>
              <w:rPr>
                <w:rStyle w:val="JBAListofoffices"/>
              </w:rPr>
            </w:pPr>
            <w:r w:rsidRPr="00A31059">
              <w:rPr>
                <w:rStyle w:val="JBAListofoffices"/>
              </w:rPr>
              <w:t>Edinburgh</w:t>
            </w:r>
          </w:p>
          <w:p w14:paraId="4A685653" w14:textId="77777777" w:rsidR="0074260A" w:rsidRPr="00A31059" w:rsidRDefault="0074260A" w:rsidP="00A31059">
            <w:pPr>
              <w:pStyle w:val="JBAAddresses"/>
              <w:rPr>
                <w:rStyle w:val="JBAListofoffices"/>
              </w:rPr>
            </w:pPr>
            <w:r w:rsidRPr="00A31059">
              <w:rPr>
                <w:rStyle w:val="JBAListofoffices"/>
              </w:rPr>
              <w:t>Exeter</w:t>
            </w:r>
          </w:p>
          <w:p w14:paraId="1FC487D8" w14:textId="77777777" w:rsidR="0074260A" w:rsidRPr="00A31059" w:rsidRDefault="0074260A" w:rsidP="00A31059">
            <w:pPr>
              <w:pStyle w:val="JBAAddresses"/>
              <w:rPr>
                <w:rStyle w:val="JBAListofoffices"/>
              </w:rPr>
            </w:pPr>
            <w:r w:rsidRPr="00A31059">
              <w:rPr>
                <w:rStyle w:val="JBAListofoffices"/>
              </w:rPr>
              <w:t>Glasgow</w:t>
            </w:r>
          </w:p>
          <w:p w14:paraId="519C2D34" w14:textId="77777777" w:rsidR="0074260A" w:rsidRPr="00A31059" w:rsidRDefault="0074260A" w:rsidP="00A31059">
            <w:pPr>
              <w:pStyle w:val="JBAAddresses"/>
              <w:rPr>
                <w:rStyle w:val="JBAListofoffices"/>
              </w:rPr>
            </w:pPr>
            <w:r w:rsidRPr="00A31059">
              <w:rPr>
                <w:rStyle w:val="JBAListofoffices"/>
              </w:rPr>
              <w:t>Haywards Heath</w:t>
            </w:r>
          </w:p>
          <w:p w14:paraId="6F7F0585" w14:textId="77777777" w:rsidR="0074260A" w:rsidRPr="00A31059" w:rsidRDefault="0074260A" w:rsidP="00A31059">
            <w:pPr>
              <w:pStyle w:val="JBAAddresses"/>
              <w:rPr>
                <w:rStyle w:val="JBAListofoffices"/>
              </w:rPr>
            </w:pPr>
            <w:r w:rsidRPr="00A31059">
              <w:rPr>
                <w:rStyle w:val="JBAListofoffices"/>
              </w:rPr>
              <w:t>Isle of Man</w:t>
            </w:r>
          </w:p>
          <w:p w14:paraId="7703B327" w14:textId="77777777" w:rsidR="0074260A" w:rsidRPr="00A31059" w:rsidRDefault="0074260A" w:rsidP="00A31059">
            <w:pPr>
              <w:pStyle w:val="JBAAddresses"/>
              <w:rPr>
                <w:rStyle w:val="JBAListofoffices"/>
              </w:rPr>
            </w:pPr>
            <w:r w:rsidRPr="00A31059">
              <w:rPr>
                <w:rStyle w:val="JBAListofoffices"/>
              </w:rPr>
              <w:t>Limerick</w:t>
            </w:r>
          </w:p>
          <w:p w14:paraId="63FCD87A" w14:textId="77777777" w:rsidR="0074260A" w:rsidRPr="00A31059" w:rsidRDefault="0074260A" w:rsidP="00A31059">
            <w:pPr>
              <w:pStyle w:val="JBAAddresses"/>
              <w:rPr>
                <w:rStyle w:val="JBAListofoffices"/>
              </w:rPr>
            </w:pPr>
            <w:r w:rsidRPr="00A31059">
              <w:rPr>
                <w:rStyle w:val="JBAListofoffices"/>
              </w:rPr>
              <w:t>Newcastle upon Tyne</w:t>
            </w:r>
          </w:p>
          <w:p w14:paraId="76099D27" w14:textId="77777777" w:rsidR="0074260A" w:rsidRPr="00A31059" w:rsidRDefault="0074260A" w:rsidP="00A31059">
            <w:pPr>
              <w:pStyle w:val="JBAAddresses"/>
              <w:rPr>
                <w:rStyle w:val="JBAListofoffices"/>
              </w:rPr>
            </w:pPr>
            <w:r w:rsidRPr="00A31059">
              <w:rPr>
                <w:rStyle w:val="JBAListofoffices"/>
              </w:rPr>
              <w:t>Newport</w:t>
            </w:r>
          </w:p>
          <w:p w14:paraId="69DEE364" w14:textId="77777777" w:rsidR="0074260A" w:rsidRPr="00A31059" w:rsidRDefault="0074260A" w:rsidP="00A31059">
            <w:pPr>
              <w:pStyle w:val="JBAAddresses"/>
              <w:rPr>
                <w:rStyle w:val="JBAListofoffices"/>
              </w:rPr>
            </w:pPr>
            <w:r w:rsidRPr="00A31059">
              <w:rPr>
                <w:rStyle w:val="JBAListofoffices"/>
              </w:rPr>
              <w:t>Peterborough</w:t>
            </w:r>
          </w:p>
          <w:p w14:paraId="26C667D8" w14:textId="77777777" w:rsidR="0074260A" w:rsidRPr="00A31059" w:rsidRDefault="0074260A" w:rsidP="00A31059">
            <w:pPr>
              <w:pStyle w:val="JBAAddresses"/>
              <w:rPr>
                <w:rStyle w:val="JBAListofoffices"/>
              </w:rPr>
            </w:pPr>
            <w:r w:rsidRPr="00A31059">
              <w:rPr>
                <w:rStyle w:val="JBAListofoffices"/>
              </w:rPr>
              <w:t>Saltaire</w:t>
            </w:r>
          </w:p>
          <w:p w14:paraId="248A8E41" w14:textId="77777777" w:rsidR="0074260A" w:rsidRPr="00A31059" w:rsidRDefault="0074260A" w:rsidP="00A31059">
            <w:pPr>
              <w:pStyle w:val="JBAAddresses"/>
              <w:rPr>
                <w:rStyle w:val="JBAListofoffices"/>
              </w:rPr>
            </w:pPr>
            <w:r w:rsidRPr="00A31059">
              <w:rPr>
                <w:rStyle w:val="JBAListofoffices"/>
              </w:rPr>
              <w:t>Skipton</w:t>
            </w:r>
          </w:p>
          <w:p w14:paraId="728023B5" w14:textId="77777777" w:rsidR="0074260A" w:rsidRPr="00A31059" w:rsidRDefault="0074260A" w:rsidP="00A31059">
            <w:pPr>
              <w:pStyle w:val="JBAAddresses"/>
              <w:rPr>
                <w:rStyle w:val="JBAListofoffices"/>
              </w:rPr>
            </w:pPr>
            <w:r w:rsidRPr="00A31059">
              <w:rPr>
                <w:rStyle w:val="JBAListofoffices"/>
              </w:rPr>
              <w:t>Tadcaster</w:t>
            </w:r>
          </w:p>
          <w:p w14:paraId="38E6DDA0" w14:textId="77777777" w:rsidR="0074260A" w:rsidRPr="00A31059" w:rsidRDefault="0074260A" w:rsidP="00A31059">
            <w:pPr>
              <w:pStyle w:val="JBAAddresses"/>
              <w:rPr>
                <w:rStyle w:val="JBAListofoffices"/>
              </w:rPr>
            </w:pPr>
            <w:r w:rsidRPr="00A31059">
              <w:rPr>
                <w:rStyle w:val="JBAListofoffices"/>
              </w:rPr>
              <w:t>Thirsk</w:t>
            </w:r>
          </w:p>
          <w:p w14:paraId="0BD11B2B" w14:textId="77777777" w:rsidR="0074260A" w:rsidRPr="00A31059" w:rsidRDefault="0074260A" w:rsidP="00A31059">
            <w:pPr>
              <w:pStyle w:val="JBAAddresses"/>
              <w:rPr>
                <w:rStyle w:val="JBAListofoffices"/>
              </w:rPr>
            </w:pPr>
            <w:r w:rsidRPr="00A31059">
              <w:rPr>
                <w:rStyle w:val="JBAListofoffices"/>
              </w:rPr>
              <w:t>Wallingford</w:t>
            </w:r>
          </w:p>
          <w:p w14:paraId="700C0481" w14:textId="77777777" w:rsidR="0074260A" w:rsidRPr="00A31059" w:rsidRDefault="0074260A" w:rsidP="00A31059">
            <w:pPr>
              <w:pStyle w:val="JBAAddresses"/>
              <w:rPr>
                <w:rStyle w:val="JBAListofoffices"/>
              </w:rPr>
            </w:pPr>
            <w:r w:rsidRPr="00A31059">
              <w:rPr>
                <w:rStyle w:val="JBAListofoffices"/>
              </w:rPr>
              <w:t>Warrington</w:t>
            </w:r>
          </w:p>
          <w:p w14:paraId="1815B86F" w14:textId="77777777" w:rsidR="0074260A" w:rsidRDefault="0074260A" w:rsidP="00A31059">
            <w:pPr>
              <w:pStyle w:val="JBAAddresses"/>
              <w:rPr>
                <w:rStyle w:val="JBAListofoffices"/>
              </w:rPr>
            </w:pPr>
          </w:p>
          <w:p w14:paraId="14513FA3" w14:textId="77777777" w:rsidR="0070321B" w:rsidRDefault="0070321B" w:rsidP="00A31059">
            <w:pPr>
              <w:pStyle w:val="JBAAddresses"/>
              <w:rPr>
                <w:rStyle w:val="JBAListofoffices"/>
              </w:rPr>
            </w:pPr>
          </w:p>
          <w:p w14:paraId="0C03045E" w14:textId="77777777" w:rsidR="0070321B" w:rsidRPr="00A31059" w:rsidRDefault="0070321B" w:rsidP="00A31059">
            <w:pPr>
              <w:pStyle w:val="JBAAddresses"/>
              <w:rPr>
                <w:rStyle w:val="JBAListofoffices"/>
              </w:rPr>
            </w:pPr>
          </w:p>
          <w:p w14:paraId="6ACB4DCE" w14:textId="77777777" w:rsidR="0074260A" w:rsidRPr="00A31059" w:rsidRDefault="0074260A" w:rsidP="00A31059">
            <w:pPr>
              <w:pStyle w:val="JBAAddresses"/>
              <w:rPr>
                <w:rStyle w:val="JBAListofoffices"/>
              </w:rPr>
            </w:pPr>
            <w:r w:rsidRPr="00A31059">
              <w:rPr>
                <w:rStyle w:val="JBAListofoffices"/>
              </w:rPr>
              <w:t>Registered Office</w:t>
            </w:r>
          </w:p>
          <w:p w14:paraId="1474D8DE" w14:textId="77777777" w:rsidR="003A068B" w:rsidRDefault="003A068B" w:rsidP="003A068B">
            <w:pPr>
              <w:pStyle w:val="JBAAddresses"/>
              <w:rPr>
                <w:rStyle w:val="JBAListofoffices"/>
              </w:rPr>
            </w:pPr>
            <w:r>
              <w:rPr>
                <w:rStyle w:val="JBAListofoffices"/>
              </w:rPr>
              <w:t>1 Broughton Park</w:t>
            </w:r>
          </w:p>
          <w:p w14:paraId="61B06808" w14:textId="77777777" w:rsidR="003A068B" w:rsidRDefault="003A068B" w:rsidP="003A068B">
            <w:pPr>
              <w:pStyle w:val="JBAAddresses"/>
              <w:rPr>
                <w:rStyle w:val="JBAListofoffices"/>
              </w:rPr>
            </w:pPr>
            <w:r>
              <w:rPr>
                <w:rStyle w:val="JBAListofoffices"/>
              </w:rPr>
              <w:t>Old Lane North</w:t>
            </w:r>
          </w:p>
          <w:p w14:paraId="4793DB44" w14:textId="77777777" w:rsidR="003A068B" w:rsidRDefault="003A068B" w:rsidP="003A068B">
            <w:pPr>
              <w:pStyle w:val="JBAAddresses"/>
              <w:rPr>
                <w:rStyle w:val="JBAListofoffices"/>
              </w:rPr>
            </w:pPr>
            <w:r>
              <w:rPr>
                <w:rStyle w:val="JBAListofoffices"/>
              </w:rPr>
              <w:t>Broughton</w:t>
            </w:r>
          </w:p>
          <w:p w14:paraId="0E4F89D0" w14:textId="77777777" w:rsidR="003A068B" w:rsidRDefault="003A068B" w:rsidP="003A068B">
            <w:pPr>
              <w:pStyle w:val="JBAAddresses"/>
              <w:rPr>
                <w:rStyle w:val="JBAListofoffices"/>
              </w:rPr>
            </w:pPr>
            <w:r>
              <w:rPr>
                <w:rStyle w:val="JBAListofoffices"/>
              </w:rPr>
              <w:t>SKIPTON</w:t>
            </w:r>
          </w:p>
          <w:p w14:paraId="1C669654" w14:textId="77777777" w:rsidR="003A068B" w:rsidRDefault="003A068B" w:rsidP="003A068B">
            <w:pPr>
              <w:pStyle w:val="JBAAddresses"/>
              <w:rPr>
                <w:rStyle w:val="JBAListofoffices"/>
              </w:rPr>
            </w:pPr>
            <w:r>
              <w:rPr>
                <w:rStyle w:val="JBAListofoffices"/>
              </w:rPr>
              <w:t>North Yorkshire</w:t>
            </w:r>
          </w:p>
          <w:p w14:paraId="26A1DCF9" w14:textId="77777777" w:rsidR="003A068B" w:rsidRPr="00A31059" w:rsidRDefault="003A068B" w:rsidP="003A068B">
            <w:pPr>
              <w:pStyle w:val="JBAAddresses"/>
              <w:rPr>
                <w:rStyle w:val="JBAListofoffices"/>
              </w:rPr>
            </w:pPr>
            <w:r>
              <w:rPr>
                <w:rStyle w:val="JBAListofoffices"/>
              </w:rPr>
              <w:t>BD23 3FD</w:t>
            </w:r>
          </w:p>
          <w:p w14:paraId="2AA708BC" w14:textId="77777777" w:rsidR="0074260A" w:rsidRPr="00A31059" w:rsidRDefault="0074260A" w:rsidP="00A31059">
            <w:pPr>
              <w:pStyle w:val="JBAAddresses"/>
              <w:rPr>
                <w:rStyle w:val="JBAListofoffices"/>
              </w:rPr>
            </w:pPr>
            <w:r w:rsidRPr="00A31059">
              <w:rPr>
                <w:rStyle w:val="JBAListofoffices"/>
              </w:rPr>
              <w:t>United Kingdom</w:t>
            </w:r>
          </w:p>
          <w:p w14:paraId="6506EAB0" w14:textId="77777777" w:rsidR="00976719" w:rsidRDefault="00976719" w:rsidP="00A31059">
            <w:pPr>
              <w:pStyle w:val="JBAAddresses"/>
              <w:rPr>
                <w:rStyle w:val="JBAListofoffices"/>
              </w:rPr>
            </w:pPr>
          </w:p>
          <w:p w14:paraId="55664C56" w14:textId="77777777" w:rsidR="0070321B" w:rsidRDefault="0070321B" w:rsidP="00A31059">
            <w:pPr>
              <w:pStyle w:val="JBAAddresses"/>
              <w:rPr>
                <w:rStyle w:val="JBAListofoffices"/>
              </w:rPr>
            </w:pPr>
          </w:p>
          <w:p w14:paraId="508B5662" w14:textId="77777777" w:rsidR="0070321B" w:rsidRPr="00A31059" w:rsidRDefault="0070321B" w:rsidP="00A31059">
            <w:pPr>
              <w:pStyle w:val="JBAAddresses"/>
              <w:rPr>
                <w:rStyle w:val="JBAListofoffices"/>
              </w:rPr>
            </w:pPr>
          </w:p>
          <w:p w14:paraId="0C7DD0F6" w14:textId="77777777" w:rsidR="005B620C" w:rsidRPr="00A31059" w:rsidRDefault="005B620C" w:rsidP="005B620C">
            <w:pPr>
              <w:pStyle w:val="JBAAddresses"/>
              <w:rPr>
                <w:rStyle w:val="JBAListofoffices"/>
              </w:rPr>
            </w:pPr>
            <w:r w:rsidRPr="00A31059">
              <w:rPr>
                <w:rStyle w:val="JBAListofoffices"/>
              </w:rPr>
              <w:t>+44(0)1756 799919</w:t>
            </w:r>
          </w:p>
          <w:p w14:paraId="51C61B4C" w14:textId="77777777" w:rsidR="005B620C" w:rsidRPr="00016708" w:rsidRDefault="00E6462B" w:rsidP="005B620C">
            <w:pPr>
              <w:pStyle w:val="JBAAddresses"/>
              <w:rPr>
                <w:rStyle w:val="JBAListofoffices"/>
              </w:rPr>
            </w:pPr>
            <w:hyperlink r:id="rId24" w:history="1">
              <w:r w:rsidR="005B620C" w:rsidRPr="00016708">
                <w:rPr>
                  <w:rStyle w:val="Hyperlink"/>
                  <w:color w:val="auto"/>
                  <w:sz w:val="16"/>
                  <w:lang w:val="en-US"/>
                </w:rPr>
                <w:t>info@jbaconsulting.com</w:t>
              </w:r>
            </w:hyperlink>
          </w:p>
          <w:p w14:paraId="381219B6" w14:textId="77777777" w:rsidR="005B620C" w:rsidRPr="00A31059" w:rsidRDefault="005B620C" w:rsidP="005B620C">
            <w:pPr>
              <w:pStyle w:val="JBAAddresses"/>
              <w:rPr>
                <w:rStyle w:val="JBAListofoffices"/>
              </w:rPr>
            </w:pPr>
            <w:r w:rsidRPr="00A31059">
              <w:rPr>
                <w:rStyle w:val="JBAListofoffices"/>
                <w:noProof/>
                <w:lang w:val="en-GB"/>
              </w:rPr>
              <w:drawing>
                <wp:anchor distT="0" distB="0" distL="114300" distR="114300" simplePos="0" relativeHeight="251666432" behindDoc="0" locked="0" layoutInCell="1" allowOverlap="1" wp14:anchorId="33B2488B" wp14:editId="6C48F15E">
                  <wp:simplePos x="0" y="0"/>
                  <wp:positionH relativeFrom="column">
                    <wp:posOffset>965992</wp:posOffset>
                  </wp:positionH>
                  <wp:positionV relativeFrom="paragraph">
                    <wp:posOffset>110045</wp:posOffset>
                  </wp:positionV>
                  <wp:extent cx="200025" cy="247650"/>
                  <wp:effectExtent l="0" t="0" r="9525" b="0"/>
                  <wp:wrapNone/>
                  <wp:docPr id="5" name="Picture 5">
                    <a:hlinkClick xmlns:a="http://schemas.openxmlformats.org/drawingml/2006/main" r:id="rId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hlinkClick r:id="rId25"/>
                            <a:extLst>
                              <a:ext uri="{C183D7F6-B498-43B3-948B-1728B52AA6E4}">
                                <adec:decorative xmlns:adec="http://schemas.microsoft.com/office/drawing/2017/decorative" val="1"/>
                              </a:ext>
                            </a:extLst>
                          </pic:cNvPr>
                          <pic:cNvPicPr/>
                        </pic:nvPicPr>
                        <pic:blipFill rotWithShape="1">
                          <a:blip r:embed="rId26" cstate="print">
                            <a:extLst>
                              <a:ext uri="{28A0092B-C50C-407E-A947-70E740481C1C}">
                                <a14:useLocalDpi xmlns:a14="http://schemas.microsoft.com/office/drawing/2010/main" val="0"/>
                              </a:ext>
                            </a:extLst>
                          </a:blip>
                          <a:srcRect r="44346" b="-37809"/>
                          <a:stretch/>
                        </pic:blipFill>
                        <pic:spPr bwMode="auto">
                          <a:xfrm>
                            <a:off x="0" y="0"/>
                            <a:ext cx="200025" cy="2476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31059">
              <w:rPr>
                <w:rStyle w:val="JBAListofoffices"/>
                <w:noProof/>
                <w:lang w:val="en-GB"/>
              </w:rPr>
              <w:drawing>
                <wp:anchor distT="0" distB="0" distL="114300" distR="114300" simplePos="0" relativeHeight="251665408" behindDoc="0" locked="0" layoutInCell="1" allowOverlap="1" wp14:anchorId="60026451" wp14:editId="45608142">
                  <wp:simplePos x="0" y="0"/>
                  <wp:positionH relativeFrom="column">
                    <wp:posOffset>1167765</wp:posOffset>
                  </wp:positionH>
                  <wp:positionV relativeFrom="paragraph">
                    <wp:posOffset>109855</wp:posOffset>
                  </wp:positionV>
                  <wp:extent cx="168910" cy="179705"/>
                  <wp:effectExtent l="0" t="0" r="2540" b="0"/>
                  <wp:wrapNone/>
                  <wp:docPr id="1" name="Picture 1">
                    <a:hlinkClick xmlns:a="http://schemas.openxmlformats.org/drawingml/2006/main" r:id="rId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hlinkClick r:id="rId27"/>
                            <a:extLst>
                              <a:ext uri="{C183D7F6-B498-43B3-948B-1728B52AA6E4}">
                                <adec:decorative xmlns:adec="http://schemas.microsoft.com/office/drawing/2017/decorative" val="1"/>
                              </a:ext>
                            </a:extLst>
                          </pic:cNvPr>
                          <pic:cNvPicPr/>
                        </pic:nvPicPr>
                        <pic:blipFill rotWithShape="1">
                          <a:blip r:embed="rId26" cstate="print">
                            <a:extLst>
                              <a:ext uri="{28A0092B-C50C-407E-A947-70E740481C1C}">
                                <a14:useLocalDpi xmlns:a14="http://schemas.microsoft.com/office/drawing/2010/main" val="0"/>
                              </a:ext>
                            </a:extLst>
                          </a:blip>
                          <a:srcRect l="53004" t="1" b="-1"/>
                          <a:stretch/>
                        </pic:blipFill>
                        <pic:spPr bwMode="auto">
                          <a:xfrm>
                            <a:off x="0" y="0"/>
                            <a:ext cx="168910" cy="1797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hyperlink r:id="rId28" w:history="1">
              <w:r w:rsidRPr="00A31059">
                <w:rPr>
                  <w:rStyle w:val="JBAListofoffices"/>
                </w:rPr>
                <w:t>www.jbaconsulting.com</w:t>
              </w:r>
            </w:hyperlink>
          </w:p>
          <w:p w14:paraId="2971328F" w14:textId="77777777" w:rsidR="005B620C" w:rsidRPr="00A31059" w:rsidRDefault="005B620C" w:rsidP="005B620C">
            <w:pPr>
              <w:pStyle w:val="JBAAddresses"/>
              <w:rPr>
                <w:rStyle w:val="JBAListofoffices"/>
              </w:rPr>
            </w:pPr>
            <w:r w:rsidRPr="00A31059">
              <w:rPr>
                <w:rStyle w:val="JBAListofoffices"/>
              </w:rPr>
              <w:t xml:space="preserve">Follow us: </w:t>
            </w:r>
          </w:p>
          <w:p w14:paraId="76AD70D0" w14:textId="77777777" w:rsidR="00976719" w:rsidRDefault="00976719" w:rsidP="00A31059">
            <w:pPr>
              <w:pStyle w:val="JBAAddresses"/>
              <w:rPr>
                <w:rStyle w:val="JBAListofoffices"/>
              </w:rPr>
            </w:pPr>
          </w:p>
          <w:p w14:paraId="76CDC5BC" w14:textId="77777777" w:rsidR="0070321B" w:rsidRDefault="0070321B" w:rsidP="00A31059">
            <w:pPr>
              <w:pStyle w:val="JBAAddresses"/>
              <w:rPr>
                <w:rStyle w:val="JBAListofoffices"/>
              </w:rPr>
            </w:pPr>
          </w:p>
          <w:p w14:paraId="4F27A5F9" w14:textId="77777777" w:rsidR="0070321B" w:rsidRPr="00A31059" w:rsidRDefault="0070321B" w:rsidP="00A31059">
            <w:pPr>
              <w:pStyle w:val="JBAAddresses"/>
              <w:rPr>
                <w:rStyle w:val="JBAListofoffices"/>
              </w:rPr>
            </w:pPr>
          </w:p>
          <w:p w14:paraId="3F1711DB" w14:textId="77777777" w:rsidR="0074260A" w:rsidRDefault="0074260A" w:rsidP="00A31059">
            <w:pPr>
              <w:pStyle w:val="JBAAddresses"/>
              <w:rPr>
                <w:rStyle w:val="JBAListofoffices"/>
              </w:rPr>
            </w:pPr>
            <w:r w:rsidRPr="00A31059">
              <w:rPr>
                <w:rStyle w:val="JBAListofoffices"/>
              </w:rPr>
              <w:t>Jeremy Benn Associates L</w:t>
            </w:r>
            <w:r w:rsidR="00FB2831" w:rsidRPr="00A31059">
              <w:rPr>
                <w:rStyle w:val="JBAListofoffices"/>
              </w:rPr>
              <w:t>imite</w:t>
            </w:r>
            <w:r w:rsidRPr="00A31059">
              <w:rPr>
                <w:rStyle w:val="JBAListofoffices"/>
              </w:rPr>
              <w:t>d</w:t>
            </w:r>
          </w:p>
          <w:p w14:paraId="7314D493" w14:textId="77777777" w:rsidR="0070321B" w:rsidRPr="00A31059" w:rsidRDefault="0070321B" w:rsidP="00A31059">
            <w:pPr>
              <w:pStyle w:val="JBAAddresses"/>
              <w:rPr>
                <w:rStyle w:val="JBAListofoffices"/>
              </w:rPr>
            </w:pPr>
          </w:p>
          <w:p w14:paraId="012BF954" w14:textId="77777777" w:rsidR="0074260A" w:rsidRDefault="0074260A" w:rsidP="00A31059">
            <w:pPr>
              <w:pStyle w:val="JBAAddresses"/>
              <w:rPr>
                <w:rStyle w:val="JBAListofoffices"/>
              </w:rPr>
            </w:pPr>
            <w:r w:rsidRPr="00A31059">
              <w:rPr>
                <w:rStyle w:val="JBAListofoffices"/>
              </w:rPr>
              <w:t>Registered in England 3246693</w:t>
            </w:r>
          </w:p>
          <w:p w14:paraId="0F08AA9D" w14:textId="77777777" w:rsidR="0070321B" w:rsidRPr="00A31059" w:rsidRDefault="0070321B" w:rsidP="00A31059">
            <w:pPr>
              <w:pStyle w:val="JBAAddresses"/>
              <w:rPr>
                <w:rStyle w:val="JBAListofoffices"/>
              </w:rPr>
            </w:pPr>
          </w:p>
          <w:p w14:paraId="5A860B1F" w14:textId="77777777" w:rsidR="004936D1" w:rsidRDefault="004936D1" w:rsidP="00A31059">
            <w:pPr>
              <w:pStyle w:val="JBAAddresses"/>
              <w:rPr>
                <w:rStyle w:val="JBAListofoffices"/>
              </w:rPr>
            </w:pPr>
            <w:r w:rsidRPr="00A31059">
              <w:rPr>
                <w:rStyle w:val="JBAListofoffices"/>
              </w:rPr>
              <w:t>JBA Group Ltd is certified to:</w:t>
            </w:r>
          </w:p>
          <w:p w14:paraId="6365918B" w14:textId="77777777" w:rsidR="00A31059" w:rsidRPr="00A31059" w:rsidRDefault="004936D1" w:rsidP="00A31059">
            <w:pPr>
              <w:pStyle w:val="JBAAddresses"/>
              <w:rPr>
                <w:rStyle w:val="JBAListofoffices"/>
              </w:rPr>
            </w:pPr>
            <w:r w:rsidRPr="00A31059">
              <w:rPr>
                <w:rStyle w:val="JBAListofoffices"/>
              </w:rPr>
              <w:t>ISO 9001:2015</w:t>
            </w:r>
          </w:p>
          <w:p w14:paraId="4A8D6B98" w14:textId="77777777" w:rsidR="004936D1" w:rsidRPr="00A31059" w:rsidRDefault="004936D1" w:rsidP="00A31059">
            <w:pPr>
              <w:pStyle w:val="JBAAddresses"/>
              <w:rPr>
                <w:rStyle w:val="JBAListofoffices"/>
              </w:rPr>
            </w:pPr>
            <w:r w:rsidRPr="00A31059">
              <w:rPr>
                <w:rStyle w:val="JBAListofoffices"/>
              </w:rPr>
              <w:t>ISO 14001:2015</w:t>
            </w:r>
          </w:p>
          <w:p w14:paraId="2E6587DA" w14:textId="77777777" w:rsidR="004936D1" w:rsidRPr="00A31059" w:rsidRDefault="004936D1" w:rsidP="00A31059">
            <w:pPr>
              <w:pStyle w:val="JBAAddresses"/>
              <w:rPr>
                <w:rStyle w:val="JBAListofoffices"/>
              </w:rPr>
            </w:pPr>
            <w:r w:rsidRPr="00A31059">
              <w:rPr>
                <w:rStyle w:val="JBAListofoffices"/>
              </w:rPr>
              <w:t>OHSAS 18001:2007</w:t>
            </w:r>
          </w:p>
        </w:tc>
      </w:tr>
    </w:tbl>
    <w:p w14:paraId="55DD3047" w14:textId="77777777" w:rsidR="00212664" w:rsidRPr="00993529" w:rsidRDefault="00212664" w:rsidP="004F79AC">
      <w:pPr>
        <w:sectPr w:rsidR="00212664" w:rsidRPr="00993529" w:rsidSect="00A31059">
          <w:headerReference w:type="default" r:id="rId29"/>
          <w:footerReference w:type="default" r:id="rId30"/>
          <w:pgSz w:w="11906" w:h="16838"/>
          <w:pgMar w:top="1985" w:right="454" w:bottom="244" w:left="454" w:header="454" w:footer="16" w:gutter="0"/>
          <w:cols w:space="708"/>
          <w:docGrid w:linePitch="360"/>
        </w:sectPr>
      </w:pPr>
    </w:p>
    <w:p w14:paraId="219208FC" w14:textId="50A45ECE" w:rsidR="00827A35" w:rsidRPr="002953BA" w:rsidRDefault="00827A35" w:rsidP="004F79AC"/>
    <w:sectPr w:rsidR="00827A35" w:rsidRPr="002953BA" w:rsidSect="003D36BC">
      <w:headerReference w:type="even" r:id="rId31"/>
      <w:headerReference w:type="default" r:id="rId32"/>
      <w:footerReference w:type="default" r:id="rId33"/>
      <w:headerReference w:type="first" r:id="rId34"/>
      <w:type w:val="continuous"/>
      <w:pgSz w:w="11906" w:h="16838" w:code="9"/>
      <w:pgMar w:top="1985" w:right="454" w:bottom="284" w:left="454" w:header="0" w:footer="0" w:gutter="0"/>
      <w:pgNumType w:fmt="upperRoman"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8FB2001" w14:textId="77777777" w:rsidR="008E1761" w:rsidRPr="00690CCE" w:rsidRDefault="008E1761" w:rsidP="00AE318F">
      <w:r>
        <w:separator/>
      </w:r>
    </w:p>
  </w:endnote>
  <w:endnote w:type="continuationSeparator" w:id="0">
    <w:p w14:paraId="13F535E6" w14:textId="77777777" w:rsidR="008E1761" w:rsidRPr="00690CCE" w:rsidRDefault="008E1761" w:rsidP="00AE318F">
      <w:r>
        <w:continuationSeparator/>
      </w:r>
    </w:p>
  </w:endnote>
  <w:endnote w:type="continuationNotice" w:id="1">
    <w:p w14:paraId="3979A93E" w14:textId="77777777" w:rsidR="008E1761" w:rsidRDefault="008E1761">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old">
    <w:panose1 w:val="020B0704020202020204"/>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EA4037" w14:textId="77777777" w:rsidR="00CF2BB6" w:rsidRDefault="00CF2BB6">
    <w:pPr>
      <w:spacing w:after="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JBATable3"/>
      <w:tblW w:w="0" w:type="auto"/>
      <w:tblInd w:w="567" w:type="dxa"/>
      <w:tblLook w:val="04A0" w:firstRow="1" w:lastRow="0" w:firstColumn="1" w:lastColumn="0" w:noHBand="0" w:noVBand="1"/>
    </w:tblPr>
    <w:tblGrid>
      <w:gridCol w:w="8505"/>
      <w:gridCol w:w="1926"/>
    </w:tblGrid>
    <w:tr w:rsidR="00CF2BB6" w14:paraId="5072D074" w14:textId="77777777" w:rsidTr="009A35FB">
      <w:trPr>
        <w:cnfStyle w:val="100000000000" w:firstRow="1" w:lastRow="0" w:firstColumn="0" w:lastColumn="0" w:oddVBand="0" w:evenVBand="0" w:oddHBand="0" w:evenHBand="0" w:firstRowFirstColumn="0" w:firstRowLastColumn="0" w:lastRowFirstColumn="0" w:lastRowLastColumn="0"/>
      </w:trPr>
      <w:tc>
        <w:tcPr>
          <w:tcW w:w="8505" w:type="dxa"/>
        </w:tcPr>
        <w:p w14:paraId="63693099" w14:textId="78DE2B55" w:rsidR="00CF2BB6" w:rsidRDefault="00CF2BB6" w:rsidP="004274AC">
          <w:pPr>
            <w:pStyle w:val="JBA-Footer"/>
          </w:pPr>
          <w:r>
            <w:rPr>
              <w:noProof w:val="0"/>
            </w:rPr>
            <w:fldChar w:fldCharType="begin"/>
          </w:r>
          <w:r>
            <w:rPr>
              <w:noProof w:val="0"/>
            </w:rPr>
            <w:instrText xml:space="preserve"> FILENAME   \* MERGEFORMAT </w:instrText>
          </w:r>
          <w:r>
            <w:rPr>
              <w:noProof w:val="0"/>
            </w:rPr>
            <w:fldChar w:fldCharType="separate"/>
          </w:r>
          <w:r w:rsidR="00643E47">
            <w:t>EYP-JBAU-XX-XX-RP-EN-0002-A1-C04-Water_Neutrality_Assessment_Part_B</w:t>
          </w:r>
          <w:r>
            <w:rPr>
              <w:noProof w:val="0"/>
            </w:rPr>
            <w:fldChar w:fldCharType="end"/>
          </w:r>
        </w:p>
      </w:tc>
      <w:tc>
        <w:tcPr>
          <w:tcW w:w="1926" w:type="dxa"/>
        </w:tcPr>
        <w:p w14:paraId="557A5099" w14:textId="77777777" w:rsidR="00CF2BB6" w:rsidRDefault="00CF2BB6" w:rsidP="00304E19">
          <w:pPr>
            <w:pStyle w:val="JBA-ReportText"/>
          </w:pPr>
          <w:r>
            <w:fldChar w:fldCharType="begin"/>
          </w:r>
          <w:r>
            <w:instrText xml:space="preserve"> PAGE   \* MERGEFORMAT </w:instrText>
          </w:r>
          <w:r>
            <w:fldChar w:fldCharType="separate"/>
          </w:r>
          <w:r w:rsidR="008E1761">
            <w:rPr>
              <w:noProof/>
            </w:rPr>
            <w:t>i</w:t>
          </w:r>
          <w:r>
            <w:rPr>
              <w:noProof/>
            </w:rPr>
            <w:fldChar w:fldCharType="end"/>
          </w:r>
        </w:p>
      </w:tc>
    </w:tr>
  </w:tbl>
  <w:p w14:paraId="5FB3C7EF" w14:textId="77777777" w:rsidR="00CF2BB6" w:rsidRDefault="00CF2BB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2265B1" w14:textId="77777777" w:rsidR="00CF2BB6" w:rsidRDefault="00CF2BB6">
    <w:pPr>
      <w:spacing w:after="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85789A" w14:textId="77777777" w:rsidR="00CF2BB6" w:rsidRDefault="00CF2BB6" w:rsidP="00D26903">
    <w:pPr>
      <w:pStyle w:val="JBA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138DBD" w14:textId="77777777" w:rsidR="00CF2BB6" w:rsidRDefault="00CF2BB6">
    <w:r>
      <w:rPr>
        <w:noProof/>
      </w:rPr>
      <w:drawing>
        <wp:anchor distT="0" distB="0" distL="114300" distR="114300" simplePos="0" relativeHeight="251656192" behindDoc="1" locked="0" layoutInCell="1" allowOverlap="1" wp14:anchorId="64F3E8F4" wp14:editId="4A4E0C49">
          <wp:simplePos x="0" y="0"/>
          <wp:positionH relativeFrom="column">
            <wp:posOffset>-250190</wp:posOffset>
          </wp:positionH>
          <wp:positionV relativeFrom="paragraph">
            <wp:posOffset>-10460354</wp:posOffset>
          </wp:positionV>
          <wp:extent cx="7514605" cy="10629154"/>
          <wp:effectExtent l="0" t="0" r="0" b="1270"/>
          <wp:wrapNone/>
          <wp:docPr id="234" name="Picture 2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Picture 23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17006" cy="1063255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AA18F5B" w14:textId="77777777" w:rsidR="008E1761" w:rsidRPr="00D57050" w:rsidRDefault="008E1761" w:rsidP="00D57050">
      <w:r>
        <w:t>————————————————————————————————————————————</w:t>
      </w:r>
    </w:p>
  </w:footnote>
  <w:footnote w:type="continuationSeparator" w:id="0">
    <w:p w14:paraId="1506E0AF" w14:textId="77777777" w:rsidR="008E1761" w:rsidRPr="00690CCE" w:rsidRDefault="008E1761" w:rsidP="00AE318F">
      <w:r>
        <w:continuationSeparator/>
      </w:r>
    </w:p>
  </w:footnote>
  <w:footnote w:type="continuationNotice" w:id="1">
    <w:p w14:paraId="75C4D647" w14:textId="77777777" w:rsidR="008E1761" w:rsidRDefault="008E1761">
      <w:pPr>
        <w:spacing w:after="0"/>
      </w:pPr>
    </w:p>
  </w:footnote>
  <w:footnote w:id="2">
    <w:p w14:paraId="4415B6A0" w14:textId="77777777" w:rsidR="00CF2BB6" w:rsidRPr="00B804F4" w:rsidRDefault="00CF2BB6" w:rsidP="00B804F4">
      <w:pPr>
        <w:pStyle w:val="JBAFootnote"/>
      </w:pPr>
      <w:r w:rsidRPr="00B804F4">
        <w:rPr>
          <w:rStyle w:val="FootnoteReference"/>
          <w:vertAlign w:val="baseline"/>
        </w:rPr>
        <w:footnoteRef/>
      </w:r>
      <w:r w:rsidRPr="00B804F4">
        <w:t xml:space="preserve"> Natural England’s Position Statement for Applications within the Sussex North Water Supply Zone, September 2021 – Interim Approach, Natural England (2021). Received via email on 14/09/2021</w:t>
      </w:r>
    </w:p>
  </w:footnote>
  <w:footnote w:id="3">
    <w:p w14:paraId="100BF2DE" w14:textId="77777777" w:rsidR="00CF2BB6" w:rsidRPr="009D7E7F" w:rsidRDefault="00CF2BB6" w:rsidP="009D7E7F">
      <w:pPr>
        <w:pStyle w:val="JBAFootnote"/>
      </w:pPr>
      <w:r w:rsidRPr="009D7E7F">
        <w:rPr>
          <w:rStyle w:val="FootnoteReference"/>
          <w:vertAlign w:val="baseline"/>
        </w:rPr>
        <w:footnoteRef/>
      </w:r>
      <w:r w:rsidRPr="009D7E7F">
        <w:t xml:space="preserve"> Natural England’s Advice Note regarding Water Neutrality within the Sussex North Water Supply Zone: February 2022</w:t>
      </w:r>
      <w:r>
        <w:t xml:space="preserve"> V2</w:t>
      </w:r>
      <w:r w:rsidRPr="009D7E7F">
        <w:t>. Natural England (2022). Received via email on: 03/02/2022</w:t>
      </w:r>
    </w:p>
  </w:footnote>
  <w:footnote w:id="4">
    <w:p w14:paraId="3570E0DA" w14:textId="77777777" w:rsidR="00CF2BB6" w:rsidRPr="005A4F0E" w:rsidRDefault="00CF2BB6" w:rsidP="005A4F0E">
      <w:pPr>
        <w:pStyle w:val="JBAFootnote"/>
      </w:pPr>
      <w:r w:rsidRPr="005A4F0E">
        <w:rPr>
          <w:rStyle w:val="FootnoteReference"/>
          <w:vertAlign w:val="baseline"/>
        </w:rPr>
        <w:footnoteRef/>
      </w:r>
      <w:r w:rsidRPr="005A4F0E">
        <w:t xml:space="preserve"> Horsham LP_Water Neutrality Tech Note_P4, Aecom, 23 March 2021</w:t>
      </w:r>
    </w:p>
  </w:footnote>
  <w:footnote w:id="5">
    <w:p w14:paraId="259AAFDC" w14:textId="77777777" w:rsidR="00CF2BB6" w:rsidRPr="00CC33C4" w:rsidRDefault="00CF2BB6" w:rsidP="00CC33C4">
      <w:pPr>
        <w:pStyle w:val="JBAFootnote"/>
      </w:pPr>
      <w:r w:rsidRPr="00CC33C4">
        <w:rPr>
          <w:rStyle w:val="FootnoteReference"/>
          <w:vertAlign w:val="baseline"/>
        </w:rPr>
        <w:footnoteRef/>
      </w:r>
      <w:r w:rsidRPr="00CC33C4">
        <w:t xml:space="preserve"> The long-term potential for deep reductions in household water demand, Ofwat (2018). Accessed online at: </w:t>
      </w:r>
      <w:hyperlink r:id="rId1" w:history="1">
        <w:r w:rsidRPr="00CC33C4">
          <w:rPr>
            <w:rStyle w:val="Hyperlink"/>
            <w:color w:val="auto"/>
          </w:rPr>
          <w:t>https://www.ofwat.gov.uk/wp-content/uploads/2018/05/The-long-term-potential-for-deep-reductions-in-household-water-demand-report-by-Artesia-Consulting.pdf</w:t>
        </w:r>
      </w:hyperlink>
      <w:r w:rsidRPr="00CC33C4">
        <w:t xml:space="preserve"> on: 08/03/21</w:t>
      </w:r>
    </w:p>
  </w:footnote>
  <w:footnote w:id="6">
    <w:p w14:paraId="3A5952C7" w14:textId="77777777" w:rsidR="00CF2BB6" w:rsidRPr="00CC33C4" w:rsidRDefault="00CF2BB6" w:rsidP="00CC33C4">
      <w:pPr>
        <w:pStyle w:val="JBAFootnote"/>
      </w:pPr>
      <w:r w:rsidRPr="00CC33C4">
        <w:rPr>
          <w:rStyle w:val="FootnoteReference"/>
          <w:vertAlign w:val="baseline"/>
        </w:rPr>
        <w:footnoteRef/>
      </w:r>
      <w:r w:rsidRPr="00CC33C4">
        <w:t xml:space="preserve"> Water Labelling Options: Cost Benefits Analysis, Welsh Government (2020). Accessed online at:</w:t>
      </w:r>
    </w:p>
    <w:p w14:paraId="0FC97D8E" w14:textId="77777777" w:rsidR="00CF2BB6" w:rsidRPr="00697621" w:rsidRDefault="00E6462B" w:rsidP="00CC33C4">
      <w:pPr>
        <w:pStyle w:val="JBAFootnote"/>
      </w:pPr>
      <w:hyperlink r:id="rId2" w:history="1">
        <w:r w:rsidR="00CF2BB6" w:rsidRPr="00CC33C4">
          <w:rPr>
            <w:rStyle w:val="Hyperlink"/>
            <w:color w:val="auto"/>
          </w:rPr>
          <w:t>https://www.waterwise.org.uk/knowledge-base/est-welsh-government-water-labelling-report-2020/</w:t>
        </w:r>
      </w:hyperlink>
      <w:r w:rsidR="00CF2BB6" w:rsidRPr="00CC33C4">
        <w:t xml:space="preserve"> on: 08/03/2021</w:t>
      </w:r>
    </w:p>
  </w:footnote>
  <w:footnote w:id="7">
    <w:p w14:paraId="3FE25B38" w14:textId="77777777" w:rsidR="00CF2BB6" w:rsidRPr="00CC33C4" w:rsidRDefault="00CF2BB6" w:rsidP="00CC33C4">
      <w:pPr>
        <w:pStyle w:val="JBAFootnote"/>
      </w:pPr>
      <w:r w:rsidRPr="00CC33C4">
        <w:rPr>
          <w:rStyle w:val="FootnoteReference"/>
          <w:vertAlign w:val="baseline"/>
        </w:rPr>
        <w:footnoteRef/>
      </w:r>
      <w:r w:rsidRPr="00CC33C4">
        <w:t xml:space="preserve"> Press release: Coronavirus lockdown caused dramatic changes in water consumption, research finds. University of Manchester (2020). Accessed online at: </w:t>
      </w:r>
      <w:hyperlink r:id="rId3" w:history="1">
        <w:r w:rsidRPr="00CC33C4">
          <w:rPr>
            <w:rStyle w:val="Hyperlink"/>
            <w:color w:val="auto"/>
          </w:rPr>
          <w:t>https://www.manchester.ac.uk/discover/news/coronavirus-lockdown-caused-dramatic-changes-in-water-consumption/</w:t>
        </w:r>
      </w:hyperlink>
      <w:r w:rsidRPr="00CC33C4">
        <w:t xml:space="preserve"> on: 18/02/2022</w:t>
      </w:r>
    </w:p>
  </w:footnote>
  <w:footnote w:id="8">
    <w:p w14:paraId="5D6A7BD9" w14:textId="320B0F8A" w:rsidR="00BB7306" w:rsidRPr="00562926" w:rsidRDefault="00BB7306" w:rsidP="0049227B">
      <w:pPr>
        <w:pStyle w:val="JBAFootnote"/>
      </w:pPr>
      <w:r w:rsidRPr="00BB7306">
        <w:rPr>
          <w:rStyle w:val="FootnoteReference"/>
          <w:vertAlign w:val="baseline"/>
        </w:rPr>
        <w:footnoteRef/>
      </w:r>
      <w:r w:rsidRPr="00BB7306">
        <w:t xml:space="preserve"> *CBC: between 2.31 and 2.42 people per dwelling; CDC: 2.4; HDC: between 2.35 and 2.24; SDNPA: 2.3 (for SDNPA this is the average household size)</w:t>
      </w:r>
    </w:p>
  </w:footnote>
  <w:footnote w:id="9">
    <w:p w14:paraId="69D25ABE" w14:textId="77777777" w:rsidR="00CF2BB6" w:rsidRPr="00CC33C4" w:rsidRDefault="00CF2BB6" w:rsidP="00CC33C4">
      <w:pPr>
        <w:pStyle w:val="JBAFootnote"/>
      </w:pPr>
      <w:r w:rsidRPr="00CC33C4">
        <w:rPr>
          <w:rStyle w:val="FootnoteReference"/>
          <w:vertAlign w:val="baseline"/>
        </w:rPr>
        <w:footnoteRef/>
      </w:r>
      <w:r w:rsidRPr="00CC33C4">
        <w:t xml:space="preserve"> Code of Practice – Flows and Loads 4, British Water (2014). Accessed online at:</w:t>
      </w:r>
    </w:p>
    <w:p w14:paraId="45F01E57" w14:textId="77777777" w:rsidR="00CF2BB6" w:rsidRPr="00CC33C4" w:rsidRDefault="00E6462B" w:rsidP="00CC33C4">
      <w:pPr>
        <w:pStyle w:val="JBAFootnote"/>
      </w:pPr>
      <w:hyperlink r:id="rId4" w:history="1">
        <w:r w:rsidR="00CF2BB6" w:rsidRPr="00CC33C4">
          <w:rPr>
            <w:rStyle w:val="Hyperlink"/>
            <w:color w:val="auto"/>
          </w:rPr>
          <w:t>https://www.britishwater.co.uk/code-of-practise-flows-and-loads-4-on-sizing-criteria-treatm.aspx</w:t>
        </w:r>
      </w:hyperlink>
      <w:r w:rsidR="00CF2BB6" w:rsidRPr="00CC33C4">
        <w:t xml:space="preserve"> on: 08/03/2021</w:t>
      </w:r>
    </w:p>
  </w:footnote>
  <w:footnote w:id="10">
    <w:p w14:paraId="27C8B7FD" w14:textId="77777777" w:rsidR="00CF2BB6" w:rsidRPr="00CC33C4" w:rsidRDefault="00CF2BB6" w:rsidP="00CC33C4">
      <w:pPr>
        <w:pStyle w:val="JBAFootnote"/>
      </w:pPr>
      <w:r w:rsidRPr="00CC33C4">
        <w:rPr>
          <w:rStyle w:val="FootnoteReference"/>
          <w:vertAlign w:val="baseline"/>
        </w:rPr>
        <w:footnoteRef/>
      </w:r>
      <w:r w:rsidRPr="00CC33C4">
        <w:t xml:space="preserve"> Workplace report, Labour Research Department (2015). Accessed online at:</w:t>
      </w:r>
    </w:p>
    <w:p w14:paraId="5A472A38" w14:textId="77777777" w:rsidR="00CF2BB6" w:rsidRPr="00CC33C4" w:rsidRDefault="00E6462B" w:rsidP="00CC33C4">
      <w:pPr>
        <w:pStyle w:val="JBAFootnote"/>
      </w:pPr>
      <w:hyperlink r:id="rId5" w:history="1">
        <w:r w:rsidR="00CF2BB6" w:rsidRPr="00CC33C4">
          <w:rPr>
            <w:rStyle w:val="Hyperlink"/>
            <w:color w:val="auto"/>
          </w:rPr>
          <w:t>https://www.lrdpublications.org.uk/printarticle.php?pub=WR&amp;iss=1758&amp;id=idp10120192</w:t>
        </w:r>
      </w:hyperlink>
      <w:r w:rsidR="00CF2BB6" w:rsidRPr="00CC33C4">
        <w:t xml:space="preserve"> on: 08/03/2021</w:t>
      </w:r>
    </w:p>
  </w:footnote>
  <w:footnote w:id="11">
    <w:p w14:paraId="772B80DB" w14:textId="77777777" w:rsidR="00CF2BB6" w:rsidRPr="00CC33C4" w:rsidRDefault="00CF2BB6" w:rsidP="00CC33C4">
      <w:pPr>
        <w:pStyle w:val="JBAFootnote"/>
      </w:pPr>
      <w:r w:rsidRPr="00CC33C4">
        <w:rPr>
          <w:rStyle w:val="FootnoteReference"/>
          <w:vertAlign w:val="baseline"/>
        </w:rPr>
        <w:footnoteRef/>
      </w:r>
      <w:r w:rsidRPr="00CC33C4">
        <w:t xml:space="preserve"> Do you have lunch at the work canteen? Statistica (2017). Accessed online at:</w:t>
      </w:r>
    </w:p>
    <w:p w14:paraId="5AFB3B95" w14:textId="77777777" w:rsidR="00CF2BB6" w:rsidRPr="00CC33C4" w:rsidRDefault="00E6462B" w:rsidP="00CC33C4">
      <w:pPr>
        <w:pStyle w:val="JBAFootnote"/>
      </w:pPr>
      <w:hyperlink r:id="rId6" w:anchor="statisticContainer" w:history="1">
        <w:r w:rsidR="00CF2BB6" w:rsidRPr="00CC33C4">
          <w:rPr>
            <w:rStyle w:val="Hyperlink"/>
            <w:color w:val="auto"/>
          </w:rPr>
          <w:t>https://www.statista.com/statistics/690159/work-canteen-for-lunch-united-kingdom-uk/#statisticContainer</w:t>
        </w:r>
      </w:hyperlink>
      <w:r w:rsidR="00CF2BB6" w:rsidRPr="00CC33C4">
        <w:t xml:space="preserve"> </w:t>
      </w:r>
    </w:p>
    <w:p w14:paraId="73299DDD" w14:textId="77777777" w:rsidR="00CF2BB6" w:rsidRPr="00CC33C4" w:rsidRDefault="00CF2BB6" w:rsidP="00CC33C4">
      <w:pPr>
        <w:pStyle w:val="JBAFootnote"/>
      </w:pPr>
      <w:r w:rsidRPr="00CC33C4">
        <w:t>on: 08/03/2021</w:t>
      </w:r>
    </w:p>
  </w:footnote>
  <w:footnote w:id="12">
    <w:p w14:paraId="1E9A2637" w14:textId="77777777" w:rsidR="00CF2BB6" w:rsidRPr="00F21281" w:rsidRDefault="00CF2BB6" w:rsidP="00CC33C4">
      <w:pPr>
        <w:pStyle w:val="JBAFootnote"/>
      </w:pPr>
      <w:r w:rsidRPr="00CC33C4">
        <w:rPr>
          <w:rStyle w:val="FootnoteReference"/>
          <w:vertAlign w:val="baseline"/>
        </w:rPr>
        <w:footnoteRef/>
      </w:r>
      <w:r w:rsidRPr="00CC33C4">
        <w:t xml:space="preserve"> 40% represents 3 credits in the BREAAM Wat 01 criteria, and 65% is the Exemplary level (BREEAM New Construction 2018 (UK))</w:t>
      </w:r>
    </w:p>
  </w:footnote>
  <w:footnote w:id="13">
    <w:p w14:paraId="6EED5351" w14:textId="77777777" w:rsidR="00CC33C4" w:rsidRDefault="00CF2BB6" w:rsidP="00CC33C4">
      <w:pPr>
        <w:pStyle w:val="JBAFootnote"/>
      </w:pPr>
      <w:r w:rsidRPr="00CC33C4">
        <w:rPr>
          <w:rStyle w:val="FootnoteReference"/>
          <w:vertAlign w:val="baseline"/>
        </w:rPr>
        <w:footnoteRef/>
      </w:r>
      <w:r w:rsidRPr="00CC33C4">
        <w:t xml:space="preserve"> Independent review of costs and benefits of RwH and GwR, Waterwise (2020). Accessed online at:</w:t>
      </w:r>
    </w:p>
    <w:p w14:paraId="1AB8DA6F" w14:textId="77B80965" w:rsidR="00CF2BB6" w:rsidRPr="00CC33C4" w:rsidRDefault="00E6462B" w:rsidP="00CC33C4">
      <w:pPr>
        <w:pStyle w:val="JBAFootnote"/>
      </w:pPr>
      <w:hyperlink r:id="rId7" w:history="1">
        <w:r w:rsidR="00CF2BB6" w:rsidRPr="00CC33C4">
          <w:rPr>
            <w:rStyle w:val="Hyperlink"/>
            <w:color w:val="auto"/>
          </w:rPr>
          <w:t>https://waterwise.org.uk/wp-content/uploads/2020/09/Ricardo_Independent-review-of-costs-and-benefits-of-RWH-and-GWR_Appendices-A1-A2-1.pdf</w:t>
        </w:r>
      </w:hyperlink>
      <w:r w:rsidR="00CF2BB6" w:rsidRPr="00CC33C4">
        <w:t xml:space="preserve"> on: 08/03/2020</w:t>
      </w:r>
    </w:p>
  </w:footnote>
  <w:footnote w:id="14">
    <w:p w14:paraId="25563841" w14:textId="77777777" w:rsidR="00CC33C4" w:rsidRDefault="00CF2BB6" w:rsidP="00CC33C4">
      <w:pPr>
        <w:pStyle w:val="JBAFootnote"/>
      </w:pPr>
      <w:r w:rsidRPr="00CC33C4">
        <w:rPr>
          <w:rStyle w:val="FootnoteReference"/>
          <w:vertAlign w:val="baseline"/>
        </w:rPr>
        <w:footnoteRef/>
      </w:r>
      <w:r w:rsidRPr="00CC33C4">
        <w:t xml:space="preserve"> Independent review of costs and benefits of RwH and GwR, Waterwise (2020). Accessed online at:</w:t>
      </w:r>
    </w:p>
    <w:p w14:paraId="40A08E9E" w14:textId="6A4D5216" w:rsidR="00CF2BB6" w:rsidRPr="00CC33C4" w:rsidRDefault="00CF2BB6" w:rsidP="00CC33C4">
      <w:pPr>
        <w:pStyle w:val="JBAFootnote"/>
      </w:pPr>
      <w:r w:rsidRPr="00CC33C4">
        <w:t>https://waterwise.org.uk/wp-content/uploads/2020/09/Ricardo_Independent-review-of-costs-and-benefits-of-RWH-and-GWR_Appendices-A1-A2-1.pdf on: 08/03/2020</w:t>
      </w:r>
    </w:p>
  </w:footnote>
  <w:footnote w:id="15">
    <w:p w14:paraId="160A3C86" w14:textId="77777777" w:rsidR="00CC33C4" w:rsidRDefault="00CF2BB6" w:rsidP="00CC33C4">
      <w:pPr>
        <w:pStyle w:val="JBAFootnote"/>
      </w:pPr>
      <w:r w:rsidRPr="00CC33C4">
        <w:rPr>
          <w:rStyle w:val="FootnoteReference"/>
          <w:vertAlign w:val="baseline"/>
        </w:rPr>
        <w:footnoteRef/>
      </w:r>
      <w:r w:rsidRPr="00CC33C4">
        <w:t xml:space="preserve"> Housing Standards Review, Department for Communities and Local Government (2014). Accessed online at:</w:t>
      </w:r>
    </w:p>
    <w:p w14:paraId="6A8C2960" w14:textId="33531380" w:rsidR="00CF2BB6" w:rsidRPr="00CC33C4" w:rsidRDefault="00E6462B" w:rsidP="00CC33C4">
      <w:pPr>
        <w:pStyle w:val="JBAFootnote"/>
      </w:pPr>
      <w:hyperlink r:id="rId8" w:history="1">
        <w:r w:rsidR="00CF2BB6" w:rsidRPr="00CC33C4">
          <w:rPr>
            <w:rStyle w:val="Hyperlink"/>
            <w:color w:val="auto"/>
          </w:rPr>
          <w:t>https://assets.publishing.service.gov.uk/government/uploads/system/uploads/attachment_data/file/353387/021c_Cost_Report_11th_Sept_2014_FINAL.pdf</w:t>
        </w:r>
      </w:hyperlink>
      <w:r w:rsidR="00CF2BB6" w:rsidRPr="00CC33C4">
        <w:t xml:space="preserve"> on: 11/05/2021</w:t>
      </w:r>
    </w:p>
  </w:footnote>
  <w:footnote w:id="16">
    <w:p w14:paraId="1E1C29E2" w14:textId="77777777" w:rsidR="00CF2BB6" w:rsidRPr="000834E2" w:rsidRDefault="00CF2BB6" w:rsidP="00CC33C4">
      <w:pPr>
        <w:pStyle w:val="JBAFootnote"/>
      </w:pPr>
      <w:r w:rsidRPr="00CC33C4">
        <w:rPr>
          <w:rStyle w:val="FootnoteReference"/>
          <w:vertAlign w:val="baseline"/>
        </w:rPr>
        <w:footnoteRef/>
      </w:r>
      <w:r w:rsidRPr="00CC33C4">
        <w:t xml:space="preserve"> HDC consider a strategic scheme to be a site with 200+ dwellings.  This has been factored into the calculations for the Part B study.  Other LPAs may have a different definition and will need to be considered in future calculations in Part C. </w:t>
      </w:r>
    </w:p>
  </w:footnote>
  <w:footnote w:id="17">
    <w:p w14:paraId="397F8D0E" w14:textId="77777777" w:rsidR="00CF2BB6" w:rsidRPr="00CC33C4" w:rsidRDefault="00CF2BB6" w:rsidP="00CC33C4">
      <w:pPr>
        <w:pStyle w:val="JBAFootnote"/>
      </w:pPr>
      <w:r w:rsidRPr="00CC33C4">
        <w:rPr>
          <w:rStyle w:val="FootnoteReference"/>
          <w:vertAlign w:val="baseline"/>
        </w:rPr>
        <w:footnoteRef/>
      </w:r>
      <w:r w:rsidRPr="00CC33C4">
        <w:t xml:space="preserve"> WRMP Annex 6 – Options Appraisal, Southern Water (2019). Accessed online at:</w:t>
      </w:r>
    </w:p>
    <w:p w14:paraId="6D5336A3" w14:textId="77777777" w:rsidR="00CF2BB6" w:rsidRPr="00AF3535" w:rsidRDefault="00E6462B" w:rsidP="00CC33C4">
      <w:pPr>
        <w:pStyle w:val="JBAFootnote"/>
      </w:pPr>
      <w:hyperlink r:id="rId9" w:history="1">
        <w:r w:rsidR="00CF2BB6" w:rsidRPr="00CC33C4">
          <w:rPr>
            <w:rStyle w:val="Hyperlink"/>
            <w:color w:val="auto"/>
          </w:rPr>
          <w:t>https://www.southernwater.co.uk/media/3671/wrmp19-annex6-options-appraisal.pdf</w:t>
        </w:r>
      </w:hyperlink>
      <w:r w:rsidR="00CF2BB6" w:rsidRPr="00CC33C4">
        <w:t xml:space="preserve"> on: 08/03/2021</w:t>
      </w:r>
    </w:p>
  </w:footnote>
  <w:footnote w:id="18">
    <w:p w14:paraId="2C640247" w14:textId="77777777" w:rsidR="00CF2BB6" w:rsidRPr="00CC33C4" w:rsidRDefault="00CF2BB6" w:rsidP="00CC33C4">
      <w:pPr>
        <w:pStyle w:val="JBAFootnote"/>
      </w:pPr>
      <w:r w:rsidRPr="00CC33C4">
        <w:rPr>
          <w:rStyle w:val="FootnoteReference"/>
          <w:vertAlign w:val="baseline"/>
        </w:rPr>
        <w:footnoteRef/>
      </w:r>
      <w:r w:rsidRPr="00CC33C4">
        <w:t xml:space="preserve"> Greater Brighton Water Plan, Greater Brighton, (2020). Accessed online at: </w:t>
      </w:r>
      <w:hyperlink r:id="rId10" w:history="1">
        <w:r w:rsidRPr="00CC33C4">
          <w:rPr>
            <w:rStyle w:val="Hyperlink"/>
            <w:color w:val="auto"/>
          </w:rPr>
          <w:t>https://greaterbrighton.com/wp-content/uploads/2020/09/Greater-Brighton-Water-Plan.pdf</w:t>
        </w:r>
      </w:hyperlink>
      <w:r w:rsidRPr="00CC33C4">
        <w:t xml:space="preserve"> on: 30/11/2021</w:t>
      </w:r>
    </w:p>
  </w:footnote>
  <w:footnote w:id="19">
    <w:p w14:paraId="13B82966" w14:textId="77777777" w:rsidR="00CF2BB6" w:rsidRPr="00A135CA" w:rsidRDefault="00CF2BB6" w:rsidP="00A135CA">
      <w:pPr>
        <w:pStyle w:val="JBAFootnote"/>
      </w:pPr>
      <w:r w:rsidRPr="00A135CA">
        <w:rPr>
          <w:rStyle w:val="FootnoteReference"/>
          <w:vertAlign w:val="baseline"/>
        </w:rPr>
        <w:footnoteRef/>
      </w:r>
      <w:r w:rsidRPr="00A135CA">
        <w:t xml:space="preserve"> House of Commons Library (2020) Water: non-household retail competition.  Briefing Paper Number CBP 8925, 29 May 2020</w:t>
      </w:r>
    </w:p>
  </w:footnote>
  <w:footnote w:id="20">
    <w:p w14:paraId="1B18EC19" w14:textId="77777777" w:rsidR="00CF2BB6" w:rsidRPr="00CC33C4" w:rsidRDefault="00CF2BB6" w:rsidP="00CC33C4">
      <w:pPr>
        <w:pStyle w:val="JBAFootnote"/>
      </w:pPr>
      <w:r w:rsidRPr="00CC33C4">
        <w:rPr>
          <w:rStyle w:val="FootnoteReference"/>
          <w:vertAlign w:val="baseline"/>
        </w:rPr>
        <w:footnoteRef/>
      </w:r>
      <w:r w:rsidRPr="00CC33C4">
        <w:t xml:space="preserve"> Housing Standards Review, DCLG (2014). Accessed online at:</w:t>
      </w:r>
    </w:p>
    <w:p w14:paraId="26263DD8" w14:textId="77777777" w:rsidR="00CF2BB6" w:rsidRPr="00EC428E" w:rsidRDefault="00E6462B" w:rsidP="00CC33C4">
      <w:pPr>
        <w:pStyle w:val="JBAFootnote"/>
      </w:pPr>
      <w:hyperlink r:id="rId11" w:history="1">
        <w:r w:rsidR="00CF2BB6" w:rsidRPr="00090727">
          <w:rPr>
            <w:rStyle w:val="Hyperlink"/>
            <w:color w:val="auto"/>
          </w:rPr>
          <w:t>https://assets.publishing.service.gov.uk/government/uploads/system/uploads/attachment_data/file/353387/021c_Cost_Report_11th_Sept_2014_FINAL.pdf</w:t>
        </w:r>
      </w:hyperlink>
      <w:r w:rsidR="00CF2BB6" w:rsidRPr="00CC33C4">
        <w:t xml:space="preserve"> on: 16/08/2021</w:t>
      </w:r>
    </w:p>
  </w:footnote>
  <w:footnote w:id="21">
    <w:p w14:paraId="241F5B3E" w14:textId="77777777" w:rsidR="00CF2BB6" w:rsidRPr="00090727" w:rsidRDefault="00CF2BB6" w:rsidP="00CC33C4">
      <w:pPr>
        <w:pStyle w:val="JBAFootnote"/>
      </w:pPr>
      <w:r w:rsidRPr="00CC33C4">
        <w:rPr>
          <w:rStyle w:val="FootnoteReference"/>
          <w:vertAlign w:val="baseline"/>
        </w:rPr>
        <w:footnoteRef/>
      </w:r>
      <w:r w:rsidRPr="00CC33C4">
        <w:t xml:space="preserve"> https://www.bankofengland.co.uk/monetary-policy/inflation/inflation-calculator</w:t>
      </w:r>
    </w:p>
  </w:footnote>
  <w:footnote w:id="22">
    <w:p w14:paraId="61FC0FD8" w14:textId="77777777" w:rsidR="00CF2BB6" w:rsidRPr="00090727" w:rsidRDefault="00CF2BB6" w:rsidP="00CC33C4">
      <w:pPr>
        <w:pStyle w:val="JBAFootnote"/>
      </w:pPr>
      <w:r w:rsidRPr="00CC33C4">
        <w:rPr>
          <w:rStyle w:val="FootnoteReference"/>
          <w:vertAlign w:val="baseline"/>
        </w:rPr>
        <w:footnoteRef/>
      </w:r>
      <w:r w:rsidRPr="00CC33C4">
        <w:t xml:space="preserve"> Independent review of the costs and benefits of rainwater harvesting and grey water recycling options in the UK,</w:t>
      </w:r>
    </w:p>
    <w:p w14:paraId="1DF8C5C3" w14:textId="77777777" w:rsidR="00CF2BB6" w:rsidRPr="00090727" w:rsidRDefault="00CF2BB6" w:rsidP="00090727">
      <w:pPr>
        <w:pStyle w:val="JBAFootnote"/>
      </w:pPr>
      <w:r w:rsidRPr="00090727">
        <w:t>Waterwise (2020). Accessed online at:</w:t>
      </w:r>
    </w:p>
    <w:p w14:paraId="6BC779B7" w14:textId="77777777" w:rsidR="00CF2BB6" w:rsidRPr="002E7DA1" w:rsidRDefault="00E6462B" w:rsidP="00090727">
      <w:pPr>
        <w:pStyle w:val="JBAFootnote"/>
      </w:pPr>
      <w:hyperlink r:id="rId12" w:history="1">
        <w:r w:rsidR="00CF2BB6" w:rsidRPr="00090727">
          <w:rPr>
            <w:rStyle w:val="Hyperlink"/>
            <w:color w:val="auto"/>
          </w:rPr>
          <w:t>https://waterwise.org.uk/wp-content/uploads/2020/09/Ricardo_Independent-review-of-costs-and-benefits-of-RWH-and-GWR-Final-Report.pdf</w:t>
        </w:r>
      </w:hyperlink>
      <w:r w:rsidR="00CF2BB6" w:rsidRPr="00CC33C4">
        <w:t xml:space="preserve"> on: 16/08/21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D99A2C" w14:textId="77777777" w:rsidR="00CF2BB6" w:rsidRDefault="00CF2BB6">
    <w:pPr>
      <w:spacing w:after="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82AC00" w14:textId="77777777" w:rsidR="00CF2BB6" w:rsidRDefault="00CF2BB6"/>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4F55AE" w14:textId="77777777" w:rsidR="00CF2BB6" w:rsidRDefault="00CF2BB6">
    <w:pPr>
      <w:pStyle w:val="Header"/>
    </w:pPr>
    <w:r w:rsidRPr="001B6CAA">
      <w:rPr>
        <w:noProof/>
      </w:rPr>
      <w:drawing>
        <wp:anchor distT="0" distB="0" distL="114300" distR="114300" simplePos="0" relativeHeight="251658240" behindDoc="1" locked="0" layoutInCell="1" allowOverlap="1" wp14:anchorId="22A052F6" wp14:editId="3934FA92">
          <wp:simplePos x="0" y="0"/>
          <wp:positionH relativeFrom="page">
            <wp:align>right</wp:align>
          </wp:positionH>
          <wp:positionV relativeFrom="paragraph">
            <wp:posOffset>-283095</wp:posOffset>
          </wp:positionV>
          <wp:extent cx="7540999" cy="10666487"/>
          <wp:effectExtent l="0" t="0" r="3175" b="1905"/>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40999" cy="10666487"/>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02ADDB" w14:textId="77777777" w:rsidR="00CF2BB6" w:rsidRDefault="00CF2BB6">
    <w:pPr>
      <w:spacing w:after="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245B6B" w14:textId="77777777" w:rsidR="00CF2BB6" w:rsidRDefault="00CF2BB6" w:rsidP="00690CCE">
    <w:r w:rsidRPr="001B6CAA">
      <w:rPr>
        <w:noProof/>
      </w:rPr>
      <w:drawing>
        <wp:anchor distT="0" distB="0" distL="114300" distR="114300" simplePos="0" relativeHeight="251660288" behindDoc="1" locked="0" layoutInCell="1" allowOverlap="1" wp14:anchorId="12DBF7ED" wp14:editId="42E4CD78">
          <wp:simplePos x="0" y="0"/>
          <wp:positionH relativeFrom="page">
            <wp:align>right</wp:align>
          </wp:positionH>
          <wp:positionV relativeFrom="paragraph">
            <wp:posOffset>-280995</wp:posOffset>
          </wp:positionV>
          <wp:extent cx="7540999" cy="10666487"/>
          <wp:effectExtent l="0" t="0" r="3175" b="1905"/>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40999" cy="10666487"/>
                  </a:xfrm>
                  <a:prstGeom prst="rect">
                    <a:avLst/>
                  </a:prstGeom>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CBA711" w14:textId="77777777" w:rsidR="00CF2BB6" w:rsidRDefault="00CF2BB6"/>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DEDE7A" w14:textId="77777777" w:rsidR="00CF2BB6" w:rsidRDefault="00CF2BB6"/>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C3425F" w14:textId="77777777" w:rsidR="00CF2BB6" w:rsidRDefault="00CF2BB6">
    <w:r>
      <w:rPr>
        <w:noProof/>
      </w:rPr>
      <w:drawing>
        <wp:anchor distT="0" distB="0" distL="114300" distR="114300" simplePos="0" relativeHeight="251657216" behindDoc="1" locked="0" layoutInCell="1" allowOverlap="1" wp14:anchorId="23C661B6" wp14:editId="5EAB4A29">
          <wp:simplePos x="0" y="0"/>
          <wp:positionH relativeFrom="column">
            <wp:posOffset>-105609</wp:posOffset>
          </wp:positionH>
          <wp:positionV relativeFrom="paragraph">
            <wp:posOffset>-269240</wp:posOffset>
          </wp:positionV>
          <wp:extent cx="7367905" cy="10668000"/>
          <wp:effectExtent l="0" t="0" r="4445" b="0"/>
          <wp:wrapNone/>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367905" cy="10668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611861" w14:textId="77777777" w:rsidR="00CF2BB6" w:rsidRDefault="00CF2BB6"/>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650" w:type="pct"/>
      <w:tblLook w:val="04A0" w:firstRow="1" w:lastRow="0" w:firstColumn="1" w:lastColumn="0" w:noHBand="0" w:noVBand="1"/>
    </w:tblPr>
    <w:tblGrid>
      <w:gridCol w:w="12428"/>
    </w:tblGrid>
    <w:tr w:rsidR="00CF2BB6" w:rsidRPr="00032902" w14:paraId="77FEED13" w14:textId="77777777" w:rsidTr="004274AC">
      <w:tc>
        <w:tcPr>
          <w:tcW w:w="5000" w:type="pct"/>
        </w:tcPr>
        <w:p w14:paraId="033A8B4E" w14:textId="77777777" w:rsidR="00CF2BB6" w:rsidRPr="002746CB" w:rsidRDefault="00CF2BB6" w:rsidP="004B3BD4">
          <w:pPr>
            <w:ind w:left="0"/>
          </w:pPr>
        </w:p>
      </w:tc>
    </w:tr>
  </w:tbl>
  <w:p w14:paraId="09D9E586" w14:textId="77777777" w:rsidR="00CF2BB6" w:rsidRDefault="00CF2BB6" w:rsidP="00455696">
    <w:pPr>
      <w:pStyle w:val="JBAParaText"/>
    </w:pPr>
    <w:r>
      <w:rPr>
        <w:noProof/>
      </w:rPr>
      <w:drawing>
        <wp:inline distT="0" distB="0" distL="0" distR="0" wp14:anchorId="5490A4C9" wp14:editId="224BA036">
          <wp:extent cx="6540500" cy="9251315"/>
          <wp:effectExtent l="0" t="0" r="0" b="6985"/>
          <wp:docPr id="233" name="Picture 2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Picture 23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6540500" cy="925131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1pt;height:21pt" o:bullet="t">
        <v:imagedata r:id="rId1" o:title="JBA_Favicon"/>
      </v:shape>
    </w:pict>
  </w:numPicBullet>
  <w:abstractNum w:abstractNumId="0" w15:restartNumberingAfterBreak="0">
    <w:nsid w:val="08CD40CB"/>
    <w:multiLevelType w:val="hybridMultilevel"/>
    <w:tmpl w:val="EE1ADA5A"/>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 w15:restartNumberingAfterBreak="0">
    <w:nsid w:val="09081743"/>
    <w:multiLevelType w:val="hybridMultilevel"/>
    <w:tmpl w:val="8034B940"/>
    <w:lvl w:ilvl="0" w:tplc="00E220E6">
      <w:start w:val="4"/>
      <w:numFmt w:val="bullet"/>
      <w:lvlText w:val="-"/>
      <w:lvlJc w:val="left"/>
      <w:pPr>
        <w:ind w:left="720" w:hanging="360"/>
      </w:pPr>
      <w:rPr>
        <w:rFonts w:ascii="Verdana" w:eastAsia="Calibri" w:hAnsi="Verdan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2E58D3"/>
    <w:multiLevelType w:val="multilevel"/>
    <w:tmpl w:val="EFFE95EE"/>
    <w:lvl w:ilvl="0">
      <w:start w:val="1"/>
      <w:numFmt w:val="upperLetter"/>
      <w:pStyle w:val="Heading7"/>
      <w:lvlText w:val="%1"/>
      <w:lvlJc w:val="left"/>
      <w:pPr>
        <w:ind w:left="720" w:hanging="720"/>
      </w:pPr>
      <w:rPr>
        <w:rFonts w:ascii="Verdana" w:hAnsi="Verdana" w:hint="default"/>
        <w:b/>
        <w:i w:val="0"/>
        <w:color w:val="153B55"/>
        <w:sz w:val="24"/>
      </w:rPr>
    </w:lvl>
    <w:lvl w:ilvl="1">
      <w:start w:val="1"/>
      <w:numFmt w:val="decimal"/>
      <w:pStyle w:val="Heading8"/>
      <w:lvlText w:val="%1.%2"/>
      <w:lvlJc w:val="left"/>
      <w:pPr>
        <w:ind w:left="720" w:hanging="720"/>
      </w:pPr>
      <w:rPr>
        <w:rFonts w:ascii="Verdana" w:hAnsi="Verdana" w:hint="default"/>
        <w:b/>
        <w:i w:val="0"/>
        <w:color w:val="153B55"/>
        <w:sz w:val="20"/>
      </w:rPr>
    </w:lvl>
    <w:lvl w:ilvl="2">
      <w:start w:val="1"/>
      <w:numFmt w:val="decimal"/>
      <w:pStyle w:val="Heading9"/>
      <w:lvlText w:val="%1.%2.%3"/>
      <w:lvlJc w:val="left"/>
      <w:pPr>
        <w:ind w:left="720" w:hanging="720"/>
      </w:pPr>
      <w:rPr>
        <w:rFonts w:ascii="Verdana" w:hAnsi="Verdana" w:hint="default"/>
        <w:b/>
        <w:i w:val="0"/>
        <w:color w:val="153B55"/>
        <w:sz w:val="20"/>
      </w:rPr>
    </w:lvl>
    <w:lvl w:ilvl="3">
      <w:start w:val="1"/>
      <w:numFmt w:val="decimal"/>
      <w:pStyle w:val="ignore"/>
      <w:lvlText w:val="%1.%4"/>
      <w:lvlJc w:val="left"/>
      <w:pPr>
        <w:ind w:left="720" w:hanging="720"/>
      </w:pPr>
      <w:rPr>
        <w:rFonts w:ascii="Arial" w:hAnsi="Arial" w:hint="default"/>
        <w:b w:val="0"/>
        <w:i w:val="0"/>
        <w:sz w:val="20"/>
      </w:rPr>
    </w:lvl>
    <w:lvl w:ilvl="4">
      <w:start w:val="1"/>
      <w:numFmt w:val="lowerLetter"/>
      <w:lvlText w:val="%5."/>
      <w:lvlJc w:val="left"/>
      <w:pPr>
        <w:ind w:left="720" w:hanging="720"/>
      </w:pPr>
      <w:rPr>
        <w:rFonts w:hint="default"/>
      </w:rPr>
    </w:lvl>
    <w:lvl w:ilvl="5">
      <w:start w:val="1"/>
      <w:numFmt w:val="lowerRoman"/>
      <w:lvlText w:val="%6."/>
      <w:lvlJc w:val="right"/>
      <w:pPr>
        <w:ind w:left="720" w:hanging="720"/>
      </w:pPr>
      <w:rPr>
        <w:rFonts w:hint="default"/>
      </w:rPr>
    </w:lvl>
    <w:lvl w:ilvl="6">
      <w:start w:val="1"/>
      <w:numFmt w:val="decimal"/>
      <w:lvlText w:val="%7."/>
      <w:lvlJc w:val="left"/>
      <w:pPr>
        <w:ind w:left="720" w:hanging="720"/>
      </w:pPr>
      <w:rPr>
        <w:rFonts w:hint="default"/>
      </w:rPr>
    </w:lvl>
    <w:lvl w:ilvl="7">
      <w:start w:val="1"/>
      <w:numFmt w:val="lowerLetter"/>
      <w:lvlText w:val="%8."/>
      <w:lvlJc w:val="left"/>
      <w:pPr>
        <w:ind w:left="720" w:hanging="720"/>
      </w:pPr>
      <w:rPr>
        <w:rFonts w:hint="default"/>
      </w:rPr>
    </w:lvl>
    <w:lvl w:ilvl="8">
      <w:start w:val="1"/>
      <w:numFmt w:val="lowerRoman"/>
      <w:lvlText w:val="%9."/>
      <w:lvlJc w:val="right"/>
      <w:pPr>
        <w:ind w:left="720" w:hanging="720"/>
      </w:pPr>
      <w:rPr>
        <w:rFonts w:hint="default"/>
      </w:rPr>
    </w:lvl>
  </w:abstractNum>
  <w:abstractNum w:abstractNumId="3" w15:restartNumberingAfterBreak="0">
    <w:nsid w:val="0C0E29C7"/>
    <w:multiLevelType w:val="hybridMultilevel"/>
    <w:tmpl w:val="D1E2640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0C6E7B55"/>
    <w:multiLevelType w:val="hybridMultilevel"/>
    <w:tmpl w:val="993E4DCE"/>
    <w:lvl w:ilvl="0" w:tplc="08090001">
      <w:start w:val="1"/>
      <w:numFmt w:val="bullet"/>
      <w:lvlText w:val=""/>
      <w:lvlJc w:val="left"/>
      <w:pPr>
        <w:ind w:left="2308" w:hanging="360"/>
      </w:pPr>
      <w:rPr>
        <w:rFonts w:ascii="Symbol" w:hAnsi="Symbol" w:hint="default"/>
      </w:rPr>
    </w:lvl>
    <w:lvl w:ilvl="1" w:tplc="08090003" w:tentative="1">
      <w:start w:val="1"/>
      <w:numFmt w:val="bullet"/>
      <w:lvlText w:val="o"/>
      <w:lvlJc w:val="left"/>
      <w:pPr>
        <w:ind w:left="3028" w:hanging="360"/>
      </w:pPr>
      <w:rPr>
        <w:rFonts w:ascii="Courier New" w:hAnsi="Courier New" w:cs="Courier New" w:hint="default"/>
      </w:rPr>
    </w:lvl>
    <w:lvl w:ilvl="2" w:tplc="08090005" w:tentative="1">
      <w:start w:val="1"/>
      <w:numFmt w:val="bullet"/>
      <w:lvlText w:val=""/>
      <w:lvlJc w:val="left"/>
      <w:pPr>
        <w:ind w:left="3748" w:hanging="360"/>
      </w:pPr>
      <w:rPr>
        <w:rFonts w:ascii="Wingdings" w:hAnsi="Wingdings" w:hint="default"/>
      </w:rPr>
    </w:lvl>
    <w:lvl w:ilvl="3" w:tplc="08090001" w:tentative="1">
      <w:start w:val="1"/>
      <w:numFmt w:val="bullet"/>
      <w:lvlText w:val=""/>
      <w:lvlJc w:val="left"/>
      <w:pPr>
        <w:ind w:left="4468" w:hanging="360"/>
      </w:pPr>
      <w:rPr>
        <w:rFonts w:ascii="Symbol" w:hAnsi="Symbol" w:hint="default"/>
      </w:rPr>
    </w:lvl>
    <w:lvl w:ilvl="4" w:tplc="08090003" w:tentative="1">
      <w:start w:val="1"/>
      <w:numFmt w:val="bullet"/>
      <w:lvlText w:val="o"/>
      <w:lvlJc w:val="left"/>
      <w:pPr>
        <w:ind w:left="5188" w:hanging="360"/>
      </w:pPr>
      <w:rPr>
        <w:rFonts w:ascii="Courier New" w:hAnsi="Courier New" w:cs="Courier New" w:hint="default"/>
      </w:rPr>
    </w:lvl>
    <w:lvl w:ilvl="5" w:tplc="08090005" w:tentative="1">
      <w:start w:val="1"/>
      <w:numFmt w:val="bullet"/>
      <w:lvlText w:val=""/>
      <w:lvlJc w:val="left"/>
      <w:pPr>
        <w:ind w:left="5908" w:hanging="360"/>
      </w:pPr>
      <w:rPr>
        <w:rFonts w:ascii="Wingdings" w:hAnsi="Wingdings" w:hint="default"/>
      </w:rPr>
    </w:lvl>
    <w:lvl w:ilvl="6" w:tplc="08090001" w:tentative="1">
      <w:start w:val="1"/>
      <w:numFmt w:val="bullet"/>
      <w:lvlText w:val=""/>
      <w:lvlJc w:val="left"/>
      <w:pPr>
        <w:ind w:left="6628" w:hanging="360"/>
      </w:pPr>
      <w:rPr>
        <w:rFonts w:ascii="Symbol" w:hAnsi="Symbol" w:hint="default"/>
      </w:rPr>
    </w:lvl>
    <w:lvl w:ilvl="7" w:tplc="08090003" w:tentative="1">
      <w:start w:val="1"/>
      <w:numFmt w:val="bullet"/>
      <w:lvlText w:val="o"/>
      <w:lvlJc w:val="left"/>
      <w:pPr>
        <w:ind w:left="7348" w:hanging="360"/>
      </w:pPr>
      <w:rPr>
        <w:rFonts w:ascii="Courier New" w:hAnsi="Courier New" w:cs="Courier New" w:hint="default"/>
      </w:rPr>
    </w:lvl>
    <w:lvl w:ilvl="8" w:tplc="08090005" w:tentative="1">
      <w:start w:val="1"/>
      <w:numFmt w:val="bullet"/>
      <w:lvlText w:val=""/>
      <w:lvlJc w:val="left"/>
      <w:pPr>
        <w:ind w:left="8068" w:hanging="360"/>
      </w:pPr>
      <w:rPr>
        <w:rFonts w:ascii="Wingdings" w:hAnsi="Wingdings" w:hint="default"/>
      </w:rPr>
    </w:lvl>
  </w:abstractNum>
  <w:abstractNum w:abstractNumId="5" w15:restartNumberingAfterBreak="0">
    <w:nsid w:val="0DFC28A6"/>
    <w:multiLevelType w:val="hybridMultilevel"/>
    <w:tmpl w:val="329AC08A"/>
    <w:lvl w:ilvl="0" w:tplc="85E64B88">
      <w:start w:val="3"/>
      <w:numFmt w:val="bullet"/>
      <w:lvlText w:val="-"/>
      <w:lvlJc w:val="left"/>
      <w:pPr>
        <w:ind w:left="720" w:hanging="360"/>
      </w:pPr>
      <w:rPr>
        <w:rFonts w:ascii="Verdana" w:eastAsia="Calibri" w:hAnsi="Verdan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45C43CB"/>
    <w:multiLevelType w:val="hybridMultilevel"/>
    <w:tmpl w:val="1BC4AE3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16CF43EB"/>
    <w:multiLevelType w:val="hybridMultilevel"/>
    <w:tmpl w:val="87D80136"/>
    <w:lvl w:ilvl="0" w:tplc="08090001">
      <w:start w:val="1"/>
      <w:numFmt w:val="bullet"/>
      <w:lvlText w:val=""/>
      <w:lvlJc w:val="left"/>
      <w:pPr>
        <w:ind w:left="2308" w:hanging="360"/>
      </w:pPr>
      <w:rPr>
        <w:rFonts w:ascii="Symbol" w:hAnsi="Symbol" w:hint="default"/>
      </w:rPr>
    </w:lvl>
    <w:lvl w:ilvl="1" w:tplc="08090003" w:tentative="1">
      <w:start w:val="1"/>
      <w:numFmt w:val="bullet"/>
      <w:lvlText w:val="o"/>
      <w:lvlJc w:val="left"/>
      <w:pPr>
        <w:ind w:left="3028" w:hanging="360"/>
      </w:pPr>
      <w:rPr>
        <w:rFonts w:ascii="Courier New" w:hAnsi="Courier New" w:cs="Courier New" w:hint="default"/>
      </w:rPr>
    </w:lvl>
    <w:lvl w:ilvl="2" w:tplc="08090005" w:tentative="1">
      <w:start w:val="1"/>
      <w:numFmt w:val="bullet"/>
      <w:lvlText w:val=""/>
      <w:lvlJc w:val="left"/>
      <w:pPr>
        <w:ind w:left="3748" w:hanging="360"/>
      </w:pPr>
      <w:rPr>
        <w:rFonts w:ascii="Wingdings" w:hAnsi="Wingdings" w:hint="default"/>
      </w:rPr>
    </w:lvl>
    <w:lvl w:ilvl="3" w:tplc="08090001" w:tentative="1">
      <w:start w:val="1"/>
      <w:numFmt w:val="bullet"/>
      <w:lvlText w:val=""/>
      <w:lvlJc w:val="left"/>
      <w:pPr>
        <w:ind w:left="4468" w:hanging="360"/>
      </w:pPr>
      <w:rPr>
        <w:rFonts w:ascii="Symbol" w:hAnsi="Symbol" w:hint="default"/>
      </w:rPr>
    </w:lvl>
    <w:lvl w:ilvl="4" w:tplc="08090003" w:tentative="1">
      <w:start w:val="1"/>
      <w:numFmt w:val="bullet"/>
      <w:lvlText w:val="o"/>
      <w:lvlJc w:val="left"/>
      <w:pPr>
        <w:ind w:left="5188" w:hanging="360"/>
      </w:pPr>
      <w:rPr>
        <w:rFonts w:ascii="Courier New" w:hAnsi="Courier New" w:cs="Courier New" w:hint="default"/>
      </w:rPr>
    </w:lvl>
    <w:lvl w:ilvl="5" w:tplc="08090005" w:tentative="1">
      <w:start w:val="1"/>
      <w:numFmt w:val="bullet"/>
      <w:lvlText w:val=""/>
      <w:lvlJc w:val="left"/>
      <w:pPr>
        <w:ind w:left="5908" w:hanging="360"/>
      </w:pPr>
      <w:rPr>
        <w:rFonts w:ascii="Wingdings" w:hAnsi="Wingdings" w:hint="default"/>
      </w:rPr>
    </w:lvl>
    <w:lvl w:ilvl="6" w:tplc="08090001" w:tentative="1">
      <w:start w:val="1"/>
      <w:numFmt w:val="bullet"/>
      <w:lvlText w:val=""/>
      <w:lvlJc w:val="left"/>
      <w:pPr>
        <w:ind w:left="6628" w:hanging="360"/>
      </w:pPr>
      <w:rPr>
        <w:rFonts w:ascii="Symbol" w:hAnsi="Symbol" w:hint="default"/>
      </w:rPr>
    </w:lvl>
    <w:lvl w:ilvl="7" w:tplc="08090003" w:tentative="1">
      <w:start w:val="1"/>
      <w:numFmt w:val="bullet"/>
      <w:lvlText w:val="o"/>
      <w:lvlJc w:val="left"/>
      <w:pPr>
        <w:ind w:left="7348" w:hanging="360"/>
      </w:pPr>
      <w:rPr>
        <w:rFonts w:ascii="Courier New" w:hAnsi="Courier New" w:cs="Courier New" w:hint="default"/>
      </w:rPr>
    </w:lvl>
    <w:lvl w:ilvl="8" w:tplc="08090005" w:tentative="1">
      <w:start w:val="1"/>
      <w:numFmt w:val="bullet"/>
      <w:lvlText w:val=""/>
      <w:lvlJc w:val="left"/>
      <w:pPr>
        <w:ind w:left="8068" w:hanging="360"/>
      </w:pPr>
      <w:rPr>
        <w:rFonts w:ascii="Wingdings" w:hAnsi="Wingdings" w:hint="default"/>
      </w:rPr>
    </w:lvl>
  </w:abstractNum>
  <w:abstractNum w:abstractNumId="8" w15:restartNumberingAfterBreak="0">
    <w:nsid w:val="1CC43048"/>
    <w:multiLevelType w:val="multilevel"/>
    <w:tmpl w:val="BFCA378A"/>
    <w:styleLink w:val="JBABulletlist"/>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9" w15:restartNumberingAfterBreak="0">
    <w:nsid w:val="1E821B22"/>
    <w:multiLevelType w:val="multilevel"/>
    <w:tmpl w:val="EFC26382"/>
    <w:lvl w:ilvl="0">
      <w:start w:val="1"/>
      <w:numFmt w:val="bullet"/>
      <w:pStyle w:val="JBABullets"/>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10" w15:restartNumberingAfterBreak="0">
    <w:nsid w:val="1ED1770C"/>
    <w:multiLevelType w:val="hybridMultilevel"/>
    <w:tmpl w:val="90C2CA4A"/>
    <w:lvl w:ilvl="0" w:tplc="08090001">
      <w:start w:val="1"/>
      <w:numFmt w:val="bullet"/>
      <w:lvlText w:val=""/>
      <w:lvlJc w:val="left"/>
      <w:pPr>
        <w:ind w:left="777" w:hanging="360"/>
      </w:pPr>
      <w:rPr>
        <w:rFonts w:ascii="Symbol" w:hAnsi="Symbol" w:hint="default"/>
      </w:rPr>
    </w:lvl>
    <w:lvl w:ilvl="1" w:tplc="08090003" w:tentative="1">
      <w:start w:val="1"/>
      <w:numFmt w:val="bullet"/>
      <w:lvlText w:val="o"/>
      <w:lvlJc w:val="left"/>
      <w:pPr>
        <w:ind w:left="1497" w:hanging="360"/>
      </w:pPr>
      <w:rPr>
        <w:rFonts w:ascii="Courier New" w:hAnsi="Courier New" w:cs="Courier New" w:hint="default"/>
      </w:rPr>
    </w:lvl>
    <w:lvl w:ilvl="2" w:tplc="08090005" w:tentative="1">
      <w:start w:val="1"/>
      <w:numFmt w:val="bullet"/>
      <w:lvlText w:val=""/>
      <w:lvlJc w:val="left"/>
      <w:pPr>
        <w:ind w:left="2217" w:hanging="360"/>
      </w:pPr>
      <w:rPr>
        <w:rFonts w:ascii="Wingdings" w:hAnsi="Wingdings" w:hint="default"/>
      </w:rPr>
    </w:lvl>
    <w:lvl w:ilvl="3" w:tplc="08090001" w:tentative="1">
      <w:start w:val="1"/>
      <w:numFmt w:val="bullet"/>
      <w:lvlText w:val=""/>
      <w:lvlJc w:val="left"/>
      <w:pPr>
        <w:ind w:left="2937" w:hanging="360"/>
      </w:pPr>
      <w:rPr>
        <w:rFonts w:ascii="Symbol" w:hAnsi="Symbol" w:hint="default"/>
      </w:rPr>
    </w:lvl>
    <w:lvl w:ilvl="4" w:tplc="08090003" w:tentative="1">
      <w:start w:val="1"/>
      <w:numFmt w:val="bullet"/>
      <w:lvlText w:val="o"/>
      <w:lvlJc w:val="left"/>
      <w:pPr>
        <w:ind w:left="3657" w:hanging="360"/>
      </w:pPr>
      <w:rPr>
        <w:rFonts w:ascii="Courier New" w:hAnsi="Courier New" w:cs="Courier New" w:hint="default"/>
      </w:rPr>
    </w:lvl>
    <w:lvl w:ilvl="5" w:tplc="08090005" w:tentative="1">
      <w:start w:val="1"/>
      <w:numFmt w:val="bullet"/>
      <w:lvlText w:val=""/>
      <w:lvlJc w:val="left"/>
      <w:pPr>
        <w:ind w:left="4377" w:hanging="360"/>
      </w:pPr>
      <w:rPr>
        <w:rFonts w:ascii="Wingdings" w:hAnsi="Wingdings" w:hint="default"/>
      </w:rPr>
    </w:lvl>
    <w:lvl w:ilvl="6" w:tplc="08090001" w:tentative="1">
      <w:start w:val="1"/>
      <w:numFmt w:val="bullet"/>
      <w:lvlText w:val=""/>
      <w:lvlJc w:val="left"/>
      <w:pPr>
        <w:ind w:left="5097" w:hanging="360"/>
      </w:pPr>
      <w:rPr>
        <w:rFonts w:ascii="Symbol" w:hAnsi="Symbol" w:hint="default"/>
      </w:rPr>
    </w:lvl>
    <w:lvl w:ilvl="7" w:tplc="08090003" w:tentative="1">
      <w:start w:val="1"/>
      <w:numFmt w:val="bullet"/>
      <w:lvlText w:val="o"/>
      <w:lvlJc w:val="left"/>
      <w:pPr>
        <w:ind w:left="5817" w:hanging="360"/>
      </w:pPr>
      <w:rPr>
        <w:rFonts w:ascii="Courier New" w:hAnsi="Courier New" w:cs="Courier New" w:hint="default"/>
      </w:rPr>
    </w:lvl>
    <w:lvl w:ilvl="8" w:tplc="08090005" w:tentative="1">
      <w:start w:val="1"/>
      <w:numFmt w:val="bullet"/>
      <w:lvlText w:val=""/>
      <w:lvlJc w:val="left"/>
      <w:pPr>
        <w:ind w:left="6537" w:hanging="360"/>
      </w:pPr>
      <w:rPr>
        <w:rFonts w:ascii="Wingdings" w:hAnsi="Wingdings" w:hint="default"/>
      </w:rPr>
    </w:lvl>
  </w:abstractNum>
  <w:abstractNum w:abstractNumId="11" w15:restartNumberingAfterBreak="0">
    <w:nsid w:val="21532651"/>
    <w:multiLevelType w:val="multilevel"/>
    <w:tmpl w:val="6430EEDA"/>
    <w:lvl w:ilvl="0">
      <w:start w:val="1"/>
      <w:numFmt w:val="decimal"/>
      <w:pStyle w:val="StyleJBABulletsBold"/>
      <w:lvlText w:val="%1"/>
      <w:lvlJc w:val="left"/>
      <w:pPr>
        <w:ind w:left="720" w:hanging="720"/>
      </w:pPr>
      <w:rPr>
        <w:rFonts w:ascii="Arial" w:hAnsi="Arial" w:hint="default"/>
        <w:b w:val="0"/>
        <w:i w:val="0"/>
        <w:color w:val="00A9E0"/>
        <w:sz w:val="36"/>
      </w:rPr>
    </w:lvl>
    <w:lvl w:ilvl="1">
      <w:start w:val="1"/>
      <w:numFmt w:val="decimal"/>
      <w:lvlText w:val="%1.%2"/>
      <w:lvlJc w:val="left"/>
      <w:pPr>
        <w:ind w:left="720" w:hanging="720"/>
      </w:pPr>
      <w:rPr>
        <w:rFonts w:ascii="Arial" w:hAnsi="Arial" w:hint="default"/>
        <w:b w:val="0"/>
        <w:i w:val="0"/>
        <w:color w:val="0D9DDB"/>
        <w:sz w:val="24"/>
      </w:rPr>
    </w:lvl>
    <w:lvl w:ilvl="2">
      <w:start w:val="1"/>
      <w:numFmt w:val="decimal"/>
      <w:lvlText w:val="%1.%2.%3"/>
      <w:lvlJc w:val="left"/>
      <w:pPr>
        <w:ind w:left="720" w:hanging="720"/>
      </w:pPr>
      <w:rPr>
        <w:rFonts w:ascii="Arial" w:hAnsi="Arial" w:hint="default"/>
        <w:b w:val="0"/>
        <w:i w:val="0"/>
        <w:color w:val="0D9DDB"/>
        <w:sz w:val="20"/>
      </w:rPr>
    </w:lvl>
    <w:lvl w:ilvl="3">
      <w:start w:val="1"/>
      <w:numFmt w:val="none"/>
      <w:pStyle w:val="Heading4"/>
      <w:lvlText w:val=""/>
      <w:lvlJc w:val="left"/>
      <w:pPr>
        <w:ind w:left="720" w:hanging="720"/>
      </w:pPr>
      <w:rPr>
        <w:rFonts w:hint="default"/>
      </w:rPr>
    </w:lvl>
    <w:lvl w:ilvl="4">
      <w:start w:val="1"/>
      <w:numFmt w:val="none"/>
      <w:pStyle w:val="Heading5"/>
      <w:lvlText w:val=""/>
      <w:lvlJc w:val="left"/>
      <w:pPr>
        <w:ind w:left="720" w:hanging="720"/>
      </w:pPr>
      <w:rPr>
        <w:rFonts w:ascii="Arial" w:hAnsi="Arial" w:hint="default"/>
        <w:b w:val="0"/>
        <w:i w:val="0"/>
        <w:sz w:val="20"/>
      </w:rPr>
    </w:lvl>
    <w:lvl w:ilvl="5">
      <w:start w:val="1"/>
      <w:numFmt w:val="decimal"/>
      <w:lvlText w:val="%1.%2.%3.%4.%5.%6"/>
      <w:lvlJc w:val="left"/>
      <w:pPr>
        <w:ind w:left="720" w:hanging="720"/>
      </w:pPr>
      <w:rPr>
        <w:rFonts w:hint="default"/>
      </w:rPr>
    </w:lvl>
    <w:lvl w:ilvl="6">
      <w:start w:val="1"/>
      <w:numFmt w:val="decimal"/>
      <w:lvlText w:val="%1.%2.%3.%4.%5.%6.%7"/>
      <w:lvlJc w:val="left"/>
      <w:pPr>
        <w:ind w:left="720" w:hanging="720"/>
      </w:pPr>
      <w:rPr>
        <w:rFonts w:hint="default"/>
      </w:rPr>
    </w:lvl>
    <w:lvl w:ilvl="7">
      <w:start w:val="1"/>
      <w:numFmt w:val="decimal"/>
      <w:lvlText w:val="%1.%2.%3.%4.%5.%6.%7.%8"/>
      <w:lvlJc w:val="left"/>
      <w:pPr>
        <w:ind w:left="720" w:hanging="720"/>
      </w:pPr>
      <w:rPr>
        <w:rFonts w:hint="default"/>
      </w:rPr>
    </w:lvl>
    <w:lvl w:ilvl="8">
      <w:start w:val="1"/>
      <w:numFmt w:val="decimal"/>
      <w:lvlText w:val="%1.%2.%3.%4.%5.%6.%7.%8.%9"/>
      <w:lvlJc w:val="left"/>
      <w:pPr>
        <w:ind w:left="720" w:hanging="720"/>
      </w:pPr>
      <w:rPr>
        <w:rFonts w:hint="default"/>
      </w:rPr>
    </w:lvl>
  </w:abstractNum>
  <w:abstractNum w:abstractNumId="12" w15:restartNumberingAfterBreak="0">
    <w:nsid w:val="22B40161"/>
    <w:multiLevelType w:val="hybridMultilevel"/>
    <w:tmpl w:val="138E93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7A3615F"/>
    <w:multiLevelType w:val="hybridMultilevel"/>
    <w:tmpl w:val="707C9E6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15:restartNumberingAfterBreak="0">
    <w:nsid w:val="29845A2A"/>
    <w:multiLevelType w:val="hybridMultilevel"/>
    <w:tmpl w:val="92E00B08"/>
    <w:lvl w:ilvl="0" w:tplc="08090001">
      <w:start w:val="1"/>
      <w:numFmt w:val="bullet"/>
      <w:lvlText w:val=""/>
      <w:lvlJc w:val="left"/>
      <w:pPr>
        <w:ind w:left="2308" w:hanging="360"/>
      </w:pPr>
      <w:rPr>
        <w:rFonts w:ascii="Symbol" w:hAnsi="Symbol" w:hint="default"/>
      </w:rPr>
    </w:lvl>
    <w:lvl w:ilvl="1" w:tplc="08090003" w:tentative="1">
      <w:start w:val="1"/>
      <w:numFmt w:val="bullet"/>
      <w:lvlText w:val="o"/>
      <w:lvlJc w:val="left"/>
      <w:pPr>
        <w:ind w:left="3028" w:hanging="360"/>
      </w:pPr>
      <w:rPr>
        <w:rFonts w:ascii="Courier New" w:hAnsi="Courier New" w:cs="Courier New" w:hint="default"/>
      </w:rPr>
    </w:lvl>
    <w:lvl w:ilvl="2" w:tplc="08090005" w:tentative="1">
      <w:start w:val="1"/>
      <w:numFmt w:val="bullet"/>
      <w:lvlText w:val=""/>
      <w:lvlJc w:val="left"/>
      <w:pPr>
        <w:ind w:left="3748" w:hanging="360"/>
      </w:pPr>
      <w:rPr>
        <w:rFonts w:ascii="Wingdings" w:hAnsi="Wingdings" w:hint="default"/>
      </w:rPr>
    </w:lvl>
    <w:lvl w:ilvl="3" w:tplc="08090001" w:tentative="1">
      <w:start w:val="1"/>
      <w:numFmt w:val="bullet"/>
      <w:lvlText w:val=""/>
      <w:lvlJc w:val="left"/>
      <w:pPr>
        <w:ind w:left="4468" w:hanging="360"/>
      </w:pPr>
      <w:rPr>
        <w:rFonts w:ascii="Symbol" w:hAnsi="Symbol" w:hint="default"/>
      </w:rPr>
    </w:lvl>
    <w:lvl w:ilvl="4" w:tplc="08090003" w:tentative="1">
      <w:start w:val="1"/>
      <w:numFmt w:val="bullet"/>
      <w:lvlText w:val="o"/>
      <w:lvlJc w:val="left"/>
      <w:pPr>
        <w:ind w:left="5188" w:hanging="360"/>
      </w:pPr>
      <w:rPr>
        <w:rFonts w:ascii="Courier New" w:hAnsi="Courier New" w:cs="Courier New" w:hint="default"/>
      </w:rPr>
    </w:lvl>
    <w:lvl w:ilvl="5" w:tplc="08090005" w:tentative="1">
      <w:start w:val="1"/>
      <w:numFmt w:val="bullet"/>
      <w:lvlText w:val=""/>
      <w:lvlJc w:val="left"/>
      <w:pPr>
        <w:ind w:left="5908" w:hanging="360"/>
      </w:pPr>
      <w:rPr>
        <w:rFonts w:ascii="Wingdings" w:hAnsi="Wingdings" w:hint="default"/>
      </w:rPr>
    </w:lvl>
    <w:lvl w:ilvl="6" w:tplc="08090001" w:tentative="1">
      <w:start w:val="1"/>
      <w:numFmt w:val="bullet"/>
      <w:lvlText w:val=""/>
      <w:lvlJc w:val="left"/>
      <w:pPr>
        <w:ind w:left="6628" w:hanging="360"/>
      </w:pPr>
      <w:rPr>
        <w:rFonts w:ascii="Symbol" w:hAnsi="Symbol" w:hint="default"/>
      </w:rPr>
    </w:lvl>
    <w:lvl w:ilvl="7" w:tplc="08090003" w:tentative="1">
      <w:start w:val="1"/>
      <w:numFmt w:val="bullet"/>
      <w:lvlText w:val="o"/>
      <w:lvlJc w:val="left"/>
      <w:pPr>
        <w:ind w:left="7348" w:hanging="360"/>
      </w:pPr>
      <w:rPr>
        <w:rFonts w:ascii="Courier New" w:hAnsi="Courier New" w:cs="Courier New" w:hint="default"/>
      </w:rPr>
    </w:lvl>
    <w:lvl w:ilvl="8" w:tplc="08090005" w:tentative="1">
      <w:start w:val="1"/>
      <w:numFmt w:val="bullet"/>
      <w:lvlText w:val=""/>
      <w:lvlJc w:val="left"/>
      <w:pPr>
        <w:ind w:left="8068" w:hanging="360"/>
      </w:pPr>
      <w:rPr>
        <w:rFonts w:ascii="Wingdings" w:hAnsi="Wingdings" w:hint="default"/>
      </w:rPr>
    </w:lvl>
  </w:abstractNum>
  <w:abstractNum w:abstractNumId="15" w15:restartNumberingAfterBreak="0">
    <w:nsid w:val="299443FA"/>
    <w:multiLevelType w:val="hybridMultilevel"/>
    <w:tmpl w:val="29CAA084"/>
    <w:lvl w:ilvl="0" w:tplc="08090001">
      <w:start w:val="1"/>
      <w:numFmt w:val="bullet"/>
      <w:lvlText w:val=""/>
      <w:lvlJc w:val="left"/>
      <w:pPr>
        <w:ind w:left="777" w:hanging="360"/>
      </w:pPr>
      <w:rPr>
        <w:rFonts w:ascii="Symbol" w:hAnsi="Symbol" w:hint="default"/>
      </w:rPr>
    </w:lvl>
    <w:lvl w:ilvl="1" w:tplc="08090003" w:tentative="1">
      <w:start w:val="1"/>
      <w:numFmt w:val="bullet"/>
      <w:lvlText w:val="o"/>
      <w:lvlJc w:val="left"/>
      <w:pPr>
        <w:ind w:left="1497" w:hanging="360"/>
      </w:pPr>
      <w:rPr>
        <w:rFonts w:ascii="Courier New" w:hAnsi="Courier New" w:cs="Courier New" w:hint="default"/>
      </w:rPr>
    </w:lvl>
    <w:lvl w:ilvl="2" w:tplc="08090005" w:tentative="1">
      <w:start w:val="1"/>
      <w:numFmt w:val="bullet"/>
      <w:lvlText w:val=""/>
      <w:lvlJc w:val="left"/>
      <w:pPr>
        <w:ind w:left="2217" w:hanging="360"/>
      </w:pPr>
      <w:rPr>
        <w:rFonts w:ascii="Wingdings" w:hAnsi="Wingdings" w:hint="default"/>
      </w:rPr>
    </w:lvl>
    <w:lvl w:ilvl="3" w:tplc="08090001" w:tentative="1">
      <w:start w:val="1"/>
      <w:numFmt w:val="bullet"/>
      <w:lvlText w:val=""/>
      <w:lvlJc w:val="left"/>
      <w:pPr>
        <w:ind w:left="2937" w:hanging="360"/>
      </w:pPr>
      <w:rPr>
        <w:rFonts w:ascii="Symbol" w:hAnsi="Symbol" w:hint="default"/>
      </w:rPr>
    </w:lvl>
    <w:lvl w:ilvl="4" w:tplc="08090003" w:tentative="1">
      <w:start w:val="1"/>
      <w:numFmt w:val="bullet"/>
      <w:lvlText w:val="o"/>
      <w:lvlJc w:val="left"/>
      <w:pPr>
        <w:ind w:left="3657" w:hanging="360"/>
      </w:pPr>
      <w:rPr>
        <w:rFonts w:ascii="Courier New" w:hAnsi="Courier New" w:cs="Courier New" w:hint="default"/>
      </w:rPr>
    </w:lvl>
    <w:lvl w:ilvl="5" w:tplc="08090005" w:tentative="1">
      <w:start w:val="1"/>
      <w:numFmt w:val="bullet"/>
      <w:lvlText w:val=""/>
      <w:lvlJc w:val="left"/>
      <w:pPr>
        <w:ind w:left="4377" w:hanging="360"/>
      </w:pPr>
      <w:rPr>
        <w:rFonts w:ascii="Wingdings" w:hAnsi="Wingdings" w:hint="default"/>
      </w:rPr>
    </w:lvl>
    <w:lvl w:ilvl="6" w:tplc="08090001" w:tentative="1">
      <w:start w:val="1"/>
      <w:numFmt w:val="bullet"/>
      <w:lvlText w:val=""/>
      <w:lvlJc w:val="left"/>
      <w:pPr>
        <w:ind w:left="5097" w:hanging="360"/>
      </w:pPr>
      <w:rPr>
        <w:rFonts w:ascii="Symbol" w:hAnsi="Symbol" w:hint="default"/>
      </w:rPr>
    </w:lvl>
    <w:lvl w:ilvl="7" w:tplc="08090003" w:tentative="1">
      <w:start w:val="1"/>
      <w:numFmt w:val="bullet"/>
      <w:lvlText w:val="o"/>
      <w:lvlJc w:val="left"/>
      <w:pPr>
        <w:ind w:left="5817" w:hanging="360"/>
      </w:pPr>
      <w:rPr>
        <w:rFonts w:ascii="Courier New" w:hAnsi="Courier New" w:cs="Courier New" w:hint="default"/>
      </w:rPr>
    </w:lvl>
    <w:lvl w:ilvl="8" w:tplc="08090005" w:tentative="1">
      <w:start w:val="1"/>
      <w:numFmt w:val="bullet"/>
      <w:lvlText w:val=""/>
      <w:lvlJc w:val="left"/>
      <w:pPr>
        <w:ind w:left="6537" w:hanging="360"/>
      </w:pPr>
      <w:rPr>
        <w:rFonts w:ascii="Wingdings" w:hAnsi="Wingdings" w:hint="default"/>
      </w:rPr>
    </w:lvl>
  </w:abstractNum>
  <w:abstractNum w:abstractNumId="16" w15:restartNumberingAfterBreak="0">
    <w:nsid w:val="2A123D3D"/>
    <w:multiLevelType w:val="hybridMultilevel"/>
    <w:tmpl w:val="23BC36B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7" w15:restartNumberingAfterBreak="0">
    <w:nsid w:val="30492195"/>
    <w:multiLevelType w:val="hybridMultilevel"/>
    <w:tmpl w:val="1922AF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2A23B18"/>
    <w:multiLevelType w:val="hybridMultilevel"/>
    <w:tmpl w:val="7F882880"/>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3CB2569"/>
    <w:multiLevelType w:val="hybridMultilevel"/>
    <w:tmpl w:val="B700F28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61758FA"/>
    <w:multiLevelType w:val="hybridMultilevel"/>
    <w:tmpl w:val="6F9C16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7520FD4"/>
    <w:multiLevelType w:val="hybridMultilevel"/>
    <w:tmpl w:val="EBE8B4BA"/>
    <w:lvl w:ilvl="0" w:tplc="85E64B88">
      <w:start w:val="3"/>
      <w:numFmt w:val="bullet"/>
      <w:lvlText w:val="-"/>
      <w:lvlJc w:val="left"/>
      <w:pPr>
        <w:ind w:left="720" w:hanging="360"/>
      </w:pPr>
      <w:rPr>
        <w:rFonts w:ascii="Verdana" w:eastAsia="Calibri" w:hAnsi="Verdan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8303658"/>
    <w:multiLevelType w:val="hybridMultilevel"/>
    <w:tmpl w:val="179E66A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3" w15:restartNumberingAfterBreak="0">
    <w:nsid w:val="39FD6633"/>
    <w:multiLevelType w:val="hybridMultilevel"/>
    <w:tmpl w:val="ACE42252"/>
    <w:lvl w:ilvl="0" w:tplc="4C2A581C">
      <w:start w:val="1"/>
      <w:numFmt w:val="decimal"/>
      <w:pStyle w:val="JBANumberedList"/>
      <w:lvlText w:val="%1"/>
      <w:lvlJc w:val="left"/>
      <w:pPr>
        <w:ind w:left="1778"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4" w15:restartNumberingAfterBreak="0">
    <w:nsid w:val="40AF4E00"/>
    <w:multiLevelType w:val="hybridMultilevel"/>
    <w:tmpl w:val="1A36F3FC"/>
    <w:lvl w:ilvl="0" w:tplc="08090001">
      <w:start w:val="1"/>
      <w:numFmt w:val="bullet"/>
      <w:lvlText w:val=""/>
      <w:lvlJc w:val="left"/>
      <w:pPr>
        <w:ind w:left="2308" w:hanging="360"/>
      </w:pPr>
      <w:rPr>
        <w:rFonts w:ascii="Symbol" w:hAnsi="Symbol" w:hint="default"/>
      </w:rPr>
    </w:lvl>
    <w:lvl w:ilvl="1" w:tplc="08090003" w:tentative="1">
      <w:start w:val="1"/>
      <w:numFmt w:val="bullet"/>
      <w:lvlText w:val="o"/>
      <w:lvlJc w:val="left"/>
      <w:pPr>
        <w:ind w:left="3028" w:hanging="360"/>
      </w:pPr>
      <w:rPr>
        <w:rFonts w:ascii="Courier New" w:hAnsi="Courier New" w:cs="Courier New" w:hint="default"/>
      </w:rPr>
    </w:lvl>
    <w:lvl w:ilvl="2" w:tplc="08090005" w:tentative="1">
      <w:start w:val="1"/>
      <w:numFmt w:val="bullet"/>
      <w:lvlText w:val=""/>
      <w:lvlJc w:val="left"/>
      <w:pPr>
        <w:ind w:left="3748" w:hanging="360"/>
      </w:pPr>
      <w:rPr>
        <w:rFonts w:ascii="Wingdings" w:hAnsi="Wingdings" w:hint="default"/>
      </w:rPr>
    </w:lvl>
    <w:lvl w:ilvl="3" w:tplc="08090001" w:tentative="1">
      <w:start w:val="1"/>
      <w:numFmt w:val="bullet"/>
      <w:lvlText w:val=""/>
      <w:lvlJc w:val="left"/>
      <w:pPr>
        <w:ind w:left="4468" w:hanging="360"/>
      </w:pPr>
      <w:rPr>
        <w:rFonts w:ascii="Symbol" w:hAnsi="Symbol" w:hint="default"/>
      </w:rPr>
    </w:lvl>
    <w:lvl w:ilvl="4" w:tplc="08090003" w:tentative="1">
      <w:start w:val="1"/>
      <w:numFmt w:val="bullet"/>
      <w:lvlText w:val="o"/>
      <w:lvlJc w:val="left"/>
      <w:pPr>
        <w:ind w:left="5188" w:hanging="360"/>
      </w:pPr>
      <w:rPr>
        <w:rFonts w:ascii="Courier New" w:hAnsi="Courier New" w:cs="Courier New" w:hint="default"/>
      </w:rPr>
    </w:lvl>
    <w:lvl w:ilvl="5" w:tplc="08090005" w:tentative="1">
      <w:start w:val="1"/>
      <w:numFmt w:val="bullet"/>
      <w:lvlText w:val=""/>
      <w:lvlJc w:val="left"/>
      <w:pPr>
        <w:ind w:left="5908" w:hanging="360"/>
      </w:pPr>
      <w:rPr>
        <w:rFonts w:ascii="Wingdings" w:hAnsi="Wingdings" w:hint="default"/>
      </w:rPr>
    </w:lvl>
    <w:lvl w:ilvl="6" w:tplc="08090001" w:tentative="1">
      <w:start w:val="1"/>
      <w:numFmt w:val="bullet"/>
      <w:lvlText w:val=""/>
      <w:lvlJc w:val="left"/>
      <w:pPr>
        <w:ind w:left="6628" w:hanging="360"/>
      </w:pPr>
      <w:rPr>
        <w:rFonts w:ascii="Symbol" w:hAnsi="Symbol" w:hint="default"/>
      </w:rPr>
    </w:lvl>
    <w:lvl w:ilvl="7" w:tplc="08090003" w:tentative="1">
      <w:start w:val="1"/>
      <w:numFmt w:val="bullet"/>
      <w:lvlText w:val="o"/>
      <w:lvlJc w:val="left"/>
      <w:pPr>
        <w:ind w:left="7348" w:hanging="360"/>
      </w:pPr>
      <w:rPr>
        <w:rFonts w:ascii="Courier New" w:hAnsi="Courier New" w:cs="Courier New" w:hint="default"/>
      </w:rPr>
    </w:lvl>
    <w:lvl w:ilvl="8" w:tplc="08090005" w:tentative="1">
      <w:start w:val="1"/>
      <w:numFmt w:val="bullet"/>
      <w:lvlText w:val=""/>
      <w:lvlJc w:val="left"/>
      <w:pPr>
        <w:ind w:left="8068" w:hanging="360"/>
      </w:pPr>
      <w:rPr>
        <w:rFonts w:ascii="Wingdings" w:hAnsi="Wingdings" w:hint="default"/>
      </w:rPr>
    </w:lvl>
  </w:abstractNum>
  <w:abstractNum w:abstractNumId="25" w15:restartNumberingAfterBreak="0">
    <w:nsid w:val="423418E6"/>
    <w:multiLevelType w:val="multilevel"/>
    <w:tmpl w:val="C9AC5916"/>
    <w:styleLink w:val="JBABulletbluelogo"/>
    <w:lvl w:ilvl="0">
      <w:start w:val="1"/>
      <w:numFmt w:val="bullet"/>
      <w:lvlText w:val=""/>
      <w:lvlPicBulletId w:val="0"/>
      <w:lvlJc w:val="left"/>
      <w:pPr>
        <w:ind w:left="3231" w:hanging="360"/>
      </w:pPr>
      <w:rPr>
        <w:rFonts w:ascii="Symbol" w:hAnsi="Symbol" w:hint="default"/>
        <w:color w:val="auto"/>
      </w:rPr>
    </w:lvl>
    <w:lvl w:ilvl="1">
      <w:start w:val="1"/>
      <w:numFmt w:val="bullet"/>
      <w:lvlText w:val=""/>
      <w:lvlPicBulletId w:val="0"/>
      <w:lvlJc w:val="left"/>
      <w:pPr>
        <w:ind w:left="1440" w:hanging="360"/>
      </w:pPr>
      <w:rPr>
        <w:rFonts w:ascii="Symbol" w:hAnsi="Symbol"/>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4C48350A"/>
    <w:multiLevelType w:val="hybridMultilevel"/>
    <w:tmpl w:val="121AE5F8"/>
    <w:lvl w:ilvl="0" w:tplc="08090001">
      <w:start w:val="1"/>
      <w:numFmt w:val="bullet"/>
      <w:lvlText w:val=""/>
      <w:lvlJc w:val="left"/>
      <w:pPr>
        <w:ind w:left="2308" w:hanging="360"/>
      </w:pPr>
      <w:rPr>
        <w:rFonts w:ascii="Symbol" w:hAnsi="Symbol" w:hint="default"/>
      </w:rPr>
    </w:lvl>
    <w:lvl w:ilvl="1" w:tplc="08090003" w:tentative="1">
      <w:start w:val="1"/>
      <w:numFmt w:val="bullet"/>
      <w:lvlText w:val="o"/>
      <w:lvlJc w:val="left"/>
      <w:pPr>
        <w:ind w:left="3028" w:hanging="360"/>
      </w:pPr>
      <w:rPr>
        <w:rFonts w:ascii="Courier New" w:hAnsi="Courier New" w:cs="Courier New" w:hint="default"/>
      </w:rPr>
    </w:lvl>
    <w:lvl w:ilvl="2" w:tplc="08090005" w:tentative="1">
      <w:start w:val="1"/>
      <w:numFmt w:val="bullet"/>
      <w:lvlText w:val=""/>
      <w:lvlJc w:val="left"/>
      <w:pPr>
        <w:ind w:left="3748" w:hanging="360"/>
      </w:pPr>
      <w:rPr>
        <w:rFonts w:ascii="Wingdings" w:hAnsi="Wingdings" w:hint="default"/>
      </w:rPr>
    </w:lvl>
    <w:lvl w:ilvl="3" w:tplc="08090001" w:tentative="1">
      <w:start w:val="1"/>
      <w:numFmt w:val="bullet"/>
      <w:lvlText w:val=""/>
      <w:lvlJc w:val="left"/>
      <w:pPr>
        <w:ind w:left="4468" w:hanging="360"/>
      </w:pPr>
      <w:rPr>
        <w:rFonts w:ascii="Symbol" w:hAnsi="Symbol" w:hint="default"/>
      </w:rPr>
    </w:lvl>
    <w:lvl w:ilvl="4" w:tplc="08090003" w:tentative="1">
      <w:start w:val="1"/>
      <w:numFmt w:val="bullet"/>
      <w:lvlText w:val="o"/>
      <w:lvlJc w:val="left"/>
      <w:pPr>
        <w:ind w:left="5188" w:hanging="360"/>
      </w:pPr>
      <w:rPr>
        <w:rFonts w:ascii="Courier New" w:hAnsi="Courier New" w:cs="Courier New" w:hint="default"/>
      </w:rPr>
    </w:lvl>
    <w:lvl w:ilvl="5" w:tplc="08090005" w:tentative="1">
      <w:start w:val="1"/>
      <w:numFmt w:val="bullet"/>
      <w:lvlText w:val=""/>
      <w:lvlJc w:val="left"/>
      <w:pPr>
        <w:ind w:left="5908" w:hanging="360"/>
      </w:pPr>
      <w:rPr>
        <w:rFonts w:ascii="Wingdings" w:hAnsi="Wingdings" w:hint="default"/>
      </w:rPr>
    </w:lvl>
    <w:lvl w:ilvl="6" w:tplc="08090001" w:tentative="1">
      <w:start w:val="1"/>
      <w:numFmt w:val="bullet"/>
      <w:lvlText w:val=""/>
      <w:lvlJc w:val="left"/>
      <w:pPr>
        <w:ind w:left="6628" w:hanging="360"/>
      </w:pPr>
      <w:rPr>
        <w:rFonts w:ascii="Symbol" w:hAnsi="Symbol" w:hint="default"/>
      </w:rPr>
    </w:lvl>
    <w:lvl w:ilvl="7" w:tplc="08090003" w:tentative="1">
      <w:start w:val="1"/>
      <w:numFmt w:val="bullet"/>
      <w:lvlText w:val="o"/>
      <w:lvlJc w:val="left"/>
      <w:pPr>
        <w:ind w:left="7348" w:hanging="360"/>
      </w:pPr>
      <w:rPr>
        <w:rFonts w:ascii="Courier New" w:hAnsi="Courier New" w:cs="Courier New" w:hint="default"/>
      </w:rPr>
    </w:lvl>
    <w:lvl w:ilvl="8" w:tplc="08090005" w:tentative="1">
      <w:start w:val="1"/>
      <w:numFmt w:val="bullet"/>
      <w:lvlText w:val=""/>
      <w:lvlJc w:val="left"/>
      <w:pPr>
        <w:ind w:left="8068" w:hanging="360"/>
      </w:pPr>
      <w:rPr>
        <w:rFonts w:ascii="Wingdings" w:hAnsi="Wingdings" w:hint="default"/>
      </w:rPr>
    </w:lvl>
  </w:abstractNum>
  <w:abstractNum w:abstractNumId="27" w15:restartNumberingAfterBreak="0">
    <w:nsid w:val="576D36DE"/>
    <w:multiLevelType w:val="hybridMultilevel"/>
    <w:tmpl w:val="A844C69C"/>
    <w:lvl w:ilvl="0" w:tplc="08090001">
      <w:start w:val="1"/>
      <w:numFmt w:val="bullet"/>
      <w:lvlText w:val=""/>
      <w:lvlJc w:val="left"/>
      <w:pPr>
        <w:ind w:left="2308" w:hanging="360"/>
      </w:pPr>
      <w:rPr>
        <w:rFonts w:ascii="Symbol" w:hAnsi="Symbol" w:hint="default"/>
      </w:rPr>
    </w:lvl>
    <w:lvl w:ilvl="1" w:tplc="08090003" w:tentative="1">
      <w:start w:val="1"/>
      <w:numFmt w:val="bullet"/>
      <w:lvlText w:val="o"/>
      <w:lvlJc w:val="left"/>
      <w:pPr>
        <w:ind w:left="3028" w:hanging="360"/>
      </w:pPr>
      <w:rPr>
        <w:rFonts w:ascii="Courier New" w:hAnsi="Courier New" w:cs="Courier New" w:hint="default"/>
      </w:rPr>
    </w:lvl>
    <w:lvl w:ilvl="2" w:tplc="08090005" w:tentative="1">
      <w:start w:val="1"/>
      <w:numFmt w:val="bullet"/>
      <w:lvlText w:val=""/>
      <w:lvlJc w:val="left"/>
      <w:pPr>
        <w:ind w:left="3748" w:hanging="360"/>
      </w:pPr>
      <w:rPr>
        <w:rFonts w:ascii="Wingdings" w:hAnsi="Wingdings" w:hint="default"/>
      </w:rPr>
    </w:lvl>
    <w:lvl w:ilvl="3" w:tplc="08090001" w:tentative="1">
      <w:start w:val="1"/>
      <w:numFmt w:val="bullet"/>
      <w:lvlText w:val=""/>
      <w:lvlJc w:val="left"/>
      <w:pPr>
        <w:ind w:left="4468" w:hanging="360"/>
      </w:pPr>
      <w:rPr>
        <w:rFonts w:ascii="Symbol" w:hAnsi="Symbol" w:hint="default"/>
      </w:rPr>
    </w:lvl>
    <w:lvl w:ilvl="4" w:tplc="08090003" w:tentative="1">
      <w:start w:val="1"/>
      <w:numFmt w:val="bullet"/>
      <w:lvlText w:val="o"/>
      <w:lvlJc w:val="left"/>
      <w:pPr>
        <w:ind w:left="5188" w:hanging="360"/>
      </w:pPr>
      <w:rPr>
        <w:rFonts w:ascii="Courier New" w:hAnsi="Courier New" w:cs="Courier New" w:hint="default"/>
      </w:rPr>
    </w:lvl>
    <w:lvl w:ilvl="5" w:tplc="08090005" w:tentative="1">
      <w:start w:val="1"/>
      <w:numFmt w:val="bullet"/>
      <w:lvlText w:val=""/>
      <w:lvlJc w:val="left"/>
      <w:pPr>
        <w:ind w:left="5908" w:hanging="360"/>
      </w:pPr>
      <w:rPr>
        <w:rFonts w:ascii="Wingdings" w:hAnsi="Wingdings" w:hint="default"/>
      </w:rPr>
    </w:lvl>
    <w:lvl w:ilvl="6" w:tplc="08090001" w:tentative="1">
      <w:start w:val="1"/>
      <w:numFmt w:val="bullet"/>
      <w:lvlText w:val=""/>
      <w:lvlJc w:val="left"/>
      <w:pPr>
        <w:ind w:left="6628" w:hanging="360"/>
      </w:pPr>
      <w:rPr>
        <w:rFonts w:ascii="Symbol" w:hAnsi="Symbol" w:hint="default"/>
      </w:rPr>
    </w:lvl>
    <w:lvl w:ilvl="7" w:tplc="08090003" w:tentative="1">
      <w:start w:val="1"/>
      <w:numFmt w:val="bullet"/>
      <w:lvlText w:val="o"/>
      <w:lvlJc w:val="left"/>
      <w:pPr>
        <w:ind w:left="7348" w:hanging="360"/>
      </w:pPr>
      <w:rPr>
        <w:rFonts w:ascii="Courier New" w:hAnsi="Courier New" w:cs="Courier New" w:hint="default"/>
      </w:rPr>
    </w:lvl>
    <w:lvl w:ilvl="8" w:tplc="08090005" w:tentative="1">
      <w:start w:val="1"/>
      <w:numFmt w:val="bullet"/>
      <w:lvlText w:val=""/>
      <w:lvlJc w:val="left"/>
      <w:pPr>
        <w:ind w:left="8068" w:hanging="360"/>
      </w:pPr>
      <w:rPr>
        <w:rFonts w:ascii="Wingdings" w:hAnsi="Wingdings" w:hint="default"/>
      </w:rPr>
    </w:lvl>
  </w:abstractNum>
  <w:abstractNum w:abstractNumId="28" w15:restartNumberingAfterBreak="0">
    <w:nsid w:val="5C9C1FFD"/>
    <w:multiLevelType w:val="hybridMultilevel"/>
    <w:tmpl w:val="EBB2CCC0"/>
    <w:lvl w:ilvl="0" w:tplc="08090001">
      <w:start w:val="1"/>
      <w:numFmt w:val="bullet"/>
      <w:lvlText w:val=""/>
      <w:lvlJc w:val="left"/>
      <w:pPr>
        <w:ind w:left="2308" w:hanging="360"/>
      </w:pPr>
      <w:rPr>
        <w:rFonts w:ascii="Symbol" w:hAnsi="Symbol" w:hint="default"/>
      </w:rPr>
    </w:lvl>
    <w:lvl w:ilvl="1" w:tplc="08090003" w:tentative="1">
      <w:start w:val="1"/>
      <w:numFmt w:val="bullet"/>
      <w:lvlText w:val="o"/>
      <w:lvlJc w:val="left"/>
      <w:pPr>
        <w:ind w:left="3028" w:hanging="360"/>
      </w:pPr>
      <w:rPr>
        <w:rFonts w:ascii="Courier New" w:hAnsi="Courier New" w:cs="Courier New" w:hint="default"/>
      </w:rPr>
    </w:lvl>
    <w:lvl w:ilvl="2" w:tplc="08090005" w:tentative="1">
      <w:start w:val="1"/>
      <w:numFmt w:val="bullet"/>
      <w:lvlText w:val=""/>
      <w:lvlJc w:val="left"/>
      <w:pPr>
        <w:ind w:left="3748" w:hanging="360"/>
      </w:pPr>
      <w:rPr>
        <w:rFonts w:ascii="Wingdings" w:hAnsi="Wingdings" w:hint="default"/>
      </w:rPr>
    </w:lvl>
    <w:lvl w:ilvl="3" w:tplc="08090001" w:tentative="1">
      <w:start w:val="1"/>
      <w:numFmt w:val="bullet"/>
      <w:lvlText w:val=""/>
      <w:lvlJc w:val="left"/>
      <w:pPr>
        <w:ind w:left="4468" w:hanging="360"/>
      </w:pPr>
      <w:rPr>
        <w:rFonts w:ascii="Symbol" w:hAnsi="Symbol" w:hint="default"/>
      </w:rPr>
    </w:lvl>
    <w:lvl w:ilvl="4" w:tplc="08090003" w:tentative="1">
      <w:start w:val="1"/>
      <w:numFmt w:val="bullet"/>
      <w:lvlText w:val="o"/>
      <w:lvlJc w:val="left"/>
      <w:pPr>
        <w:ind w:left="5188" w:hanging="360"/>
      </w:pPr>
      <w:rPr>
        <w:rFonts w:ascii="Courier New" w:hAnsi="Courier New" w:cs="Courier New" w:hint="default"/>
      </w:rPr>
    </w:lvl>
    <w:lvl w:ilvl="5" w:tplc="08090005" w:tentative="1">
      <w:start w:val="1"/>
      <w:numFmt w:val="bullet"/>
      <w:lvlText w:val=""/>
      <w:lvlJc w:val="left"/>
      <w:pPr>
        <w:ind w:left="5908" w:hanging="360"/>
      </w:pPr>
      <w:rPr>
        <w:rFonts w:ascii="Wingdings" w:hAnsi="Wingdings" w:hint="default"/>
      </w:rPr>
    </w:lvl>
    <w:lvl w:ilvl="6" w:tplc="08090001" w:tentative="1">
      <w:start w:val="1"/>
      <w:numFmt w:val="bullet"/>
      <w:lvlText w:val=""/>
      <w:lvlJc w:val="left"/>
      <w:pPr>
        <w:ind w:left="6628" w:hanging="360"/>
      </w:pPr>
      <w:rPr>
        <w:rFonts w:ascii="Symbol" w:hAnsi="Symbol" w:hint="default"/>
      </w:rPr>
    </w:lvl>
    <w:lvl w:ilvl="7" w:tplc="08090003" w:tentative="1">
      <w:start w:val="1"/>
      <w:numFmt w:val="bullet"/>
      <w:lvlText w:val="o"/>
      <w:lvlJc w:val="left"/>
      <w:pPr>
        <w:ind w:left="7348" w:hanging="360"/>
      </w:pPr>
      <w:rPr>
        <w:rFonts w:ascii="Courier New" w:hAnsi="Courier New" w:cs="Courier New" w:hint="default"/>
      </w:rPr>
    </w:lvl>
    <w:lvl w:ilvl="8" w:tplc="08090005" w:tentative="1">
      <w:start w:val="1"/>
      <w:numFmt w:val="bullet"/>
      <w:lvlText w:val=""/>
      <w:lvlJc w:val="left"/>
      <w:pPr>
        <w:ind w:left="8068" w:hanging="360"/>
      </w:pPr>
      <w:rPr>
        <w:rFonts w:ascii="Wingdings" w:hAnsi="Wingdings" w:hint="default"/>
      </w:rPr>
    </w:lvl>
  </w:abstractNum>
  <w:abstractNum w:abstractNumId="29" w15:restartNumberingAfterBreak="0">
    <w:nsid w:val="5CE512A0"/>
    <w:multiLevelType w:val="multilevel"/>
    <w:tmpl w:val="3D52C66A"/>
    <w:styleLink w:val="JBANumberedlist0"/>
    <w:lvl w:ilvl="0">
      <w:start w:val="1"/>
      <w:numFmt w:val="decimal"/>
      <w:lvlText w:val="%1."/>
      <w:lvlJc w:val="left"/>
      <w:pPr>
        <w:ind w:left="1440" w:hanging="360"/>
      </w:pPr>
      <w:rPr>
        <w:rFonts w:ascii="Arial" w:hAnsi="Arial"/>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0" w15:restartNumberingAfterBreak="0">
    <w:nsid w:val="61A3751D"/>
    <w:multiLevelType w:val="hybridMultilevel"/>
    <w:tmpl w:val="428675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8CC35B6"/>
    <w:multiLevelType w:val="hybridMultilevel"/>
    <w:tmpl w:val="89B445F0"/>
    <w:lvl w:ilvl="0" w:tplc="08090001">
      <w:start w:val="1"/>
      <w:numFmt w:val="bullet"/>
      <w:lvlText w:val=""/>
      <w:lvlJc w:val="left"/>
      <w:pPr>
        <w:ind w:left="777" w:hanging="360"/>
      </w:pPr>
      <w:rPr>
        <w:rFonts w:ascii="Symbol" w:hAnsi="Symbol" w:hint="default"/>
      </w:rPr>
    </w:lvl>
    <w:lvl w:ilvl="1" w:tplc="08090003" w:tentative="1">
      <w:start w:val="1"/>
      <w:numFmt w:val="bullet"/>
      <w:lvlText w:val="o"/>
      <w:lvlJc w:val="left"/>
      <w:pPr>
        <w:ind w:left="1497" w:hanging="360"/>
      </w:pPr>
      <w:rPr>
        <w:rFonts w:ascii="Courier New" w:hAnsi="Courier New" w:cs="Courier New" w:hint="default"/>
      </w:rPr>
    </w:lvl>
    <w:lvl w:ilvl="2" w:tplc="08090005" w:tentative="1">
      <w:start w:val="1"/>
      <w:numFmt w:val="bullet"/>
      <w:lvlText w:val=""/>
      <w:lvlJc w:val="left"/>
      <w:pPr>
        <w:ind w:left="2217" w:hanging="360"/>
      </w:pPr>
      <w:rPr>
        <w:rFonts w:ascii="Wingdings" w:hAnsi="Wingdings" w:hint="default"/>
      </w:rPr>
    </w:lvl>
    <w:lvl w:ilvl="3" w:tplc="08090001" w:tentative="1">
      <w:start w:val="1"/>
      <w:numFmt w:val="bullet"/>
      <w:lvlText w:val=""/>
      <w:lvlJc w:val="left"/>
      <w:pPr>
        <w:ind w:left="2937" w:hanging="360"/>
      </w:pPr>
      <w:rPr>
        <w:rFonts w:ascii="Symbol" w:hAnsi="Symbol" w:hint="default"/>
      </w:rPr>
    </w:lvl>
    <w:lvl w:ilvl="4" w:tplc="08090003" w:tentative="1">
      <w:start w:val="1"/>
      <w:numFmt w:val="bullet"/>
      <w:lvlText w:val="o"/>
      <w:lvlJc w:val="left"/>
      <w:pPr>
        <w:ind w:left="3657" w:hanging="360"/>
      </w:pPr>
      <w:rPr>
        <w:rFonts w:ascii="Courier New" w:hAnsi="Courier New" w:cs="Courier New" w:hint="default"/>
      </w:rPr>
    </w:lvl>
    <w:lvl w:ilvl="5" w:tplc="08090005" w:tentative="1">
      <w:start w:val="1"/>
      <w:numFmt w:val="bullet"/>
      <w:lvlText w:val=""/>
      <w:lvlJc w:val="left"/>
      <w:pPr>
        <w:ind w:left="4377" w:hanging="360"/>
      </w:pPr>
      <w:rPr>
        <w:rFonts w:ascii="Wingdings" w:hAnsi="Wingdings" w:hint="default"/>
      </w:rPr>
    </w:lvl>
    <w:lvl w:ilvl="6" w:tplc="08090001" w:tentative="1">
      <w:start w:val="1"/>
      <w:numFmt w:val="bullet"/>
      <w:lvlText w:val=""/>
      <w:lvlJc w:val="left"/>
      <w:pPr>
        <w:ind w:left="5097" w:hanging="360"/>
      </w:pPr>
      <w:rPr>
        <w:rFonts w:ascii="Symbol" w:hAnsi="Symbol" w:hint="default"/>
      </w:rPr>
    </w:lvl>
    <w:lvl w:ilvl="7" w:tplc="08090003" w:tentative="1">
      <w:start w:val="1"/>
      <w:numFmt w:val="bullet"/>
      <w:lvlText w:val="o"/>
      <w:lvlJc w:val="left"/>
      <w:pPr>
        <w:ind w:left="5817" w:hanging="360"/>
      </w:pPr>
      <w:rPr>
        <w:rFonts w:ascii="Courier New" w:hAnsi="Courier New" w:cs="Courier New" w:hint="default"/>
      </w:rPr>
    </w:lvl>
    <w:lvl w:ilvl="8" w:tplc="08090005" w:tentative="1">
      <w:start w:val="1"/>
      <w:numFmt w:val="bullet"/>
      <w:lvlText w:val=""/>
      <w:lvlJc w:val="left"/>
      <w:pPr>
        <w:ind w:left="6537" w:hanging="360"/>
      </w:pPr>
      <w:rPr>
        <w:rFonts w:ascii="Wingdings" w:hAnsi="Wingdings" w:hint="default"/>
      </w:rPr>
    </w:lvl>
  </w:abstractNum>
  <w:abstractNum w:abstractNumId="32" w15:restartNumberingAfterBreak="0">
    <w:nsid w:val="6DC901A0"/>
    <w:multiLevelType w:val="multilevel"/>
    <w:tmpl w:val="3F82AD4A"/>
    <w:lvl w:ilvl="0">
      <w:start w:val="1"/>
      <w:numFmt w:val="decimal"/>
      <w:pStyle w:val="Heading1"/>
      <w:lvlText w:val="%1"/>
      <w:lvlJc w:val="left"/>
      <w:pPr>
        <w:ind w:left="1080" w:hanging="360"/>
      </w:pPr>
      <w:rPr>
        <w:rFonts w:hint="default"/>
      </w:rPr>
    </w:lvl>
    <w:lvl w:ilvl="1">
      <w:start w:val="1"/>
      <w:numFmt w:val="decimal"/>
      <w:pStyle w:val="Heading2"/>
      <w:lvlText w:val="%1.%2"/>
      <w:lvlJc w:val="left"/>
      <w:pPr>
        <w:ind w:left="1134" w:hanging="62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1134" w:hanging="624"/>
      </w:pPr>
      <w:rPr>
        <w:rFonts w:hint="default"/>
      </w:rPr>
    </w:lvl>
    <w:lvl w:ilvl="3">
      <w:start w:val="1"/>
      <w:numFmt w:val="decimal"/>
      <w:pStyle w:val="Heading4New"/>
      <w:lvlText w:val="%1.%2.%3.%4"/>
      <w:lvlJc w:val="left"/>
      <w:pPr>
        <w:ind w:left="1134" w:hanging="624"/>
      </w:pPr>
      <w:rPr>
        <w:rFonts w:hint="default"/>
      </w:rPr>
    </w:lvl>
    <w:lvl w:ilvl="4">
      <w:start w:val="1"/>
      <w:numFmt w:val="lowerLetter"/>
      <w:lvlText w:val="%5."/>
      <w:lvlJc w:val="left"/>
      <w:pPr>
        <w:ind w:left="1134" w:hanging="624"/>
      </w:pPr>
      <w:rPr>
        <w:rFonts w:hint="default"/>
      </w:rPr>
    </w:lvl>
    <w:lvl w:ilvl="5">
      <w:start w:val="1"/>
      <w:numFmt w:val="lowerRoman"/>
      <w:lvlText w:val="%6."/>
      <w:lvlJc w:val="right"/>
      <w:pPr>
        <w:ind w:left="1134" w:hanging="624"/>
      </w:pPr>
      <w:rPr>
        <w:rFonts w:hint="default"/>
      </w:rPr>
    </w:lvl>
    <w:lvl w:ilvl="6">
      <w:start w:val="1"/>
      <w:numFmt w:val="decimal"/>
      <w:lvlText w:val="%7."/>
      <w:lvlJc w:val="left"/>
      <w:pPr>
        <w:ind w:left="1134" w:hanging="624"/>
      </w:pPr>
      <w:rPr>
        <w:rFonts w:hint="default"/>
      </w:rPr>
    </w:lvl>
    <w:lvl w:ilvl="7">
      <w:start w:val="1"/>
      <w:numFmt w:val="lowerLetter"/>
      <w:lvlText w:val="%8."/>
      <w:lvlJc w:val="left"/>
      <w:pPr>
        <w:ind w:left="1134" w:hanging="624"/>
      </w:pPr>
      <w:rPr>
        <w:rFonts w:hint="default"/>
      </w:rPr>
    </w:lvl>
    <w:lvl w:ilvl="8">
      <w:start w:val="1"/>
      <w:numFmt w:val="lowerRoman"/>
      <w:lvlText w:val="%9."/>
      <w:lvlJc w:val="right"/>
      <w:pPr>
        <w:ind w:left="1134" w:hanging="624"/>
      </w:pPr>
      <w:rPr>
        <w:rFonts w:hint="default"/>
      </w:rPr>
    </w:lvl>
  </w:abstractNum>
  <w:abstractNum w:abstractNumId="33" w15:restartNumberingAfterBreak="0">
    <w:nsid w:val="77CB7497"/>
    <w:multiLevelType w:val="hybridMultilevel"/>
    <w:tmpl w:val="0DDADCB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4" w15:restartNumberingAfterBreak="0">
    <w:nsid w:val="77FC5641"/>
    <w:multiLevelType w:val="hybridMultilevel"/>
    <w:tmpl w:val="A8AA0AF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5" w15:restartNumberingAfterBreak="0">
    <w:nsid w:val="7A741114"/>
    <w:multiLevelType w:val="hybridMultilevel"/>
    <w:tmpl w:val="40BA7E72"/>
    <w:lvl w:ilvl="0" w:tplc="08090001">
      <w:start w:val="1"/>
      <w:numFmt w:val="bullet"/>
      <w:lvlText w:val=""/>
      <w:lvlJc w:val="left"/>
      <w:pPr>
        <w:ind w:left="2308" w:hanging="360"/>
      </w:pPr>
      <w:rPr>
        <w:rFonts w:ascii="Symbol" w:hAnsi="Symbol" w:hint="default"/>
      </w:rPr>
    </w:lvl>
    <w:lvl w:ilvl="1" w:tplc="08090003" w:tentative="1">
      <w:start w:val="1"/>
      <w:numFmt w:val="bullet"/>
      <w:lvlText w:val="o"/>
      <w:lvlJc w:val="left"/>
      <w:pPr>
        <w:ind w:left="3028" w:hanging="360"/>
      </w:pPr>
      <w:rPr>
        <w:rFonts w:ascii="Courier New" w:hAnsi="Courier New" w:cs="Courier New" w:hint="default"/>
      </w:rPr>
    </w:lvl>
    <w:lvl w:ilvl="2" w:tplc="08090005" w:tentative="1">
      <w:start w:val="1"/>
      <w:numFmt w:val="bullet"/>
      <w:lvlText w:val=""/>
      <w:lvlJc w:val="left"/>
      <w:pPr>
        <w:ind w:left="3748" w:hanging="360"/>
      </w:pPr>
      <w:rPr>
        <w:rFonts w:ascii="Wingdings" w:hAnsi="Wingdings" w:hint="default"/>
      </w:rPr>
    </w:lvl>
    <w:lvl w:ilvl="3" w:tplc="08090001" w:tentative="1">
      <w:start w:val="1"/>
      <w:numFmt w:val="bullet"/>
      <w:lvlText w:val=""/>
      <w:lvlJc w:val="left"/>
      <w:pPr>
        <w:ind w:left="4468" w:hanging="360"/>
      </w:pPr>
      <w:rPr>
        <w:rFonts w:ascii="Symbol" w:hAnsi="Symbol" w:hint="default"/>
      </w:rPr>
    </w:lvl>
    <w:lvl w:ilvl="4" w:tplc="08090003" w:tentative="1">
      <w:start w:val="1"/>
      <w:numFmt w:val="bullet"/>
      <w:lvlText w:val="o"/>
      <w:lvlJc w:val="left"/>
      <w:pPr>
        <w:ind w:left="5188" w:hanging="360"/>
      </w:pPr>
      <w:rPr>
        <w:rFonts w:ascii="Courier New" w:hAnsi="Courier New" w:cs="Courier New" w:hint="default"/>
      </w:rPr>
    </w:lvl>
    <w:lvl w:ilvl="5" w:tplc="08090005" w:tentative="1">
      <w:start w:val="1"/>
      <w:numFmt w:val="bullet"/>
      <w:lvlText w:val=""/>
      <w:lvlJc w:val="left"/>
      <w:pPr>
        <w:ind w:left="5908" w:hanging="360"/>
      </w:pPr>
      <w:rPr>
        <w:rFonts w:ascii="Wingdings" w:hAnsi="Wingdings" w:hint="default"/>
      </w:rPr>
    </w:lvl>
    <w:lvl w:ilvl="6" w:tplc="08090001" w:tentative="1">
      <w:start w:val="1"/>
      <w:numFmt w:val="bullet"/>
      <w:lvlText w:val=""/>
      <w:lvlJc w:val="left"/>
      <w:pPr>
        <w:ind w:left="6628" w:hanging="360"/>
      </w:pPr>
      <w:rPr>
        <w:rFonts w:ascii="Symbol" w:hAnsi="Symbol" w:hint="default"/>
      </w:rPr>
    </w:lvl>
    <w:lvl w:ilvl="7" w:tplc="08090003" w:tentative="1">
      <w:start w:val="1"/>
      <w:numFmt w:val="bullet"/>
      <w:lvlText w:val="o"/>
      <w:lvlJc w:val="left"/>
      <w:pPr>
        <w:ind w:left="7348" w:hanging="360"/>
      </w:pPr>
      <w:rPr>
        <w:rFonts w:ascii="Courier New" w:hAnsi="Courier New" w:cs="Courier New" w:hint="default"/>
      </w:rPr>
    </w:lvl>
    <w:lvl w:ilvl="8" w:tplc="08090005" w:tentative="1">
      <w:start w:val="1"/>
      <w:numFmt w:val="bullet"/>
      <w:lvlText w:val=""/>
      <w:lvlJc w:val="left"/>
      <w:pPr>
        <w:ind w:left="8068" w:hanging="360"/>
      </w:pPr>
      <w:rPr>
        <w:rFonts w:ascii="Wingdings" w:hAnsi="Wingdings" w:hint="default"/>
      </w:rPr>
    </w:lvl>
  </w:abstractNum>
  <w:abstractNum w:abstractNumId="36" w15:restartNumberingAfterBreak="0">
    <w:nsid w:val="7D406294"/>
    <w:multiLevelType w:val="hybridMultilevel"/>
    <w:tmpl w:val="4A667F1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abstractNumId w:val="29"/>
  </w:num>
  <w:num w:numId="2">
    <w:abstractNumId w:val="11"/>
  </w:num>
  <w:num w:numId="3">
    <w:abstractNumId w:val="25"/>
  </w:num>
  <w:num w:numId="4">
    <w:abstractNumId w:val="8"/>
  </w:num>
  <w:num w:numId="5">
    <w:abstractNumId w:val="9"/>
  </w:num>
  <w:num w:numId="6">
    <w:abstractNumId w:val="2"/>
  </w:num>
  <w:num w:numId="7">
    <w:abstractNumId w:val="32"/>
  </w:num>
  <w:num w:numId="8">
    <w:abstractNumId w:val="23"/>
  </w:num>
  <w:num w:numId="9">
    <w:abstractNumId w:val="14"/>
  </w:num>
  <w:num w:numId="10">
    <w:abstractNumId w:val="10"/>
  </w:num>
  <w:num w:numId="11">
    <w:abstractNumId w:val="31"/>
  </w:num>
  <w:num w:numId="12">
    <w:abstractNumId w:val="15"/>
  </w:num>
  <w:num w:numId="13">
    <w:abstractNumId w:val="36"/>
  </w:num>
  <w:num w:numId="14">
    <w:abstractNumId w:val="7"/>
  </w:num>
  <w:num w:numId="15">
    <w:abstractNumId w:val="12"/>
  </w:num>
  <w:num w:numId="16">
    <w:abstractNumId w:val="20"/>
  </w:num>
  <w:num w:numId="17">
    <w:abstractNumId w:val="5"/>
  </w:num>
  <w:num w:numId="18">
    <w:abstractNumId w:val="21"/>
  </w:num>
  <w:num w:numId="19">
    <w:abstractNumId w:val="17"/>
  </w:num>
  <w:num w:numId="20">
    <w:abstractNumId w:val="24"/>
  </w:num>
  <w:num w:numId="21">
    <w:abstractNumId w:val="35"/>
  </w:num>
  <w:num w:numId="22">
    <w:abstractNumId w:val="1"/>
  </w:num>
  <w:num w:numId="23">
    <w:abstractNumId w:val="16"/>
  </w:num>
  <w:num w:numId="24">
    <w:abstractNumId w:val="0"/>
  </w:num>
  <w:num w:numId="25">
    <w:abstractNumId w:val="4"/>
  </w:num>
  <w:num w:numId="26">
    <w:abstractNumId w:val="28"/>
  </w:num>
  <w:num w:numId="27">
    <w:abstractNumId w:val="27"/>
  </w:num>
  <w:num w:numId="28">
    <w:abstractNumId w:val="26"/>
  </w:num>
  <w:num w:numId="29">
    <w:abstractNumId w:val="22"/>
  </w:num>
  <w:num w:numId="30">
    <w:abstractNumId w:val="34"/>
  </w:num>
  <w:num w:numId="31">
    <w:abstractNumId w:val="33"/>
  </w:num>
  <w:num w:numId="32">
    <w:abstractNumId w:val="19"/>
  </w:num>
  <w:num w:numId="33">
    <w:abstractNumId w:val="18"/>
  </w:num>
  <w:num w:numId="34">
    <w:abstractNumId w:val="3"/>
  </w:num>
  <w:num w:numId="35">
    <w:abstractNumId w:val="30"/>
  </w:num>
  <w:num w:numId="36">
    <w:abstractNumId w:val="13"/>
  </w:num>
  <w:num w:numId="37">
    <w:abstractNumId w:val="6"/>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ocumentProtection w:formatting="1" w:enforcement="0"/>
  <w:autoFormatOverride/>
  <w:styleLockQFSet/>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tzQ2NDIzNTc1sTA2MDdS0lEKTi0uzszPAykwNK8FALjeiSUtAAAA"/>
  </w:docVars>
  <w:rsids>
    <w:rsidRoot w:val="00FD08D4"/>
    <w:rsid w:val="0000109E"/>
    <w:rsid w:val="0000149A"/>
    <w:rsid w:val="000024CA"/>
    <w:rsid w:val="00002AC9"/>
    <w:rsid w:val="000039C9"/>
    <w:rsid w:val="000044E4"/>
    <w:rsid w:val="00004661"/>
    <w:rsid w:val="000059BE"/>
    <w:rsid w:val="00005BF7"/>
    <w:rsid w:val="0000656E"/>
    <w:rsid w:val="00006C53"/>
    <w:rsid w:val="0000777E"/>
    <w:rsid w:val="00007BB3"/>
    <w:rsid w:val="00007C3C"/>
    <w:rsid w:val="00007E60"/>
    <w:rsid w:val="000104E1"/>
    <w:rsid w:val="00010689"/>
    <w:rsid w:val="0001085E"/>
    <w:rsid w:val="00010EE9"/>
    <w:rsid w:val="0001279D"/>
    <w:rsid w:val="00013264"/>
    <w:rsid w:val="000140E6"/>
    <w:rsid w:val="00015283"/>
    <w:rsid w:val="00015466"/>
    <w:rsid w:val="0001562A"/>
    <w:rsid w:val="0001747C"/>
    <w:rsid w:val="000174A9"/>
    <w:rsid w:val="00020466"/>
    <w:rsid w:val="00020E30"/>
    <w:rsid w:val="0002275E"/>
    <w:rsid w:val="000229ED"/>
    <w:rsid w:val="000232E1"/>
    <w:rsid w:val="00024965"/>
    <w:rsid w:val="00024D1C"/>
    <w:rsid w:val="0002564B"/>
    <w:rsid w:val="000274DD"/>
    <w:rsid w:val="000278BC"/>
    <w:rsid w:val="00027A13"/>
    <w:rsid w:val="00027C44"/>
    <w:rsid w:val="00027CDE"/>
    <w:rsid w:val="000302A2"/>
    <w:rsid w:val="00030C79"/>
    <w:rsid w:val="000314C2"/>
    <w:rsid w:val="000315D1"/>
    <w:rsid w:val="00031E52"/>
    <w:rsid w:val="00032902"/>
    <w:rsid w:val="00032F32"/>
    <w:rsid w:val="000335F8"/>
    <w:rsid w:val="00033E7D"/>
    <w:rsid w:val="00034331"/>
    <w:rsid w:val="00034681"/>
    <w:rsid w:val="000351E5"/>
    <w:rsid w:val="00035727"/>
    <w:rsid w:val="0003632F"/>
    <w:rsid w:val="000364D0"/>
    <w:rsid w:val="00036C23"/>
    <w:rsid w:val="00040254"/>
    <w:rsid w:val="000414AE"/>
    <w:rsid w:val="000416DD"/>
    <w:rsid w:val="00043657"/>
    <w:rsid w:val="00043B6B"/>
    <w:rsid w:val="00043EC8"/>
    <w:rsid w:val="00044763"/>
    <w:rsid w:val="00044C31"/>
    <w:rsid w:val="000452E9"/>
    <w:rsid w:val="00046334"/>
    <w:rsid w:val="000464F2"/>
    <w:rsid w:val="0004780D"/>
    <w:rsid w:val="00047F3B"/>
    <w:rsid w:val="0005054E"/>
    <w:rsid w:val="000508CB"/>
    <w:rsid w:val="00050F04"/>
    <w:rsid w:val="00051D13"/>
    <w:rsid w:val="000521E7"/>
    <w:rsid w:val="00052546"/>
    <w:rsid w:val="0005326C"/>
    <w:rsid w:val="000551B1"/>
    <w:rsid w:val="00055235"/>
    <w:rsid w:val="0005695B"/>
    <w:rsid w:val="00056BA4"/>
    <w:rsid w:val="0005700F"/>
    <w:rsid w:val="000572B9"/>
    <w:rsid w:val="000601C5"/>
    <w:rsid w:val="00060755"/>
    <w:rsid w:val="00060D38"/>
    <w:rsid w:val="0006157A"/>
    <w:rsid w:val="00062968"/>
    <w:rsid w:val="00063434"/>
    <w:rsid w:val="00063915"/>
    <w:rsid w:val="00064647"/>
    <w:rsid w:val="00064807"/>
    <w:rsid w:val="00065255"/>
    <w:rsid w:val="000660C9"/>
    <w:rsid w:val="000712BF"/>
    <w:rsid w:val="000720D8"/>
    <w:rsid w:val="0007269B"/>
    <w:rsid w:val="00073A8C"/>
    <w:rsid w:val="00073C46"/>
    <w:rsid w:val="00073E1C"/>
    <w:rsid w:val="000740F8"/>
    <w:rsid w:val="0007411A"/>
    <w:rsid w:val="00074678"/>
    <w:rsid w:val="00075025"/>
    <w:rsid w:val="000752C5"/>
    <w:rsid w:val="000754A3"/>
    <w:rsid w:val="00075F24"/>
    <w:rsid w:val="000761A2"/>
    <w:rsid w:val="00076FB5"/>
    <w:rsid w:val="00077D68"/>
    <w:rsid w:val="00080735"/>
    <w:rsid w:val="00081849"/>
    <w:rsid w:val="00081A13"/>
    <w:rsid w:val="00082764"/>
    <w:rsid w:val="00082A61"/>
    <w:rsid w:val="00082C05"/>
    <w:rsid w:val="000834E2"/>
    <w:rsid w:val="000836F2"/>
    <w:rsid w:val="000837F2"/>
    <w:rsid w:val="00084044"/>
    <w:rsid w:val="000844E1"/>
    <w:rsid w:val="0008453C"/>
    <w:rsid w:val="00084F2D"/>
    <w:rsid w:val="000851D1"/>
    <w:rsid w:val="00085AEF"/>
    <w:rsid w:val="00085BEE"/>
    <w:rsid w:val="0008668F"/>
    <w:rsid w:val="00087AFC"/>
    <w:rsid w:val="000904B9"/>
    <w:rsid w:val="00090727"/>
    <w:rsid w:val="00090F48"/>
    <w:rsid w:val="00090F6B"/>
    <w:rsid w:val="000921A8"/>
    <w:rsid w:val="00092454"/>
    <w:rsid w:val="00092755"/>
    <w:rsid w:val="00092F53"/>
    <w:rsid w:val="00093214"/>
    <w:rsid w:val="0009476F"/>
    <w:rsid w:val="000947D5"/>
    <w:rsid w:val="00094B8C"/>
    <w:rsid w:val="000951AB"/>
    <w:rsid w:val="00096AC6"/>
    <w:rsid w:val="000979F1"/>
    <w:rsid w:val="00097CEF"/>
    <w:rsid w:val="000A0249"/>
    <w:rsid w:val="000A05D5"/>
    <w:rsid w:val="000A078D"/>
    <w:rsid w:val="000A0AE1"/>
    <w:rsid w:val="000A2451"/>
    <w:rsid w:val="000A272F"/>
    <w:rsid w:val="000A30E9"/>
    <w:rsid w:val="000A30F2"/>
    <w:rsid w:val="000A3A74"/>
    <w:rsid w:val="000A3C66"/>
    <w:rsid w:val="000A3DF6"/>
    <w:rsid w:val="000A4B5B"/>
    <w:rsid w:val="000A4F1C"/>
    <w:rsid w:val="000A509C"/>
    <w:rsid w:val="000A5832"/>
    <w:rsid w:val="000A5A5A"/>
    <w:rsid w:val="000A5BE4"/>
    <w:rsid w:val="000A5D34"/>
    <w:rsid w:val="000A5E6A"/>
    <w:rsid w:val="000A7844"/>
    <w:rsid w:val="000B0B78"/>
    <w:rsid w:val="000B21BB"/>
    <w:rsid w:val="000B3863"/>
    <w:rsid w:val="000B40D8"/>
    <w:rsid w:val="000B4C72"/>
    <w:rsid w:val="000B5A7E"/>
    <w:rsid w:val="000B61B1"/>
    <w:rsid w:val="000B73DA"/>
    <w:rsid w:val="000B784F"/>
    <w:rsid w:val="000B7CA7"/>
    <w:rsid w:val="000C0D8A"/>
    <w:rsid w:val="000C1C4E"/>
    <w:rsid w:val="000C2315"/>
    <w:rsid w:val="000C2C47"/>
    <w:rsid w:val="000C37B0"/>
    <w:rsid w:val="000C3BE0"/>
    <w:rsid w:val="000C421B"/>
    <w:rsid w:val="000C44C9"/>
    <w:rsid w:val="000C4BFA"/>
    <w:rsid w:val="000C4D12"/>
    <w:rsid w:val="000C4DAD"/>
    <w:rsid w:val="000C4F00"/>
    <w:rsid w:val="000C5767"/>
    <w:rsid w:val="000C5972"/>
    <w:rsid w:val="000C5A9F"/>
    <w:rsid w:val="000C6567"/>
    <w:rsid w:val="000D0167"/>
    <w:rsid w:val="000D0272"/>
    <w:rsid w:val="000D0466"/>
    <w:rsid w:val="000D08D8"/>
    <w:rsid w:val="000D1B48"/>
    <w:rsid w:val="000D1B78"/>
    <w:rsid w:val="000D1BFF"/>
    <w:rsid w:val="000D1DE6"/>
    <w:rsid w:val="000D1E2D"/>
    <w:rsid w:val="000D31BC"/>
    <w:rsid w:val="000D32B6"/>
    <w:rsid w:val="000D392C"/>
    <w:rsid w:val="000D421C"/>
    <w:rsid w:val="000D4236"/>
    <w:rsid w:val="000D4373"/>
    <w:rsid w:val="000D4E8D"/>
    <w:rsid w:val="000D5C28"/>
    <w:rsid w:val="000D6D5B"/>
    <w:rsid w:val="000E0A3A"/>
    <w:rsid w:val="000E0AC5"/>
    <w:rsid w:val="000E2109"/>
    <w:rsid w:val="000E3E00"/>
    <w:rsid w:val="000E4ACB"/>
    <w:rsid w:val="000E5166"/>
    <w:rsid w:val="000E5305"/>
    <w:rsid w:val="000E54E7"/>
    <w:rsid w:val="000E65B9"/>
    <w:rsid w:val="000E792B"/>
    <w:rsid w:val="000F0065"/>
    <w:rsid w:val="000F00FF"/>
    <w:rsid w:val="000F0CA8"/>
    <w:rsid w:val="000F0DF1"/>
    <w:rsid w:val="000F10FE"/>
    <w:rsid w:val="000F1476"/>
    <w:rsid w:val="000F31AA"/>
    <w:rsid w:val="000F3A43"/>
    <w:rsid w:val="000F3A53"/>
    <w:rsid w:val="000F4160"/>
    <w:rsid w:val="000F44BA"/>
    <w:rsid w:val="001000FB"/>
    <w:rsid w:val="001007EF"/>
    <w:rsid w:val="001008B8"/>
    <w:rsid w:val="001009F4"/>
    <w:rsid w:val="00100B13"/>
    <w:rsid w:val="00100F19"/>
    <w:rsid w:val="001011F0"/>
    <w:rsid w:val="001016DB"/>
    <w:rsid w:val="00101B25"/>
    <w:rsid w:val="00102341"/>
    <w:rsid w:val="00102483"/>
    <w:rsid w:val="00103680"/>
    <w:rsid w:val="0010371A"/>
    <w:rsid w:val="00103CF6"/>
    <w:rsid w:val="00105204"/>
    <w:rsid w:val="00105CAA"/>
    <w:rsid w:val="00106B81"/>
    <w:rsid w:val="00106F11"/>
    <w:rsid w:val="00107A38"/>
    <w:rsid w:val="00110115"/>
    <w:rsid w:val="001106BC"/>
    <w:rsid w:val="001108B6"/>
    <w:rsid w:val="00110B61"/>
    <w:rsid w:val="00110BD1"/>
    <w:rsid w:val="001114FD"/>
    <w:rsid w:val="001116BA"/>
    <w:rsid w:val="001116C9"/>
    <w:rsid w:val="001118C1"/>
    <w:rsid w:val="001123B1"/>
    <w:rsid w:val="00113871"/>
    <w:rsid w:val="00113F4A"/>
    <w:rsid w:val="00114822"/>
    <w:rsid w:val="00115948"/>
    <w:rsid w:val="001160FB"/>
    <w:rsid w:val="0011615E"/>
    <w:rsid w:val="00116D2B"/>
    <w:rsid w:val="001177E9"/>
    <w:rsid w:val="00121E39"/>
    <w:rsid w:val="00122014"/>
    <w:rsid w:val="001220E2"/>
    <w:rsid w:val="0012282F"/>
    <w:rsid w:val="00122A74"/>
    <w:rsid w:val="00123DDB"/>
    <w:rsid w:val="00125033"/>
    <w:rsid w:val="00125132"/>
    <w:rsid w:val="001253D8"/>
    <w:rsid w:val="00125F2E"/>
    <w:rsid w:val="0012644B"/>
    <w:rsid w:val="0012702A"/>
    <w:rsid w:val="00127239"/>
    <w:rsid w:val="00127255"/>
    <w:rsid w:val="00127344"/>
    <w:rsid w:val="00127A3B"/>
    <w:rsid w:val="00127FDC"/>
    <w:rsid w:val="00130D3E"/>
    <w:rsid w:val="001325A9"/>
    <w:rsid w:val="00132853"/>
    <w:rsid w:val="00133C5C"/>
    <w:rsid w:val="00134775"/>
    <w:rsid w:val="00135071"/>
    <w:rsid w:val="00135B3A"/>
    <w:rsid w:val="001364E2"/>
    <w:rsid w:val="00136730"/>
    <w:rsid w:val="001369B9"/>
    <w:rsid w:val="00136BA1"/>
    <w:rsid w:val="00136BD2"/>
    <w:rsid w:val="00136C67"/>
    <w:rsid w:val="00140B65"/>
    <w:rsid w:val="00140BEE"/>
    <w:rsid w:val="00142B1D"/>
    <w:rsid w:val="00142D46"/>
    <w:rsid w:val="00142FD0"/>
    <w:rsid w:val="0014326C"/>
    <w:rsid w:val="00143492"/>
    <w:rsid w:val="00143557"/>
    <w:rsid w:val="00145BC1"/>
    <w:rsid w:val="00145F0A"/>
    <w:rsid w:val="0014632E"/>
    <w:rsid w:val="0014744B"/>
    <w:rsid w:val="00150566"/>
    <w:rsid w:val="001511E9"/>
    <w:rsid w:val="00151EA4"/>
    <w:rsid w:val="00153016"/>
    <w:rsid w:val="00153EE2"/>
    <w:rsid w:val="00154064"/>
    <w:rsid w:val="00154D41"/>
    <w:rsid w:val="0015578E"/>
    <w:rsid w:val="00155CEC"/>
    <w:rsid w:val="00156235"/>
    <w:rsid w:val="00157779"/>
    <w:rsid w:val="001579D0"/>
    <w:rsid w:val="001606EA"/>
    <w:rsid w:val="001610D2"/>
    <w:rsid w:val="001613C8"/>
    <w:rsid w:val="00161837"/>
    <w:rsid w:val="00161D71"/>
    <w:rsid w:val="00161E56"/>
    <w:rsid w:val="00162CC6"/>
    <w:rsid w:val="00163BA4"/>
    <w:rsid w:val="00163CA8"/>
    <w:rsid w:val="0016482B"/>
    <w:rsid w:val="001650F5"/>
    <w:rsid w:val="00165799"/>
    <w:rsid w:val="00165870"/>
    <w:rsid w:val="001663EA"/>
    <w:rsid w:val="001670A8"/>
    <w:rsid w:val="00167DA0"/>
    <w:rsid w:val="00170E52"/>
    <w:rsid w:val="00171974"/>
    <w:rsid w:val="00171A7E"/>
    <w:rsid w:val="00171FC7"/>
    <w:rsid w:val="0017231D"/>
    <w:rsid w:val="00173DB7"/>
    <w:rsid w:val="00174130"/>
    <w:rsid w:val="001762A3"/>
    <w:rsid w:val="001769E7"/>
    <w:rsid w:val="00176A59"/>
    <w:rsid w:val="00177241"/>
    <w:rsid w:val="001801F4"/>
    <w:rsid w:val="00180CA2"/>
    <w:rsid w:val="00181E22"/>
    <w:rsid w:val="0018224B"/>
    <w:rsid w:val="00182A5B"/>
    <w:rsid w:val="00183337"/>
    <w:rsid w:val="001833B8"/>
    <w:rsid w:val="00183AEB"/>
    <w:rsid w:val="00183AF3"/>
    <w:rsid w:val="00185113"/>
    <w:rsid w:val="0018522A"/>
    <w:rsid w:val="00185A34"/>
    <w:rsid w:val="00185D1D"/>
    <w:rsid w:val="00185EA5"/>
    <w:rsid w:val="00190889"/>
    <w:rsid w:val="00190F27"/>
    <w:rsid w:val="00191780"/>
    <w:rsid w:val="00191A3A"/>
    <w:rsid w:val="00191F3B"/>
    <w:rsid w:val="0019219B"/>
    <w:rsid w:val="00192BF6"/>
    <w:rsid w:val="0019315E"/>
    <w:rsid w:val="00193F31"/>
    <w:rsid w:val="0019460D"/>
    <w:rsid w:val="0019647E"/>
    <w:rsid w:val="00196B36"/>
    <w:rsid w:val="00196DAA"/>
    <w:rsid w:val="00197450"/>
    <w:rsid w:val="00197716"/>
    <w:rsid w:val="00197ECC"/>
    <w:rsid w:val="001A133E"/>
    <w:rsid w:val="001A2D13"/>
    <w:rsid w:val="001A411C"/>
    <w:rsid w:val="001A4382"/>
    <w:rsid w:val="001A4461"/>
    <w:rsid w:val="001A4B82"/>
    <w:rsid w:val="001A536E"/>
    <w:rsid w:val="001A58EF"/>
    <w:rsid w:val="001A6944"/>
    <w:rsid w:val="001A7105"/>
    <w:rsid w:val="001A771C"/>
    <w:rsid w:val="001B128E"/>
    <w:rsid w:val="001B1E9D"/>
    <w:rsid w:val="001B2161"/>
    <w:rsid w:val="001B2879"/>
    <w:rsid w:val="001B3BC3"/>
    <w:rsid w:val="001B45F5"/>
    <w:rsid w:val="001B5515"/>
    <w:rsid w:val="001B55EB"/>
    <w:rsid w:val="001B6731"/>
    <w:rsid w:val="001B7015"/>
    <w:rsid w:val="001B7663"/>
    <w:rsid w:val="001C0267"/>
    <w:rsid w:val="001C02E8"/>
    <w:rsid w:val="001C0CE1"/>
    <w:rsid w:val="001C14A4"/>
    <w:rsid w:val="001C1C84"/>
    <w:rsid w:val="001C2834"/>
    <w:rsid w:val="001C2BDF"/>
    <w:rsid w:val="001C3195"/>
    <w:rsid w:val="001C34B8"/>
    <w:rsid w:val="001C36E2"/>
    <w:rsid w:val="001C374F"/>
    <w:rsid w:val="001C3800"/>
    <w:rsid w:val="001C38B3"/>
    <w:rsid w:val="001C40B7"/>
    <w:rsid w:val="001C45F3"/>
    <w:rsid w:val="001C4DC3"/>
    <w:rsid w:val="001C5408"/>
    <w:rsid w:val="001C5792"/>
    <w:rsid w:val="001C6651"/>
    <w:rsid w:val="001C6984"/>
    <w:rsid w:val="001C7D9E"/>
    <w:rsid w:val="001D0031"/>
    <w:rsid w:val="001D013F"/>
    <w:rsid w:val="001D10DB"/>
    <w:rsid w:val="001D1217"/>
    <w:rsid w:val="001D12A7"/>
    <w:rsid w:val="001D19D3"/>
    <w:rsid w:val="001D1B81"/>
    <w:rsid w:val="001D1E05"/>
    <w:rsid w:val="001D3459"/>
    <w:rsid w:val="001D368F"/>
    <w:rsid w:val="001D5311"/>
    <w:rsid w:val="001D5875"/>
    <w:rsid w:val="001D69F1"/>
    <w:rsid w:val="001D78D9"/>
    <w:rsid w:val="001D7BCF"/>
    <w:rsid w:val="001E0053"/>
    <w:rsid w:val="001E12CD"/>
    <w:rsid w:val="001E1CA6"/>
    <w:rsid w:val="001E2331"/>
    <w:rsid w:val="001E29ED"/>
    <w:rsid w:val="001E2A48"/>
    <w:rsid w:val="001E2DC9"/>
    <w:rsid w:val="001E31F3"/>
    <w:rsid w:val="001E3463"/>
    <w:rsid w:val="001E36C8"/>
    <w:rsid w:val="001E43A2"/>
    <w:rsid w:val="001E4F55"/>
    <w:rsid w:val="001E4FB8"/>
    <w:rsid w:val="001E527E"/>
    <w:rsid w:val="001E54B9"/>
    <w:rsid w:val="001E58F5"/>
    <w:rsid w:val="001E5C49"/>
    <w:rsid w:val="001E6219"/>
    <w:rsid w:val="001E7843"/>
    <w:rsid w:val="001F006E"/>
    <w:rsid w:val="001F0250"/>
    <w:rsid w:val="001F21A8"/>
    <w:rsid w:val="001F2389"/>
    <w:rsid w:val="001F315C"/>
    <w:rsid w:val="001F3D21"/>
    <w:rsid w:val="001F3DD0"/>
    <w:rsid w:val="001F3E2F"/>
    <w:rsid w:val="001F469A"/>
    <w:rsid w:val="001F49C7"/>
    <w:rsid w:val="001F58D2"/>
    <w:rsid w:val="001F5F6B"/>
    <w:rsid w:val="001F6E42"/>
    <w:rsid w:val="001F7343"/>
    <w:rsid w:val="001F7C98"/>
    <w:rsid w:val="00200572"/>
    <w:rsid w:val="00201073"/>
    <w:rsid w:val="00201354"/>
    <w:rsid w:val="00202BC8"/>
    <w:rsid w:val="00203B2E"/>
    <w:rsid w:val="00203DCE"/>
    <w:rsid w:val="002047DB"/>
    <w:rsid w:val="0020500C"/>
    <w:rsid w:val="002067F5"/>
    <w:rsid w:val="00206E96"/>
    <w:rsid w:val="00207570"/>
    <w:rsid w:val="00210029"/>
    <w:rsid w:val="00212664"/>
    <w:rsid w:val="00213373"/>
    <w:rsid w:val="0021347F"/>
    <w:rsid w:val="00213701"/>
    <w:rsid w:val="00213E22"/>
    <w:rsid w:val="002147F1"/>
    <w:rsid w:val="00215CCD"/>
    <w:rsid w:val="00215D41"/>
    <w:rsid w:val="0021615F"/>
    <w:rsid w:val="0021702B"/>
    <w:rsid w:val="00217307"/>
    <w:rsid w:val="00220A74"/>
    <w:rsid w:val="00221003"/>
    <w:rsid w:val="00221375"/>
    <w:rsid w:val="00221DF3"/>
    <w:rsid w:val="00222702"/>
    <w:rsid w:val="00222DC1"/>
    <w:rsid w:val="00222F7A"/>
    <w:rsid w:val="00223A29"/>
    <w:rsid w:val="00223DD0"/>
    <w:rsid w:val="002242B4"/>
    <w:rsid w:val="0022508C"/>
    <w:rsid w:val="00226880"/>
    <w:rsid w:val="00230F74"/>
    <w:rsid w:val="002323EF"/>
    <w:rsid w:val="0023274F"/>
    <w:rsid w:val="00232BDA"/>
    <w:rsid w:val="00233272"/>
    <w:rsid w:val="00233336"/>
    <w:rsid w:val="002339A2"/>
    <w:rsid w:val="00234131"/>
    <w:rsid w:val="00234F11"/>
    <w:rsid w:val="002358D4"/>
    <w:rsid w:val="00235C64"/>
    <w:rsid w:val="00235CD1"/>
    <w:rsid w:val="00236BDE"/>
    <w:rsid w:val="002377F5"/>
    <w:rsid w:val="00241B37"/>
    <w:rsid w:val="002430F4"/>
    <w:rsid w:val="0024362B"/>
    <w:rsid w:val="00243E83"/>
    <w:rsid w:val="00244198"/>
    <w:rsid w:val="0024421F"/>
    <w:rsid w:val="0024453A"/>
    <w:rsid w:val="002445A9"/>
    <w:rsid w:val="002449D0"/>
    <w:rsid w:val="00245067"/>
    <w:rsid w:val="002455EF"/>
    <w:rsid w:val="002461AB"/>
    <w:rsid w:val="0024622D"/>
    <w:rsid w:val="00247EA1"/>
    <w:rsid w:val="00250301"/>
    <w:rsid w:val="00251191"/>
    <w:rsid w:val="002518CB"/>
    <w:rsid w:val="00252944"/>
    <w:rsid w:val="00252B11"/>
    <w:rsid w:val="002541BB"/>
    <w:rsid w:val="00254577"/>
    <w:rsid w:val="002546A6"/>
    <w:rsid w:val="00254CF0"/>
    <w:rsid w:val="002604FC"/>
    <w:rsid w:val="00260697"/>
    <w:rsid w:val="002610AC"/>
    <w:rsid w:val="00262517"/>
    <w:rsid w:val="00263906"/>
    <w:rsid w:val="002646F6"/>
    <w:rsid w:val="00267868"/>
    <w:rsid w:val="00270590"/>
    <w:rsid w:val="002717C9"/>
    <w:rsid w:val="002719B0"/>
    <w:rsid w:val="0027284D"/>
    <w:rsid w:val="002739EA"/>
    <w:rsid w:val="0027414E"/>
    <w:rsid w:val="002746CB"/>
    <w:rsid w:val="00275D55"/>
    <w:rsid w:val="00277052"/>
    <w:rsid w:val="00280281"/>
    <w:rsid w:val="00280293"/>
    <w:rsid w:val="00280B64"/>
    <w:rsid w:val="00280BD5"/>
    <w:rsid w:val="00282299"/>
    <w:rsid w:val="002823D9"/>
    <w:rsid w:val="00283515"/>
    <w:rsid w:val="00283C74"/>
    <w:rsid w:val="00283E13"/>
    <w:rsid w:val="00285E5E"/>
    <w:rsid w:val="00286F81"/>
    <w:rsid w:val="002876C5"/>
    <w:rsid w:val="002877FE"/>
    <w:rsid w:val="0029036F"/>
    <w:rsid w:val="0029079F"/>
    <w:rsid w:val="00290AB6"/>
    <w:rsid w:val="00290CB4"/>
    <w:rsid w:val="0029106F"/>
    <w:rsid w:val="002911E5"/>
    <w:rsid w:val="00292E13"/>
    <w:rsid w:val="00293358"/>
    <w:rsid w:val="00293852"/>
    <w:rsid w:val="002942F2"/>
    <w:rsid w:val="00294A49"/>
    <w:rsid w:val="002953BA"/>
    <w:rsid w:val="0029552C"/>
    <w:rsid w:val="00296512"/>
    <w:rsid w:val="00296E1F"/>
    <w:rsid w:val="00297AFA"/>
    <w:rsid w:val="00297B05"/>
    <w:rsid w:val="002A00C6"/>
    <w:rsid w:val="002A1E68"/>
    <w:rsid w:val="002A2A91"/>
    <w:rsid w:val="002A3320"/>
    <w:rsid w:val="002A4B79"/>
    <w:rsid w:val="002A5B75"/>
    <w:rsid w:val="002A6119"/>
    <w:rsid w:val="002A6B0E"/>
    <w:rsid w:val="002A6D32"/>
    <w:rsid w:val="002B0A81"/>
    <w:rsid w:val="002B1345"/>
    <w:rsid w:val="002B15CC"/>
    <w:rsid w:val="002B1939"/>
    <w:rsid w:val="002B3763"/>
    <w:rsid w:val="002B4E99"/>
    <w:rsid w:val="002B59B8"/>
    <w:rsid w:val="002B70AC"/>
    <w:rsid w:val="002B7698"/>
    <w:rsid w:val="002C0B83"/>
    <w:rsid w:val="002C1965"/>
    <w:rsid w:val="002C217F"/>
    <w:rsid w:val="002C22C3"/>
    <w:rsid w:val="002C27C7"/>
    <w:rsid w:val="002C311D"/>
    <w:rsid w:val="002C3809"/>
    <w:rsid w:val="002C3E17"/>
    <w:rsid w:val="002C43D2"/>
    <w:rsid w:val="002C5441"/>
    <w:rsid w:val="002C6308"/>
    <w:rsid w:val="002C6FD0"/>
    <w:rsid w:val="002C7058"/>
    <w:rsid w:val="002C7300"/>
    <w:rsid w:val="002C777C"/>
    <w:rsid w:val="002D0DDE"/>
    <w:rsid w:val="002D0E08"/>
    <w:rsid w:val="002D149D"/>
    <w:rsid w:val="002D163C"/>
    <w:rsid w:val="002D1B19"/>
    <w:rsid w:val="002D1B56"/>
    <w:rsid w:val="002D2A26"/>
    <w:rsid w:val="002D3953"/>
    <w:rsid w:val="002D403F"/>
    <w:rsid w:val="002D44A8"/>
    <w:rsid w:val="002D4A05"/>
    <w:rsid w:val="002D4D53"/>
    <w:rsid w:val="002D50E6"/>
    <w:rsid w:val="002D5446"/>
    <w:rsid w:val="002D632A"/>
    <w:rsid w:val="002D65C5"/>
    <w:rsid w:val="002D791F"/>
    <w:rsid w:val="002E07D3"/>
    <w:rsid w:val="002E09A7"/>
    <w:rsid w:val="002E0A0A"/>
    <w:rsid w:val="002E147E"/>
    <w:rsid w:val="002E1A0F"/>
    <w:rsid w:val="002E214D"/>
    <w:rsid w:val="002E27BD"/>
    <w:rsid w:val="002E31F1"/>
    <w:rsid w:val="002E4B0C"/>
    <w:rsid w:val="002E6A11"/>
    <w:rsid w:val="002E6D66"/>
    <w:rsid w:val="002E7DA1"/>
    <w:rsid w:val="002E7F3D"/>
    <w:rsid w:val="002F0343"/>
    <w:rsid w:val="002F167D"/>
    <w:rsid w:val="002F1ADD"/>
    <w:rsid w:val="002F1B45"/>
    <w:rsid w:val="002F1D3A"/>
    <w:rsid w:val="002F2A1B"/>
    <w:rsid w:val="002F2B8A"/>
    <w:rsid w:val="002F2C90"/>
    <w:rsid w:val="002F2DA4"/>
    <w:rsid w:val="002F7EB9"/>
    <w:rsid w:val="00300345"/>
    <w:rsid w:val="00300798"/>
    <w:rsid w:val="00300C37"/>
    <w:rsid w:val="00300F2E"/>
    <w:rsid w:val="00300F9B"/>
    <w:rsid w:val="0030101E"/>
    <w:rsid w:val="003016D8"/>
    <w:rsid w:val="0030199D"/>
    <w:rsid w:val="00302C95"/>
    <w:rsid w:val="00303591"/>
    <w:rsid w:val="003047C5"/>
    <w:rsid w:val="00304B86"/>
    <w:rsid w:val="00304E19"/>
    <w:rsid w:val="00304E94"/>
    <w:rsid w:val="00305B1C"/>
    <w:rsid w:val="00310233"/>
    <w:rsid w:val="00310D1F"/>
    <w:rsid w:val="00311A5C"/>
    <w:rsid w:val="0031253F"/>
    <w:rsid w:val="00312ABF"/>
    <w:rsid w:val="00312F74"/>
    <w:rsid w:val="003138C8"/>
    <w:rsid w:val="00313B1B"/>
    <w:rsid w:val="003150F1"/>
    <w:rsid w:val="00315152"/>
    <w:rsid w:val="00315F1E"/>
    <w:rsid w:val="00316035"/>
    <w:rsid w:val="0031622D"/>
    <w:rsid w:val="0032017E"/>
    <w:rsid w:val="0032043E"/>
    <w:rsid w:val="0032049F"/>
    <w:rsid w:val="00322CEE"/>
    <w:rsid w:val="00323BDA"/>
    <w:rsid w:val="00323DFA"/>
    <w:rsid w:val="003249CB"/>
    <w:rsid w:val="003268A2"/>
    <w:rsid w:val="00326D92"/>
    <w:rsid w:val="00326F16"/>
    <w:rsid w:val="00327080"/>
    <w:rsid w:val="003305EB"/>
    <w:rsid w:val="003318C1"/>
    <w:rsid w:val="00331BD8"/>
    <w:rsid w:val="003328AD"/>
    <w:rsid w:val="0033361C"/>
    <w:rsid w:val="00334FAF"/>
    <w:rsid w:val="003355B0"/>
    <w:rsid w:val="003355E5"/>
    <w:rsid w:val="003355FF"/>
    <w:rsid w:val="003359A2"/>
    <w:rsid w:val="00335E51"/>
    <w:rsid w:val="003369B5"/>
    <w:rsid w:val="00336F00"/>
    <w:rsid w:val="00337B6A"/>
    <w:rsid w:val="00340332"/>
    <w:rsid w:val="00340C2A"/>
    <w:rsid w:val="003419F8"/>
    <w:rsid w:val="00342481"/>
    <w:rsid w:val="00342D49"/>
    <w:rsid w:val="0034302A"/>
    <w:rsid w:val="00343096"/>
    <w:rsid w:val="00344422"/>
    <w:rsid w:val="003446D6"/>
    <w:rsid w:val="003454EF"/>
    <w:rsid w:val="003457EB"/>
    <w:rsid w:val="00345D09"/>
    <w:rsid w:val="00345FC8"/>
    <w:rsid w:val="0034794D"/>
    <w:rsid w:val="00347A00"/>
    <w:rsid w:val="003502E1"/>
    <w:rsid w:val="0035075B"/>
    <w:rsid w:val="00350884"/>
    <w:rsid w:val="00350EDA"/>
    <w:rsid w:val="00351944"/>
    <w:rsid w:val="00352835"/>
    <w:rsid w:val="00353546"/>
    <w:rsid w:val="00353B38"/>
    <w:rsid w:val="0035442F"/>
    <w:rsid w:val="00354A21"/>
    <w:rsid w:val="0035510C"/>
    <w:rsid w:val="0035536C"/>
    <w:rsid w:val="003557A3"/>
    <w:rsid w:val="00355906"/>
    <w:rsid w:val="0035595E"/>
    <w:rsid w:val="00355C6D"/>
    <w:rsid w:val="00355CBF"/>
    <w:rsid w:val="00356284"/>
    <w:rsid w:val="003564BB"/>
    <w:rsid w:val="003602ED"/>
    <w:rsid w:val="003605FF"/>
    <w:rsid w:val="003609ED"/>
    <w:rsid w:val="003615ED"/>
    <w:rsid w:val="00363112"/>
    <w:rsid w:val="00363F00"/>
    <w:rsid w:val="0036462C"/>
    <w:rsid w:val="00365549"/>
    <w:rsid w:val="003658D5"/>
    <w:rsid w:val="00365A6B"/>
    <w:rsid w:val="00365CFD"/>
    <w:rsid w:val="00366DFD"/>
    <w:rsid w:val="003709CF"/>
    <w:rsid w:val="00371867"/>
    <w:rsid w:val="0037299D"/>
    <w:rsid w:val="00372CF3"/>
    <w:rsid w:val="00373019"/>
    <w:rsid w:val="00373DCA"/>
    <w:rsid w:val="00375257"/>
    <w:rsid w:val="0037567E"/>
    <w:rsid w:val="00375ED0"/>
    <w:rsid w:val="00376798"/>
    <w:rsid w:val="00376D42"/>
    <w:rsid w:val="0037792D"/>
    <w:rsid w:val="00377FF8"/>
    <w:rsid w:val="003800D7"/>
    <w:rsid w:val="003802E1"/>
    <w:rsid w:val="00380E72"/>
    <w:rsid w:val="003810C3"/>
    <w:rsid w:val="00381B84"/>
    <w:rsid w:val="00384785"/>
    <w:rsid w:val="00384982"/>
    <w:rsid w:val="00384D4F"/>
    <w:rsid w:val="00385612"/>
    <w:rsid w:val="00385E92"/>
    <w:rsid w:val="0038617D"/>
    <w:rsid w:val="00386843"/>
    <w:rsid w:val="003872C0"/>
    <w:rsid w:val="00387A1F"/>
    <w:rsid w:val="00387C49"/>
    <w:rsid w:val="003902A7"/>
    <w:rsid w:val="00390A15"/>
    <w:rsid w:val="00391656"/>
    <w:rsid w:val="00391ED2"/>
    <w:rsid w:val="00392EC9"/>
    <w:rsid w:val="00393328"/>
    <w:rsid w:val="00393AD7"/>
    <w:rsid w:val="00393C16"/>
    <w:rsid w:val="00394005"/>
    <w:rsid w:val="0039422B"/>
    <w:rsid w:val="0039497D"/>
    <w:rsid w:val="00395FE4"/>
    <w:rsid w:val="00396856"/>
    <w:rsid w:val="003976CF"/>
    <w:rsid w:val="003979CC"/>
    <w:rsid w:val="00397AAF"/>
    <w:rsid w:val="003A068B"/>
    <w:rsid w:val="003A092C"/>
    <w:rsid w:val="003A0DA0"/>
    <w:rsid w:val="003A0F93"/>
    <w:rsid w:val="003A105A"/>
    <w:rsid w:val="003A17D5"/>
    <w:rsid w:val="003A3016"/>
    <w:rsid w:val="003A3C2C"/>
    <w:rsid w:val="003A3F73"/>
    <w:rsid w:val="003A45F0"/>
    <w:rsid w:val="003A51F5"/>
    <w:rsid w:val="003A589B"/>
    <w:rsid w:val="003A594A"/>
    <w:rsid w:val="003A5959"/>
    <w:rsid w:val="003A71B5"/>
    <w:rsid w:val="003A7F6B"/>
    <w:rsid w:val="003B0CCC"/>
    <w:rsid w:val="003B10CC"/>
    <w:rsid w:val="003B15BE"/>
    <w:rsid w:val="003B1CA5"/>
    <w:rsid w:val="003B2454"/>
    <w:rsid w:val="003B351B"/>
    <w:rsid w:val="003B3773"/>
    <w:rsid w:val="003B39C2"/>
    <w:rsid w:val="003B3A7F"/>
    <w:rsid w:val="003B3DEC"/>
    <w:rsid w:val="003B5AF9"/>
    <w:rsid w:val="003B6818"/>
    <w:rsid w:val="003B6880"/>
    <w:rsid w:val="003C146B"/>
    <w:rsid w:val="003C24CE"/>
    <w:rsid w:val="003C2839"/>
    <w:rsid w:val="003C29B9"/>
    <w:rsid w:val="003C3089"/>
    <w:rsid w:val="003C5233"/>
    <w:rsid w:val="003C5648"/>
    <w:rsid w:val="003C5CB4"/>
    <w:rsid w:val="003C5EAC"/>
    <w:rsid w:val="003C5FA2"/>
    <w:rsid w:val="003C624D"/>
    <w:rsid w:val="003C6509"/>
    <w:rsid w:val="003C6538"/>
    <w:rsid w:val="003C6A73"/>
    <w:rsid w:val="003C72B4"/>
    <w:rsid w:val="003C7323"/>
    <w:rsid w:val="003C7FB1"/>
    <w:rsid w:val="003D19BA"/>
    <w:rsid w:val="003D2338"/>
    <w:rsid w:val="003D27BE"/>
    <w:rsid w:val="003D36BC"/>
    <w:rsid w:val="003D3A99"/>
    <w:rsid w:val="003D4428"/>
    <w:rsid w:val="003D45C5"/>
    <w:rsid w:val="003D4920"/>
    <w:rsid w:val="003D49D5"/>
    <w:rsid w:val="003D553C"/>
    <w:rsid w:val="003D5A93"/>
    <w:rsid w:val="003D5B5C"/>
    <w:rsid w:val="003D600C"/>
    <w:rsid w:val="003D6554"/>
    <w:rsid w:val="003D7A6B"/>
    <w:rsid w:val="003E003E"/>
    <w:rsid w:val="003E07E0"/>
    <w:rsid w:val="003E1260"/>
    <w:rsid w:val="003E12E3"/>
    <w:rsid w:val="003E2425"/>
    <w:rsid w:val="003E2FE5"/>
    <w:rsid w:val="003E325C"/>
    <w:rsid w:val="003E3C50"/>
    <w:rsid w:val="003E4932"/>
    <w:rsid w:val="003E5A21"/>
    <w:rsid w:val="003E5F00"/>
    <w:rsid w:val="003E644A"/>
    <w:rsid w:val="003E790F"/>
    <w:rsid w:val="003E7B04"/>
    <w:rsid w:val="003E7CB0"/>
    <w:rsid w:val="003F022A"/>
    <w:rsid w:val="003F05C5"/>
    <w:rsid w:val="003F0D27"/>
    <w:rsid w:val="003F1930"/>
    <w:rsid w:val="003F1BDB"/>
    <w:rsid w:val="003F1F78"/>
    <w:rsid w:val="003F2361"/>
    <w:rsid w:val="003F2F58"/>
    <w:rsid w:val="003F304A"/>
    <w:rsid w:val="003F398E"/>
    <w:rsid w:val="003F4479"/>
    <w:rsid w:val="003F4A39"/>
    <w:rsid w:val="003F4E12"/>
    <w:rsid w:val="003F547F"/>
    <w:rsid w:val="003F667C"/>
    <w:rsid w:val="003F720A"/>
    <w:rsid w:val="003F7532"/>
    <w:rsid w:val="003F792D"/>
    <w:rsid w:val="00400131"/>
    <w:rsid w:val="004009BF"/>
    <w:rsid w:val="00400D5D"/>
    <w:rsid w:val="00400F39"/>
    <w:rsid w:val="004014C5"/>
    <w:rsid w:val="00401FC7"/>
    <w:rsid w:val="00402A09"/>
    <w:rsid w:val="00402BB3"/>
    <w:rsid w:val="004034E0"/>
    <w:rsid w:val="00403907"/>
    <w:rsid w:val="00403C87"/>
    <w:rsid w:val="00404B5E"/>
    <w:rsid w:val="00404CC7"/>
    <w:rsid w:val="00405162"/>
    <w:rsid w:val="00405324"/>
    <w:rsid w:val="00406512"/>
    <w:rsid w:val="0040670B"/>
    <w:rsid w:val="00407407"/>
    <w:rsid w:val="0040747D"/>
    <w:rsid w:val="0041034A"/>
    <w:rsid w:val="00410C4E"/>
    <w:rsid w:val="00410DA0"/>
    <w:rsid w:val="004110AF"/>
    <w:rsid w:val="0041169A"/>
    <w:rsid w:val="00413324"/>
    <w:rsid w:val="00413AC6"/>
    <w:rsid w:val="00413AFE"/>
    <w:rsid w:val="004149C2"/>
    <w:rsid w:val="00415C3C"/>
    <w:rsid w:val="004161E1"/>
    <w:rsid w:val="0041634F"/>
    <w:rsid w:val="0041655D"/>
    <w:rsid w:val="004167D4"/>
    <w:rsid w:val="0041717C"/>
    <w:rsid w:val="00421878"/>
    <w:rsid w:val="0042234D"/>
    <w:rsid w:val="00422BF9"/>
    <w:rsid w:val="00422C3F"/>
    <w:rsid w:val="0042332B"/>
    <w:rsid w:val="00423B41"/>
    <w:rsid w:val="00424348"/>
    <w:rsid w:val="0042450C"/>
    <w:rsid w:val="00424BE9"/>
    <w:rsid w:val="0042573E"/>
    <w:rsid w:val="004268D0"/>
    <w:rsid w:val="00427289"/>
    <w:rsid w:val="004274AC"/>
    <w:rsid w:val="0043018A"/>
    <w:rsid w:val="004306D1"/>
    <w:rsid w:val="00430CB4"/>
    <w:rsid w:val="00432269"/>
    <w:rsid w:val="004326E0"/>
    <w:rsid w:val="00433274"/>
    <w:rsid w:val="00433709"/>
    <w:rsid w:val="004340FF"/>
    <w:rsid w:val="004344D0"/>
    <w:rsid w:val="00435492"/>
    <w:rsid w:val="00435571"/>
    <w:rsid w:val="00435DE3"/>
    <w:rsid w:val="00435E52"/>
    <w:rsid w:val="0043710C"/>
    <w:rsid w:val="004377B6"/>
    <w:rsid w:val="004416E4"/>
    <w:rsid w:val="00441833"/>
    <w:rsid w:val="00441A8D"/>
    <w:rsid w:val="00441CD1"/>
    <w:rsid w:val="00442012"/>
    <w:rsid w:val="0044226E"/>
    <w:rsid w:val="00442814"/>
    <w:rsid w:val="00442CFA"/>
    <w:rsid w:val="004438DF"/>
    <w:rsid w:val="00444F73"/>
    <w:rsid w:val="0044547E"/>
    <w:rsid w:val="004458F0"/>
    <w:rsid w:val="00445A8D"/>
    <w:rsid w:val="00445A9F"/>
    <w:rsid w:val="00446588"/>
    <w:rsid w:val="00446591"/>
    <w:rsid w:val="004465F5"/>
    <w:rsid w:val="00447664"/>
    <w:rsid w:val="00447C8A"/>
    <w:rsid w:val="00450097"/>
    <w:rsid w:val="0045053C"/>
    <w:rsid w:val="00451172"/>
    <w:rsid w:val="004517D5"/>
    <w:rsid w:val="0045197A"/>
    <w:rsid w:val="00452C08"/>
    <w:rsid w:val="00452DBC"/>
    <w:rsid w:val="0045369A"/>
    <w:rsid w:val="00454376"/>
    <w:rsid w:val="004547D0"/>
    <w:rsid w:val="004549AD"/>
    <w:rsid w:val="00454AA0"/>
    <w:rsid w:val="00455172"/>
    <w:rsid w:val="004551C4"/>
    <w:rsid w:val="004553BF"/>
    <w:rsid w:val="00455696"/>
    <w:rsid w:val="004562A5"/>
    <w:rsid w:val="00456A6C"/>
    <w:rsid w:val="00457B28"/>
    <w:rsid w:val="0046042C"/>
    <w:rsid w:val="0046091E"/>
    <w:rsid w:val="004625C3"/>
    <w:rsid w:val="004629D1"/>
    <w:rsid w:val="00463A80"/>
    <w:rsid w:val="0046426E"/>
    <w:rsid w:val="004645A1"/>
    <w:rsid w:val="0046682E"/>
    <w:rsid w:val="00466AC4"/>
    <w:rsid w:val="00467910"/>
    <w:rsid w:val="004710F3"/>
    <w:rsid w:val="004715D6"/>
    <w:rsid w:val="0047166B"/>
    <w:rsid w:val="00471D1F"/>
    <w:rsid w:val="00471DC7"/>
    <w:rsid w:val="00472117"/>
    <w:rsid w:val="0047225B"/>
    <w:rsid w:val="00472732"/>
    <w:rsid w:val="00472F78"/>
    <w:rsid w:val="00473239"/>
    <w:rsid w:val="00473292"/>
    <w:rsid w:val="004734A5"/>
    <w:rsid w:val="00473DD8"/>
    <w:rsid w:val="004752F2"/>
    <w:rsid w:val="004759B7"/>
    <w:rsid w:val="00475F4B"/>
    <w:rsid w:val="00476722"/>
    <w:rsid w:val="00477376"/>
    <w:rsid w:val="00477A04"/>
    <w:rsid w:val="00477D67"/>
    <w:rsid w:val="00477EAC"/>
    <w:rsid w:val="00480EF3"/>
    <w:rsid w:val="0048105B"/>
    <w:rsid w:val="004810AB"/>
    <w:rsid w:val="00482DFB"/>
    <w:rsid w:val="00482FD1"/>
    <w:rsid w:val="00483320"/>
    <w:rsid w:val="004833C4"/>
    <w:rsid w:val="0048398D"/>
    <w:rsid w:val="00483BBD"/>
    <w:rsid w:val="00484CC0"/>
    <w:rsid w:val="004852F6"/>
    <w:rsid w:val="0048534C"/>
    <w:rsid w:val="00487287"/>
    <w:rsid w:val="0049068D"/>
    <w:rsid w:val="00490D32"/>
    <w:rsid w:val="004917B1"/>
    <w:rsid w:val="00491C41"/>
    <w:rsid w:val="0049218D"/>
    <w:rsid w:val="0049227B"/>
    <w:rsid w:val="004936D1"/>
    <w:rsid w:val="004947DE"/>
    <w:rsid w:val="004949A1"/>
    <w:rsid w:val="00496538"/>
    <w:rsid w:val="004976BD"/>
    <w:rsid w:val="004A1DEB"/>
    <w:rsid w:val="004A31EB"/>
    <w:rsid w:val="004A337C"/>
    <w:rsid w:val="004A3771"/>
    <w:rsid w:val="004A39C2"/>
    <w:rsid w:val="004A39EA"/>
    <w:rsid w:val="004A3A39"/>
    <w:rsid w:val="004A3EB9"/>
    <w:rsid w:val="004A41C4"/>
    <w:rsid w:val="004A460C"/>
    <w:rsid w:val="004A476E"/>
    <w:rsid w:val="004A58FA"/>
    <w:rsid w:val="004A5926"/>
    <w:rsid w:val="004A6DEC"/>
    <w:rsid w:val="004A7664"/>
    <w:rsid w:val="004A7FD5"/>
    <w:rsid w:val="004B053B"/>
    <w:rsid w:val="004B18AB"/>
    <w:rsid w:val="004B270A"/>
    <w:rsid w:val="004B36EB"/>
    <w:rsid w:val="004B3BD4"/>
    <w:rsid w:val="004B4259"/>
    <w:rsid w:val="004B476D"/>
    <w:rsid w:val="004B4A5C"/>
    <w:rsid w:val="004B539B"/>
    <w:rsid w:val="004B5813"/>
    <w:rsid w:val="004B590B"/>
    <w:rsid w:val="004B5AA0"/>
    <w:rsid w:val="004B6A69"/>
    <w:rsid w:val="004B786A"/>
    <w:rsid w:val="004B78BC"/>
    <w:rsid w:val="004C0CBF"/>
    <w:rsid w:val="004C1CDA"/>
    <w:rsid w:val="004C21B1"/>
    <w:rsid w:val="004C25CF"/>
    <w:rsid w:val="004C2B3F"/>
    <w:rsid w:val="004C3367"/>
    <w:rsid w:val="004C44DE"/>
    <w:rsid w:val="004C45CA"/>
    <w:rsid w:val="004C4BE1"/>
    <w:rsid w:val="004C601E"/>
    <w:rsid w:val="004C6ABF"/>
    <w:rsid w:val="004D0014"/>
    <w:rsid w:val="004D01F2"/>
    <w:rsid w:val="004D061D"/>
    <w:rsid w:val="004D191D"/>
    <w:rsid w:val="004D23D9"/>
    <w:rsid w:val="004D3580"/>
    <w:rsid w:val="004D35EA"/>
    <w:rsid w:val="004D364A"/>
    <w:rsid w:val="004D3730"/>
    <w:rsid w:val="004D3F9B"/>
    <w:rsid w:val="004D4C7A"/>
    <w:rsid w:val="004D5267"/>
    <w:rsid w:val="004D5B71"/>
    <w:rsid w:val="004D74FE"/>
    <w:rsid w:val="004E0657"/>
    <w:rsid w:val="004E1379"/>
    <w:rsid w:val="004E26B9"/>
    <w:rsid w:val="004E2900"/>
    <w:rsid w:val="004E3613"/>
    <w:rsid w:val="004E3748"/>
    <w:rsid w:val="004E4102"/>
    <w:rsid w:val="004E4DFC"/>
    <w:rsid w:val="004E60BD"/>
    <w:rsid w:val="004E7D54"/>
    <w:rsid w:val="004E7E5C"/>
    <w:rsid w:val="004F0326"/>
    <w:rsid w:val="004F2671"/>
    <w:rsid w:val="004F4009"/>
    <w:rsid w:val="004F4641"/>
    <w:rsid w:val="004F5CE4"/>
    <w:rsid w:val="004F735A"/>
    <w:rsid w:val="004F79AC"/>
    <w:rsid w:val="004F7AB0"/>
    <w:rsid w:val="00500D92"/>
    <w:rsid w:val="0050103C"/>
    <w:rsid w:val="00501216"/>
    <w:rsid w:val="00502AD0"/>
    <w:rsid w:val="005033BE"/>
    <w:rsid w:val="00504790"/>
    <w:rsid w:val="00504869"/>
    <w:rsid w:val="00505331"/>
    <w:rsid w:val="005061DE"/>
    <w:rsid w:val="00506455"/>
    <w:rsid w:val="00506761"/>
    <w:rsid w:val="005067F4"/>
    <w:rsid w:val="00506CCB"/>
    <w:rsid w:val="00510102"/>
    <w:rsid w:val="00510B3C"/>
    <w:rsid w:val="0051181F"/>
    <w:rsid w:val="00511C5A"/>
    <w:rsid w:val="0051291A"/>
    <w:rsid w:val="0051401A"/>
    <w:rsid w:val="005148C2"/>
    <w:rsid w:val="00514951"/>
    <w:rsid w:val="00515C01"/>
    <w:rsid w:val="005164F4"/>
    <w:rsid w:val="005167F0"/>
    <w:rsid w:val="00516AFD"/>
    <w:rsid w:val="00516B64"/>
    <w:rsid w:val="00516CF4"/>
    <w:rsid w:val="00517E78"/>
    <w:rsid w:val="0052055D"/>
    <w:rsid w:val="0052106C"/>
    <w:rsid w:val="0052181D"/>
    <w:rsid w:val="005220E7"/>
    <w:rsid w:val="00522AFA"/>
    <w:rsid w:val="00524056"/>
    <w:rsid w:val="00525DB0"/>
    <w:rsid w:val="0052625B"/>
    <w:rsid w:val="005275D7"/>
    <w:rsid w:val="005308FF"/>
    <w:rsid w:val="005311B1"/>
    <w:rsid w:val="0053159C"/>
    <w:rsid w:val="005318A6"/>
    <w:rsid w:val="00533024"/>
    <w:rsid w:val="005332A3"/>
    <w:rsid w:val="0053351E"/>
    <w:rsid w:val="00534153"/>
    <w:rsid w:val="00534488"/>
    <w:rsid w:val="005349E0"/>
    <w:rsid w:val="00534A2A"/>
    <w:rsid w:val="00534DF8"/>
    <w:rsid w:val="0053517B"/>
    <w:rsid w:val="00536356"/>
    <w:rsid w:val="00537ED3"/>
    <w:rsid w:val="005401FE"/>
    <w:rsid w:val="005406A0"/>
    <w:rsid w:val="00542E2C"/>
    <w:rsid w:val="00544133"/>
    <w:rsid w:val="00544BAD"/>
    <w:rsid w:val="005454B9"/>
    <w:rsid w:val="00545ADC"/>
    <w:rsid w:val="00546EE6"/>
    <w:rsid w:val="00547CDF"/>
    <w:rsid w:val="005500CC"/>
    <w:rsid w:val="00550464"/>
    <w:rsid w:val="00550B7B"/>
    <w:rsid w:val="00551206"/>
    <w:rsid w:val="00551CA4"/>
    <w:rsid w:val="00552247"/>
    <w:rsid w:val="00552609"/>
    <w:rsid w:val="00553496"/>
    <w:rsid w:val="00553C43"/>
    <w:rsid w:val="00556BDB"/>
    <w:rsid w:val="0056068F"/>
    <w:rsid w:val="00562926"/>
    <w:rsid w:val="00563C8E"/>
    <w:rsid w:val="005642A0"/>
    <w:rsid w:val="005647CC"/>
    <w:rsid w:val="005652F1"/>
    <w:rsid w:val="00565818"/>
    <w:rsid w:val="00567C16"/>
    <w:rsid w:val="00570C99"/>
    <w:rsid w:val="00571881"/>
    <w:rsid w:val="0057193E"/>
    <w:rsid w:val="00572559"/>
    <w:rsid w:val="005726B2"/>
    <w:rsid w:val="00572B6F"/>
    <w:rsid w:val="00572DAF"/>
    <w:rsid w:val="00573681"/>
    <w:rsid w:val="00573E6F"/>
    <w:rsid w:val="00574690"/>
    <w:rsid w:val="00575FB0"/>
    <w:rsid w:val="00576118"/>
    <w:rsid w:val="00576E9C"/>
    <w:rsid w:val="00576F9B"/>
    <w:rsid w:val="00577B1A"/>
    <w:rsid w:val="005805DB"/>
    <w:rsid w:val="00580834"/>
    <w:rsid w:val="005809CB"/>
    <w:rsid w:val="00580F81"/>
    <w:rsid w:val="00581DD3"/>
    <w:rsid w:val="005827B0"/>
    <w:rsid w:val="005842E2"/>
    <w:rsid w:val="0058474C"/>
    <w:rsid w:val="00584C72"/>
    <w:rsid w:val="005854B8"/>
    <w:rsid w:val="00585A7E"/>
    <w:rsid w:val="00586895"/>
    <w:rsid w:val="0058770F"/>
    <w:rsid w:val="005879CF"/>
    <w:rsid w:val="00587CB9"/>
    <w:rsid w:val="00590482"/>
    <w:rsid w:val="00590F13"/>
    <w:rsid w:val="005910A8"/>
    <w:rsid w:val="00591712"/>
    <w:rsid w:val="00592070"/>
    <w:rsid w:val="00592465"/>
    <w:rsid w:val="005928BB"/>
    <w:rsid w:val="00593CF5"/>
    <w:rsid w:val="00594B32"/>
    <w:rsid w:val="005954B0"/>
    <w:rsid w:val="00595829"/>
    <w:rsid w:val="00596FEE"/>
    <w:rsid w:val="0059796D"/>
    <w:rsid w:val="00597D9D"/>
    <w:rsid w:val="005A00AB"/>
    <w:rsid w:val="005A022A"/>
    <w:rsid w:val="005A0465"/>
    <w:rsid w:val="005A065C"/>
    <w:rsid w:val="005A0ECB"/>
    <w:rsid w:val="005A13BC"/>
    <w:rsid w:val="005A1641"/>
    <w:rsid w:val="005A20C4"/>
    <w:rsid w:val="005A2568"/>
    <w:rsid w:val="005A2D75"/>
    <w:rsid w:val="005A2EA6"/>
    <w:rsid w:val="005A4F0E"/>
    <w:rsid w:val="005A597A"/>
    <w:rsid w:val="005A5F5C"/>
    <w:rsid w:val="005A75C4"/>
    <w:rsid w:val="005A78ED"/>
    <w:rsid w:val="005B0C47"/>
    <w:rsid w:val="005B10BB"/>
    <w:rsid w:val="005B1202"/>
    <w:rsid w:val="005B18D3"/>
    <w:rsid w:val="005B271C"/>
    <w:rsid w:val="005B35EE"/>
    <w:rsid w:val="005B361A"/>
    <w:rsid w:val="005B36A4"/>
    <w:rsid w:val="005B4919"/>
    <w:rsid w:val="005B4C38"/>
    <w:rsid w:val="005B5550"/>
    <w:rsid w:val="005B5814"/>
    <w:rsid w:val="005B620C"/>
    <w:rsid w:val="005B64F9"/>
    <w:rsid w:val="005B6B9A"/>
    <w:rsid w:val="005B74C8"/>
    <w:rsid w:val="005B7884"/>
    <w:rsid w:val="005C2581"/>
    <w:rsid w:val="005C2CAD"/>
    <w:rsid w:val="005C4A24"/>
    <w:rsid w:val="005C5114"/>
    <w:rsid w:val="005C59BF"/>
    <w:rsid w:val="005C6F8F"/>
    <w:rsid w:val="005C729C"/>
    <w:rsid w:val="005D0AD9"/>
    <w:rsid w:val="005D20FB"/>
    <w:rsid w:val="005D4447"/>
    <w:rsid w:val="005D4B1E"/>
    <w:rsid w:val="005D4C76"/>
    <w:rsid w:val="005D5A83"/>
    <w:rsid w:val="005D7F97"/>
    <w:rsid w:val="005E1B72"/>
    <w:rsid w:val="005E2695"/>
    <w:rsid w:val="005E4A63"/>
    <w:rsid w:val="005E4B2A"/>
    <w:rsid w:val="005E5526"/>
    <w:rsid w:val="005E6F63"/>
    <w:rsid w:val="005E6F6E"/>
    <w:rsid w:val="005E78A5"/>
    <w:rsid w:val="005E7A7E"/>
    <w:rsid w:val="005E7D77"/>
    <w:rsid w:val="005F0E82"/>
    <w:rsid w:val="005F166A"/>
    <w:rsid w:val="005F311E"/>
    <w:rsid w:val="005F4766"/>
    <w:rsid w:val="005F4EE5"/>
    <w:rsid w:val="005F524B"/>
    <w:rsid w:val="005F5B78"/>
    <w:rsid w:val="005F6CC2"/>
    <w:rsid w:val="005F6F1F"/>
    <w:rsid w:val="005F729F"/>
    <w:rsid w:val="005F7BD6"/>
    <w:rsid w:val="005F7CC9"/>
    <w:rsid w:val="005F7D26"/>
    <w:rsid w:val="00600A60"/>
    <w:rsid w:val="00601213"/>
    <w:rsid w:val="00602402"/>
    <w:rsid w:val="006024E2"/>
    <w:rsid w:val="00602797"/>
    <w:rsid w:val="00603D23"/>
    <w:rsid w:val="00603F15"/>
    <w:rsid w:val="00606C5C"/>
    <w:rsid w:val="006076AF"/>
    <w:rsid w:val="0061029E"/>
    <w:rsid w:val="0061061B"/>
    <w:rsid w:val="00610A2D"/>
    <w:rsid w:val="00610E66"/>
    <w:rsid w:val="006112A1"/>
    <w:rsid w:val="00611CE3"/>
    <w:rsid w:val="00612358"/>
    <w:rsid w:val="006124E9"/>
    <w:rsid w:val="00612ACD"/>
    <w:rsid w:val="0061329F"/>
    <w:rsid w:val="00613469"/>
    <w:rsid w:val="00613578"/>
    <w:rsid w:val="00614678"/>
    <w:rsid w:val="00614B2D"/>
    <w:rsid w:val="00615A56"/>
    <w:rsid w:val="00615D16"/>
    <w:rsid w:val="00616290"/>
    <w:rsid w:val="0061702E"/>
    <w:rsid w:val="0061742E"/>
    <w:rsid w:val="00617D35"/>
    <w:rsid w:val="006200AE"/>
    <w:rsid w:val="006205B7"/>
    <w:rsid w:val="00620986"/>
    <w:rsid w:val="006217A1"/>
    <w:rsid w:val="00622211"/>
    <w:rsid w:val="00622344"/>
    <w:rsid w:val="006224A1"/>
    <w:rsid w:val="0062324F"/>
    <w:rsid w:val="0062357E"/>
    <w:rsid w:val="00623DE1"/>
    <w:rsid w:val="00623F94"/>
    <w:rsid w:val="00624421"/>
    <w:rsid w:val="00625DFB"/>
    <w:rsid w:val="006262CB"/>
    <w:rsid w:val="006263EF"/>
    <w:rsid w:val="00626774"/>
    <w:rsid w:val="006275B1"/>
    <w:rsid w:val="00627628"/>
    <w:rsid w:val="00627BCA"/>
    <w:rsid w:val="00627CD5"/>
    <w:rsid w:val="006300E5"/>
    <w:rsid w:val="00630280"/>
    <w:rsid w:val="00630592"/>
    <w:rsid w:val="006308E3"/>
    <w:rsid w:val="00631442"/>
    <w:rsid w:val="00631DE6"/>
    <w:rsid w:val="00632AC2"/>
    <w:rsid w:val="00633D9C"/>
    <w:rsid w:val="00634501"/>
    <w:rsid w:val="00634A53"/>
    <w:rsid w:val="00635170"/>
    <w:rsid w:val="0063582E"/>
    <w:rsid w:val="006363F3"/>
    <w:rsid w:val="00636439"/>
    <w:rsid w:val="0063737B"/>
    <w:rsid w:val="0063776D"/>
    <w:rsid w:val="006378D2"/>
    <w:rsid w:val="00640406"/>
    <w:rsid w:val="00640493"/>
    <w:rsid w:val="0064056B"/>
    <w:rsid w:val="006407DA"/>
    <w:rsid w:val="00640EE7"/>
    <w:rsid w:val="0064197A"/>
    <w:rsid w:val="0064275A"/>
    <w:rsid w:val="00642946"/>
    <w:rsid w:val="006435DD"/>
    <w:rsid w:val="00643E47"/>
    <w:rsid w:val="00644415"/>
    <w:rsid w:val="00644FAB"/>
    <w:rsid w:val="00645179"/>
    <w:rsid w:val="00650C2A"/>
    <w:rsid w:val="00650E48"/>
    <w:rsid w:val="00651057"/>
    <w:rsid w:val="006523CB"/>
    <w:rsid w:val="00652AEF"/>
    <w:rsid w:val="00652E00"/>
    <w:rsid w:val="0065322D"/>
    <w:rsid w:val="00653E87"/>
    <w:rsid w:val="00654227"/>
    <w:rsid w:val="00654544"/>
    <w:rsid w:val="006547AE"/>
    <w:rsid w:val="00654CC5"/>
    <w:rsid w:val="00654D9F"/>
    <w:rsid w:val="0065562E"/>
    <w:rsid w:val="00655794"/>
    <w:rsid w:val="0066046F"/>
    <w:rsid w:val="00661144"/>
    <w:rsid w:val="00662947"/>
    <w:rsid w:val="00662D82"/>
    <w:rsid w:val="0066357D"/>
    <w:rsid w:val="00664096"/>
    <w:rsid w:val="006642BF"/>
    <w:rsid w:val="00665331"/>
    <w:rsid w:val="00665A2E"/>
    <w:rsid w:val="00665B58"/>
    <w:rsid w:val="00665F72"/>
    <w:rsid w:val="00666996"/>
    <w:rsid w:val="00666CAC"/>
    <w:rsid w:val="0066775F"/>
    <w:rsid w:val="0066799E"/>
    <w:rsid w:val="00667B6C"/>
    <w:rsid w:val="00670565"/>
    <w:rsid w:val="006717C9"/>
    <w:rsid w:val="0067347C"/>
    <w:rsid w:val="006737D8"/>
    <w:rsid w:val="0067511E"/>
    <w:rsid w:val="0067623F"/>
    <w:rsid w:val="0067690E"/>
    <w:rsid w:val="00676959"/>
    <w:rsid w:val="006772E3"/>
    <w:rsid w:val="00677D5A"/>
    <w:rsid w:val="00677EEC"/>
    <w:rsid w:val="006806FE"/>
    <w:rsid w:val="006813F4"/>
    <w:rsid w:val="00681905"/>
    <w:rsid w:val="00681BAE"/>
    <w:rsid w:val="0068277E"/>
    <w:rsid w:val="00682894"/>
    <w:rsid w:val="0068392A"/>
    <w:rsid w:val="00683B0D"/>
    <w:rsid w:val="00683DCB"/>
    <w:rsid w:val="00683E92"/>
    <w:rsid w:val="0068489B"/>
    <w:rsid w:val="006849AC"/>
    <w:rsid w:val="00684B70"/>
    <w:rsid w:val="006856F3"/>
    <w:rsid w:val="00686232"/>
    <w:rsid w:val="00686908"/>
    <w:rsid w:val="00686A95"/>
    <w:rsid w:val="00687473"/>
    <w:rsid w:val="00687A11"/>
    <w:rsid w:val="00687CF8"/>
    <w:rsid w:val="00690CCD"/>
    <w:rsid w:val="00690CCE"/>
    <w:rsid w:val="00690E05"/>
    <w:rsid w:val="006916D5"/>
    <w:rsid w:val="0069175A"/>
    <w:rsid w:val="00692094"/>
    <w:rsid w:val="00692D5F"/>
    <w:rsid w:val="00693B92"/>
    <w:rsid w:val="00693BCE"/>
    <w:rsid w:val="006945B1"/>
    <w:rsid w:val="00694B51"/>
    <w:rsid w:val="00694D4F"/>
    <w:rsid w:val="006958D9"/>
    <w:rsid w:val="006959BF"/>
    <w:rsid w:val="00695E3A"/>
    <w:rsid w:val="00695ED3"/>
    <w:rsid w:val="006960C0"/>
    <w:rsid w:val="00696A8B"/>
    <w:rsid w:val="00696B71"/>
    <w:rsid w:val="006972B9"/>
    <w:rsid w:val="00697621"/>
    <w:rsid w:val="00697CD2"/>
    <w:rsid w:val="006A0085"/>
    <w:rsid w:val="006A1690"/>
    <w:rsid w:val="006A1F67"/>
    <w:rsid w:val="006A1FEE"/>
    <w:rsid w:val="006A25CD"/>
    <w:rsid w:val="006A3B96"/>
    <w:rsid w:val="006A3FF4"/>
    <w:rsid w:val="006A42FC"/>
    <w:rsid w:val="006A481A"/>
    <w:rsid w:val="006A4A2F"/>
    <w:rsid w:val="006A4A3A"/>
    <w:rsid w:val="006A5167"/>
    <w:rsid w:val="006A5D79"/>
    <w:rsid w:val="006A5DB5"/>
    <w:rsid w:val="006A63A6"/>
    <w:rsid w:val="006A6D8E"/>
    <w:rsid w:val="006A6F6F"/>
    <w:rsid w:val="006A7621"/>
    <w:rsid w:val="006B0603"/>
    <w:rsid w:val="006B0BAD"/>
    <w:rsid w:val="006B0CAF"/>
    <w:rsid w:val="006B2309"/>
    <w:rsid w:val="006B2A85"/>
    <w:rsid w:val="006B3659"/>
    <w:rsid w:val="006B383A"/>
    <w:rsid w:val="006B3B24"/>
    <w:rsid w:val="006B426F"/>
    <w:rsid w:val="006B42F2"/>
    <w:rsid w:val="006B4AD5"/>
    <w:rsid w:val="006B6065"/>
    <w:rsid w:val="006B67F0"/>
    <w:rsid w:val="006B7CBB"/>
    <w:rsid w:val="006B7ED4"/>
    <w:rsid w:val="006C0F0D"/>
    <w:rsid w:val="006C191E"/>
    <w:rsid w:val="006C1AE9"/>
    <w:rsid w:val="006C24E0"/>
    <w:rsid w:val="006C36BE"/>
    <w:rsid w:val="006C388F"/>
    <w:rsid w:val="006C3F5D"/>
    <w:rsid w:val="006C4965"/>
    <w:rsid w:val="006C502A"/>
    <w:rsid w:val="006C55C1"/>
    <w:rsid w:val="006C55E4"/>
    <w:rsid w:val="006C5A8E"/>
    <w:rsid w:val="006C5BBE"/>
    <w:rsid w:val="006C6CA6"/>
    <w:rsid w:val="006C7F7D"/>
    <w:rsid w:val="006D029F"/>
    <w:rsid w:val="006D0E2A"/>
    <w:rsid w:val="006D1582"/>
    <w:rsid w:val="006D17DB"/>
    <w:rsid w:val="006D27AD"/>
    <w:rsid w:val="006D34CB"/>
    <w:rsid w:val="006D3805"/>
    <w:rsid w:val="006D3E21"/>
    <w:rsid w:val="006D4ADA"/>
    <w:rsid w:val="006D66EB"/>
    <w:rsid w:val="006D6701"/>
    <w:rsid w:val="006D7239"/>
    <w:rsid w:val="006D7C32"/>
    <w:rsid w:val="006D7E29"/>
    <w:rsid w:val="006D7FE5"/>
    <w:rsid w:val="006E18C3"/>
    <w:rsid w:val="006E1945"/>
    <w:rsid w:val="006E2B14"/>
    <w:rsid w:val="006E39AF"/>
    <w:rsid w:val="006E3A4E"/>
    <w:rsid w:val="006E41B7"/>
    <w:rsid w:val="006E50E5"/>
    <w:rsid w:val="006E587B"/>
    <w:rsid w:val="006E6DB8"/>
    <w:rsid w:val="006F05EF"/>
    <w:rsid w:val="006F096C"/>
    <w:rsid w:val="006F130A"/>
    <w:rsid w:val="006F26D3"/>
    <w:rsid w:val="006F288E"/>
    <w:rsid w:val="006F2A02"/>
    <w:rsid w:val="006F2B57"/>
    <w:rsid w:val="006F37AF"/>
    <w:rsid w:val="006F38C3"/>
    <w:rsid w:val="006F4F8D"/>
    <w:rsid w:val="006F663E"/>
    <w:rsid w:val="006F69EA"/>
    <w:rsid w:val="006F6B45"/>
    <w:rsid w:val="006F6C36"/>
    <w:rsid w:val="006F6FA1"/>
    <w:rsid w:val="006F756E"/>
    <w:rsid w:val="007003EF"/>
    <w:rsid w:val="00700B7C"/>
    <w:rsid w:val="00700F13"/>
    <w:rsid w:val="007013ED"/>
    <w:rsid w:val="0070293B"/>
    <w:rsid w:val="0070321B"/>
    <w:rsid w:val="00703845"/>
    <w:rsid w:val="00703879"/>
    <w:rsid w:val="00703B74"/>
    <w:rsid w:val="0070402C"/>
    <w:rsid w:val="007042EF"/>
    <w:rsid w:val="0070444F"/>
    <w:rsid w:val="00704C31"/>
    <w:rsid w:val="00705834"/>
    <w:rsid w:val="00705E8D"/>
    <w:rsid w:val="00706502"/>
    <w:rsid w:val="0071247F"/>
    <w:rsid w:val="00712D78"/>
    <w:rsid w:val="00713329"/>
    <w:rsid w:val="00713785"/>
    <w:rsid w:val="00713A26"/>
    <w:rsid w:val="0071441F"/>
    <w:rsid w:val="0071475E"/>
    <w:rsid w:val="00714ED6"/>
    <w:rsid w:val="0071579E"/>
    <w:rsid w:val="00715D9C"/>
    <w:rsid w:val="007160C0"/>
    <w:rsid w:val="0071640F"/>
    <w:rsid w:val="0071737E"/>
    <w:rsid w:val="00717F73"/>
    <w:rsid w:val="00717F75"/>
    <w:rsid w:val="007202B9"/>
    <w:rsid w:val="007202ED"/>
    <w:rsid w:val="007205A6"/>
    <w:rsid w:val="007223C9"/>
    <w:rsid w:val="0072389B"/>
    <w:rsid w:val="00723D33"/>
    <w:rsid w:val="0072450D"/>
    <w:rsid w:val="00724B2E"/>
    <w:rsid w:val="00724FE6"/>
    <w:rsid w:val="00725440"/>
    <w:rsid w:val="00725AC4"/>
    <w:rsid w:val="0072797F"/>
    <w:rsid w:val="00727AA6"/>
    <w:rsid w:val="00732934"/>
    <w:rsid w:val="00732BCC"/>
    <w:rsid w:val="007331D5"/>
    <w:rsid w:val="00733868"/>
    <w:rsid w:val="00733E31"/>
    <w:rsid w:val="0073464C"/>
    <w:rsid w:val="007359E0"/>
    <w:rsid w:val="00735C03"/>
    <w:rsid w:val="00737779"/>
    <w:rsid w:val="00737F02"/>
    <w:rsid w:val="00740A90"/>
    <w:rsid w:val="00740CD0"/>
    <w:rsid w:val="00741C8D"/>
    <w:rsid w:val="0074260A"/>
    <w:rsid w:val="007427DE"/>
    <w:rsid w:val="00742C1F"/>
    <w:rsid w:val="0074353B"/>
    <w:rsid w:val="0075046E"/>
    <w:rsid w:val="00751224"/>
    <w:rsid w:val="00751D7B"/>
    <w:rsid w:val="00753097"/>
    <w:rsid w:val="00753187"/>
    <w:rsid w:val="00753336"/>
    <w:rsid w:val="00753F7C"/>
    <w:rsid w:val="00753FF9"/>
    <w:rsid w:val="00754ADB"/>
    <w:rsid w:val="007556C0"/>
    <w:rsid w:val="007558F5"/>
    <w:rsid w:val="00755C96"/>
    <w:rsid w:val="007561AA"/>
    <w:rsid w:val="00756402"/>
    <w:rsid w:val="00757087"/>
    <w:rsid w:val="00757947"/>
    <w:rsid w:val="007606B8"/>
    <w:rsid w:val="00761169"/>
    <w:rsid w:val="0076231A"/>
    <w:rsid w:val="0076244A"/>
    <w:rsid w:val="00762874"/>
    <w:rsid w:val="00762952"/>
    <w:rsid w:val="00762AAF"/>
    <w:rsid w:val="00762EC8"/>
    <w:rsid w:val="0076315D"/>
    <w:rsid w:val="00763200"/>
    <w:rsid w:val="0076373B"/>
    <w:rsid w:val="00763EEE"/>
    <w:rsid w:val="00764435"/>
    <w:rsid w:val="00764625"/>
    <w:rsid w:val="007658F1"/>
    <w:rsid w:val="00765A2A"/>
    <w:rsid w:val="00766077"/>
    <w:rsid w:val="0076792E"/>
    <w:rsid w:val="007679E5"/>
    <w:rsid w:val="0077023A"/>
    <w:rsid w:val="007702DB"/>
    <w:rsid w:val="0077090C"/>
    <w:rsid w:val="007710B4"/>
    <w:rsid w:val="00772282"/>
    <w:rsid w:val="007733C3"/>
    <w:rsid w:val="0077342D"/>
    <w:rsid w:val="007744F0"/>
    <w:rsid w:val="0077457E"/>
    <w:rsid w:val="007758D6"/>
    <w:rsid w:val="00775950"/>
    <w:rsid w:val="00776DD1"/>
    <w:rsid w:val="007773E2"/>
    <w:rsid w:val="00777662"/>
    <w:rsid w:val="00777727"/>
    <w:rsid w:val="007778CB"/>
    <w:rsid w:val="00777EFF"/>
    <w:rsid w:val="00780691"/>
    <w:rsid w:val="00780DEC"/>
    <w:rsid w:val="00781237"/>
    <w:rsid w:val="00782351"/>
    <w:rsid w:val="00783369"/>
    <w:rsid w:val="00783C80"/>
    <w:rsid w:val="0078536D"/>
    <w:rsid w:val="00785D96"/>
    <w:rsid w:val="007865AA"/>
    <w:rsid w:val="007865AC"/>
    <w:rsid w:val="007865DC"/>
    <w:rsid w:val="0078672B"/>
    <w:rsid w:val="00786D8A"/>
    <w:rsid w:val="00787E1E"/>
    <w:rsid w:val="007903E2"/>
    <w:rsid w:val="00790802"/>
    <w:rsid w:val="00790CD3"/>
    <w:rsid w:val="00791CDD"/>
    <w:rsid w:val="0079286F"/>
    <w:rsid w:val="0079364F"/>
    <w:rsid w:val="00793D94"/>
    <w:rsid w:val="007960E9"/>
    <w:rsid w:val="00796352"/>
    <w:rsid w:val="007967F8"/>
    <w:rsid w:val="007968CE"/>
    <w:rsid w:val="007A01A6"/>
    <w:rsid w:val="007A06F9"/>
    <w:rsid w:val="007A1673"/>
    <w:rsid w:val="007A237D"/>
    <w:rsid w:val="007A2C90"/>
    <w:rsid w:val="007A3971"/>
    <w:rsid w:val="007A579D"/>
    <w:rsid w:val="007A6236"/>
    <w:rsid w:val="007A6832"/>
    <w:rsid w:val="007A7692"/>
    <w:rsid w:val="007B0036"/>
    <w:rsid w:val="007B034B"/>
    <w:rsid w:val="007B1BC5"/>
    <w:rsid w:val="007B1F0C"/>
    <w:rsid w:val="007B315D"/>
    <w:rsid w:val="007B59BC"/>
    <w:rsid w:val="007B5B44"/>
    <w:rsid w:val="007B5FFD"/>
    <w:rsid w:val="007B75D2"/>
    <w:rsid w:val="007B7679"/>
    <w:rsid w:val="007B7933"/>
    <w:rsid w:val="007B7A1B"/>
    <w:rsid w:val="007C09F7"/>
    <w:rsid w:val="007C1D01"/>
    <w:rsid w:val="007C1D61"/>
    <w:rsid w:val="007C2ABC"/>
    <w:rsid w:val="007C2EFC"/>
    <w:rsid w:val="007C37D2"/>
    <w:rsid w:val="007C4156"/>
    <w:rsid w:val="007C4854"/>
    <w:rsid w:val="007C4CD8"/>
    <w:rsid w:val="007C518B"/>
    <w:rsid w:val="007C5882"/>
    <w:rsid w:val="007C5D30"/>
    <w:rsid w:val="007C7721"/>
    <w:rsid w:val="007D030C"/>
    <w:rsid w:val="007D0497"/>
    <w:rsid w:val="007D0751"/>
    <w:rsid w:val="007D0D36"/>
    <w:rsid w:val="007D17F9"/>
    <w:rsid w:val="007D4380"/>
    <w:rsid w:val="007D4495"/>
    <w:rsid w:val="007D46C9"/>
    <w:rsid w:val="007D4A6C"/>
    <w:rsid w:val="007D67AA"/>
    <w:rsid w:val="007D700B"/>
    <w:rsid w:val="007E0405"/>
    <w:rsid w:val="007E0856"/>
    <w:rsid w:val="007E0974"/>
    <w:rsid w:val="007E0C99"/>
    <w:rsid w:val="007E0CCA"/>
    <w:rsid w:val="007E1D9D"/>
    <w:rsid w:val="007E2B30"/>
    <w:rsid w:val="007E30C1"/>
    <w:rsid w:val="007E4179"/>
    <w:rsid w:val="007E5295"/>
    <w:rsid w:val="007E562C"/>
    <w:rsid w:val="007E563E"/>
    <w:rsid w:val="007E57B2"/>
    <w:rsid w:val="007E59E5"/>
    <w:rsid w:val="007E5F81"/>
    <w:rsid w:val="007E6399"/>
    <w:rsid w:val="007E678B"/>
    <w:rsid w:val="007E6D4A"/>
    <w:rsid w:val="007E7C48"/>
    <w:rsid w:val="007F0355"/>
    <w:rsid w:val="007F0542"/>
    <w:rsid w:val="007F1085"/>
    <w:rsid w:val="007F1419"/>
    <w:rsid w:val="007F177A"/>
    <w:rsid w:val="007F1DB9"/>
    <w:rsid w:val="007F1E70"/>
    <w:rsid w:val="007F2F31"/>
    <w:rsid w:val="007F3AB6"/>
    <w:rsid w:val="007F3D0F"/>
    <w:rsid w:val="007F5412"/>
    <w:rsid w:val="007F5832"/>
    <w:rsid w:val="007F5C42"/>
    <w:rsid w:val="007F6342"/>
    <w:rsid w:val="007F6C97"/>
    <w:rsid w:val="007F6E03"/>
    <w:rsid w:val="007F6E46"/>
    <w:rsid w:val="007F7E3B"/>
    <w:rsid w:val="00800BC9"/>
    <w:rsid w:val="008018A3"/>
    <w:rsid w:val="00802C2A"/>
    <w:rsid w:val="00803B09"/>
    <w:rsid w:val="008047EC"/>
    <w:rsid w:val="008056E5"/>
    <w:rsid w:val="0080657B"/>
    <w:rsid w:val="00806C22"/>
    <w:rsid w:val="00807077"/>
    <w:rsid w:val="00807478"/>
    <w:rsid w:val="008078E0"/>
    <w:rsid w:val="008100F5"/>
    <w:rsid w:val="008105A9"/>
    <w:rsid w:val="0081088E"/>
    <w:rsid w:val="0081137C"/>
    <w:rsid w:val="0081189A"/>
    <w:rsid w:val="008128D4"/>
    <w:rsid w:val="00812B03"/>
    <w:rsid w:val="00812E61"/>
    <w:rsid w:val="00813CF4"/>
    <w:rsid w:val="00815F39"/>
    <w:rsid w:val="008160A6"/>
    <w:rsid w:val="00816945"/>
    <w:rsid w:val="008171EB"/>
    <w:rsid w:val="008202C0"/>
    <w:rsid w:val="0082059D"/>
    <w:rsid w:val="00820AE4"/>
    <w:rsid w:val="00820B5C"/>
    <w:rsid w:val="00821596"/>
    <w:rsid w:val="00821614"/>
    <w:rsid w:val="008217A5"/>
    <w:rsid w:val="00821FD5"/>
    <w:rsid w:val="00822800"/>
    <w:rsid w:val="00823A5E"/>
    <w:rsid w:val="008249A3"/>
    <w:rsid w:val="008257C2"/>
    <w:rsid w:val="00825C6F"/>
    <w:rsid w:val="00826ED8"/>
    <w:rsid w:val="00827692"/>
    <w:rsid w:val="00827901"/>
    <w:rsid w:val="00827A35"/>
    <w:rsid w:val="00830668"/>
    <w:rsid w:val="00831270"/>
    <w:rsid w:val="008314C7"/>
    <w:rsid w:val="00831526"/>
    <w:rsid w:val="00831845"/>
    <w:rsid w:val="00831881"/>
    <w:rsid w:val="0083273F"/>
    <w:rsid w:val="008340EC"/>
    <w:rsid w:val="00834AE8"/>
    <w:rsid w:val="00835131"/>
    <w:rsid w:val="00835430"/>
    <w:rsid w:val="0083687F"/>
    <w:rsid w:val="008377E5"/>
    <w:rsid w:val="00840011"/>
    <w:rsid w:val="00840756"/>
    <w:rsid w:val="0084132E"/>
    <w:rsid w:val="008424BA"/>
    <w:rsid w:val="00842A25"/>
    <w:rsid w:val="008433E9"/>
    <w:rsid w:val="0084428A"/>
    <w:rsid w:val="00844995"/>
    <w:rsid w:val="00844C8C"/>
    <w:rsid w:val="00845733"/>
    <w:rsid w:val="0084608D"/>
    <w:rsid w:val="0084751A"/>
    <w:rsid w:val="00847D59"/>
    <w:rsid w:val="00850297"/>
    <w:rsid w:val="00850884"/>
    <w:rsid w:val="00851647"/>
    <w:rsid w:val="00851D49"/>
    <w:rsid w:val="00851F74"/>
    <w:rsid w:val="00852275"/>
    <w:rsid w:val="008523B0"/>
    <w:rsid w:val="00852AE8"/>
    <w:rsid w:val="00852ECE"/>
    <w:rsid w:val="0085369B"/>
    <w:rsid w:val="00853865"/>
    <w:rsid w:val="008539C2"/>
    <w:rsid w:val="00853A5C"/>
    <w:rsid w:val="00853DDF"/>
    <w:rsid w:val="0085557F"/>
    <w:rsid w:val="00855A24"/>
    <w:rsid w:val="00855CCE"/>
    <w:rsid w:val="00855D5E"/>
    <w:rsid w:val="008562A5"/>
    <w:rsid w:val="00856ECD"/>
    <w:rsid w:val="008570B3"/>
    <w:rsid w:val="00857A00"/>
    <w:rsid w:val="00857F72"/>
    <w:rsid w:val="008600C3"/>
    <w:rsid w:val="00860600"/>
    <w:rsid w:val="0086093B"/>
    <w:rsid w:val="00860A4C"/>
    <w:rsid w:val="00860A70"/>
    <w:rsid w:val="00861543"/>
    <w:rsid w:val="00861C61"/>
    <w:rsid w:val="00861D47"/>
    <w:rsid w:val="008626C4"/>
    <w:rsid w:val="00863C5A"/>
    <w:rsid w:val="008647EF"/>
    <w:rsid w:val="00864C90"/>
    <w:rsid w:val="00864D72"/>
    <w:rsid w:val="0086594A"/>
    <w:rsid w:val="008659D3"/>
    <w:rsid w:val="00866096"/>
    <w:rsid w:val="00866EB7"/>
    <w:rsid w:val="00867115"/>
    <w:rsid w:val="00867AF0"/>
    <w:rsid w:val="00867E41"/>
    <w:rsid w:val="00870868"/>
    <w:rsid w:val="00871BF5"/>
    <w:rsid w:val="00871CF6"/>
    <w:rsid w:val="008728EF"/>
    <w:rsid w:val="00872F67"/>
    <w:rsid w:val="00873691"/>
    <w:rsid w:val="0087376D"/>
    <w:rsid w:val="008743EF"/>
    <w:rsid w:val="00874A75"/>
    <w:rsid w:val="00874F7D"/>
    <w:rsid w:val="0087542C"/>
    <w:rsid w:val="00876164"/>
    <w:rsid w:val="008761FC"/>
    <w:rsid w:val="00876254"/>
    <w:rsid w:val="00876EDD"/>
    <w:rsid w:val="00877C01"/>
    <w:rsid w:val="00880C04"/>
    <w:rsid w:val="00881120"/>
    <w:rsid w:val="008824EC"/>
    <w:rsid w:val="0088337E"/>
    <w:rsid w:val="00883D8A"/>
    <w:rsid w:val="00884A0D"/>
    <w:rsid w:val="0088508B"/>
    <w:rsid w:val="00885178"/>
    <w:rsid w:val="008862C8"/>
    <w:rsid w:val="00886720"/>
    <w:rsid w:val="00891894"/>
    <w:rsid w:val="008923B9"/>
    <w:rsid w:val="00892C5D"/>
    <w:rsid w:val="008930D9"/>
    <w:rsid w:val="00894873"/>
    <w:rsid w:val="00894BCB"/>
    <w:rsid w:val="00894CA7"/>
    <w:rsid w:val="00895783"/>
    <w:rsid w:val="00895786"/>
    <w:rsid w:val="00895F08"/>
    <w:rsid w:val="00896B0E"/>
    <w:rsid w:val="00896D16"/>
    <w:rsid w:val="008973A5"/>
    <w:rsid w:val="008A0A6F"/>
    <w:rsid w:val="008A10AC"/>
    <w:rsid w:val="008A26E8"/>
    <w:rsid w:val="008A28ED"/>
    <w:rsid w:val="008A348F"/>
    <w:rsid w:val="008A367B"/>
    <w:rsid w:val="008A4C9B"/>
    <w:rsid w:val="008A596C"/>
    <w:rsid w:val="008A62C9"/>
    <w:rsid w:val="008A748C"/>
    <w:rsid w:val="008B1140"/>
    <w:rsid w:val="008B1ECE"/>
    <w:rsid w:val="008B3829"/>
    <w:rsid w:val="008B4483"/>
    <w:rsid w:val="008B4C74"/>
    <w:rsid w:val="008B552B"/>
    <w:rsid w:val="008B554F"/>
    <w:rsid w:val="008B5C2D"/>
    <w:rsid w:val="008B5CDC"/>
    <w:rsid w:val="008B6303"/>
    <w:rsid w:val="008B6985"/>
    <w:rsid w:val="008B69A1"/>
    <w:rsid w:val="008B6C0D"/>
    <w:rsid w:val="008B72A0"/>
    <w:rsid w:val="008B75A1"/>
    <w:rsid w:val="008B7ABB"/>
    <w:rsid w:val="008C032A"/>
    <w:rsid w:val="008C0EFC"/>
    <w:rsid w:val="008C1501"/>
    <w:rsid w:val="008C1A23"/>
    <w:rsid w:val="008C2821"/>
    <w:rsid w:val="008C2C62"/>
    <w:rsid w:val="008C2D4F"/>
    <w:rsid w:val="008C3067"/>
    <w:rsid w:val="008C3873"/>
    <w:rsid w:val="008C5114"/>
    <w:rsid w:val="008C5400"/>
    <w:rsid w:val="008C593A"/>
    <w:rsid w:val="008C5B98"/>
    <w:rsid w:val="008C658E"/>
    <w:rsid w:val="008C6D25"/>
    <w:rsid w:val="008D05C0"/>
    <w:rsid w:val="008D06CC"/>
    <w:rsid w:val="008D0A5D"/>
    <w:rsid w:val="008D0CF2"/>
    <w:rsid w:val="008D1339"/>
    <w:rsid w:val="008D2344"/>
    <w:rsid w:val="008D2AEF"/>
    <w:rsid w:val="008D3339"/>
    <w:rsid w:val="008D39F2"/>
    <w:rsid w:val="008D43EA"/>
    <w:rsid w:val="008D566B"/>
    <w:rsid w:val="008D5EDA"/>
    <w:rsid w:val="008D62D8"/>
    <w:rsid w:val="008D6583"/>
    <w:rsid w:val="008D73B2"/>
    <w:rsid w:val="008D7BB7"/>
    <w:rsid w:val="008E1039"/>
    <w:rsid w:val="008E1761"/>
    <w:rsid w:val="008E18FE"/>
    <w:rsid w:val="008E1B30"/>
    <w:rsid w:val="008E2421"/>
    <w:rsid w:val="008E29A4"/>
    <w:rsid w:val="008E3DE8"/>
    <w:rsid w:val="008E4278"/>
    <w:rsid w:val="008E4FED"/>
    <w:rsid w:val="008E5DC1"/>
    <w:rsid w:val="008E6EE5"/>
    <w:rsid w:val="008F067E"/>
    <w:rsid w:val="008F06CC"/>
    <w:rsid w:val="008F088D"/>
    <w:rsid w:val="008F2388"/>
    <w:rsid w:val="008F3AA0"/>
    <w:rsid w:val="008F3B15"/>
    <w:rsid w:val="008F516E"/>
    <w:rsid w:val="008F51ED"/>
    <w:rsid w:val="008F5201"/>
    <w:rsid w:val="008F5904"/>
    <w:rsid w:val="008F636E"/>
    <w:rsid w:val="008F68AD"/>
    <w:rsid w:val="008F6A2A"/>
    <w:rsid w:val="008F6D69"/>
    <w:rsid w:val="008F726F"/>
    <w:rsid w:val="00901064"/>
    <w:rsid w:val="00901874"/>
    <w:rsid w:val="009025E3"/>
    <w:rsid w:val="0090271B"/>
    <w:rsid w:val="009034BC"/>
    <w:rsid w:val="00903565"/>
    <w:rsid w:val="00903571"/>
    <w:rsid w:val="00903B7C"/>
    <w:rsid w:val="00904C9C"/>
    <w:rsid w:val="00905077"/>
    <w:rsid w:val="009055D0"/>
    <w:rsid w:val="009065CF"/>
    <w:rsid w:val="009069EB"/>
    <w:rsid w:val="00907D5D"/>
    <w:rsid w:val="009105F0"/>
    <w:rsid w:val="009110B3"/>
    <w:rsid w:val="0091140C"/>
    <w:rsid w:val="00911A19"/>
    <w:rsid w:val="00911ABB"/>
    <w:rsid w:val="0091376E"/>
    <w:rsid w:val="009137C1"/>
    <w:rsid w:val="009149E5"/>
    <w:rsid w:val="009157C5"/>
    <w:rsid w:val="00915BB6"/>
    <w:rsid w:val="0091677E"/>
    <w:rsid w:val="00916DB3"/>
    <w:rsid w:val="00917A84"/>
    <w:rsid w:val="00917C20"/>
    <w:rsid w:val="00920295"/>
    <w:rsid w:val="00920F32"/>
    <w:rsid w:val="0092155D"/>
    <w:rsid w:val="0092183E"/>
    <w:rsid w:val="00922193"/>
    <w:rsid w:val="00922794"/>
    <w:rsid w:val="00922A4C"/>
    <w:rsid w:val="00925744"/>
    <w:rsid w:val="009266A9"/>
    <w:rsid w:val="00926851"/>
    <w:rsid w:val="00926BCE"/>
    <w:rsid w:val="00926C3C"/>
    <w:rsid w:val="00926D0D"/>
    <w:rsid w:val="00927103"/>
    <w:rsid w:val="0092787A"/>
    <w:rsid w:val="009303D3"/>
    <w:rsid w:val="00930705"/>
    <w:rsid w:val="00932AFC"/>
    <w:rsid w:val="009349BF"/>
    <w:rsid w:val="00934FEF"/>
    <w:rsid w:val="00935E1E"/>
    <w:rsid w:val="00936635"/>
    <w:rsid w:val="009377C1"/>
    <w:rsid w:val="009377C7"/>
    <w:rsid w:val="009379D8"/>
    <w:rsid w:val="00937B81"/>
    <w:rsid w:val="00937E7D"/>
    <w:rsid w:val="00937F8B"/>
    <w:rsid w:val="0094068F"/>
    <w:rsid w:val="009413B9"/>
    <w:rsid w:val="00941E7C"/>
    <w:rsid w:val="009428E8"/>
    <w:rsid w:val="00943DEA"/>
    <w:rsid w:val="00945245"/>
    <w:rsid w:val="00946B0A"/>
    <w:rsid w:val="009500F7"/>
    <w:rsid w:val="00951AC0"/>
    <w:rsid w:val="0095337A"/>
    <w:rsid w:val="00953AD9"/>
    <w:rsid w:val="00954153"/>
    <w:rsid w:val="0095478A"/>
    <w:rsid w:val="00954D03"/>
    <w:rsid w:val="00955B1E"/>
    <w:rsid w:val="009560FF"/>
    <w:rsid w:val="0095695C"/>
    <w:rsid w:val="0095751B"/>
    <w:rsid w:val="00957FBE"/>
    <w:rsid w:val="00960158"/>
    <w:rsid w:val="0096173A"/>
    <w:rsid w:val="0096264A"/>
    <w:rsid w:val="009634F0"/>
    <w:rsid w:val="00963538"/>
    <w:rsid w:val="00963815"/>
    <w:rsid w:val="009645C7"/>
    <w:rsid w:val="0096468D"/>
    <w:rsid w:val="00964DD4"/>
    <w:rsid w:val="0096501D"/>
    <w:rsid w:val="00965C61"/>
    <w:rsid w:val="00965CD6"/>
    <w:rsid w:val="0096622C"/>
    <w:rsid w:val="0096629C"/>
    <w:rsid w:val="0096645B"/>
    <w:rsid w:val="00966EB5"/>
    <w:rsid w:val="00967702"/>
    <w:rsid w:val="00970394"/>
    <w:rsid w:val="00970AE9"/>
    <w:rsid w:val="00970B2F"/>
    <w:rsid w:val="009715B4"/>
    <w:rsid w:val="009716AD"/>
    <w:rsid w:val="009724E2"/>
    <w:rsid w:val="00973569"/>
    <w:rsid w:val="00975652"/>
    <w:rsid w:val="00975714"/>
    <w:rsid w:val="009759AE"/>
    <w:rsid w:val="00976719"/>
    <w:rsid w:val="00976E5D"/>
    <w:rsid w:val="00977C9C"/>
    <w:rsid w:val="00977F2F"/>
    <w:rsid w:val="009801DD"/>
    <w:rsid w:val="0098149D"/>
    <w:rsid w:val="0098151E"/>
    <w:rsid w:val="00981981"/>
    <w:rsid w:val="00982132"/>
    <w:rsid w:val="00982A39"/>
    <w:rsid w:val="009836BA"/>
    <w:rsid w:val="00983804"/>
    <w:rsid w:val="009843FD"/>
    <w:rsid w:val="00984659"/>
    <w:rsid w:val="009848DB"/>
    <w:rsid w:val="009856BE"/>
    <w:rsid w:val="00985A09"/>
    <w:rsid w:val="00986B0E"/>
    <w:rsid w:val="0099014E"/>
    <w:rsid w:val="00990AC2"/>
    <w:rsid w:val="00990C68"/>
    <w:rsid w:val="00990F79"/>
    <w:rsid w:val="0099111B"/>
    <w:rsid w:val="0099279B"/>
    <w:rsid w:val="0099287A"/>
    <w:rsid w:val="009932BB"/>
    <w:rsid w:val="0099330C"/>
    <w:rsid w:val="00993529"/>
    <w:rsid w:val="00993806"/>
    <w:rsid w:val="00993FF2"/>
    <w:rsid w:val="00994909"/>
    <w:rsid w:val="009950B4"/>
    <w:rsid w:val="009955E0"/>
    <w:rsid w:val="00997AFB"/>
    <w:rsid w:val="009A05D4"/>
    <w:rsid w:val="009A0A27"/>
    <w:rsid w:val="009A271A"/>
    <w:rsid w:val="009A291B"/>
    <w:rsid w:val="009A33CA"/>
    <w:rsid w:val="009A35FB"/>
    <w:rsid w:val="009A3A4E"/>
    <w:rsid w:val="009A483D"/>
    <w:rsid w:val="009A5605"/>
    <w:rsid w:val="009A59C7"/>
    <w:rsid w:val="009A7367"/>
    <w:rsid w:val="009B0E63"/>
    <w:rsid w:val="009B0F6F"/>
    <w:rsid w:val="009B1CA9"/>
    <w:rsid w:val="009B29FF"/>
    <w:rsid w:val="009B3413"/>
    <w:rsid w:val="009B420F"/>
    <w:rsid w:val="009B422A"/>
    <w:rsid w:val="009B50FB"/>
    <w:rsid w:val="009B559B"/>
    <w:rsid w:val="009B5C24"/>
    <w:rsid w:val="009B694A"/>
    <w:rsid w:val="009B6B02"/>
    <w:rsid w:val="009B6C39"/>
    <w:rsid w:val="009B6CD9"/>
    <w:rsid w:val="009B7AF9"/>
    <w:rsid w:val="009B7C70"/>
    <w:rsid w:val="009C1471"/>
    <w:rsid w:val="009C14DC"/>
    <w:rsid w:val="009C2E29"/>
    <w:rsid w:val="009C2EDF"/>
    <w:rsid w:val="009C3212"/>
    <w:rsid w:val="009C336D"/>
    <w:rsid w:val="009C48D2"/>
    <w:rsid w:val="009C4A27"/>
    <w:rsid w:val="009C4D38"/>
    <w:rsid w:val="009C6784"/>
    <w:rsid w:val="009C6792"/>
    <w:rsid w:val="009C688C"/>
    <w:rsid w:val="009C6B67"/>
    <w:rsid w:val="009C6DA1"/>
    <w:rsid w:val="009C7499"/>
    <w:rsid w:val="009C7E21"/>
    <w:rsid w:val="009D07C6"/>
    <w:rsid w:val="009D0992"/>
    <w:rsid w:val="009D13A5"/>
    <w:rsid w:val="009D2574"/>
    <w:rsid w:val="009D307C"/>
    <w:rsid w:val="009D379C"/>
    <w:rsid w:val="009D3AB5"/>
    <w:rsid w:val="009D4985"/>
    <w:rsid w:val="009D5A92"/>
    <w:rsid w:val="009D6C8C"/>
    <w:rsid w:val="009D79CD"/>
    <w:rsid w:val="009D7E7F"/>
    <w:rsid w:val="009E04B7"/>
    <w:rsid w:val="009E0951"/>
    <w:rsid w:val="009E3C6A"/>
    <w:rsid w:val="009E3EB8"/>
    <w:rsid w:val="009E4DAA"/>
    <w:rsid w:val="009F090E"/>
    <w:rsid w:val="009F0BC6"/>
    <w:rsid w:val="009F117C"/>
    <w:rsid w:val="009F1A86"/>
    <w:rsid w:val="009F1C86"/>
    <w:rsid w:val="009F2F86"/>
    <w:rsid w:val="009F3581"/>
    <w:rsid w:val="009F39EC"/>
    <w:rsid w:val="009F3B6E"/>
    <w:rsid w:val="009F4C3F"/>
    <w:rsid w:val="009F4DC2"/>
    <w:rsid w:val="009F5B70"/>
    <w:rsid w:val="009F5CA1"/>
    <w:rsid w:val="009F6055"/>
    <w:rsid w:val="009F609A"/>
    <w:rsid w:val="009F60A2"/>
    <w:rsid w:val="009F6595"/>
    <w:rsid w:val="009F7088"/>
    <w:rsid w:val="009F70BD"/>
    <w:rsid w:val="009F72EC"/>
    <w:rsid w:val="00A00AE3"/>
    <w:rsid w:val="00A01F08"/>
    <w:rsid w:val="00A02378"/>
    <w:rsid w:val="00A0255D"/>
    <w:rsid w:val="00A03084"/>
    <w:rsid w:val="00A0377F"/>
    <w:rsid w:val="00A03C6A"/>
    <w:rsid w:val="00A04C88"/>
    <w:rsid w:val="00A04FD7"/>
    <w:rsid w:val="00A0548C"/>
    <w:rsid w:val="00A05AD6"/>
    <w:rsid w:val="00A065E3"/>
    <w:rsid w:val="00A06DBF"/>
    <w:rsid w:val="00A0706D"/>
    <w:rsid w:val="00A10078"/>
    <w:rsid w:val="00A10B46"/>
    <w:rsid w:val="00A10C19"/>
    <w:rsid w:val="00A10D89"/>
    <w:rsid w:val="00A1108A"/>
    <w:rsid w:val="00A118E4"/>
    <w:rsid w:val="00A123BE"/>
    <w:rsid w:val="00A12B41"/>
    <w:rsid w:val="00A12F7E"/>
    <w:rsid w:val="00A135CA"/>
    <w:rsid w:val="00A139F1"/>
    <w:rsid w:val="00A15284"/>
    <w:rsid w:val="00A152F7"/>
    <w:rsid w:val="00A157A1"/>
    <w:rsid w:val="00A16483"/>
    <w:rsid w:val="00A16BAD"/>
    <w:rsid w:val="00A177A7"/>
    <w:rsid w:val="00A21C53"/>
    <w:rsid w:val="00A2279A"/>
    <w:rsid w:val="00A22AB9"/>
    <w:rsid w:val="00A2343D"/>
    <w:rsid w:val="00A23689"/>
    <w:rsid w:val="00A23A4F"/>
    <w:rsid w:val="00A24478"/>
    <w:rsid w:val="00A24B26"/>
    <w:rsid w:val="00A250C1"/>
    <w:rsid w:val="00A25530"/>
    <w:rsid w:val="00A25EE6"/>
    <w:rsid w:val="00A26328"/>
    <w:rsid w:val="00A2651C"/>
    <w:rsid w:val="00A26900"/>
    <w:rsid w:val="00A26A95"/>
    <w:rsid w:val="00A27362"/>
    <w:rsid w:val="00A27ABF"/>
    <w:rsid w:val="00A27D1B"/>
    <w:rsid w:val="00A27EDB"/>
    <w:rsid w:val="00A30544"/>
    <w:rsid w:val="00A31059"/>
    <w:rsid w:val="00A315D2"/>
    <w:rsid w:val="00A331A0"/>
    <w:rsid w:val="00A33F58"/>
    <w:rsid w:val="00A342D0"/>
    <w:rsid w:val="00A348CE"/>
    <w:rsid w:val="00A35083"/>
    <w:rsid w:val="00A360C6"/>
    <w:rsid w:val="00A3720A"/>
    <w:rsid w:val="00A37A98"/>
    <w:rsid w:val="00A40167"/>
    <w:rsid w:val="00A41056"/>
    <w:rsid w:val="00A419B3"/>
    <w:rsid w:val="00A422F9"/>
    <w:rsid w:val="00A43503"/>
    <w:rsid w:val="00A44313"/>
    <w:rsid w:val="00A445F0"/>
    <w:rsid w:val="00A44CF0"/>
    <w:rsid w:val="00A44E07"/>
    <w:rsid w:val="00A44E21"/>
    <w:rsid w:val="00A4675C"/>
    <w:rsid w:val="00A46CBC"/>
    <w:rsid w:val="00A47147"/>
    <w:rsid w:val="00A472B3"/>
    <w:rsid w:val="00A5017C"/>
    <w:rsid w:val="00A50818"/>
    <w:rsid w:val="00A50F07"/>
    <w:rsid w:val="00A516A3"/>
    <w:rsid w:val="00A524BB"/>
    <w:rsid w:val="00A5254D"/>
    <w:rsid w:val="00A52AAD"/>
    <w:rsid w:val="00A52DB5"/>
    <w:rsid w:val="00A53978"/>
    <w:rsid w:val="00A544CE"/>
    <w:rsid w:val="00A54C18"/>
    <w:rsid w:val="00A54CD9"/>
    <w:rsid w:val="00A56157"/>
    <w:rsid w:val="00A56780"/>
    <w:rsid w:val="00A577FD"/>
    <w:rsid w:val="00A57F4E"/>
    <w:rsid w:val="00A605DD"/>
    <w:rsid w:val="00A60B5C"/>
    <w:rsid w:val="00A61167"/>
    <w:rsid w:val="00A61D27"/>
    <w:rsid w:val="00A620FD"/>
    <w:rsid w:val="00A6223E"/>
    <w:rsid w:val="00A62A77"/>
    <w:rsid w:val="00A63724"/>
    <w:rsid w:val="00A64B51"/>
    <w:rsid w:val="00A65D2C"/>
    <w:rsid w:val="00A66F6D"/>
    <w:rsid w:val="00A67753"/>
    <w:rsid w:val="00A67CDE"/>
    <w:rsid w:val="00A701E0"/>
    <w:rsid w:val="00A702AC"/>
    <w:rsid w:val="00A71017"/>
    <w:rsid w:val="00A7168D"/>
    <w:rsid w:val="00A71AF5"/>
    <w:rsid w:val="00A71CD3"/>
    <w:rsid w:val="00A7243A"/>
    <w:rsid w:val="00A740D2"/>
    <w:rsid w:val="00A742DA"/>
    <w:rsid w:val="00A7432C"/>
    <w:rsid w:val="00A76108"/>
    <w:rsid w:val="00A765EF"/>
    <w:rsid w:val="00A77A21"/>
    <w:rsid w:val="00A806E0"/>
    <w:rsid w:val="00A81A16"/>
    <w:rsid w:val="00A81EA6"/>
    <w:rsid w:val="00A8231B"/>
    <w:rsid w:val="00A8260B"/>
    <w:rsid w:val="00A82F98"/>
    <w:rsid w:val="00A8309E"/>
    <w:rsid w:val="00A840A3"/>
    <w:rsid w:val="00A842E5"/>
    <w:rsid w:val="00A84448"/>
    <w:rsid w:val="00A84690"/>
    <w:rsid w:val="00A85CE2"/>
    <w:rsid w:val="00A85D69"/>
    <w:rsid w:val="00A85F65"/>
    <w:rsid w:val="00A860F9"/>
    <w:rsid w:val="00A86FFE"/>
    <w:rsid w:val="00A87207"/>
    <w:rsid w:val="00A879CD"/>
    <w:rsid w:val="00A87C41"/>
    <w:rsid w:val="00A904B2"/>
    <w:rsid w:val="00A905D6"/>
    <w:rsid w:val="00A90AD4"/>
    <w:rsid w:val="00A90D89"/>
    <w:rsid w:val="00A91917"/>
    <w:rsid w:val="00A936ED"/>
    <w:rsid w:val="00A942E4"/>
    <w:rsid w:val="00A9494C"/>
    <w:rsid w:val="00A94C70"/>
    <w:rsid w:val="00A95A0F"/>
    <w:rsid w:val="00A95C33"/>
    <w:rsid w:val="00A9649C"/>
    <w:rsid w:val="00A966C1"/>
    <w:rsid w:val="00A97809"/>
    <w:rsid w:val="00AA026D"/>
    <w:rsid w:val="00AA0F8F"/>
    <w:rsid w:val="00AA16D7"/>
    <w:rsid w:val="00AA245C"/>
    <w:rsid w:val="00AA3070"/>
    <w:rsid w:val="00AA58FB"/>
    <w:rsid w:val="00AA5A54"/>
    <w:rsid w:val="00AA5DEF"/>
    <w:rsid w:val="00AA67DC"/>
    <w:rsid w:val="00AA6D8F"/>
    <w:rsid w:val="00AA7F8C"/>
    <w:rsid w:val="00AB014F"/>
    <w:rsid w:val="00AB02C0"/>
    <w:rsid w:val="00AB1174"/>
    <w:rsid w:val="00AB12EA"/>
    <w:rsid w:val="00AB1BE9"/>
    <w:rsid w:val="00AB22F5"/>
    <w:rsid w:val="00AB394A"/>
    <w:rsid w:val="00AB4700"/>
    <w:rsid w:val="00AB50D4"/>
    <w:rsid w:val="00AB561F"/>
    <w:rsid w:val="00AB5E65"/>
    <w:rsid w:val="00AB67D8"/>
    <w:rsid w:val="00AB7A88"/>
    <w:rsid w:val="00AC09AF"/>
    <w:rsid w:val="00AC13E7"/>
    <w:rsid w:val="00AC1A48"/>
    <w:rsid w:val="00AC22EC"/>
    <w:rsid w:val="00AC2B96"/>
    <w:rsid w:val="00AC3745"/>
    <w:rsid w:val="00AC4B80"/>
    <w:rsid w:val="00AC4E0C"/>
    <w:rsid w:val="00AC519F"/>
    <w:rsid w:val="00AC71E0"/>
    <w:rsid w:val="00AC7437"/>
    <w:rsid w:val="00AD092B"/>
    <w:rsid w:val="00AD2B16"/>
    <w:rsid w:val="00AD2B74"/>
    <w:rsid w:val="00AD332F"/>
    <w:rsid w:val="00AD36CC"/>
    <w:rsid w:val="00AD3EC6"/>
    <w:rsid w:val="00AD512C"/>
    <w:rsid w:val="00AD5F82"/>
    <w:rsid w:val="00AD6024"/>
    <w:rsid w:val="00AE0033"/>
    <w:rsid w:val="00AE0156"/>
    <w:rsid w:val="00AE1645"/>
    <w:rsid w:val="00AE2456"/>
    <w:rsid w:val="00AE2FFE"/>
    <w:rsid w:val="00AE318F"/>
    <w:rsid w:val="00AE34E7"/>
    <w:rsid w:val="00AE3D1B"/>
    <w:rsid w:val="00AE3E37"/>
    <w:rsid w:val="00AE65B3"/>
    <w:rsid w:val="00AE669E"/>
    <w:rsid w:val="00AE6E77"/>
    <w:rsid w:val="00AE7ADD"/>
    <w:rsid w:val="00AF1258"/>
    <w:rsid w:val="00AF16C0"/>
    <w:rsid w:val="00AF2594"/>
    <w:rsid w:val="00AF2BA1"/>
    <w:rsid w:val="00AF3078"/>
    <w:rsid w:val="00AF3535"/>
    <w:rsid w:val="00AF582D"/>
    <w:rsid w:val="00AF6223"/>
    <w:rsid w:val="00B00B65"/>
    <w:rsid w:val="00B00C01"/>
    <w:rsid w:val="00B00D8A"/>
    <w:rsid w:val="00B011D1"/>
    <w:rsid w:val="00B01C2D"/>
    <w:rsid w:val="00B02C01"/>
    <w:rsid w:val="00B03859"/>
    <w:rsid w:val="00B03B47"/>
    <w:rsid w:val="00B04A79"/>
    <w:rsid w:val="00B04BE3"/>
    <w:rsid w:val="00B050CE"/>
    <w:rsid w:val="00B05902"/>
    <w:rsid w:val="00B077A5"/>
    <w:rsid w:val="00B10005"/>
    <w:rsid w:val="00B104A2"/>
    <w:rsid w:val="00B10C79"/>
    <w:rsid w:val="00B11452"/>
    <w:rsid w:val="00B1164D"/>
    <w:rsid w:val="00B11C24"/>
    <w:rsid w:val="00B11DE1"/>
    <w:rsid w:val="00B1236A"/>
    <w:rsid w:val="00B124BA"/>
    <w:rsid w:val="00B12890"/>
    <w:rsid w:val="00B135B7"/>
    <w:rsid w:val="00B139E5"/>
    <w:rsid w:val="00B15675"/>
    <w:rsid w:val="00B16EBD"/>
    <w:rsid w:val="00B17734"/>
    <w:rsid w:val="00B17F5C"/>
    <w:rsid w:val="00B204B7"/>
    <w:rsid w:val="00B22249"/>
    <w:rsid w:val="00B22433"/>
    <w:rsid w:val="00B22AAB"/>
    <w:rsid w:val="00B23DEC"/>
    <w:rsid w:val="00B23EA9"/>
    <w:rsid w:val="00B2466A"/>
    <w:rsid w:val="00B249FB"/>
    <w:rsid w:val="00B25A02"/>
    <w:rsid w:val="00B3133A"/>
    <w:rsid w:val="00B31D19"/>
    <w:rsid w:val="00B31F0F"/>
    <w:rsid w:val="00B32B3E"/>
    <w:rsid w:val="00B337EA"/>
    <w:rsid w:val="00B33EE5"/>
    <w:rsid w:val="00B33F76"/>
    <w:rsid w:val="00B34800"/>
    <w:rsid w:val="00B353B4"/>
    <w:rsid w:val="00B3569C"/>
    <w:rsid w:val="00B35BBA"/>
    <w:rsid w:val="00B35D15"/>
    <w:rsid w:val="00B35F81"/>
    <w:rsid w:val="00B36328"/>
    <w:rsid w:val="00B368E1"/>
    <w:rsid w:val="00B36E62"/>
    <w:rsid w:val="00B37993"/>
    <w:rsid w:val="00B401E8"/>
    <w:rsid w:val="00B4034F"/>
    <w:rsid w:val="00B40B2A"/>
    <w:rsid w:val="00B426C1"/>
    <w:rsid w:val="00B42995"/>
    <w:rsid w:val="00B430E8"/>
    <w:rsid w:val="00B43E1D"/>
    <w:rsid w:val="00B4403B"/>
    <w:rsid w:val="00B44244"/>
    <w:rsid w:val="00B44707"/>
    <w:rsid w:val="00B4526C"/>
    <w:rsid w:val="00B45428"/>
    <w:rsid w:val="00B457D1"/>
    <w:rsid w:val="00B45950"/>
    <w:rsid w:val="00B45C7B"/>
    <w:rsid w:val="00B45E11"/>
    <w:rsid w:val="00B45E35"/>
    <w:rsid w:val="00B45E66"/>
    <w:rsid w:val="00B46AFB"/>
    <w:rsid w:val="00B47509"/>
    <w:rsid w:val="00B47711"/>
    <w:rsid w:val="00B47D5B"/>
    <w:rsid w:val="00B50BE8"/>
    <w:rsid w:val="00B51361"/>
    <w:rsid w:val="00B51A86"/>
    <w:rsid w:val="00B52936"/>
    <w:rsid w:val="00B5464E"/>
    <w:rsid w:val="00B549B4"/>
    <w:rsid w:val="00B54AE8"/>
    <w:rsid w:val="00B54B6C"/>
    <w:rsid w:val="00B55109"/>
    <w:rsid w:val="00B554FD"/>
    <w:rsid w:val="00B55CEE"/>
    <w:rsid w:val="00B56EB6"/>
    <w:rsid w:val="00B570EF"/>
    <w:rsid w:val="00B612CD"/>
    <w:rsid w:val="00B618F6"/>
    <w:rsid w:val="00B61AFF"/>
    <w:rsid w:val="00B61EB9"/>
    <w:rsid w:val="00B6242B"/>
    <w:rsid w:val="00B62596"/>
    <w:rsid w:val="00B62E76"/>
    <w:rsid w:val="00B63764"/>
    <w:rsid w:val="00B6403A"/>
    <w:rsid w:val="00B64754"/>
    <w:rsid w:val="00B6621B"/>
    <w:rsid w:val="00B66709"/>
    <w:rsid w:val="00B67957"/>
    <w:rsid w:val="00B70514"/>
    <w:rsid w:val="00B70898"/>
    <w:rsid w:val="00B71B3F"/>
    <w:rsid w:val="00B71BA1"/>
    <w:rsid w:val="00B71FCA"/>
    <w:rsid w:val="00B72410"/>
    <w:rsid w:val="00B72AE6"/>
    <w:rsid w:val="00B739CB"/>
    <w:rsid w:val="00B73A85"/>
    <w:rsid w:val="00B743DC"/>
    <w:rsid w:val="00B75F62"/>
    <w:rsid w:val="00B7636A"/>
    <w:rsid w:val="00B7638F"/>
    <w:rsid w:val="00B76A63"/>
    <w:rsid w:val="00B76FA3"/>
    <w:rsid w:val="00B804F4"/>
    <w:rsid w:val="00B80A7B"/>
    <w:rsid w:val="00B81269"/>
    <w:rsid w:val="00B81CBC"/>
    <w:rsid w:val="00B8214C"/>
    <w:rsid w:val="00B82BDC"/>
    <w:rsid w:val="00B8389E"/>
    <w:rsid w:val="00B83E2B"/>
    <w:rsid w:val="00B840BD"/>
    <w:rsid w:val="00B85080"/>
    <w:rsid w:val="00B851D5"/>
    <w:rsid w:val="00B85333"/>
    <w:rsid w:val="00B8575D"/>
    <w:rsid w:val="00B85DA8"/>
    <w:rsid w:val="00B867E5"/>
    <w:rsid w:val="00B86B65"/>
    <w:rsid w:val="00B908C8"/>
    <w:rsid w:val="00B93FF2"/>
    <w:rsid w:val="00B95628"/>
    <w:rsid w:val="00B957AA"/>
    <w:rsid w:val="00B95DB5"/>
    <w:rsid w:val="00B95E06"/>
    <w:rsid w:val="00B962A1"/>
    <w:rsid w:val="00B9637E"/>
    <w:rsid w:val="00B96728"/>
    <w:rsid w:val="00B96964"/>
    <w:rsid w:val="00B9755F"/>
    <w:rsid w:val="00BA0351"/>
    <w:rsid w:val="00BA09EE"/>
    <w:rsid w:val="00BA0A38"/>
    <w:rsid w:val="00BA44C4"/>
    <w:rsid w:val="00BA4B7C"/>
    <w:rsid w:val="00BA4EF4"/>
    <w:rsid w:val="00BA69E9"/>
    <w:rsid w:val="00BA7B3E"/>
    <w:rsid w:val="00BB0C43"/>
    <w:rsid w:val="00BB10B1"/>
    <w:rsid w:val="00BB3123"/>
    <w:rsid w:val="00BB32E5"/>
    <w:rsid w:val="00BB3415"/>
    <w:rsid w:val="00BB3A51"/>
    <w:rsid w:val="00BB5105"/>
    <w:rsid w:val="00BB58AA"/>
    <w:rsid w:val="00BB6604"/>
    <w:rsid w:val="00BB6EF5"/>
    <w:rsid w:val="00BB7306"/>
    <w:rsid w:val="00BB7604"/>
    <w:rsid w:val="00BC00AD"/>
    <w:rsid w:val="00BC1383"/>
    <w:rsid w:val="00BC1E0B"/>
    <w:rsid w:val="00BC302A"/>
    <w:rsid w:val="00BC335A"/>
    <w:rsid w:val="00BC3598"/>
    <w:rsid w:val="00BC3ACC"/>
    <w:rsid w:val="00BC3C2D"/>
    <w:rsid w:val="00BC4515"/>
    <w:rsid w:val="00BC5C14"/>
    <w:rsid w:val="00BC61B9"/>
    <w:rsid w:val="00BC63B5"/>
    <w:rsid w:val="00BC64F4"/>
    <w:rsid w:val="00BC669B"/>
    <w:rsid w:val="00BC6E14"/>
    <w:rsid w:val="00BC6FA3"/>
    <w:rsid w:val="00BC728D"/>
    <w:rsid w:val="00BC7D92"/>
    <w:rsid w:val="00BD08C8"/>
    <w:rsid w:val="00BD0A25"/>
    <w:rsid w:val="00BD0EBD"/>
    <w:rsid w:val="00BD135E"/>
    <w:rsid w:val="00BD222D"/>
    <w:rsid w:val="00BD2951"/>
    <w:rsid w:val="00BD3447"/>
    <w:rsid w:val="00BD4740"/>
    <w:rsid w:val="00BD4B77"/>
    <w:rsid w:val="00BD4EC2"/>
    <w:rsid w:val="00BD4F87"/>
    <w:rsid w:val="00BD5B08"/>
    <w:rsid w:val="00BD71C9"/>
    <w:rsid w:val="00BD7A9F"/>
    <w:rsid w:val="00BE0E8A"/>
    <w:rsid w:val="00BE2A82"/>
    <w:rsid w:val="00BE2FBE"/>
    <w:rsid w:val="00BE30E9"/>
    <w:rsid w:val="00BE33FE"/>
    <w:rsid w:val="00BE368C"/>
    <w:rsid w:val="00BE3888"/>
    <w:rsid w:val="00BE5121"/>
    <w:rsid w:val="00BE562C"/>
    <w:rsid w:val="00BE6492"/>
    <w:rsid w:val="00BE6FD4"/>
    <w:rsid w:val="00BE7901"/>
    <w:rsid w:val="00BE7A6D"/>
    <w:rsid w:val="00BF0206"/>
    <w:rsid w:val="00BF10DA"/>
    <w:rsid w:val="00BF14FA"/>
    <w:rsid w:val="00BF15E6"/>
    <w:rsid w:val="00BF1682"/>
    <w:rsid w:val="00BF318D"/>
    <w:rsid w:val="00BF367E"/>
    <w:rsid w:val="00BF3F11"/>
    <w:rsid w:val="00BF4436"/>
    <w:rsid w:val="00BF510A"/>
    <w:rsid w:val="00BF51FA"/>
    <w:rsid w:val="00BF5E0C"/>
    <w:rsid w:val="00BF647D"/>
    <w:rsid w:val="00BF69C4"/>
    <w:rsid w:val="00BF7450"/>
    <w:rsid w:val="00BF7CF7"/>
    <w:rsid w:val="00C00AA9"/>
    <w:rsid w:val="00C016DB"/>
    <w:rsid w:val="00C03205"/>
    <w:rsid w:val="00C04FD0"/>
    <w:rsid w:val="00C06046"/>
    <w:rsid w:val="00C06580"/>
    <w:rsid w:val="00C075E4"/>
    <w:rsid w:val="00C0764B"/>
    <w:rsid w:val="00C11FFF"/>
    <w:rsid w:val="00C1230A"/>
    <w:rsid w:val="00C12607"/>
    <w:rsid w:val="00C13561"/>
    <w:rsid w:val="00C14095"/>
    <w:rsid w:val="00C14E9A"/>
    <w:rsid w:val="00C1604A"/>
    <w:rsid w:val="00C172B8"/>
    <w:rsid w:val="00C173C0"/>
    <w:rsid w:val="00C17995"/>
    <w:rsid w:val="00C204CA"/>
    <w:rsid w:val="00C220C0"/>
    <w:rsid w:val="00C22599"/>
    <w:rsid w:val="00C23CC7"/>
    <w:rsid w:val="00C246A2"/>
    <w:rsid w:val="00C25BE1"/>
    <w:rsid w:val="00C2612B"/>
    <w:rsid w:val="00C26235"/>
    <w:rsid w:val="00C263A4"/>
    <w:rsid w:val="00C268C2"/>
    <w:rsid w:val="00C27516"/>
    <w:rsid w:val="00C27BAF"/>
    <w:rsid w:val="00C27C6F"/>
    <w:rsid w:val="00C27CCA"/>
    <w:rsid w:val="00C3029B"/>
    <w:rsid w:val="00C30B61"/>
    <w:rsid w:val="00C30F3D"/>
    <w:rsid w:val="00C31136"/>
    <w:rsid w:val="00C31718"/>
    <w:rsid w:val="00C31A9F"/>
    <w:rsid w:val="00C323F7"/>
    <w:rsid w:val="00C32878"/>
    <w:rsid w:val="00C329B0"/>
    <w:rsid w:val="00C33C5C"/>
    <w:rsid w:val="00C33D61"/>
    <w:rsid w:val="00C340F5"/>
    <w:rsid w:val="00C344A7"/>
    <w:rsid w:val="00C34C39"/>
    <w:rsid w:val="00C353A7"/>
    <w:rsid w:val="00C353F9"/>
    <w:rsid w:val="00C3580C"/>
    <w:rsid w:val="00C36427"/>
    <w:rsid w:val="00C36CA0"/>
    <w:rsid w:val="00C36CAA"/>
    <w:rsid w:val="00C36D58"/>
    <w:rsid w:val="00C40E27"/>
    <w:rsid w:val="00C442C1"/>
    <w:rsid w:val="00C44316"/>
    <w:rsid w:val="00C46E50"/>
    <w:rsid w:val="00C47250"/>
    <w:rsid w:val="00C4784B"/>
    <w:rsid w:val="00C47B4C"/>
    <w:rsid w:val="00C47E54"/>
    <w:rsid w:val="00C50078"/>
    <w:rsid w:val="00C50CDE"/>
    <w:rsid w:val="00C50E33"/>
    <w:rsid w:val="00C510E0"/>
    <w:rsid w:val="00C515EF"/>
    <w:rsid w:val="00C51B47"/>
    <w:rsid w:val="00C525C8"/>
    <w:rsid w:val="00C52F55"/>
    <w:rsid w:val="00C5424F"/>
    <w:rsid w:val="00C54BA3"/>
    <w:rsid w:val="00C56885"/>
    <w:rsid w:val="00C57DA5"/>
    <w:rsid w:val="00C57F78"/>
    <w:rsid w:val="00C60FAD"/>
    <w:rsid w:val="00C60FAF"/>
    <w:rsid w:val="00C61D5F"/>
    <w:rsid w:val="00C620D0"/>
    <w:rsid w:val="00C64438"/>
    <w:rsid w:val="00C64B11"/>
    <w:rsid w:val="00C64C19"/>
    <w:rsid w:val="00C6501F"/>
    <w:rsid w:val="00C6567B"/>
    <w:rsid w:val="00C6659D"/>
    <w:rsid w:val="00C6680A"/>
    <w:rsid w:val="00C70698"/>
    <w:rsid w:val="00C7093C"/>
    <w:rsid w:val="00C70A7D"/>
    <w:rsid w:val="00C70D2C"/>
    <w:rsid w:val="00C7190B"/>
    <w:rsid w:val="00C72B69"/>
    <w:rsid w:val="00C72D0A"/>
    <w:rsid w:val="00C73A51"/>
    <w:rsid w:val="00C73DA5"/>
    <w:rsid w:val="00C75122"/>
    <w:rsid w:val="00C7543F"/>
    <w:rsid w:val="00C75D26"/>
    <w:rsid w:val="00C80F5A"/>
    <w:rsid w:val="00C82196"/>
    <w:rsid w:val="00C842DA"/>
    <w:rsid w:val="00C86796"/>
    <w:rsid w:val="00C86E83"/>
    <w:rsid w:val="00C875C4"/>
    <w:rsid w:val="00C87BD0"/>
    <w:rsid w:val="00C9007C"/>
    <w:rsid w:val="00C90C53"/>
    <w:rsid w:val="00C915D7"/>
    <w:rsid w:val="00C9161D"/>
    <w:rsid w:val="00C91895"/>
    <w:rsid w:val="00C91C1B"/>
    <w:rsid w:val="00C91D79"/>
    <w:rsid w:val="00C92123"/>
    <w:rsid w:val="00C92DC4"/>
    <w:rsid w:val="00C944CA"/>
    <w:rsid w:val="00C95BA3"/>
    <w:rsid w:val="00C960D1"/>
    <w:rsid w:val="00C962E4"/>
    <w:rsid w:val="00C9659B"/>
    <w:rsid w:val="00C96867"/>
    <w:rsid w:val="00C97792"/>
    <w:rsid w:val="00C97B01"/>
    <w:rsid w:val="00CA00C1"/>
    <w:rsid w:val="00CA0DD5"/>
    <w:rsid w:val="00CA2931"/>
    <w:rsid w:val="00CA365B"/>
    <w:rsid w:val="00CA3BD4"/>
    <w:rsid w:val="00CA4073"/>
    <w:rsid w:val="00CA49DD"/>
    <w:rsid w:val="00CA4B5D"/>
    <w:rsid w:val="00CA4ED8"/>
    <w:rsid w:val="00CA582D"/>
    <w:rsid w:val="00CA6D17"/>
    <w:rsid w:val="00CA7AF0"/>
    <w:rsid w:val="00CB0010"/>
    <w:rsid w:val="00CB027B"/>
    <w:rsid w:val="00CB1723"/>
    <w:rsid w:val="00CB2F9D"/>
    <w:rsid w:val="00CB3169"/>
    <w:rsid w:val="00CB38CA"/>
    <w:rsid w:val="00CB44D8"/>
    <w:rsid w:val="00CB5C5B"/>
    <w:rsid w:val="00CB7225"/>
    <w:rsid w:val="00CC002F"/>
    <w:rsid w:val="00CC0171"/>
    <w:rsid w:val="00CC0E3E"/>
    <w:rsid w:val="00CC243E"/>
    <w:rsid w:val="00CC2602"/>
    <w:rsid w:val="00CC33C4"/>
    <w:rsid w:val="00CC4BC9"/>
    <w:rsid w:val="00CC5265"/>
    <w:rsid w:val="00CC5529"/>
    <w:rsid w:val="00CC5743"/>
    <w:rsid w:val="00CC5F6D"/>
    <w:rsid w:val="00CC676F"/>
    <w:rsid w:val="00CC6CDC"/>
    <w:rsid w:val="00CC71D4"/>
    <w:rsid w:val="00CD17FC"/>
    <w:rsid w:val="00CD1A42"/>
    <w:rsid w:val="00CD24F8"/>
    <w:rsid w:val="00CD27F0"/>
    <w:rsid w:val="00CD2B16"/>
    <w:rsid w:val="00CD2DF8"/>
    <w:rsid w:val="00CD4947"/>
    <w:rsid w:val="00CD50C1"/>
    <w:rsid w:val="00CD63B8"/>
    <w:rsid w:val="00CE0400"/>
    <w:rsid w:val="00CE04CB"/>
    <w:rsid w:val="00CE1B1B"/>
    <w:rsid w:val="00CE1D83"/>
    <w:rsid w:val="00CE1EE6"/>
    <w:rsid w:val="00CE2250"/>
    <w:rsid w:val="00CE245E"/>
    <w:rsid w:val="00CE2EB9"/>
    <w:rsid w:val="00CE30CC"/>
    <w:rsid w:val="00CE34E8"/>
    <w:rsid w:val="00CE3ADB"/>
    <w:rsid w:val="00CE5D99"/>
    <w:rsid w:val="00CE60AE"/>
    <w:rsid w:val="00CE71FF"/>
    <w:rsid w:val="00CE731E"/>
    <w:rsid w:val="00CE75B1"/>
    <w:rsid w:val="00CE7E5E"/>
    <w:rsid w:val="00CF01AC"/>
    <w:rsid w:val="00CF0E07"/>
    <w:rsid w:val="00CF1553"/>
    <w:rsid w:val="00CF1FB1"/>
    <w:rsid w:val="00CF26BE"/>
    <w:rsid w:val="00CF2980"/>
    <w:rsid w:val="00CF2BB6"/>
    <w:rsid w:val="00CF34A0"/>
    <w:rsid w:val="00CF383B"/>
    <w:rsid w:val="00CF48C8"/>
    <w:rsid w:val="00CF4963"/>
    <w:rsid w:val="00CF59D3"/>
    <w:rsid w:val="00CF5C1B"/>
    <w:rsid w:val="00CF607D"/>
    <w:rsid w:val="00CF677E"/>
    <w:rsid w:val="00CF6EF0"/>
    <w:rsid w:val="00CF70C5"/>
    <w:rsid w:val="00CF73E7"/>
    <w:rsid w:val="00CF7564"/>
    <w:rsid w:val="00D00574"/>
    <w:rsid w:val="00D01504"/>
    <w:rsid w:val="00D018AF"/>
    <w:rsid w:val="00D03022"/>
    <w:rsid w:val="00D03CA5"/>
    <w:rsid w:val="00D06108"/>
    <w:rsid w:val="00D06CBE"/>
    <w:rsid w:val="00D074AE"/>
    <w:rsid w:val="00D07565"/>
    <w:rsid w:val="00D10B49"/>
    <w:rsid w:val="00D113C0"/>
    <w:rsid w:val="00D11464"/>
    <w:rsid w:val="00D1292A"/>
    <w:rsid w:val="00D12A85"/>
    <w:rsid w:val="00D12EAF"/>
    <w:rsid w:val="00D12F96"/>
    <w:rsid w:val="00D13EA1"/>
    <w:rsid w:val="00D14009"/>
    <w:rsid w:val="00D14CE9"/>
    <w:rsid w:val="00D151EA"/>
    <w:rsid w:val="00D155E5"/>
    <w:rsid w:val="00D166BB"/>
    <w:rsid w:val="00D169E8"/>
    <w:rsid w:val="00D16C70"/>
    <w:rsid w:val="00D17EEF"/>
    <w:rsid w:val="00D2093B"/>
    <w:rsid w:val="00D2094C"/>
    <w:rsid w:val="00D21036"/>
    <w:rsid w:val="00D21E98"/>
    <w:rsid w:val="00D222A8"/>
    <w:rsid w:val="00D229BB"/>
    <w:rsid w:val="00D230B1"/>
    <w:rsid w:val="00D23CD5"/>
    <w:rsid w:val="00D24C59"/>
    <w:rsid w:val="00D25554"/>
    <w:rsid w:val="00D255E6"/>
    <w:rsid w:val="00D26903"/>
    <w:rsid w:val="00D26C1F"/>
    <w:rsid w:val="00D26C26"/>
    <w:rsid w:val="00D26CE5"/>
    <w:rsid w:val="00D26DBB"/>
    <w:rsid w:val="00D27C9C"/>
    <w:rsid w:val="00D27DE8"/>
    <w:rsid w:val="00D300DD"/>
    <w:rsid w:val="00D301BE"/>
    <w:rsid w:val="00D30BAC"/>
    <w:rsid w:val="00D31432"/>
    <w:rsid w:val="00D339AC"/>
    <w:rsid w:val="00D33C23"/>
    <w:rsid w:val="00D345EB"/>
    <w:rsid w:val="00D35502"/>
    <w:rsid w:val="00D36100"/>
    <w:rsid w:val="00D36270"/>
    <w:rsid w:val="00D367FB"/>
    <w:rsid w:val="00D36E18"/>
    <w:rsid w:val="00D37150"/>
    <w:rsid w:val="00D37906"/>
    <w:rsid w:val="00D41B09"/>
    <w:rsid w:val="00D42C94"/>
    <w:rsid w:val="00D43581"/>
    <w:rsid w:val="00D4435D"/>
    <w:rsid w:val="00D44740"/>
    <w:rsid w:val="00D451AB"/>
    <w:rsid w:val="00D456D7"/>
    <w:rsid w:val="00D463FF"/>
    <w:rsid w:val="00D4668B"/>
    <w:rsid w:val="00D501D4"/>
    <w:rsid w:val="00D51D3B"/>
    <w:rsid w:val="00D528DC"/>
    <w:rsid w:val="00D560A0"/>
    <w:rsid w:val="00D57050"/>
    <w:rsid w:val="00D57E09"/>
    <w:rsid w:val="00D6119A"/>
    <w:rsid w:val="00D61A79"/>
    <w:rsid w:val="00D62423"/>
    <w:rsid w:val="00D62B9F"/>
    <w:rsid w:val="00D63187"/>
    <w:rsid w:val="00D63458"/>
    <w:rsid w:val="00D646C7"/>
    <w:rsid w:val="00D66540"/>
    <w:rsid w:val="00D67FC0"/>
    <w:rsid w:val="00D70C20"/>
    <w:rsid w:val="00D71EAA"/>
    <w:rsid w:val="00D72C1F"/>
    <w:rsid w:val="00D72C75"/>
    <w:rsid w:val="00D73185"/>
    <w:rsid w:val="00D7341D"/>
    <w:rsid w:val="00D736CF"/>
    <w:rsid w:val="00D73C9E"/>
    <w:rsid w:val="00D73F63"/>
    <w:rsid w:val="00D7429E"/>
    <w:rsid w:val="00D7433B"/>
    <w:rsid w:val="00D74731"/>
    <w:rsid w:val="00D75B10"/>
    <w:rsid w:val="00D764A2"/>
    <w:rsid w:val="00D76E6F"/>
    <w:rsid w:val="00D77101"/>
    <w:rsid w:val="00D7795C"/>
    <w:rsid w:val="00D77E49"/>
    <w:rsid w:val="00D80492"/>
    <w:rsid w:val="00D80E33"/>
    <w:rsid w:val="00D8126A"/>
    <w:rsid w:val="00D818C5"/>
    <w:rsid w:val="00D81E77"/>
    <w:rsid w:val="00D8214A"/>
    <w:rsid w:val="00D82BEC"/>
    <w:rsid w:val="00D82FF8"/>
    <w:rsid w:val="00D8487C"/>
    <w:rsid w:val="00D8513B"/>
    <w:rsid w:val="00D8523E"/>
    <w:rsid w:val="00D853E6"/>
    <w:rsid w:val="00D85416"/>
    <w:rsid w:val="00D875AE"/>
    <w:rsid w:val="00D9011A"/>
    <w:rsid w:val="00D91802"/>
    <w:rsid w:val="00D924EC"/>
    <w:rsid w:val="00D92B48"/>
    <w:rsid w:val="00D934B7"/>
    <w:rsid w:val="00D93F02"/>
    <w:rsid w:val="00D94B12"/>
    <w:rsid w:val="00D94EE7"/>
    <w:rsid w:val="00D95314"/>
    <w:rsid w:val="00D956BB"/>
    <w:rsid w:val="00D97F1A"/>
    <w:rsid w:val="00DA07C2"/>
    <w:rsid w:val="00DA24AB"/>
    <w:rsid w:val="00DA2780"/>
    <w:rsid w:val="00DA2C05"/>
    <w:rsid w:val="00DA31CE"/>
    <w:rsid w:val="00DA361D"/>
    <w:rsid w:val="00DA36EC"/>
    <w:rsid w:val="00DA38C1"/>
    <w:rsid w:val="00DA403A"/>
    <w:rsid w:val="00DA4B30"/>
    <w:rsid w:val="00DA4D42"/>
    <w:rsid w:val="00DA6048"/>
    <w:rsid w:val="00DA6C0A"/>
    <w:rsid w:val="00DB0CFB"/>
    <w:rsid w:val="00DB0DDF"/>
    <w:rsid w:val="00DB120A"/>
    <w:rsid w:val="00DB182F"/>
    <w:rsid w:val="00DB35D1"/>
    <w:rsid w:val="00DB372D"/>
    <w:rsid w:val="00DB3766"/>
    <w:rsid w:val="00DB386D"/>
    <w:rsid w:val="00DB389A"/>
    <w:rsid w:val="00DB4EAB"/>
    <w:rsid w:val="00DB50ED"/>
    <w:rsid w:val="00DB5D78"/>
    <w:rsid w:val="00DB5E7E"/>
    <w:rsid w:val="00DB657D"/>
    <w:rsid w:val="00DB7371"/>
    <w:rsid w:val="00DB7D80"/>
    <w:rsid w:val="00DC12E0"/>
    <w:rsid w:val="00DC17CA"/>
    <w:rsid w:val="00DC1912"/>
    <w:rsid w:val="00DC22D9"/>
    <w:rsid w:val="00DC242A"/>
    <w:rsid w:val="00DC2459"/>
    <w:rsid w:val="00DC27FB"/>
    <w:rsid w:val="00DC4620"/>
    <w:rsid w:val="00DC46F9"/>
    <w:rsid w:val="00DC516E"/>
    <w:rsid w:val="00DC5534"/>
    <w:rsid w:val="00DC5B86"/>
    <w:rsid w:val="00DC6A3C"/>
    <w:rsid w:val="00DD12EF"/>
    <w:rsid w:val="00DD145A"/>
    <w:rsid w:val="00DD27D8"/>
    <w:rsid w:val="00DD29AD"/>
    <w:rsid w:val="00DD2E06"/>
    <w:rsid w:val="00DD2F8E"/>
    <w:rsid w:val="00DD39A6"/>
    <w:rsid w:val="00DD3CEB"/>
    <w:rsid w:val="00DD3EF1"/>
    <w:rsid w:val="00DD491E"/>
    <w:rsid w:val="00DD4E10"/>
    <w:rsid w:val="00DD4FBA"/>
    <w:rsid w:val="00DD5540"/>
    <w:rsid w:val="00DD638E"/>
    <w:rsid w:val="00DD6844"/>
    <w:rsid w:val="00DD7075"/>
    <w:rsid w:val="00DD74D9"/>
    <w:rsid w:val="00DE0F70"/>
    <w:rsid w:val="00DE13B4"/>
    <w:rsid w:val="00DE29C3"/>
    <w:rsid w:val="00DE2B9D"/>
    <w:rsid w:val="00DE2C00"/>
    <w:rsid w:val="00DE2C18"/>
    <w:rsid w:val="00DE4322"/>
    <w:rsid w:val="00DE44B4"/>
    <w:rsid w:val="00DE53BC"/>
    <w:rsid w:val="00DE5539"/>
    <w:rsid w:val="00DE56FA"/>
    <w:rsid w:val="00DE631E"/>
    <w:rsid w:val="00DE6640"/>
    <w:rsid w:val="00DE69A6"/>
    <w:rsid w:val="00DE6BE7"/>
    <w:rsid w:val="00DE6DB5"/>
    <w:rsid w:val="00DE6E47"/>
    <w:rsid w:val="00DE7600"/>
    <w:rsid w:val="00DE7652"/>
    <w:rsid w:val="00DF019E"/>
    <w:rsid w:val="00DF1888"/>
    <w:rsid w:val="00DF1B01"/>
    <w:rsid w:val="00DF25FA"/>
    <w:rsid w:val="00DF264E"/>
    <w:rsid w:val="00DF2965"/>
    <w:rsid w:val="00DF3433"/>
    <w:rsid w:val="00DF396A"/>
    <w:rsid w:val="00DF4721"/>
    <w:rsid w:val="00DF4779"/>
    <w:rsid w:val="00DF4CB0"/>
    <w:rsid w:val="00DF53B6"/>
    <w:rsid w:val="00DF5A22"/>
    <w:rsid w:val="00DF5DA3"/>
    <w:rsid w:val="00DF5DA4"/>
    <w:rsid w:val="00DF6467"/>
    <w:rsid w:val="00E01593"/>
    <w:rsid w:val="00E01781"/>
    <w:rsid w:val="00E024AF"/>
    <w:rsid w:val="00E02A22"/>
    <w:rsid w:val="00E03447"/>
    <w:rsid w:val="00E03958"/>
    <w:rsid w:val="00E03F94"/>
    <w:rsid w:val="00E0488A"/>
    <w:rsid w:val="00E04B4F"/>
    <w:rsid w:val="00E057EF"/>
    <w:rsid w:val="00E06054"/>
    <w:rsid w:val="00E0673A"/>
    <w:rsid w:val="00E067D7"/>
    <w:rsid w:val="00E0692D"/>
    <w:rsid w:val="00E07477"/>
    <w:rsid w:val="00E07FE5"/>
    <w:rsid w:val="00E117BB"/>
    <w:rsid w:val="00E119F9"/>
    <w:rsid w:val="00E11A69"/>
    <w:rsid w:val="00E132F3"/>
    <w:rsid w:val="00E133ED"/>
    <w:rsid w:val="00E143A7"/>
    <w:rsid w:val="00E14A7C"/>
    <w:rsid w:val="00E16937"/>
    <w:rsid w:val="00E171E5"/>
    <w:rsid w:val="00E1741F"/>
    <w:rsid w:val="00E175D3"/>
    <w:rsid w:val="00E2008B"/>
    <w:rsid w:val="00E20634"/>
    <w:rsid w:val="00E20887"/>
    <w:rsid w:val="00E20ECF"/>
    <w:rsid w:val="00E22702"/>
    <w:rsid w:val="00E23882"/>
    <w:rsid w:val="00E252B3"/>
    <w:rsid w:val="00E2563E"/>
    <w:rsid w:val="00E2579B"/>
    <w:rsid w:val="00E25F13"/>
    <w:rsid w:val="00E267C3"/>
    <w:rsid w:val="00E273FE"/>
    <w:rsid w:val="00E27693"/>
    <w:rsid w:val="00E279F2"/>
    <w:rsid w:val="00E3010F"/>
    <w:rsid w:val="00E31EA0"/>
    <w:rsid w:val="00E320B3"/>
    <w:rsid w:val="00E329B2"/>
    <w:rsid w:val="00E32C2A"/>
    <w:rsid w:val="00E3314D"/>
    <w:rsid w:val="00E33C81"/>
    <w:rsid w:val="00E346C5"/>
    <w:rsid w:val="00E34735"/>
    <w:rsid w:val="00E353C1"/>
    <w:rsid w:val="00E36194"/>
    <w:rsid w:val="00E369BF"/>
    <w:rsid w:val="00E36A62"/>
    <w:rsid w:val="00E37F02"/>
    <w:rsid w:val="00E40222"/>
    <w:rsid w:val="00E40C77"/>
    <w:rsid w:val="00E412BD"/>
    <w:rsid w:val="00E417CF"/>
    <w:rsid w:val="00E4193B"/>
    <w:rsid w:val="00E41AFB"/>
    <w:rsid w:val="00E42307"/>
    <w:rsid w:val="00E436CE"/>
    <w:rsid w:val="00E43E7C"/>
    <w:rsid w:val="00E441A2"/>
    <w:rsid w:val="00E44548"/>
    <w:rsid w:val="00E45227"/>
    <w:rsid w:val="00E45406"/>
    <w:rsid w:val="00E457BB"/>
    <w:rsid w:val="00E45850"/>
    <w:rsid w:val="00E4592D"/>
    <w:rsid w:val="00E46047"/>
    <w:rsid w:val="00E46333"/>
    <w:rsid w:val="00E4643C"/>
    <w:rsid w:val="00E46B90"/>
    <w:rsid w:val="00E47607"/>
    <w:rsid w:val="00E47B9D"/>
    <w:rsid w:val="00E47DDB"/>
    <w:rsid w:val="00E47F81"/>
    <w:rsid w:val="00E5092F"/>
    <w:rsid w:val="00E515C6"/>
    <w:rsid w:val="00E51BD8"/>
    <w:rsid w:val="00E52120"/>
    <w:rsid w:val="00E5234A"/>
    <w:rsid w:val="00E52BD8"/>
    <w:rsid w:val="00E535F1"/>
    <w:rsid w:val="00E54177"/>
    <w:rsid w:val="00E542F3"/>
    <w:rsid w:val="00E57597"/>
    <w:rsid w:val="00E602BB"/>
    <w:rsid w:val="00E610E1"/>
    <w:rsid w:val="00E61C47"/>
    <w:rsid w:val="00E623AC"/>
    <w:rsid w:val="00E624D3"/>
    <w:rsid w:val="00E63BC6"/>
    <w:rsid w:val="00E641A2"/>
    <w:rsid w:val="00E6462B"/>
    <w:rsid w:val="00E652E0"/>
    <w:rsid w:val="00E653B1"/>
    <w:rsid w:val="00E65CB2"/>
    <w:rsid w:val="00E65D7D"/>
    <w:rsid w:val="00E65DCF"/>
    <w:rsid w:val="00E673BE"/>
    <w:rsid w:val="00E70743"/>
    <w:rsid w:val="00E70928"/>
    <w:rsid w:val="00E71D52"/>
    <w:rsid w:val="00E751E8"/>
    <w:rsid w:val="00E75647"/>
    <w:rsid w:val="00E75BE1"/>
    <w:rsid w:val="00E7646B"/>
    <w:rsid w:val="00E7719B"/>
    <w:rsid w:val="00E774F2"/>
    <w:rsid w:val="00E77629"/>
    <w:rsid w:val="00E810D0"/>
    <w:rsid w:val="00E81281"/>
    <w:rsid w:val="00E813ED"/>
    <w:rsid w:val="00E8176B"/>
    <w:rsid w:val="00E819F0"/>
    <w:rsid w:val="00E81D5D"/>
    <w:rsid w:val="00E82224"/>
    <w:rsid w:val="00E82469"/>
    <w:rsid w:val="00E82A0F"/>
    <w:rsid w:val="00E82C0F"/>
    <w:rsid w:val="00E83129"/>
    <w:rsid w:val="00E83870"/>
    <w:rsid w:val="00E843D7"/>
    <w:rsid w:val="00E84D62"/>
    <w:rsid w:val="00E8609A"/>
    <w:rsid w:val="00E86EB3"/>
    <w:rsid w:val="00E872C6"/>
    <w:rsid w:val="00E87EED"/>
    <w:rsid w:val="00E90BA0"/>
    <w:rsid w:val="00E9163E"/>
    <w:rsid w:val="00E92107"/>
    <w:rsid w:val="00E9321E"/>
    <w:rsid w:val="00E93725"/>
    <w:rsid w:val="00E94C25"/>
    <w:rsid w:val="00E9516C"/>
    <w:rsid w:val="00E9573F"/>
    <w:rsid w:val="00E95A73"/>
    <w:rsid w:val="00E963EF"/>
    <w:rsid w:val="00E9688E"/>
    <w:rsid w:val="00E96B92"/>
    <w:rsid w:val="00E9783F"/>
    <w:rsid w:val="00EA083B"/>
    <w:rsid w:val="00EA0B09"/>
    <w:rsid w:val="00EA0FF2"/>
    <w:rsid w:val="00EA1919"/>
    <w:rsid w:val="00EA1E12"/>
    <w:rsid w:val="00EA32E7"/>
    <w:rsid w:val="00EA3CC7"/>
    <w:rsid w:val="00EA5C35"/>
    <w:rsid w:val="00EA67A5"/>
    <w:rsid w:val="00EA7700"/>
    <w:rsid w:val="00EA7991"/>
    <w:rsid w:val="00EB0495"/>
    <w:rsid w:val="00EB0B5C"/>
    <w:rsid w:val="00EB224C"/>
    <w:rsid w:val="00EB268D"/>
    <w:rsid w:val="00EB2714"/>
    <w:rsid w:val="00EB47B0"/>
    <w:rsid w:val="00EB48A6"/>
    <w:rsid w:val="00EB4AF3"/>
    <w:rsid w:val="00EB4B12"/>
    <w:rsid w:val="00EB5D6E"/>
    <w:rsid w:val="00EB6F43"/>
    <w:rsid w:val="00EB7914"/>
    <w:rsid w:val="00EC042B"/>
    <w:rsid w:val="00EC1F4F"/>
    <w:rsid w:val="00EC228B"/>
    <w:rsid w:val="00EC2547"/>
    <w:rsid w:val="00EC2B4B"/>
    <w:rsid w:val="00EC428E"/>
    <w:rsid w:val="00EC4292"/>
    <w:rsid w:val="00EC5C91"/>
    <w:rsid w:val="00EC5D01"/>
    <w:rsid w:val="00EC62F8"/>
    <w:rsid w:val="00EC6E36"/>
    <w:rsid w:val="00EC6F28"/>
    <w:rsid w:val="00ED0378"/>
    <w:rsid w:val="00ED0395"/>
    <w:rsid w:val="00ED0597"/>
    <w:rsid w:val="00ED0D02"/>
    <w:rsid w:val="00ED17F9"/>
    <w:rsid w:val="00ED1878"/>
    <w:rsid w:val="00ED28B8"/>
    <w:rsid w:val="00ED41AE"/>
    <w:rsid w:val="00ED44B4"/>
    <w:rsid w:val="00ED5ADA"/>
    <w:rsid w:val="00ED6018"/>
    <w:rsid w:val="00ED6649"/>
    <w:rsid w:val="00ED66D3"/>
    <w:rsid w:val="00ED6C92"/>
    <w:rsid w:val="00ED6ECF"/>
    <w:rsid w:val="00ED7AA2"/>
    <w:rsid w:val="00ED7D47"/>
    <w:rsid w:val="00ED7FF2"/>
    <w:rsid w:val="00EE0640"/>
    <w:rsid w:val="00EE1EBF"/>
    <w:rsid w:val="00EE2231"/>
    <w:rsid w:val="00EE24D4"/>
    <w:rsid w:val="00EE3360"/>
    <w:rsid w:val="00EE3EE3"/>
    <w:rsid w:val="00EE45D2"/>
    <w:rsid w:val="00EE4899"/>
    <w:rsid w:val="00EE4DC3"/>
    <w:rsid w:val="00EE68AE"/>
    <w:rsid w:val="00EE6A67"/>
    <w:rsid w:val="00EE6BC1"/>
    <w:rsid w:val="00EE6E6F"/>
    <w:rsid w:val="00EE7242"/>
    <w:rsid w:val="00EE7843"/>
    <w:rsid w:val="00EE7DC9"/>
    <w:rsid w:val="00EF03C6"/>
    <w:rsid w:val="00EF0C0E"/>
    <w:rsid w:val="00EF0CF7"/>
    <w:rsid w:val="00EF0E0A"/>
    <w:rsid w:val="00EF1451"/>
    <w:rsid w:val="00EF15A0"/>
    <w:rsid w:val="00EF19E0"/>
    <w:rsid w:val="00EF2970"/>
    <w:rsid w:val="00EF626E"/>
    <w:rsid w:val="00EF646E"/>
    <w:rsid w:val="00EF6648"/>
    <w:rsid w:val="00EF7BDC"/>
    <w:rsid w:val="00EF7EDE"/>
    <w:rsid w:val="00EF7FF0"/>
    <w:rsid w:val="00F005E5"/>
    <w:rsid w:val="00F009F2"/>
    <w:rsid w:val="00F00E75"/>
    <w:rsid w:val="00F0101B"/>
    <w:rsid w:val="00F01527"/>
    <w:rsid w:val="00F023AB"/>
    <w:rsid w:val="00F02EF6"/>
    <w:rsid w:val="00F0351A"/>
    <w:rsid w:val="00F03862"/>
    <w:rsid w:val="00F04164"/>
    <w:rsid w:val="00F04C4B"/>
    <w:rsid w:val="00F05575"/>
    <w:rsid w:val="00F05D4C"/>
    <w:rsid w:val="00F06655"/>
    <w:rsid w:val="00F06C1F"/>
    <w:rsid w:val="00F109A7"/>
    <w:rsid w:val="00F1263C"/>
    <w:rsid w:val="00F12913"/>
    <w:rsid w:val="00F129FB"/>
    <w:rsid w:val="00F13649"/>
    <w:rsid w:val="00F1397F"/>
    <w:rsid w:val="00F13F02"/>
    <w:rsid w:val="00F14324"/>
    <w:rsid w:val="00F16426"/>
    <w:rsid w:val="00F168AE"/>
    <w:rsid w:val="00F16A3F"/>
    <w:rsid w:val="00F16B0D"/>
    <w:rsid w:val="00F17783"/>
    <w:rsid w:val="00F1782B"/>
    <w:rsid w:val="00F20D1C"/>
    <w:rsid w:val="00F210C8"/>
    <w:rsid w:val="00F21402"/>
    <w:rsid w:val="00F21571"/>
    <w:rsid w:val="00F220DA"/>
    <w:rsid w:val="00F22556"/>
    <w:rsid w:val="00F23293"/>
    <w:rsid w:val="00F232FD"/>
    <w:rsid w:val="00F2389E"/>
    <w:rsid w:val="00F23951"/>
    <w:rsid w:val="00F24F07"/>
    <w:rsid w:val="00F25008"/>
    <w:rsid w:val="00F262E8"/>
    <w:rsid w:val="00F267F7"/>
    <w:rsid w:val="00F27669"/>
    <w:rsid w:val="00F30198"/>
    <w:rsid w:val="00F3141A"/>
    <w:rsid w:val="00F31927"/>
    <w:rsid w:val="00F31AB9"/>
    <w:rsid w:val="00F3254B"/>
    <w:rsid w:val="00F32A07"/>
    <w:rsid w:val="00F32C41"/>
    <w:rsid w:val="00F33888"/>
    <w:rsid w:val="00F33A1E"/>
    <w:rsid w:val="00F35308"/>
    <w:rsid w:val="00F3643B"/>
    <w:rsid w:val="00F37AE4"/>
    <w:rsid w:val="00F40E1B"/>
    <w:rsid w:val="00F41F9E"/>
    <w:rsid w:val="00F428D2"/>
    <w:rsid w:val="00F42A8D"/>
    <w:rsid w:val="00F42E59"/>
    <w:rsid w:val="00F42F25"/>
    <w:rsid w:val="00F439E4"/>
    <w:rsid w:val="00F4492E"/>
    <w:rsid w:val="00F4538F"/>
    <w:rsid w:val="00F4576F"/>
    <w:rsid w:val="00F458F6"/>
    <w:rsid w:val="00F45F75"/>
    <w:rsid w:val="00F460C0"/>
    <w:rsid w:val="00F46C22"/>
    <w:rsid w:val="00F46F50"/>
    <w:rsid w:val="00F47146"/>
    <w:rsid w:val="00F4732C"/>
    <w:rsid w:val="00F476F9"/>
    <w:rsid w:val="00F47702"/>
    <w:rsid w:val="00F47C66"/>
    <w:rsid w:val="00F505DC"/>
    <w:rsid w:val="00F5067D"/>
    <w:rsid w:val="00F50CDB"/>
    <w:rsid w:val="00F50D71"/>
    <w:rsid w:val="00F50DF8"/>
    <w:rsid w:val="00F50E6B"/>
    <w:rsid w:val="00F51014"/>
    <w:rsid w:val="00F517B3"/>
    <w:rsid w:val="00F5346F"/>
    <w:rsid w:val="00F53646"/>
    <w:rsid w:val="00F538D3"/>
    <w:rsid w:val="00F53A89"/>
    <w:rsid w:val="00F53F4F"/>
    <w:rsid w:val="00F54508"/>
    <w:rsid w:val="00F54BAA"/>
    <w:rsid w:val="00F54C32"/>
    <w:rsid w:val="00F5520F"/>
    <w:rsid w:val="00F55273"/>
    <w:rsid w:val="00F55A6F"/>
    <w:rsid w:val="00F55B4B"/>
    <w:rsid w:val="00F56053"/>
    <w:rsid w:val="00F560E0"/>
    <w:rsid w:val="00F5641E"/>
    <w:rsid w:val="00F56B0D"/>
    <w:rsid w:val="00F5743A"/>
    <w:rsid w:val="00F57D2E"/>
    <w:rsid w:val="00F61468"/>
    <w:rsid w:val="00F6156D"/>
    <w:rsid w:val="00F616B6"/>
    <w:rsid w:val="00F616F3"/>
    <w:rsid w:val="00F628C1"/>
    <w:rsid w:val="00F63E6D"/>
    <w:rsid w:val="00F64072"/>
    <w:rsid w:val="00F643BF"/>
    <w:rsid w:val="00F64434"/>
    <w:rsid w:val="00F652B7"/>
    <w:rsid w:val="00F654DD"/>
    <w:rsid w:val="00F65C14"/>
    <w:rsid w:val="00F665CF"/>
    <w:rsid w:val="00F66763"/>
    <w:rsid w:val="00F667BD"/>
    <w:rsid w:val="00F66AF6"/>
    <w:rsid w:val="00F66C8F"/>
    <w:rsid w:val="00F67049"/>
    <w:rsid w:val="00F67126"/>
    <w:rsid w:val="00F67B91"/>
    <w:rsid w:val="00F70075"/>
    <w:rsid w:val="00F70283"/>
    <w:rsid w:val="00F70450"/>
    <w:rsid w:val="00F7089F"/>
    <w:rsid w:val="00F70EEB"/>
    <w:rsid w:val="00F71656"/>
    <w:rsid w:val="00F71E91"/>
    <w:rsid w:val="00F71ECB"/>
    <w:rsid w:val="00F728C3"/>
    <w:rsid w:val="00F72CEC"/>
    <w:rsid w:val="00F7307E"/>
    <w:rsid w:val="00F73DBF"/>
    <w:rsid w:val="00F74172"/>
    <w:rsid w:val="00F746A2"/>
    <w:rsid w:val="00F7501D"/>
    <w:rsid w:val="00F75187"/>
    <w:rsid w:val="00F75543"/>
    <w:rsid w:val="00F75926"/>
    <w:rsid w:val="00F77629"/>
    <w:rsid w:val="00F77FCC"/>
    <w:rsid w:val="00F80382"/>
    <w:rsid w:val="00F808D3"/>
    <w:rsid w:val="00F80953"/>
    <w:rsid w:val="00F81ACE"/>
    <w:rsid w:val="00F82574"/>
    <w:rsid w:val="00F82CD2"/>
    <w:rsid w:val="00F8306D"/>
    <w:rsid w:val="00F839AE"/>
    <w:rsid w:val="00F83A82"/>
    <w:rsid w:val="00F83FF7"/>
    <w:rsid w:val="00F85FCC"/>
    <w:rsid w:val="00F86C6D"/>
    <w:rsid w:val="00F92CEF"/>
    <w:rsid w:val="00F92DA9"/>
    <w:rsid w:val="00F92ECD"/>
    <w:rsid w:val="00F93479"/>
    <w:rsid w:val="00F938AD"/>
    <w:rsid w:val="00F94876"/>
    <w:rsid w:val="00F957E4"/>
    <w:rsid w:val="00F96B2E"/>
    <w:rsid w:val="00FA0603"/>
    <w:rsid w:val="00FA0729"/>
    <w:rsid w:val="00FA099C"/>
    <w:rsid w:val="00FA2E08"/>
    <w:rsid w:val="00FA41D2"/>
    <w:rsid w:val="00FA5F0C"/>
    <w:rsid w:val="00FA6216"/>
    <w:rsid w:val="00FA71F5"/>
    <w:rsid w:val="00FA74FF"/>
    <w:rsid w:val="00FA76E6"/>
    <w:rsid w:val="00FA7F3E"/>
    <w:rsid w:val="00FB038D"/>
    <w:rsid w:val="00FB0627"/>
    <w:rsid w:val="00FB0641"/>
    <w:rsid w:val="00FB1246"/>
    <w:rsid w:val="00FB2353"/>
    <w:rsid w:val="00FB2831"/>
    <w:rsid w:val="00FB290A"/>
    <w:rsid w:val="00FB2FCA"/>
    <w:rsid w:val="00FB3097"/>
    <w:rsid w:val="00FB4EDA"/>
    <w:rsid w:val="00FB59DA"/>
    <w:rsid w:val="00FB6760"/>
    <w:rsid w:val="00FB6CB2"/>
    <w:rsid w:val="00FB76B2"/>
    <w:rsid w:val="00FB7A94"/>
    <w:rsid w:val="00FC15F0"/>
    <w:rsid w:val="00FC1D4A"/>
    <w:rsid w:val="00FC2C30"/>
    <w:rsid w:val="00FC3CEE"/>
    <w:rsid w:val="00FC3CFD"/>
    <w:rsid w:val="00FC543D"/>
    <w:rsid w:val="00FC5D5E"/>
    <w:rsid w:val="00FC72C0"/>
    <w:rsid w:val="00FD0084"/>
    <w:rsid w:val="00FD08D4"/>
    <w:rsid w:val="00FD0F9E"/>
    <w:rsid w:val="00FD2A6D"/>
    <w:rsid w:val="00FD2D1B"/>
    <w:rsid w:val="00FD2E47"/>
    <w:rsid w:val="00FD397E"/>
    <w:rsid w:val="00FD4F61"/>
    <w:rsid w:val="00FD5E8B"/>
    <w:rsid w:val="00FD78FD"/>
    <w:rsid w:val="00FE059B"/>
    <w:rsid w:val="00FE144C"/>
    <w:rsid w:val="00FE1500"/>
    <w:rsid w:val="00FE1516"/>
    <w:rsid w:val="00FE15A2"/>
    <w:rsid w:val="00FE1DA7"/>
    <w:rsid w:val="00FE22C9"/>
    <w:rsid w:val="00FE28B8"/>
    <w:rsid w:val="00FE3201"/>
    <w:rsid w:val="00FE33F7"/>
    <w:rsid w:val="00FE41DC"/>
    <w:rsid w:val="00FE72B2"/>
    <w:rsid w:val="00FF05D3"/>
    <w:rsid w:val="00FF0DD7"/>
    <w:rsid w:val="00FF0F2C"/>
    <w:rsid w:val="00FF260E"/>
    <w:rsid w:val="00FF2A5A"/>
    <w:rsid w:val="00FF3B7C"/>
    <w:rsid w:val="00FF3FE2"/>
    <w:rsid w:val="00FF41AB"/>
    <w:rsid w:val="00FF428A"/>
    <w:rsid w:val="00FF43FE"/>
    <w:rsid w:val="00FF55DB"/>
    <w:rsid w:val="00FF57EA"/>
    <w:rsid w:val="00FF5BA8"/>
    <w:rsid w:val="00FF6F9F"/>
    <w:rsid w:val="00FF762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273AC31"/>
  <w15:docId w15:val="{D9254081-4FC0-4823-B321-748357BDB1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Calibri" w:hAnsi="Arial" w:cs="Times New Roman"/>
        <w:lang w:val="en-GB" w:eastAsia="en-GB" w:bidi="ar-SA"/>
      </w:rPr>
    </w:rPrDefault>
    <w:pPrDefault>
      <w:pPr>
        <w:spacing w:after="120"/>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semiHidden="1" w:uiPriority="39" w:unhideWhenUsed="1"/>
    <w:lsdException w:name="toc 2" w:semiHidden="1" w:uiPriority="39" w:unhideWhenUsed="1"/>
    <w:lsdException w:name="toc 3" w:semiHidden="1" w:uiPriority="39" w:unhideWhenUsed="1" w:qFormat="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semiHidden="1" w:uiPriority="35" w:unhideWhenUsed="1" w:qFormat="1"/>
    <w:lsdException w:name="table of figures"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semiHidden="1" w:unhideWhenUsed="1"/>
    <w:lsdException w:name="endnote reference" w:locked="1" w:semiHidden="1" w:unhideWhenUsed="1"/>
    <w:lsdException w:name="endnote text" w:locked="1" w:semiHidden="1" w:unhideWhenUsed="1"/>
    <w:lsdException w:name="macro" w:semiHidden="1" w:unhideWhenUsed="1"/>
    <w:lsdException w:name="toa heading" w:semiHidden="1" w:unhideWhenUsed="1"/>
    <w:lsdException w:name="List" w:locked="1"/>
    <w:lsdException w:name="List Bullet" w:lock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10"/>
    <w:lsdException w:name="Closing" w:locked="1" w:semiHidden="1" w:unhideWhenUsed="1"/>
    <w:lsdException w:name="Signature" w:locked="1" w:semiHidden="1" w:unhideWhenUsed="1"/>
    <w:lsdException w:name="Default Paragraph Font"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lsdException w:name="List Continue 3" w:locked="1"/>
    <w:lsdException w:name="List Continue 4" w:locked="1"/>
    <w:lsdException w:name="List Continue 5" w:locked="1"/>
    <w:lsdException w:name="Message Header" w:locked="1" w:semiHidden="1" w:unhideWhenUsed="1"/>
    <w:lsdException w:name="Subtitle" w:locked="1" w:uiPriority="11"/>
    <w:lsdException w:name="Salutation" w:locked="1" w:semiHidden="1" w:unhideWhenUsed="1"/>
    <w:lsdException w:name="Date"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semiHidden="1" w:unhideWhenUsed="1"/>
    <w:lsdException w:name="Strong" w:locked="1" w:uiPriority="22"/>
    <w:lsdException w:name="Emphasis" w:locked="1" w:uiPriority="20"/>
    <w:lsdException w:name="Document Map" w:semiHidden="1" w:unhideWhenUsed="1"/>
    <w:lsdException w:name="Plain Text" w:locked="1" w:semiHidden="1" w:unhideWhenUsed="1"/>
    <w:lsdException w:name="E-mail Signature" w:locked="1" w:semiHidden="1" w:unhideWhenUsed="1"/>
    <w:lsdException w:name="HTML Top of Form" w:semiHidden="1" w:unhideWhenUsed="1"/>
    <w:lsdException w:name="HTML Bottom of Form" w:semiHidden="1" w:unhideWhenUsed="1"/>
    <w:lsdException w:name="Normal (Web)"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nhideWhenUsed="1"/>
    <w:lsdException w:name="annotation subject" w:locked="1"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locked="1" w:uiPriority="34"/>
    <w:lsdException w:name="Quote" w:locked="1" w:uiPriority="29"/>
    <w:lsdException w:name="Intense Quote" w:locked="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uiPriority="19"/>
    <w:lsdException w:name="Intense Emphasis" w:locked="1" w:uiPriority="21"/>
    <w:lsdException w:name="Subtle Reference" w:locked="1" w:uiPriority="31"/>
    <w:lsdException w:name="Intense Reference" w:locked="1" w:uiPriority="32"/>
    <w:lsdException w:name="Book Title" w:locked="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FC72C0"/>
    <w:pPr>
      <w:ind w:left="720" w:right="720"/>
    </w:pPr>
    <w:rPr>
      <w:rFonts w:ascii="Verdana" w:hAnsi="Verdana"/>
    </w:rPr>
  </w:style>
  <w:style w:type="paragraph" w:styleId="Heading1">
    <w:name w:val="heading 1"/>
    <w:basedOn w:val="Normal"/>
    <w:next w:val="Heading2"/>
    <w:link w:val="Heading1Char"/>
    <w:uiPriority w:val="9"/>
    <w:qFormat/>
    <w:rsid w:val="00BB5105"/>
    <w:pPr>
      <w:widowControl w:val="0"/>
      <w:numPr>
        <w:numId w:val="7"/>
      </w:numPr>
      <w:tabs>
        <w:tab w:val="right" w:pos="1588"/>
      </w:tabs>
      <w:spacing w:before="240" w:after="60"/>
      <w:ind w:left="1571" w:hanging="851"/>
      <w:outlineLvl w:val="0"/>
    </w:pPr>
    <w:rPr>
      <w:rFonts w:eastAsia="Times New Roman"/>
      <w:b/>
      <w:bCs/>
      <w:color w:val="153B55"/>
      <w:sz w:val="24"/>
      <w:szCs w:val="28"/>
    </w:rPr>
  </w:style>
  <w:style w:type="paragraph" w:styleId="Heading2">
    <w:name w:val="heading 2"/>
    <w:basedOn w:val="Normal"/>
    <w:next w:val="JBAParaText"/>
    <w:link w:val="Heading2Char"/>
    <w:uiPriority w:val="9"/>
    <w:qFormat/>
    <w:rsid w:val="00F16A3F"/>
    <w:pPr>
      <w:widowControl w:val="0"/>
      <w:numPr>
        <w:ilvl w:val="1"/>
        <w:numId w:val="7"/>
      </w:numPr>
      <w:spacing w:before="240" w:after="60"/>
      <w:ind w:left="1571" w:hanging="851"/>
      <w:outlineLvl w:val="1"/>
    </w:pPr>
    <w:rPr>
      <w:rFonts w:eastAsia="Times New Roman"/>
      <w:b/>
      <w:bCs/>
      <w:color w:val="153B55"/>
      <w:sz w:val="24"/>
      <w:szCs w:val="26"/>
    </w:rPr>
  </w:style>
  <w:style w:type="paragraph" w:styleId="Heading3">
    <w:name w:val="heading 3"/>
    <w:basedOn w:val="Normal"/>
    <w:next w:val="JBAParaText"/>
    <w:link w:val="Heading3Char"/>
    <w:uiPriority w:val="9"/>
    <w:qFormat/>
    <w:rsid w:val="00CC33C4"/>
    <w:pPr>
      <w:widowControl w:val="0"/>
      <w:numPr>
        <w:ilvl w:val="2"/>
        <w:numId w:val="7"/>
      </w:numPr>
      <w:spacing w:before="240" w:after="60"/>
      <w:ind w:left="1571" w:hanging="851"/>
      <w:outlineLvl w:val="2"/>
    </w:pPr>
    <w:rPr>
      <w:rFonts w:eastAsia="Times New Roman"/>
      <w:b/>
      <w:bCs/>
      <w:color w:val="153B55"/>
      <w:sz w:val="24"/>
    </w:rPr>
  </w:style>
  <w:style w:type="paragraph" w:styleId="Heading4">
    <w:name w:val="heading 4"/>
    <w:aliases w:val="Ignore Heading 4"/>
    <w:basedOn w:val="Normal"/>
    <w:next w:val="JBAParaText"/>
    <w:link w:val="Heading4Char"/>
    <w:uiPriority w:val="9"/>
    <w:rsid w:val="008F6A2A"/>
    <w:pPr>
      <w:widowControl w:val="0"/>
      <w:numPr>
        <w:ilvl w:val="3"/>
        <w:numId w:val="2"/>
      </w:numPr>
      <w:spacing w:before="240" w:after="60"/>
      <w:outlineLvl w:val="3"/>
    </w:pPr>
    <w:rPr>
      <w:rFonts w:eastAsia="Times New Roman"/>
      <w:b/>
      <w:bCs/>
      <w:iCs/>
      <w:color w:val="FF0000"/>
    </w:rPr>
  </w:style>
  <w:style w:type="paragraph" w:styleId="Heading5">
    <w:name w:val="heading 5"/>
    <w:aliases w:val="- Ignore"/>
    <w:basedOn w:val="Normal"/>
    <w:next w:val="JBAParaText"/>
    <w:link w:val="Heading5Char"/>
    <w:uiPriority w:val="9"/>
    <w:rsid w:val="00252944"/>
    <w:pPr>
      <w:widowControl w:val="0"/>
      <w:numPr>
        <w:ilvl w:val="4"/>
        <w:numId w:val="2"/>
      </w:numPr>
      <w:jc w:val="both"/>
      <w:outlineLvl w:val="4"/>
    </w:pPr>
    <w:rPr>
      <w:rFonts w:eastAsia="Times New Roman"/>
      <w:color w:val="FF0000"/>
    </w:rPr>
  </w:style>
  <w:style w:type="paragraph" w:styleId="Heading6">
    <w:name w:val="heading 6"/>
    <w:basedOn w:val="Normal"/>
    <w:next w:val="Heading1"/>
    <w:link w:val="Heading6Char"/>
    <w:qFormat/>
    <w:rsid w:val="00706502"/>
    <w:pPr>
      <w:widowControl w:val="0"/>
      <w:spacing w:before="240" w:after="60"/>
      <w:ind w:left="1349" w:hanging="629"/>
      <w:outlineLvl w:val="5"/>
    </w:pPr>
    <w:rPr>
      <w:rFonts w:eastAsia="Times New Roman"/>
      <w:b/>
      <w:iCs/>
      <w:color w:val="153B55"/>
      <w:sz w:val="24"/>
    </w:rPr>
  </w:style>
  <w:style w:type="paragraph" w:styleId="Heading7">
    <w:name w:val="heading 7"/>
    <w:basedOn w:val="Normal"/>
    <w:next w:val="Heading8"/>
    <w:link w:val="Heading7Char"/>
    <w:qFormat/>
    <w:rsid w:val="00AE3E37"/>
    <w:pPr>
      <w:keepLines/>
      <w:numPr>
        <w:numId w:val="6"/>
      </w:numPr>
      <w:spacing w:before="480"/>
      <w:ind w:left="1571" w:hanging="851"/>
      <w:outlineLvl w:val="6"/>
    </w:pPr>
    <w:rPr>
      <w:rFonts w:eastAsia="Times New Roman"/>
      <w:b/>
      <w:iCs/>
      <w:color w:val="153B55"/>
      <w:sz w:val="24"/>
    </w:rPr>
  </w:style>
  <w:style w:type="paragraph" w:styleId="Heading8">
    <w:name w:val="heading 8"/>
    <w:basedOn w:val="Normal"/>
    <w:next w:val="JBAParaText"/>
    <w:link w:val="Heading8Char"/>
    <w:qFormat/>
    <w:rsid w:val="00AE3E37"/>
    <w:pPr>
      <w:keepLines/>
      <w:numPr>
        <w:ilvl w:val="1"/>
        <w:numId w:val="6"/>
      </w:numPr>
      <w:spacing w:before="240" w:after="60"/>
      <w:ind w:left="1571" w:hanging="851"/>
      <w:outlineLvl w:val="7"/>
    </w:pPr>
    <w:rPr>
      <w:rFonts w:eastAsia="Times New Roman"/>
      <w:b/>
      <w:color w:val="153B55"/>
    </w:rPr>
  </w:style>
  <w:style w:type="paragraph" w:styleId="Heading9">
    <w:name w:val="heading 9"/>
    <w:basedOn w:val="Normal"/>
    <w:next w:val="Normal"/>
    <w:link w:val="Heading9Char"/>
    <w:qFormat/>
    <w:rsid w:val="00AE3E37"/>
    <w:pPr>
      <w:keepLines/>
      <w:numPr>
        <w:ilvl w:val="2"/>
        <w:numId w:val="6"/>
      </w:numPr>
      <w:spacing w:before="240" w:after="60"/>
      <w:ind w:left="1571" w:hanging="851"/>
      <w:outlineLvl w:val="8"/>
    </w:pPr>
    <w:rPr>
      <w:rFonts w:eastAsia="Times New Roman"/>
      <w:b/>
      <w:iCs/>
      <w:color w:val="153B5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B5105"/>
    <w:rPr>
      <w:rFonts w:ascii="Verdana" w:eastAsia="Times New Roman" w:hAnsi="Verdana"/>
      <w:b/>
      <w:bCs/>
      <w:color w:val="153B55"/>
      <w:sz w:val="24"/>
      <w:szCs w:val="28"/>
    </w:rPr>
  </w:style>
  <w:style w:type="character" w:customStyle="1" w:styleId="Heading2Char">
    <w:name w:val="Heading 2 Char"/>
    <w:basedOn w:val="DefaultParagraphFont"/>
    <w:link w:val="Heading2"/>
    <w:uiPriority w:val="9"/>
    <w:rsid w:val="00F16A3F"/>
    <w:rPr>
      <w:rFonts w:ascii="Verdana" w:eastAsia="Times New Roman" w:hAnsi="Verdana"/>
      <w:b/>
      <w:bCs/>
      <w:color w:val="153B55"/>
      <w:sz w:val="24"/>
      <w:szCs w:val="26"/>
    </w:rPr>
  </w:style>
  <w:style w:type="character" w:customStyle="1" w:styleId="Heading3Char">
    <w:name w:val="Heading 3 Char"/>
    <w:basedOn w:val="DefaultParagraphFont"/>
    <w:link w:val="Heading3"/>
    <w:uiPriority w:val="9"/>
    <w:rsid w:val="00CC33C4"/>
    <w:rPr>
      <w:rFonts w:ascii="Verdana" w:eastAsia="Times New Roman" w:hAnsi="Verdana"/>
      <w:b/>
      <w:bCs/>
      <w:color w:val="153B55"/>
      <w:sz w:val="24"/>
    </w:rPr>
  </w:style>
  <w:style w:type="character" w:customStyle="1" w:styleId="Heading4Char">
    <w:name w:val="Heading 4 Char"/>
    <w:aliases w:val="Ignore Heading 4 Char"/>
    <w:basedOn w:val="DefaultParagraphFont"/>
    <w:link w:val="Heading4"/>
    <w:uiPriority w:val="9"/>
    <w:rsid w:val="008F6A2A"/>
    <w:rPr>
      <w:rFonts w:ascii="Verdana" w:eastAsia="Times New Roman" w:hAnsi="Verdana"/>
      <w:b/>
      <w:bCs/>
      <w:iCs/>
      <w:color w:val="FF0000"/>
    </w:rPr>
  </w:style>
  <w:style w:type="character" w:customStyle="1" w:styleId="Heading5Char">
    <w:name w:val="Heading 5 Char"/>
    <w:aliases w:val="- Ignore Char"/>
    <w:basedOn w:val="DefaultParagraphFont"/>
    <w:link w:val="Heading5"/>
    <w:uiPriority w:val="9"/>
    <w:rsid w:val="00252944"/>
    <w:rPr>
      <w:rFonts w:ascii="Verdana" w:eastAsia="Times New Roman" w:hAnsi="Verdana"/>
      <w:color w:val="FF0000"/>
    </w:rPr>
  </w:style>
  <w:style w:type="character" w:customStyle="1" w:styleId="Heading6Char">
    <w:name w:val="Heading 6 Char"/>
    <w:basedOn w:val="DefaultParagraphFont"/>
    <w:link w:val="Heading6"/>
    <w:rsid w:val="00706502"/>
    <w:rPr>
      <w:rFonts w:ascii="Verdana" w:eastAsia="Times New Roman" w:hAnsi="Verdana"/>
      <w:b/>
      <w:iCs/>
      <w:color w:val="153B55"/>
      <w:sz w:val="24"/>
    </w:rPr>
  </w:style>
  <w:style w:type="character" w:customStyle="1" w:styleId="Heading7Char">
    <w:name w:val="Heading 7 Char"/>
    <w:basedOn w:val="DefaultParagraphFont"/>
    <w:link w:val="Heading7"/>
    <w:rsid w:val="00AE3E37"/>
    <w:rPr>
      <w:rFonts w:ascii="Verdana" w:eastAsia="Times New Roman" w:hAnsi="Verdana"/>
      <w:b/>
      <w:iCs/>
      <w:color w:val="153B55"/>
      <w:sz w:val="24"/>
    </w:rPr>
  </w:style>
  <w:style w:type="character" w:customStyle="1" w:styleId="Heading8Char">
    <w:name w:val="Heading 8 Char"/>
    <w:basedOn w:val="DefaultParagraphFont"/>
    <w:link w:val="Heading8"/>
    <w:rsid w:val="00AE3E37"/>
    <w:rPr>
      <w:rFonts w:ascii="Verdana" w:eastAsia="Times New Roman" w:hAnsi="Verdana"/>
      <w:b/>
      <w:color w:val="153B55"/>
    </w:rPr>
  </w:style>
  <w:style w:type="character" w:customStyle="1" w:styleId="Heading9Char">
    <w:name w:val="Heading 9 Char"/>
    <w:basedOn w:val="DefaultParagraphFont"/>
    <w:link w:val="Heading9"/>
    <w:rsid w:val="00AE3E37"/>
    <w:rPr>
      <w:rFonts w:ascii="Verdana" w:eastAsia="Times New Roman" w:hAnsi="Verdana"/>
      <w:b/>
      <w:iCs/>
      <w:color w:val="153B55"/>
    </w:rPr>
  </w:style>
  <w:style w:type="paragraph" w:customStyle="1" w:styleId="JBAParaText">
    <w:name w:val="JBA Para Text"/>
    <w:basedOn w:val="Normal"/>
    <w:link w:val="JBAParaTextChar"/>
    <w:qFormat/>
    <w:rsid w:val="00F16A3F"/>
    <w:pPr>
      <w:spacing w:after="80"/>
      <w:ind w:left="1588" w:right="567"/>
    </w:pPr>
    <w:rPr>
      <w:sz w:val="24"/>
    </w:rPr>
  </w:style>
  <w:style w:type="table" w:styleId="TableGrid">
    <w:name w:val="Table Grid"/>
    <w:basedOn w:val="TableNormal"/>
    <w:uiPriority w:val="39"/>
    <w:rsid w:val="00895F08"/>
    <w:tblPr>
      <w:tblStyleRowBandSize w:val="1"/>
      <w:tblInd w:w="8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blStylePr w:type="firstRow">
      <w:pPr>
        <w:keepNext w:val="0"/>
        <w:keepLines w:val="0"/>
        <w:pageBreakBefore w:val="0"/>
        <w:widowControl w:val="0"/>
        <w:suppressLineNumbers w:val="0"/>
        <w:suppressAutoHyphens w:val="0"/>
        <w:wordWrap/>
        <w:spacing w:line="240" w:lineRule="auto"/>
        <w:ind w:leftChars="0" w:left="0" w:rightChars="0" w:right="0"/>
        <w:contextualSpacing w:val="0"/>
        <w:mirrorIndents w:val="0"/>
      </w:pPr>
      <w:rPr>
        <w:rFonts w:ascii="Arial" w:hAnsi="Arial"/>
        <w:sz w:val="20"/>
      </w:rPr>
      <w:tblPr/>
      <w:tcPr>
        <w:tcBorders>
          <w:top w:val="single" w:sz="4" w:space="0" w:color="00A9E0"/>
          <w:left w:val="single" w:sz="4" w:space="0" w:color="00A9E0"/>
          <w:bottom w:val="single" w:sz="4" w:space="0" w:color="00A9E0"/>
          <w:right w:val="single" w:sz="4" w:space="0" w:color="00A9E0"/>
          <w:insideH w:val="single" w:sz="4" w:space="0" w:color="00A9E0"/>
          <w:insideV w:val="single" w:sz="4" w:space="0" w:color="00A9E0"/>
          <w:tl2br w:val="nil"/>
          <w:tr2bl w:val="nil"/>
        </w:tcBorders>
      </w:tcPr>
    </w:tblStylePr>
    <w:tblStylePr w:type="lastRow">
      <w:pPr>
        <w:keepNext w:val="0"/>
        <w:keepLines w:val="0"/>
        <w:pageBreakBefore w:val="0"/>
        <w:widowControl w:val="0"/>
        <w:suppressLineNumbers w:val="0"/>
        <w:suppressAutoHyphens w:val="0"/>
        <w:wordWrap/>
        <w:spacing w:line="240" w:lineRule="auto"/>
        <w:ind w:leftChars="0" w:left="0" w:rightChars="0" w:right="0"/>
      </w:pPr>
      <w:rPr>
        <w:rFonts w:ascii="Arial" w:hAnsi="Arial"/>
        <w:b w:val="0"/>
        <w:i w:val="0"/>
        <w:sz w:val="20"/>
      </w:rPr>
      <w:tblPr/>
      <w:tcPr>
        <w:tcBorders>
          <w:top w:val="single" w:sz="4" w:space="0" w:color="00A9E0"/>
          <w:left w:val="single" w:sz="4" w:space="0" w:color="00A9E0"/>
          <w:bottom w:val="single" w:sz="4" w:space="0" w:color="00A9E0"/>
          <w:right w:val="single" w:sz="4" w:space="0" w:color="00A9E0"/>
          <w:insideH w:val="single" w:sz="4" w:space="0" w:color="00A9E0"/>
          <w:insideV w:val="single" w:sz="4" w:space="0" w:color="00A9E0"/>
          <w:tl2br w:val="nil"/>
          <w:tr2bl w:val="nil"/>
        </w:tcBorders>
      </w:tcPr>
    </w:tblStylePr>
    <w:tblStylePr w:type="band1Horz">
      <w:pPr>
        <w:keepNext w:val="0"/>
        <w:keepLines w:val="0"/>
        <w:pageBreakBefore w:val="0"/>
        <w:widowControl w:val="0"/>
        <w:suppressLineNumbers w:val="0"/>
        <w:suppressAutoHyphens w:val="0"/>
        <w:wordWrap/>
        <w:spacing w:line="240" w:lineRule="auto"/>
        <w:mirrorIndents w:val="0"/>
      </w:pPr>
      <w:rPr>
        <w:rFonts w:ascii="Arial" w:hAnsi="Arial"/>
        <w:b w:val="0"/>
        <w:i w:val="0"/>
        <w:sz w:val="20"/>
      </w:rPr>
      <w:tblPr/>
      <w:tcPr>
        <w:tcBorders>
          <w:top w:val="single" w:sz="4" w:space="0" w:color="00A9E0"/>
          <w:left w:val="single" w:sz="4" w:space="0" w:color="00A9E0"/>
          <w:bottom w:val="single" w:sz="4" w:space="0" w:color="00A9E0"/>
          <w:right w:val="single" w:sz="4" w:space="0" w:color="00A9E0"/>
          <w:insideH w:val="single" w:sz="4" w:space="0" w:color="00A9E0"/>
          <w:insideV w:val="single" w:sz="4" w:space="0" w:color="00A9E0"/>
          <w:tl2br w:val="nil"/>
          <w:tr2bl w:val="nil"/>
        </w:tcBorders>
      </w:tcPr>
    </w:tblStylePr>
    <w:tblStylePr w:type="band2Horz">
      <w:pPr>
        <w:wordWrap/>
        <w:spacing w:line="240" w:lineRule="auto"/>
        <w:ind w:leftChars="0" w:left="0" w:rightChars="0" w:right="0"/>
      </w:pPr>
      <w:rPr>
        <w:rFonts w:ascii="Arial" w:hAnsi="Arial"/>
        <w:sz w:val="20"/>
      </w:rPr>
      <w:tblPr/>
      <w:tcPr>
        <w:tcBorders>
          <w:top w:val="single" w:sz="4" w:space="0" w:color="00A9E0"/>
          <w:left w:val="single" w:sz="4" w:space="0" w:color="00A9E0"/>
          <w:bottom w:val="single" w:sz="4" w:space="0" w:color="00A9E0"/>
          <w:right w:val="single" w:sz="4" w:space="0" w:color="00A9E0"/>
          <w:insideH w:val="single" w:sz="4" w:space="0" w:color="00A9E0"/>
          <w:insideV w:val="single" w:sz="4" w:space="0" w:color="00A9E0"/>
          <w:tl2br w:val="nil"/>
          <w:tr2bl w:val="nil"/>
        </w:tcBorders>
      </w:tcPr>
    </w:tblStylePr>
  </w:style>
  <w:style w:type="character" w:styleId="Hyperlink">
    <w:name w:val="Hyperlink"/>
    <w:basedOn w:val="DefaultParagraphFont"/>
    <w:uiPriority w:val="99"/>
    <w:unhideWhenUsed/>
    <w:locked/>
    <w:rsid w:val="00A76108"/>
    <w:rPr>
      <w:rFonts w:ascii="Verdana" w:hAnsi="Verdana"/>
      <w:color w:val="153B55"/>
      <w:sz w:val="24"/>
      <w:u w:val="none"/>
    </w:rPr>
  </w:style>
  <w:style w:type="table" w:customStyle="1" w:styleId="JBATable3">
    <w:name w:val="JBA Table 3"/>
    <w:basedOn w:val="TableNormal"/>
    <w:uiPriority w:val="99"/>
    <w:qFormat/>
    <w:rsid w:val="001650F5"/>
    <w:tblPr>
      <w:tblStyleRowBandSize w:val="1"/>
      <w:tblInd w:w="833" w:type="dxa"/>
    </w:tblPr>
    <w:tblStylePr w:type="firstRow">
      <w:pPr>
        <w:wordWrap/>
        <w:ind w:leftChars="0" w:left="57" w:rightChars="0" w:right="57"/>
      </w:pPr>
      <w:rPr>
        <w:rFonts w:ascii="Arial" w:hAnsi="Arial"/>
        <w:sz w:val="20"/>
      </w:rPr>
      <w:tblPr/>
      <w:trPr>
        <w:cantSplit/>
        <w:tblHeader/>
      </w:trPr>
      <w:tcPr>
        <w:tcBorders>
          <w:top w:val="nil"/>
          <w:left w:val="nil"/>
          <w:bottom w:val="nil"/>
          <w:right w:val="nil"/>
          <w:insideH w:val="nil"/>
          <w:insideV w:val="nil"/>
          <w:tl2br w:val="nil"/>
          <w:tr2bl w:val="nil"/>
        </w:tcBorders>
      </w:tcPr>
    </w:tblStylePr>
    <w:tblStylePr w:type="lastRow">
      <w:pPr>
        <w:wordWrap/>
        <w:ind w:leftChars="0" w:left="57" w:rightChars="0" w:right="57" w:firstLineChars="0" w:firstLine="0"/>
      </w:pPr>
      <w:rPr>
        <w:rFonts w:ascii="Arial" w:hAnsi="Arial"/>
        <w:sz w:val="20"/>
      </w:rPr>
    </w:tblStylePr>
    <w:tblStylePr w:type="band1Horz">
      <w:pPr>
        <w:wordWrap/>
        <w:ind w:leftChars="0" w:left="57" w:rightChars="0" w:right="57"/>
      </w:pPr>
      <w:rPr>
        <w:rFonts w:ascii="Arial" w:hAnsi="Arial"/>
        <w:sz w:val="20"/>
      </w:rPr>
    </w:tblStylePr>
    <w:tblStylePr w:type="band2Horz">
      <w:pPr>
        <w:wordWrap/>
        <w:ind w:leftChars="0" w:left="57" w:rightChars="0" w:right="57"/>
      </w:pPr>
      <w:rPr>
        <w:rFonts w:ascii="Arial" w:hAnsi="Arial"/>
        <w:sz w:val="20"/>
      </w:rPr>
    </w:tblStylePr>
  </w:style>
  <w:style w:type="paragraph" w:styleId="TableofFigures">
    <w:name w:val="table of figures"/>
    <w:aliases w:val="_JBA Table of Figures"/>
    <w:basedOn w:val="Normal"/>
    <w:next w:val="Normal"/>
    <w:uiPriority w:val="99"/>
    <w:unhideWhenUsed/>
    <w:rsid w:val="004F2671"/>
    <w:pPr>
      <w:tabs>
        <w:tab w:val="right" w:pos="9923"/>
      </w:tabs>
      <w:spacing w:after="0"/>
    </w:pPr>
    <w:rPr>
      <w:sz w:val="24"/>
    </w:rPr>
  </w:style>
  <w:style w:type="table" w:customStyle="1" w:styleId="TableGridLight1">
    <w:name w:val="Table Grid Light1"/>
    <w:basedOn w:val="TableNormal"/>
    <w:uiPriority w:val="40"/>
    <w:rsid w:val="00B6242B"/>
    <w:tblPr>
      <w:tblInd w:w="83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OC1">
    <w:name w:val="toc 1"/>
    <w:basedOn w:val="Normal"/>
    <w:next w:val="JBAParaText"/>
    <w:uiPriority w:val="39"/>
    <w:rsid w:val="004F2671"/>
    <w:pPr>
      <w:tabs>
        <w:tab w:val="left" w:pos="1701"/>
        <w:tab w:val="right" w:pos="10206"/>
      </w:tabs>
      <w:spacing w:before="20" w:after="20"/>
      <w:ind w:left="737"/>
      <w:outlineLvl w:val="0"/>
    </w:pPr>
    <w:rPr>
      <w:rFonts w:eastAsia="Times New Roman"/>
      <w:bCs/>
      <w:sz w:val="24"/>
      <w:szCs w:val="16"/>
    </w:rPr>
  </w:style>
  <w:style w:type="paragraph" w:styleId="TOC2">
    <w:name w:val="toc 2"/>
    <w:basedOn w:val="TOC1"/>
    <w:next w:val="Normal"/>
    <w:uiPriority w:val="39"/>
    <w:rsid w:val="004C44DE"/>
    <w:pPr>
      <w:ind w:left="720"/>
      <w:outlineLvl w:val="1"/>
    </w:pPr>
  </w:style>
  <w:style w:type="paragraph" w:styleId="TOC3">
    <w:name w:val="toc 3"/>
    <w:basedOn w:val="TOC2"/>
    <w:next w:val="Normal"/>
    <w:uiPriority w:val="39"/>
    <w:qFormat/>
    <w:rsid w:val="00BF367E"/>
    <w:pPr>
      <w:outlineLvl w:val="2"/>
    </w:pPr>
  </w:style>
  <w:style w:type="paragraph" w:customStyle="1" w:styleId="JBAContractTab">
    <w:name w:val="JBA Contract Tab"/>
    <w:basedOn w:val="JBAParaText"/>
    <w:rsid w:val="00F16A3F"/>
    <w:pPr>
      <w:tabs>
        <w:tab w:val="left" w:pos="720"/>
        <w:tab w:val="left" w:pos="4689"/>
      </w:tabs>
      <w:suppressAutoHyphens/>
      <w:spacing w:after="60"/>
      <w:ind w:left="4689" w:hanging="3969"/>
    </w:pPr>
  </w:style>
  <w:style w:type="paragraph" w:customStyle="1" w:styleId="JBABullets">
    <w:name w:val="JBA Bullets"/>
    <w:basedOn w:val="Normal"/>
    <w:link w:val="JBABulletsChar"/>
    <w:qFormat/>
    <w:rsid w:val="00F16A3F"/>
    <w:pPr>
      <w:numPr>
        <w:numId w:val="5"/>
      </w:numPr>
      <w:spacing w:after="100"/>
      <w:ind w:left="2285" w:right="567" w:hanging="357"/>
      <w:jc w:val="both"/>
    </w:pPr>
    <w:rPr>
      <w:sz w:val="24"/>
    </w:rPr>
  </w:style>
  <w:style w:type="character" w:customStyle="1" w:styleId="JBABold">
    <w:name w:val="JBA Bold"/>
    <w:basedOn w:val="DefaultParagraphFont"/>
    <w:uiPriority w:val="1"/>
    <w:rsid w:val="00C73A51"/>
    <w:rPr>
      <w:rFonts w:ascii="Verdana" w:hAnsi="Verdana"/>
      <w:b/>
    </w:rPr>
  </w:style>
  <w:style w:type="paragraph" w:customStyle="1" w:styleId="JBAFootnote">
    <w:name w:val="JBA Footnote"/>
    <w:basedOn w:val="Normal"/>
    <w:qFormat/>
    <w:rsid w:val="00CC33C4"/>
    <w:pPr>
      <w:widowControl w:val="0"/>
      <w:spacing w:before="80" w:after="0"/>
      <w:jc w:val="both"/>
    </w:pPr>
    <w:rPr>
      <w:sz w:val="24"/>
    </w:rPr>
  </w:style>
  <w:style w:type="paragraph" w:customStyle="1" w:styleId="JBAAddresses">
    <w:name w:val="JBA Addresses"/>
    <w:basedOn w:val="Normal"/>
    <w:rsid w:val="00C50E33"/>
    <w:pPr>
      <w:widowControl w:val="0"/>
      <w:spacing w:after="0"/>
    </w:pPr>
  </w:style>
  <w:style w:type="numbering" w:customStyle="1" w:styleId="JBANumberedlist0">
    <w:name w:val="JBA Numbered list"/>
    <w:basedOn w:val="NoList"/>
    <w:rsid w:val="00DB657D"/>
    <w:pPr>
      <w:numPr>
        <w:numId w:val="1"/>
      </w:numPr>
    </w:pPr>
  </w:style>
  <w:style w:type="paragraph" w:customStyle="1" w:styleId="JBANumberedList">
    <w:name w:val="JBA Numbered List"/>
    <w:basedOn w:val="Normal"/>
    <w:rsid w:val="00542E2C"/>
    <w:pPr>
      <w:numPr>
        <w:numId w:val="8"/>
      </w:numPr>
      <w:tabs>
        <w:tab w:val="left" w:pos="1418"/>
      </w:tabs>
      <w:spacing w:after="60"/>
      <w:ind w:left="1945" w:hanging="357"/>
    </w:pPr>
  </w:style>
  <w:style w:type="paragraph" w:customStyle="1" w:styleId="JBAReportType">
    <w:name w:val="JBA Report Type"/>
    <w:basedOn w:val="Normal"/>
    <w:link w:val="JBAReportTypeChar"/>
    <w:rsid w:val="00661144"/>
    <w:pPr>
      <w:widowControl w:val="0"/>
      <w:tabs>
        <w:tab w:val="left" w:pos="720"/>
      </w:tabs>
      <w:spacing w:before="240" w:after="60"/>
      <w:ind w:right="1701"/>
    </w:pPr>
    <w:rPr>
      <w:rFonts w:eastAsia="Times New Roman"/>
      <w:b/>
      <w:iCs/>
      <w:color w:val="153B55"/>
      <w:sz w:val="40"/>
      <w:szCs w:val="24"/>
    </w:rPr>
  </w:style>
  <w:style w:type="character" w:customStyle="1" w:styleId="JBAReportTypeChar">
    <w:name w:val="JBA Report Type Char"/>
    <w:basedOn w:val="DefaultParagraphFont"/>
    <w:link w:val="JBAReportType"/>
    <w:rsid w:val="00661144"/>
    <w:rPr>
      <w:rFonts w:ascii="Verdana" w:eastAsia="Times New Roman" w:hAnsi="Verdana"/>
      <w:b/>
      <w:iCs/>
      <w:color w:val="153B55"/>
      <w:sz w:val="40"/>
      <w:szCs w:val="24"/>
    </w:rPr>
  </w:style>
  <w:style w:type="numbering" w:customStyle="1" w:styleId="JBABulletbluelogo">
    <w:name w:val="JBA Bullet blue logo"/>
    <w:basedOn w:val="NoList"/>
    <w:rsid w:val="00393328"/>
    <w:pPr>
      <w:numPr>
        <w:numId w:val="3"/>
      </w:numPr>
    </w:pPr>
  </w:style>
  <w:style w:type="table" w:styleId="LightShading-Accent4">
    <w:name w:val="Light Shading Accent 4"/>
    <w:basedOn w:val="TableNormal"/>
    <w:uiPriority w:val="60"/>
    <w:rsid w:val="00DA07C2"/>
    <w:rPr>
      <w:color w:val="5F497A"/>
    </w:rPr>
    <w:tblPr>
      <w:tblStyleRowBandSize w:val="1"/>
      <w:tblStyleColBandSize w:val="1"/>
      <w:tblInd w:w="833" w:type="dxa"/>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paragraph" w:customStyle="1" w:styleId="JBAFooter">
    <w:name w:val="JBA Footer"/>
    <w:basedOn w:val="Normal"/>
    <w:autoRedefine/>
    <w:qFormat/>
    <w:rsid w:val="00D26903"/>
    <w:pPr>
      <w:widowControl w:val="0"/>
      <w:spacing w:before="720" w:after="240"/>
      <w:ind w:right="121"/>
    </w:pPr>
    <w:rPr>
      <w:rFonts w:cs="Arial"/>
      <w:b/>
      <w:bCs/>
      <w:noProof/>
      <w:sz w:val="16"/>
    </w:rPr>
  </w:style>
  <w:style w:type="paragraph" w:customStyle="1" w:styleId="JBAContentsheading">
    <w:name w:val="JBA Contents heading"/>
    <w:basedOn w:val="Normal"/>
    <w:rsid w:val="0099330C"/>
    <w:pPr>
      <w:widowControl w:val="0"/>
      <w:spacing w:before="960" w:after="0"/>
      <w:contextualSpacing/>
    </w:pPr>
    <w:rPr>
      <w:rFonts w:eastAsia="Times New Roman"/>
      <w:b/>
      <w:color w:val="153B55"/>
      <w:spacing w:val="5"/>
      <w:kern w:val="28"/>
      <w:sz w:val="24"/>
      <w:szCs w:val="52"/>
    </w:rPr>
  </w:style>
  <w:style w:type="paragraph" w:customStyle="1" w:styleId="JBAPageNumber">
    <w:name w:val="JBA Page Number"/>
    <w:basedOn w:val="Normal"/>
    <w:rsid w:val="00C52F55"/>
    <w:pPr>
      <w:jc w:val="right"/>
    </w:pPr>
    <w:rPr>
      <w:sz w:val="16"/>
    </w:rPr>
  </w:style>
  <w:style w:type="numbering" w:customStyle="1" w:styleId="JBABulletlist">
    <w:name w:val="JBA Bullet list"/>
    <w:basedOn w:val="NoList"/>
    <w:uiPriority w:val="99"/>
    <w:rsid w:val="00C340F5"/>
    <w:pPr>
      <w:numPr>
        <w:numId w:val="4"/>
      </w:numPr>
    </w:pPr>
  </w:style>
  <w:style w:type="paragraph" w:customStyle="1" w:styleId="JBAReportTitle">
    <w:name w:val="JBA Report Title"/>
    <w:basedOn w:val="Normal"/>
    <w:autoRedefine/>
    <w:qFormat/>
    <w:rsid w:val="001D013F"/>
    <w:pPr>
      <w:widowControl w:val="0"/>
      <w:tabs>
        <w:tab w:val="right" w:pos="10885"/>
      </w:tabs>
      <w:spacing w:before="3000"/>
      <w:ind w:right="1021"/>
      <w:contextualSpacing/>
    </w:pPr>
    <w:rPr>
      <w:rFonts w:eastAsia="Times New Roman"/>
      <w:b/>
      <w:color w:val="153B55"/>
      <w:spacing w:val="5"/>
      <w:kern w:val="28"/>
      <w:sz w:val="70"/>
      <w:szCs w:val="52"/>
    </w:rPr>
  </w:style>
  <w:style w:type="table" w:styleId="MediumList1-Accent2">
    <w:name w:val="Medium List 1 Accent 2"/>
    <w:basedOn w:val="TableNormal"/>
    <w:uiPriority w:val="65"/>
    <w:rsid w:val="00DA07C2"/>
    <w:rPr>
      <w:color w:val="000000"/>
    </w:rPr>
    <w:tblPr>
      <w:tblStyleRowBandSize w:val="1"/>
      <w:tblStyleColBandSize w:val="1"/>
      <w:tblInd w:w="833" w:type="dxa"/>
      <w:tblBorders>
        <w:top w:val="single" w:sz="8" w:space="0" w:color="C0504D"/>
        <w:bottom w:val="single" w:sz="8" w:space="0" w:color="C0504D"/>
      </w:tblBorders>
    </w:tblPr>
    <w:tblStylePr w:type="firstRow">
      <w:rPr>
        <w:rFonts w:ascii="Arial Bold" w:eastAsia="Times New Roman" w:hAnsi="Arial Bold"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customStyle="1" w:styleId="JBATableStyle1">
    <w:name w:val="JBA Table Style 1"/>
    <w:basedOn w:val="TableNormal"/>
    <w:uiPriority w:val="99"/>
    <w:qFormat/>
    <w:rsid w:val="006D0E2A"/>
    <w:tblPr>
      <w:tblStyleRowBandSize w:val="1"/>
      <w:tblInd w:w="833" w:type="dxa"/>
    </w:tblPr>
    <w:tblStylePr w:type="firstRow">
      <w:pPr>
        <w:keepNext w:val="0"/>
        <w:keepLines w:val="0"/>
        <w:pageBreakBefore w:val="0"/>
        <w:widowControl w:val="0"/>
        <w:suppressLineNumbers w:val="0"/>
        <w:suppressAutoHyphens w:val="0"/>
        <w:wordWrap/>
        <w:spacing w:line="240" w:lineRule="auto"/>
        <w:ind w:leftChars="0" w:left="0" w:rightChars="0" w:right="0"/>
      </w:pPr>
      <w:rPr>
        <w:rFonts w:ascii="Verdana" w:hAnsi="Verdana"/>
        <w:b/>
        <w:i w:val="0"/>
        <w:color w:val="FFFFFF"/>
        <w:sz w:val="20"/>
      </w:rPr>
      <w:tblPr/>
      <w:tcPr>
        <w:tcBorders>
          <w:top w:val="single" w:sz="2" w:space="0" w:color="74C4D7" w:themeColor="accent1"/>
          <w:left w:val="single" w:sz="2" w:space="0" w:color="74C4D7" w:themeColor="accent1"/>
          <w:bottom w:val="single" w:sz="2" w:space="0" w:color="74C4D7" w:themeColor="accent1"/>
          <w:right w:val="single" w:sz="2" w:space="0" w:color="74C4D7" w:themeColor="accent1"/>
          <w:insideH w:val="single" w:sz="2" w:space="0" w:color="74C4D7" w:themeColor="accent1"/>
          <w:insideV w:val="single" w:sz="2" w:space="0" w:color="74C4D7" w:themeColor="accent1"/>
          <w:tl2br w:val="nil"/>
          <w:tr2bl w:val="nil"/>
        </w:tcBorders>
        <w:shd w:val="clear" w:color="auto" w:fill="74C4D7" w:themeFill="accent1"/>
      </w:tcPr>
    </w:tblStylePr>
    <w:tblStylePr w:type="lastRow">
      <w:pPr>
        <w:wordWrap/>
      </w:pPr>
      <w:tblPr/>
      <w:tcPr>
        <w:tcBorders>
          <w:top w:val="single" w:sz="2" w:space="0" w:color="74C4D7" w:themeColor="accent1"/>
          <w:left w:val="single" w:sz="2" w:space="0" w:color="74C4D7" w:themeColor="accent1"/>
          <w:bottom w:val="single" w:sz="2" w:space="0" w:color="74C4D7" w:themeColor="accent1"/>
          <w:right w:val="single" w:sz="2" w:space="0" w:color="74C4D7" w:themeColor="accent1"/>
          <w:insideH w:val="single" w:sz="2" w:space="0" w:color="74C4D7" w:themeColor="accent1"/>
          <w:insideV w:val="single" w:sz="2" w:space="0" w:color="74C4D7" w:themeColor="accent1"/>
          <w:tl2br w:val="nil"/>
          <w:tr2bl w:val="nil"/>
        </w:tcBorders>
      </w:tcPr>
    </w:tblStylePr>
    <w:tblStylePr w:type="band1Horz">
      <w:pPr>
        <w:wordWrap/>
        <w:spacing w:line="240" w:lineRule="auto"/>
        <w:ind w:leftChars="0" w:left="0" w:rightChars="0" w:right="0"/>
      </w:pPr>
      <w:rPr>
        <w:rFonts w:ascii="Arial" w:hAnsi="Arial"/>
        <w:b w:val="0"/>
        <w:i w:val="0"/>
        <w:color w:val="auto"/>
        <w:sz w:val="20"/>
      </w:rPr>
      <w:tblPr/>
      <w:tcPr>
        <w:tcBorders>
          <w:top w:val="single" w:sz="2" w:space="0" w:color="74C4D7" w:themeColor="accent1"/>
          <w:left w:val="single" w:sz="2" w:space="0" w:color="74C4D7" w:themeColor="accent1"/>
          <w:bottom w:val="single" w:sz="2" w:space="0" w:color="74C4D7" w:themeColor="accent1"/>
          <w:right w:val="single" w:sz="2" w:space="0" w:color="74C4D7" w:themeColor="accent1"/>
          <w:insideH w:val="single" w:sz="2" w:space="0" w:color="74C4D7" w:themeColor="accent1"/>
          <w:insideV w:val="single" w:sz="2" w:space="0" w:color="74C4D7" w:themeColor="accent1"/>
          <w:tl2br w:val="nil"/>
          <w:tr2bl w:val="nil"/>
        </w:tcBorders>
      </w:tcPr>
    </w:tblStylePr>
    <w:tblStylePr w:type="band2Horz">
      <w:pPr>
        <w:wordWrap/>
        <w:spacing w:line="240" w:lineRule="auto"/>
        <w:ind w:leftChars="0" w:left="0" w:rightChars="0" w:right="0"/>
      </w:pPr>
      <w:rPr>
        <w:rFonts w:ascii="Arial" w:hAnsi="Arial"/>
        <w:b w:val="0"/>
        <w:i w:val="0"/>
        <w:color w:val="auto"/>
        <w:sz w:val="20"/>
      </w:rPr>
      <w:tblPr/>
      <w:tcPr>
        <w:tcBorders>
          <w:top w:val="single" w:sz="2" w:space="0" w:color="74C4D7" w:themeColor="accent1"/>
          <w:left w:val="single" w:sz="2" w:space="0" w:color="74C4D7" w:themeColor="accent1"/>
          <w:bottom w:val="single" w:sz="2" w:space="0" w:color="74C4D7" w:themeColor="accent1"/>
          <w:right w:val="single" w:sz="2" w:space="0" w:color="74C4D7" w:themeColor="accent1"/>
          <w:insideH w:val="single" w:sz="2" w:space="0" w:color="74C4D7" w:themeColor="accent1"/>
          <w:insideV w:val="single" w:sz="2" w:space="0" w:color="74C4D7" w:themeColor="accent1"/>
          <w:tl2br w:val="nil"/>
          <w:tr2bl w:val="nil"/>
        </w:tcBorders>
      </w:tcPr>
    </w:tblStylePr>
  </w:style>
  <w:style w:type="paragraph" w:customStyle="1" w:styleId="JBAAbbreviations">
    <w:name w:val="JBA Abbreviations"/>
    <w:basedOn w:val="JBAContractTab"/>
    <w:rsid w:val="00BE3888"/>
    <w:pPr>
      <w:tabs>
        <w:tab w:val="clear" w:pos="720"/>
        <w:tab w:val="clear" w:pos="4689"/>
        <w:tab w:val="right" w:pos="9639"/>
      </w:tabs>
      <w:ind w:left="2988" w:hanging="2268"/>
    </w:pPr>
  </w:style>
  <w:style w:type="table" w:customStyle="1" w:styleId="JBAtableStyle4">
    <w:name w:val="JBA table Style 4"/>
    <w:basedOn w:val="TableNormal"/>
    <w:uiPriority w:val="99"/>
    <w:qFormat/>
    <w:rsid w:val="00630592"/>
    <w:tblPr>
      <w:tblStyleRowBandSize w:val="1"/>
      <w:tblInd w:w="833" w:type="dxa"/>
    </w:tblPr>
    <w:tblStylePr w:type="firstRow">
      <w:tblPr/>
      <w:tcPr>
        <w:tc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l2br w:val="nil"/>
          <w:tr2bl w:val="nil"/>
        </w:tcBorders>
        <w:shd w:val="clear" w:color="auto" w:fill="85CDDB"/>
      </w:tcPr>
    </w:tblStylePr>
    <w:tblStylePr w:type="lastRow">
      <w:tblPr/>
      <w:tcPr>
        <w:tc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l2br w:val="nil"/>
          <w:tr2bl w:val="nil"/>
        </w:tcBorders>
        <w:shd w:val="clear" w:color="auto" w:fill="85CDDB"/>
      </w:tcPr>
    </w:tblStylePr>
    <w:tblStylePr w:type="band1Horz">
      <w:tblPr/>
      <w:tcPr>
        <w:tc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l2br w:val="nil"/>
          <w:tr2bl w:val="nil"/>
        </w:tcBorders>
        <w:shd w:val="clear" w:color="auto" w:fill="DFF1F5"/>
      </w:tcPr>
    </w:tblStylePr>
    <w:tblStylePr w:type="band2Horz">
      <w:tblPr/>
      <w:tcPr>
        <w:tc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l2br w:val="nil"/>
          <w:tr2bl w:val="nil"/>
        </w:tcBorders>
        <w:shd w:val="clear" w:color="auto" w:fill="EEECE1"/>
      </w:tcPr>
    </w:tblStylePr>
  </w:style>
  <w:style w:type="table" w:customStyle="1" w:styleId="LightShading1">
    <w:name w:val="Light Shading1"/>
    <w:basedOn w:val="TableNormal"/>
    <w:uiPriority w:val="60"/>
    <w:rsid w:val="00DD3CEB"/>
    <w:rPr>
      <w:color w:val="000000"/>
    </w:rPr>
    <w:tblPr>
      <w:tblStyleRowBandSize w:val="1"/>
      <w:tblStyleColBandSize w:val="1"/>
      <w:tblInd w:w="833" w:type="dxa"/>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ignore">
    <w:name w:val="ignore"/>
    <w:basedOn w:val="Heading5"/>
    <w:rsid w:val="005D4447"/>
    <w:pPr>
      <w:numPr>
        <w:ilvl w:val="3"/>
        <w:numId w:val="6"/>
      </w:numPr>
    </w:pPr>
  </w:style>
  <w:style w:type="table" w:customStyle="1" w:styleId="ListTable41">
    <w:name w:val="List Table 41"/>
    <w:basedOn w:val="TableNormal"/>
    <w:uiPriority w:val="49"/>
    <w:rsid w:val="00DA07C2"/>
    <w:tblPr>
      <w:tblStyleRowBandSize w:val="1"/>
      <w:tblStyleColBandSize w:val="1"/>
      <w:tblInd w:w="833"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1Light1">
    <w:name w:val="Grid Table 1 Light1"/>
    <w:basedOn w:val="TableNormal"/>
    <w:uiPriority w:val="46"/>
    <w:rsid w:val="00DD3CEB"/>
    <w:tblPr>
      <w:tblStyleRowBandSize w:val="1"/>
      <w:tblStyleColBandSize w:val="1"/>
      <w:tblInd w:w="833"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ListTable6Colorful1">
    <w:name w:val="List Table 6 Colorful1"/>
    <w:basedOn w:val="TableNormal"/>
    <w:uiPriority w:val="51"/>
    <w:rsid w:val="001C45F3"/>
    <w:rPr>
      <w:rFonts w:ascii="Verdana" w:hAnsi="Verdana"/>
      <w:color w:val="FFFFFF" w:themeColor="background1"/>
    </w:rPr>
    <w:tblPr>
      <w:tblStyleRowBandSize w:val="1"/>
      <w:tblStyleColBandSize w:val="1"/>
      <w:tblInd w:w="833" w:type="dxa"/>
      <w:tblBorders>
        <w:top w:val="single" w:sz="4" w:space="0" w:color="000000" w:themeColor="text1"/>
        <w:bottom w:val="single" w:sz="4" w:space="0" w:color="000000" w:themeColor="text1"/>
      </w:tblBorders>
    </w:tblPr>
    <w:tblStylePr w:type="firstRow">
      <w:rPr>
        <w:rFonts w:ascii="Arial" w:hAnsi="Arial"/>
        <w:b/>
        <w:bCs/>
      </w:rPr>
      <w:tblPr/>
      <w:tcPr>
        <w:tcBorders>
          <w:bottom w:val="single" w:sz="4" w:space="0" w:color="153B55"/>
          <w:right w:val="nil"/>
        </w:tcBorders>
      </w:tcPr>
    </w:tblStylePr>
    <w:tblStylePr w:type="lastRow">
      <w:rPr>
        <w:rFonts w:ascii="Arial" w:hAnsi="Arial"/>
        <w:b/>
        <w:bCs/>
      </w:rPr>
      <w:tblPr/>
      <w:tcPr>
        <w:tcBorders>
          <w:top w:val="double" w:sz="4" w:space="0" w:color="000000" w:themeColor="text1"/>
        </w:tcBorders>
      </w:tcPr>
    </w:tblStylePr>
    <w:tblStylePr w:type="firstCol">
      <w:rPr>
        <w:b w:val="0"/>
        <w:bCs/>
      </w:rPr>
    </w:tblStylePr>
    <w:tblStylePr w:type="lastCol">
      <w:rPr>
        <w:b/>
        <w:bCs/>
      </w:rPr>
    </w:tblStylePr>
    <w:tblStylePr w:type="band1Vert">
      <w:tblPr/>
      <w:tcPr>
        <w:shd w:val="clear" w:color="auto" w:fill="CCCCCC" w:themeFill="text1" w:themeFillTint="33"/>
      </w:tcPr>
    </w:tblStylePr>
    <w:tblStylePr w:type="band1Horz">
      <w:rPr>
        <w:rFonts w:ascii="Arial" w:hAnsi="Arial"/>
      </w:rPr>
      <w:tblPr/>
      <w:tcPr>
        <w:shd w:val="clear" w:color="auto" w:fill="CCCCCC" w:themeFill="text1" w:themeFillTint="33"/>
      </w:tcPr>
    </w:tblStylePr>
    <w:tblStylePr w:type="band2Horz">
      <w:rPr>
        <w:rFonts w:ascii="Arial" w:hAnsi="Arial"/>
      </w:rPr>
    </w:tblStylePr>
  </w:style>
  <w:style w:type="paragraph" w:customStyle="1" w:styleId="JBAReportDate">
    <w:name w:val="JBA Report Date"/>
    <w:basedOn w:val="JBAReportType"/>
    <w:autoRedefine/>
    <w:qFormat/>
    <w:rsid w:val="00F5743A"/>
    <w:pPr>
      <w:ind w:right="720"/>
    </w:pPr>
    <w:rPr>
      <w:sz w:val="24"/>
    </w:rPr>
  </w:style>
  <w:style w:type="table" w:customStyle="1" w:styleId="PlainTable11">
    <w:name w:val="Plain Table 11"/>
    <w:basedOn w:val="TableNormal"/>
    <w:uiPriority w:val="41"/>
    <w:rsid w:val="00B6242B"/>
    <w:tblPr>
      <w:tblStyleRowBandSize w:val="1"/>
      <w:tblStyleColBandSize w:val="1"/>
      <w:tblInd w:w="83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1">
    <w:name w:val="Plain Table 21"/>
    <w:basedOn w:val="TableNormal"/>
    <w:uiPriority w:val="42"/>
    <w:rsid w:val="00B6242B"/>
    <w:tblPr>
      <w:tblStyleRowBandSize w:val="1"/>
      <w:tblStyleColBandSize w:val="1"/>
      <w:tblInd w:w="833" w:type="dxa"/>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31">
    <w:name w:val="Plain Table 31"/>
    <w:basedOn w:val="TableNormal"/>
    <w:uiPriority w:val="43"/>
    <w:rsid w:val="00B6242B"/>
    <w:tblPr>
      <w:tblStyleRowBandSize w:val="1"/>
      <w:tblStyleColBandSize w:val="1"/>
      <w:tblInd w:w="833" w:type="dxa"/>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1">
    <w:name w:val="Plain Table 41"/>
    <w:basedOn w:val="TableNormal"/>
    <w:uiPriority w:val="44"/>
    <w:rsid w:val="00895F08"/>
    <w:tblPr>
      <w:tblStyleRowBandSize w:val="1"/>
      <w:tblStyleColBandSize w:val="1"/>
      <w:tblInd w:w="833" w:type="dxa"/>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1">
    <w:name w:val="Plain Table 51"/>
    <w:basedOn w:val="TableNormal"/>
    <w:uiPriority w:val="45"/>
    <w:rsid w:val="00895F08"/>
    <w:tblPr>
      <w:tblStyleRowBandSize w:val="1"/>
      <w:tblStyleColBandSize w:val="1"/>
      <w:tblInd w:w="833" w:type="dxa"/>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1Light-Accent11">
    <w:name w:val="Grid Table 1 Light - Accent 11"/>
    <w:basedOn w:val="TableNormal"/>
    <w:uiPriority w:val="46"/>
    <w:rsid w:val="00DD3CEB"/>
    <w:tblPr>
      <w:tblStyleRowBandSize w:val="1"/>
      <w:tblStyleColBandSize w:val="1"/>
      <w:tblInd w:w="833" w:type="dxa"/>
      <w:tblBorders>
        <w:top w:val="single" w:sz="4" w:space="0" w:color="C7E7EF" w:themeColor="accent1" w:themeTint="66"/>
        <w:left w:val="single" w:sz="4" w:space="0" w:color="C7E7EF" w:themeColor="accent1" w:themeTint="66"/>
        <w:bottom w:val="single" w:sz="4" w:space="0" w:color="C7E7EF" w:themeColor="accent1" w:themeTint="66"/>
        <w:right w:val="single" w:sz="4" w:space="0" w:color="C7E7EF" w:themeColor="accent1" w:themeTint="66"/>
        <w:insideH w:val="single" w:sz="4" w:space="0" w:color="C7E7EF" w:themeColor="accent1" w:themeTint="66"/>
        <w:insideV w:val="single" w:sz="4" w:space="0" w:color="C7E7EF" w:themeColor="accent1" w:themeTint="66"/>
      </w:tblBorders>
    </w:tblPr>
    <w:tblStylePr w:type="firstRow">
      <w:rPr>
        <w:b/>
        <w:bCs/>
      </w:rPr>
      <w:tblPr/>
      <w:tcPr>
        <w:tcBorders>
          <w:bottom w:val="single" w:sz="12" w:space="0" w:color="ABDBE7" w:themeColor="accent1" w:themeTint="99"/>
        </w:tcBorders>
      </w:tcPr>
    </w:tblStylePr>
    <w:tblStylePr w:type="lastRow">
      <w:rPr>
        <w:b/>
        <w:bCs/>
      </w:rPr>
      <w:tblPr/>
      <w:tcPr>
        <w:tcBorders>
          <w:top w:val="double" w:sz="2" w:space="0" w:color="ABDBE7" w:themeColor="accent1" w:themeTint="99"/>
        </w:tcBorders>
      </w:tcPr>
    </w:tblStylePr>
    <w:tblStylePr w:type="firstCol">
      <w:rPr>
        <w:b/>
        <w:bCs/>
      </w:rPr>
    </w:tblStylePr>
    <w:tblStylePr w:type="lastCol">
      <w:rPr>
        <w:b/>
        <w:bCs/>
      </w:rPr>
    </w:tblStylePr>
  </w:style>
  <w:style w:type="table" w:customStyle="1" w:styleId="GridTable1Light-Accent21">
    <w:name w:val="Grid Table 1 Light - Accent 21"/>
    <w:basedOn w:val="TableNormal"/>
    <w:uiPriority w:val="46"/>
    <w:rsid w:val="00DD3CEB"/>
    <w:tblPr>
      <w:tblStyleRowBandSize w:val="1"/>
      <w:tblStyleColBandSize w:val="1"/>
      <w:tblInd w:w="833" w:type="dxa"/>
      <w:tblBorders>
        <w:top w:val="single" w:sz="4" w:space="0" w:color="95DAF8" w:themeColor="accent2" w:themeTint="66"/>
        <w:left w:val="single" w:sz="4" w:space="0" w:color="95DAF8" w:themeColor="accent2" w:themeTint="66"/>
        <w:bottom w:val="single" w:sz="4" w:space="0" w:color="95DAF8" w:themeColor="accent2" w:themeTint="66"/>
        <w:right w:val="single" w:sz="4" w:space="0" w:color="95DAF8" w:themeColor="accent2" w:themeTint="66"/>
        <w:insideH w:val="single" w:sz="4" w:space="0" w:color="95DAF8" w:themeColor="accent2" w:themeTint="66"/>
        <w:insideV w:val="single" w:sz="4" w:space="0" w:color="95DAF8" w:themeColor="accent2" w:themeTint="66"/>
      </w:tblBorders>
    </w:tblPr>
    <w:tblStylePr w:type="firstRow">
      <w:rPr>
        <w:b/>
        <w:bCs/>
      </w:rPr>
      <w:tblPr/>
      <w:tcPr>
        <w:tcBorders>
          <w:bottom w:val="single" w:sz="12" w:space="0" w:color="61C8F5" w:themeColor="accent2" w:themeTint="99"/>
        </w:tcBorders>
      </w:tcPr>
    </w:tblStylePr>
    <w:tblStylePr w:type="lastRow">
      <w:rPr>
        <w:b/>
        <w:bCs/>
      </w:rPr>
      <w:tblPr/>
      <w:tcPr>
        <w:tcBorders>
          <w:top w:val="double" w:sz="2" w:space="0" w:color="61C8F5" w:themeColor="accent2" w:themeTint="99"/>
        </w:tcBorders>
      </w:tcPr>
    </w:tblStylePr>
    <w:tblStylePr w:type="firstCol">
      <w:rPr>
        <w:b/>
        <w:bCs/>
      </w:rPr>
    </w:tblStylePr>
    <w:tblStylePr w:type="lastCol">
      <w:rPr>
        <w:b/>
        <w:bCs/>
      </w:rPr>
    </w:tblStylePr>
  </w:style>
  <w:style w:type="table" w:customStyle="1" w:styleId="GridTable1Light-Accent31">
    <w:name w:val="Grid Table 1 Light - Accent 31"/>
    <w:basedOn w:val="TableNormal"/>
    <w:uiPriority w:val="46"/>
    <w:rsid w:val="00DD3CEB"/>
    <w:tblPr>
      <w:tblStyleRowBandSize w:val="1"/>
      <w:tblStyleColBandSize w:val="1"/>
      <w:tblInd w:w="833" w:type="dxa"/>
      <w:tblBorders>
        <w:top w:val="single" w:sz="4" w:space="0" w:color="DCD9D7" w:themeColor="accent3" w:themeTint="66"/>
        <w:left w:val="single" w:sz="4" w:space="0" w:color="DCD9D7" w:themeColor="accent3" w:themeTint="66"/>
        <w:bottom w:val="single" w:sz="4" w:space="0" w:color="DCD9D7" w:themeColor="accent3" w:themeTint="66"/>
        <w:right w:val="single" w:sz="4" w:space="0" w:color="DCD9D7" w:themeColor="accent3" w:themeTint="66"/>
        <w:insideH w:val="single" w:sz="4" w:space="0" w:color="DCD9D7" w:themeColor="accent3" w:themeTint="66"/>
        <w:insideV w:val="single" w:sz="4" w:space="0" w:color="DCD9D7" w:themeColor="accent3" w:themeTint="66"/>
      </w:tblBorders>
    </w:tblPr>
    <w:tblStylePr w:type="firstRow">
      <w:rPr>
        <w:b/>
        <w:bCs/>
      </w:rPr>
      <w:tblPr/>
      <w:tcPr>
        <w:tcBorders>
          <w:bottom w:val="single" w:sz="12" w:space="0" w:color="CBC6C3" w:themeColor="accent3" w:themeTint="99"/>
        </w:tcBorders>
      </w:tcPr>
    </w:tblStylePr>
    <w:tblStylePr w:type="lastRow">
      <w:rPr>
        <w:b/>
        <w:bCs/>
      </w:rPr>
      <w:tblPr/>
      <w:tcPr>
        <w:tcBorders>
          <w:top w:val="double" w:sz="2" w:space="0" w:color="CBC6C3" w:themeColor="accent3" w:themeTint="99"/>
        </w:tcBorders>
      </w:tcPr>
    </w:tblStylePr>
    <w:tblStylePr w:type="firstCol">
      <w:rPr>
        <w:b/>
        <w:bCs/>
      </w:rPr>
    </w:tblStylePr>
    <w:tblStylePr w:type="lastCol">
      <w:rPr>
        <w:b/>
        <w:bCs/>
      </w:rPr>
    </w:tblStylePr>
  </w:style>
  <w:style w:type="table" w:customStyle="1" w:styleId="GridTable1Light-Accent41">
    <w:name w:val="Grid Table 1 Light - Accent 41"/>
    <w:basedOn w:val="TableNormal"/>
    <w:uiPriority w:val="46"/>
    <w:rsid w:val="00DD3CEB"/>
    <w:tblPr>
      <w:tblStyleRowBandSize w:val="1"/>
      <w:tblStyleColBandSize w:val="1"/>
      <w:tblInd w:w="833" w:type="dxa"/>
      <w:tblBorders>
        <w:top w:val="single" w:sz="4" w:space="0" w:color="ECFD8E" w:themeColor="accent4" w:themeTint="66"/>
        <w:left w:val="single" w:sz="4" w:space="0" w:color="ECFD8E" w:themeColor="accent4" w:themeTint="66"/>
        <w:bottom w:val="single" w:sz="4" w:space="0" w:color="ECFD8E" w:themeColor="accent4" w:themeTint="66"/>
        <w:right w:val="single" w:sz="4" w:space="0" w:color="ECFD8E" w:themeColor="accent4" w:themeTint="66"/>
        <w:insideH w:val="single" w:sz="4" w:space="0" w:color="ECFD8E" w:themeColor="accent4" w:themeTint="66"/>
        <w:insideV w:val="single" w:sz="4" w:space="0" w:color="ECFD8E" w:themeColor="accent4" w:themeTint="66"/>
      </w:tblBorders>
    </w:tblPr>
    <w:tblStylePr w:type="firstRow">
      <w:rPr>
        <w:b/>
        <w:bCs/>
      </w:rPr>
      <w:tblPr/>
      <w:tcPr>
        <w:tcBorders>
          <w:bottom w:val="single" w:sz="12" w:space="0" w:color="E3FC56" w:themeColor="accent4" w:themeTint="99"/>
        </w:tcBorders>
      </w:tcPr>
    </w:tblStylePr>
    <w:tblStylePr w:type="lastRow">
      <w:rPr>
        <w:b/>
        <w:bCs/>
      </w:rPr>
      <w:tblPr/>
      <w:tcPr>
        <w:tcBorders>
          <w:top w:val="double" w:sz="2" w:space="0" w:color="E3FC56" w:themeColor="accent4" w:themeTint="99"/>
        </w:tcBorders>
      </w:tcPr>
    </w:tblStylePr>
    <w:tblStylePr w:type="firstCol">
      <w:rPr>
        <w:b/>
        <w:bCs/>
      </w:rPr>
    </w:tblStylePr>
    <w:tblStylePr w:type="lastCol">
      <w:rPr>
        <w:b/>
        <w:bCs/>
      </w:rPr>
    </w:tblStylePr>
  </w:style>
  <w:style w:type="table" w:customStyle="1" w:styleId="GridTable1Light-Accent51">
    <w:name w:val="Grid Table 1 Light - Accent 51"/>
    <w:basedOn w:val="TableNormal"/>
    <w:uiPriority w:val="46"/>
    <w:rsid w:val="00DD3CEB"/>
    <w:tblPr>
      <w:tblStyleRowBandSize w:val="1"/>
      <w:tblStyleColBandSize w:val="1"/>
      <w:tblInd w:w="833" w:type="dxa"/>
      <w:tblBorders>
        <w:top w:val="single" w:sz="4" w:space="0" w:color="74DFFF" w:themeColor="accent5" w:themeTint="66"/>
        <w:left w:val="single" w:sz="4" w:space="0" w:color="74DFFF" w:themeColor="accent5" w:themeTint="66"/>
        <w:bottom w:val="single" w:sz="4" w:space="0" w:color="74DFFF" w:themeColor="accent5" w:themeTint="66"/>
        <w:right w:val="single" w:sz="4" w:space="0" w:color="74DFFF" w:themeColor="accent5" w:themeTint="66"/>
        <w:insideH w:val="single" w:sz="4" w:space="0" w:color="74DFFF" w:themeColor="accent5" w:themeTint="66"/>
        <w:insideV w:val="single" w:sz="4" w:space="0" w:color="74DFFF" w:themeColor="accent5" w:themeTint="66"/>
      </w:tblBorders>
    </w:tblPr>
    <w:tblStylePr w:type="firstRow">
      <w:rPr>
        <w:b/>
        <w:bCs/>
      </w:rPr>
      <w:tblPr/>
      <w:tcPr>
        <w:tcBorders>
          <w:bottom w:val="single" w:sz="12" w:space="0" w:color="2ED0FF" w:themeColor="accent5" w:themeTint="99"/>
        </w:tcBorders>
      </w:tcPr>
    </w:tblStylePr>
    <w:tblStylePr w:type="lastRow">
      <w:rPr>
        <w:b/>
        <w:bCs/>
      </w:rPr>
      <w:tblPr/>
      <w:tcPr>
        <w:tcBorders>
          <w:top w:val="double" w:sz="2" w:space="0" w:color="2ED0FF" w:themeColor="accent5" w:themeTint="99"/>
        </w:tcBorders>
      </w:tcPr>
    </w:tblStylePr>
    <w:tblStylePr w:type="firstCol">
      <w:rPr>
        <w:b/>
        <w:bCs/>
      </w:rPr>
    </w:tblStylePr>
    <w:tblStylePr w:type="lastCol">
      <w:rPr>
        <w:b/>
        <w:bCs/>
      </w:rPr>
    </w:tblStylePr>
  </w:style>
  <w:style w:type="table" w:customStyle="1" w:styleId="GridTable1Light-Accent61">
    <w:name w:val="Grid Table 1 Light - Accent 61"/>
    <w:basedOn w:val="TableNormal"/>
    <w:uiPriority w:val="46"/>
    <w:rsid w:val="00DD3CEB"/>
    <w:tblPr>
      <w:tblStyleRowBandSize w:val="1"/>
      <w:tblStyleColBandSize w:val="1"/>
      <w:tblInd w:w="833" w:type="dxa"/>
      <w:tblBorders>
        <w:top w:val="single" w:sz="4" w:space="0" w:color="BDBDBD" w:themeColor="accent6" w:themeTint="66"/>
        <w:left w:val="single" w:sz="4" w:space="0" w:color="BDBDBD" w:themeColor="accent6" w:themeTint="66"/>
        <w:bottom w:val="single" w:sz="4" w:space="0" w:color="BDBDBD" w:themeColor="accent6" w:themeTint="66"/>
        <w:right w:val="single" w:sz="4" w:space="0" w:color="BDBDBD" w:themeColor="accent6" w:themeTint="66"/>
        <w:insideH w:val="single" w:sz="4" w:space="0" w:color="BDBDBD" w:themeColor="accent6" w:themeTint="66"/>
        <w:insideV w:val="single" w:sz="4" w:space="0" w:color="BDBDBD" w:themeColor="accent6" w:themeTint="66"/>
      </w:tblBorders>
    </w:tblPr>
    <w:tblStylePr w:type="firstRow">
      <w:rPr>
        <w:b/>
        <w:bCs/>
      </w:rPr>
      <w:tblPr/>
      <w:tcPr>
        <w:tcBorders>
          <w:bottom w:val="single" w:sz="12" w:space="0" w:color="9C9C9C" w:themeColor="accent6" w:themeTint="99"/>
        </w:tcBorders>
      </w:tcPr>
    </w:tblStylePr>
    <w:tblStylePr w:type="lastRow">
      <w:rPr>
        <w:b/>
        <w:bCs/>
      </w:rPr>
      <w:tblPr/>
      <w:tcPr>
        <w:tcBorders>
          <w:top w:val="double" w:sz="2" w:space="0" w:color="9C9C9C" w:themeColor="accent6" w:themeTint="99"/>
        </w:tcBorders>
      </w:tcPr>
    </w:tblStylePr>
    <w:tblStylePr w:type="firstCol">
      <w:rPr>
        <w:b/>
        <w:bCs/>
      </w:rPr>
    </w:tblStylePr>
    <w:tblStylePr w:type="lastCol">
      <w:rPr>
        <w:b/>
        <w:bCs/>
      </w:rPr>
    </w:tblStylePr>
  </w:style>
  <w:style w:type="table" w:customStyle="1" w:styleId="GridTable21">
    <w:name w:val="Grid Table 21"/>
    <w:basedOn w:val="TableNormal"/>
    <w:uiPriority w:val="47"/>
    <w:rsid w:val="00DD3CEB"/>
    <w:tblPr>
      <w:tblStyleRowBandSize w:val="1"/>
      <w:tblStyleColBandSize w:val="1"/>
      <w:tblInd w:w="833" w:type="dxa"/>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2-Accent11">
    <w:name w:val="Grid Table 2 - Accent 11"/>
    <w:basedOn w:val="TableNormal"/>
    <w:uiPriority w:val="47"/>
    <w:rsid w:val="00DD3CEB"/>
    <w:tblPr>
      <w:tblStyleRowBandSize w:val="1"/>
      <w:tblStyleColBandSize w:val="1"/>
      <w:tblInd w:w="833" w:type="dxa"/>
      <w:tblBorders>
        <w:top w:val="single" w:sz="2" w:space="0" w:color="ABDBE7" w:themeColor="accent1" w:themeTint="99"/>
        <w:bottom w:val="single" w:sz="2" w:space="0" w:color="ABDBE7" w:themeColor="accent1" w:themeTint="99"/>
        <w:insideH w:val="single" w:sz="2" w:space="0" w:color="ABDBE7" w:themeColor="accent1" w:themeTint="99"/>
        <w:insideV w:val="single" w:sz="2" w:space="0" w:color="ABDBE7" w:themeColor="accent1" w:themeTint="99"/>
      </w:tblBorders>
    </w:tblPr>
    <w:tblStylePr w:type="firstRow">
      <w:rPr>
        <w:b/>
        <w:bCs/>
      </w:rPr>
      <w:tblPr/>
      <w:tcPr>
        <w:tcBorders>
          <w:top w:val="nil"/>
          <w:bottom w:val="single" w:sz="12" w:space="0" w:color="ABDBE7" w:themeColor="accent1" w:themeTint="99"/>
          <w:insideH w:val="nil"/>
          <w:insideV w:val="nil"/>
        </w:tcBorders>
        <w:shd w:val="clear" w:color="auto" w:fill="FFFFFF" w:themeFill="background1"/>
      </w:tcPr>
    </w:tblStylePr>
    <w:tblStylePr w:type="lastRow">
      <w:rPr>
        <w:b/>
        <w:bCs/>
      </w:rPr>
      <w:tblPr/>
      <w:tcPr>
        <w:tcBorders>
          <w:top w:val="double" w:sz="2" w:space="0" w:color="ABDBE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3F3F7" w:themeFill="accent1" w:themeFillTint="33"/>
      </w:tcPr>
    </w:tblStylePr>
    <w:tblStylePr w:type="band1Horz">
      <w:tblPr/>
      <w:tcPr>
        <w:shd w:val="clear" w:color="auto" w:fill="E3F3F7" w:themeFill="accent1" w:themeFillTint="33"/>
      </w:tcPr>
    </w:tblStylePr>
  </w:style>
  <w:style w:type="table" w:customStyle="1" w:styleId="GridTable2-Accent21">
    <w:name w:val="Grid Table 2 - Accent 21"/>
    <w:basedOn w:val="TableNormal"/>
    <w:uiPriority w:val="47"/>
    <w:rsid w:val="00DD3CEB"/>
    <w:tblPr>
      <w:tblStyleRowBandSize w:val="1"/>
      <w:tblStyleColBandSize w:val="1"/>
      <w:tblInd w:w="833" w:type="dxa"/>
      <w:tblBorders>
        <w:top w:val="single" w:sz="2" w:space="0" w:color="61C8F5" w:themeColor="accent2" w:themeTint="99"/>
        <w:bottom w:val="single" w:sz="2" w:space="0" w:color="61C8F5" w:themeColor="accent2" w:themeTint="99"/>
        <w:insideH w:val="single" w:sz="2" w:space="0" w:color="61C8F5" w:themeColor="accent2" w:themeTint="99"/>
        <w:insideV w:val="single" w:sz="2" w:space="0" w:color="61C8F5" w:themeColor="accent2" w:themeTint="99"/>
      </w:tblBorders>
    </w:tblPr>
    <w:tblStylePr w:type="firstRow">
      <w:rPr>
        <w:b/>
        <w:bCs/>
      </w:rPr>
      <w:tblPr/>
      <w:tcPr>
        <w:tcBorders>
          <w:top w:val="nil"/>
          <w:bottom w:val="single" w:sz="12" w:space="0" w:color="61C8F5" w:themeColor="accent2" w:themeTint="99"/>
          <w:insideH w:val="nil"/>
          <w:insideV w:val="nil"/>
        </w:tcBorders>
        <w:shd w:val="clear" w:color="auto" w:fill="FFFFFF" w:themeFill="background1"/>
      </w:tcPr>
    </w:tblStylePr>
    <w:tblStylePr w:type="lastRow">
      <w:rPr>
        <w:b/>
        <w:bCs/>
      </w:rPr>
      <w:tblPr/>
      <w:tcPr>
        <w:tcBorders>
          <w:top w:val="double" w:sz="2" w:space="0" w:color="61C8F5"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AEDFC" w:themeFill="accent2" w:themeFillTint="33"/>
      </w:tcPr>
    </w:tblStylePr>
    <w:tblStylePr w:type="band1Horz">
      <w:tblPr/>
      <w:tcPr>
        <w:shd w:val="clear" w:color="auto" w:fill="CAEDFC" w:themeFill="accent2" w:themeFillTint="33"/>
      </w:tcPr>
    </w:tblStylePr>
  </w:style>
  <w:style w:type="table" w:customStyle="1" w:styleId="GridTable2-Accent31">
    <w:name w:val="Grid Table 2 - Accent 31"/>
    <w:basedOn w:val="TableNormal"/>
    <w:uiPriority w:val="47"/>
    <w:rsid w:val="00DD3CEB"/>
    <w:tblPr>
      <w:tblStyleRowBandSize w:val="1"/>
      <w:tblStyleColBandSize w:val="1"/>
      <w:tblInd w:w="833" w:type="dxa"/>
      <w:tblBorders>
        <w:top w:val="single" w:sz="2" w:space="0" w:color="CBC6C3" w:themeColor="accent3" w:themeTint="99"/>
        <w:bottom w:val="single" w:sz="2" w:space="0" w:color="CBC6C3" w:themeColor="accent3" w:themeTint="99"/>
        <w:insideH w:val="single" w:sz="2" w:space="0" w:color="CBC6C3" w:themeColor="accent3" w:themeTint="99"/>
        <w:insideV w:val="single" w:sz="2" w:space="0" w:color="CBC6C3" w:themeColor="accent3" w:themeTint="99"/>
      </w:tblBorders>
    </w:tblPr>
    <w:tblStylePr w:type="firstRow">
      <w:rPr>
        <w:b/>
        <w:bCs/>
      </w:rPr>
      <w:tblPr/>
      <w:tcPr>
        <w:tcBorders>
          <w:top w:val="nil"/>
          <w:bottom w:val="single" w:sz="12" w:space="0" w:color="CBC6C3" w:themeColor="accent3" w:themeTint="99"/>
          <w:insideH w:val="nil"/>
          <w:insideV w:val="nil"/>
        </w:tcBorders>
        <w:shd w:val="clear" w:color="auto" w:fill="FFFFFF" w:themeFill="background1"/>
      </w:tcPr>
    </w:tblStylePr>
    <w:tblStylePr w:type="lastRow">
      <w:rPr>
        <w:b/>
        <w:bCs/>
      </w:rPr>
      <w:tblPr/>
      <w:tcPr>
        <w:tcBorders>
          <w:top w:val="double" w:sz="2" w:space="0" w:color="CBC6C3"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CEB" w:themeFill="accent3" w:themeFillTint="33"/>
      </w:tcPr>
    </w:tblStylePr>
    <w:tblStylePr w:type="band1Horz">
      <w:tblPr/>
      <w:tcPr>
        <w:shd w:val="clear" w:color="auto" w:fill="EDECEB" w:themeFill="accent3" w:themeFillTint="33"/>
      </w:tcPr>
    </w:tblStylePr>
  </w:style>
  <w:style w:type="table" w:customStyle="1" w:styleId="GridTable2-Accent41">
    <w:name w:val="Grid Table 2 - Accent 41"/>
    <w:basedOn w:val="TableNormal"/>
    <w:uiPriority w:val="47"/>
    <w:rsid w:val="00DD3CEB"/>
    <w:tblPr>
      <w:tblStyleRowBandSize w:val="1"/>
      <w:tblStyleColBandSize w:val="1"/>
      <w:tblInd w:w="833" w:type="dxa"/>
      <w:tblBorders>
        <w:top w:val="single" w:sz="2" w:space="0" w:color="E3FC56" w:themeColor="accent4" w:themeTint="99"/>
        <w:bottom w:val="single" w:sz="2" w:space="0" w:color="E3FC56" w:themeColor="accent4" w:themeTint="99"/>
        <w:insideH w:val="single" w:sz="2" w:space="0" w:color="E3FC56" w:themeColor="accent4" w:themeTint="99"/>
        <w:insideV w:val="single" w:sz="2" w:space="0" w:color="E3FC56" w:themeColor="accent4" w:themeTint="99"/>
      </w:tblBorders>
    </w:tblPr>
    <w:tblStylePr w:type="firstRow">
      <w:rPr>
        <w:b/>
        <w:bCs/>
      </w:rPr>
      <w:tblPr/>
      <w:tcPr>
        <w:tcBorders>
          <w:top w:val="nil"/>
          <w:bottom w:val="single" w:sz="12" w:space="0" w:color="E3FC56" w:themeColor="accent4" w:themeTint="99"/>
          <w:insideH w:val="nil"/>
          <w:insideV w:val="nil"/>
        </w:tcBorders>
        <w:shd w:val="clear" w:color="auto" w:fill="FFFFFF" w:themeFill="background1"/>
      </w:tcPr>
    </w:tblStylePr>
    <w:tblStylePr w:type="lastRow">
      <w:rPr>
        <w:b/>
        <w:bCs/>
      </w:rPr>
      <w:tblPr/>
      <w:tcPr>
        <w:tcBorders>
          <w:top w:val="double" w:sz="2" w:space="0" w:color="E3FC5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5FEC6" w:themeFill="accent4" w:themeFillTint="33"/>
      </w:tcPr>
    </w:tblStylePr>
    <w:tblStylePr w:type="band1Horz">
      <w:tblPr/>
      <w:tcPr>
        <w:shd w:val="clear" w:color="auto" w:fill="F5FEC6" w:themeFill="accent4" w:themeFillTint="33"/>
      </w:tcPr>
    </w:tblStylePr>
  </w:style>
  <w:style w:type="table" w:customStyle="1" w:styleId="GridTable2-Accent51">
    <w:name w:val="Grid Table 2 - Accent 51"/>
    <w:basedOn w:val="TableNormal"/>
    <w:uiPriority w:val="47"/>
    <w:rsid w:val="00DD3CEB"/>
    <w:tblPr>
      <w:tblStyleRowBandSize w:val="1"/>
      <w:tblStyleColBandSize w:val="1"/>
      <w:tblInd w:w="833" w:type="dxa"/>
      <w:tblBorders>
        <w:top w:val="single" w:sz="2" w:space="0" w:color="2ED0FF" w:themeColor="accent5" w:themeTint="99"/>
        <w:bottom w:val="single" w:sz="2" w:space="0" w:color="2ED0FF" w:themeColor="accent5" w:themeTint="99"/>
        <w:insideH w:val="single" w:sz="2" w:space="0" w:color="2ED0FF" w:themeColor="accent5" w:themeTint="99"/>
        <w:insideV w:val="single" w:sz="2" w:space="0" w:color="2ED0FF" w:themeColor="accent5" w:themeTint="99"/>
      </w:tblBorders>
    </w:tblPr>
    <w:tblStylePr w:type="firstRow">
      <w:rPr>
        <w:b/>
        <w:bCs/>
      </w:rPr>
      <w:tblPr/>
      <w:tcPr>
        <w:tcBorders>
          <w:top w:val="nil"/>
          <w:bottom w:val="single" w:sz="12" w:space="0" w:color="2ED0FF" w:themeColor="accent5" w:themeTint="99"/>
          <w:insideH w:val="nil"/>
          <w:insideV w:val="nil"/>
        </w:tcBorders>
        <w:shd w:val="clear" w:color="auto" w:fill="FFFFFF" w:themeFill="background1"/>
      </w:tcPr>
    </w:tblStylePr>
    <w:tblStylePr w:type="lastRow">
      <w:rPr>
        <w:b/>
        <w:bCs/>
      </w:rPr>
      <w:tblPr/>
      <w:tcPr>
        <w:tcBorders>
          <w:top w:val="double" w:sz="2" w:space="0" w:color="2ED0FF"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9EFFF" w:themeFill="accent5" w:themeFillTint="33"/>
      </w:tcPr>
    </w:tblStylePr>
    <w:tblStylePr w:type="band1Horz">
      <w:tblPr/>
      <w:tcPr>
        <w:shd w:val="clear" w:color="auto" w:fill="B9EFFF" w:themeFill="accent5" w:themeFillTint="33"/>
      </w:tcPr>
    </w:tblStylePr>
  </w:style>
  <w:style w:type="table" w:customStyle="1" w:styleId="GridTable2-Accent61">
    <w:name w:val="Grid Table 2 - Accent 61"/>
    <w:basedOn w:val="TableNormal"/>
    <w:uiPriority w:val="47"/>
    <w:rsid w:val="00DD3CEB"/>
    <w:tblPr>
      <w:tblStyleRowBandSize w:val="1"/>
      <w:tblStyleColBandSize w:val="1"/>
      <w:tblInd w:w="833" w:type="dxa"/>
      <w:tblBorders>
        <w:top w:val="single" w:sz="2" w:space="0" w:color="9C9C9C" w:themeColor="accent6" w:themeTint="99"/>
        <w:bottom w:val="single" w:sz="2" w:space="0" w:color="9C9C9C" w:themeColor="accent6" w:themeTint="99"/>
        <w:insideH w:val="single" w:sz="2" w:space="0" w:color="9C9C9C" w:themeColor="accent6" w:themeTint="99"/>
        <w:insideV w:val="single" w:sz="2" w:space="0" w:color="9C9C9C" w:themeColor="accent6" w:themeTint="99"/>
      </w:tblBorders>
    </w:tblPr>
    <w:tblStylePr w:type="firstRow">
      <w:rPr>
        <w:b/>
        <w:bCs/>
      </w:rPr>
      <w:tblPr/>
      <w:tcPr>
        <w:tcBorders>
          <w:top w:val="nil"/>
          <w:bottom w:val="single" w:sz="12" w:space="0" w:color="9C9C9C" w:themeColor="accent6" w:themeTint="99"/>
          <w:insideH w:val="nil"/>
          <w:insideV w:val="nil"/>
        </w:tcBorders>
        <w:shd w:val="clear" w:color="auto" w:fill="FFFFFF" w:themeFill="background1"/>
      </w:tcPr>
    </w:tblStylePr>
    <w:tblStylePr w:type="lastRow">
      <w:rPr>
        <w:b/>
        <w:bCs/>
      </w:rPr>
      <w:tblPr/>
      <w:tcPr>
        <w:tcBorders>
          <w:top w:val="double" w:sz="2" w:space="0" w:color="9C9C9C"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DEDE" w:themeFill="accent6" w:themeFillTint="33"/>
      </w:tcPr>
    </w:tblStylePr>
    <w:tblStylePr w:type="band1Horz">
      <w:tblPr/>
      <w:tcPr>
        <w:shd w:val="clear" w:color="auto" w:fill="DEDEDE" w:themeFill="accent6" w:themeFillTint="33"/>
      </w:tcPr>
    </w:tblStylePr>
  </w:style>
  <w:style w:type="table" w:customStyle="1" w:styleId="GridTable31">
    <w:name w:val="Grid Table 31"/>
    <w:basedOn w:val="TableNormal"/>
    <w:uiPriority w:val="48"/>
    <w:rsid w:val="00DD3CEB"/>
    <w:tblPr>
      <w:tblStyleRowBandSize w:val="1"/>
      <w:tblStyleColBandSize w:val="1"/>
      <w:tblInd w:w="833"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3-Accent11">
    <w:name w:val="Grid Table 3 - Accent 11"/>
    <w:basedOn w:val="TableNormal"/>
    <w:uiPriority w:val="48"/>
    <w:rsid w:val="00DD3CEB"/>
    <w:tblPr>
      <w:tblStyleRowBandSize w:val="1"/>
      <w:tblStyleColBandSize w:val="1"/>
      <w:tblInd w:w="833" w:type="dxa"/>
      <w:tblBorders>
        <w:top w:val="single" w:sz="4" w:space="0" w:color="ABDBE7" w:themeColor="accent1" w:themeTint="99"/>
        <w:left w:val="single" w:sz="4" w:space="0" w:color="ABDBE7" w:themeColor="accent1" w:themeTint="99"/>
        <w:bottom w:val="single" w:sz="4" w:space="0" w:color="ABDBE7" w:themeColor="accent1" w:themeTint="99"/>
        <w:right w:val="single" w:sz="4" w:space="0" w:color="ABDBE7" w:themeColor="accent1" w:themeTint="99"/>
        <w:insideH w:val="single" w:sz="4" w:space="0" w:color="ABDBE7" w:themeColor="accent1" w:themeTint="99"/>
        <w:insideV w:val="single" w:sz="4" w:space="0" w:color="ABDBE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3F3F7" w:themeFill="accent1" w:themeFillTint="33"/>
      </w:tcPr>
    </w:tblStylePr>
    <w:tblStylePr w:type="band1Horz">
      <w:tblPr/>
      <w:tcPr>
        <w:shd w:val="clear" w:color="auto" w:fill="E3F3F7" w:themeFill="accent1" w:themeFillTint="33"/>
      </w:tcPr>
    </w:tblStylePr>
    <w:tblStylePr w:type="neCell">
      <w:tblPr/>
      <w:tcPr>
        <w:tcBorders>
          <w:bottom w:val="single" w:sz="4" w:space="0" w:color="ABDBE7" w:themeColor="accent1" w:themeTint="99"/>
        </w:tcBorders>
      </w:tcPr>
    </w:tblStylePr>
    <w:tblStylePr w:type="nwCell">
      <w:tblPr/>
      <w:tcPr>
        <w:tcBorders>
          <w:bottom w:val="single" w:sz="4" w:space="0" w:color="ABDBE7" w:themeColor="accent1" w:themeTint="99"/>
        </w:tcBorders>
      </w:tcPr>
    </w:tblStylePr>
    <w:tblStylePr w:type="seCell">
      <w:tblPr/>
      <w:tcPr>
        <w:tcBorders>
          <w:top w:val="single" w:sz="4" w:space="0" w:color="ABDBE7" w:themeColor="accent1" w:themeTint="99"/>
        </w:tcBorders>
      </w:tcPr>
    </w:tblStylePr>
    <w:tblStylePr w:type="swCell">
      <w:tblPr/>
      <w:tcPr>
        <w:tcBorders>
          <w:top w:val="single" w:sz="4" w:space="0" w:color="ABDBE7" w:themeColor="accent1" w:themeTint="99"/>
        </w:tcBorders>
      </w:tcPr>
    </w:tblStylePr>
  </w:style>
  <w:style w:type="table" w:customStyle="1" w:styleId="GridTable3-Accent21">
    <w:name w:val="Grid Table 3 - Accent 21"/>
    <w:basedOn w:val="TableNormal"/>
    <w:uiPriority w:val="48"/>
    <w:rsid w:val="00894873"/>
    <w:tblPr>
      <w:tblStyleRowBandSize w:val="1"/>
      <w:tblStyleColBandSize w:val="1"/>
      <w:tblInd w:w="833" w:type="dxa"/>
      <w:tblBorders>
        <w:top w:val="single" w:sz="4" w:space="0" w:color="61C8F5" w:themeColor="accent2" w:themeTint="99"/>
        <w:left w:val="single" w:sz="4" w:space="0" w:color="61C8F5" w:themeColor="accent2" w:themeTint="99"/>
        <w:bottom w:val="single" w:sz="4" w:space="0" w:color="61C8F5" w:themeColor="accent2" w:themeTint="99"/>
        <w:right w:val="single" w:sz="4" w:space="0" w:color="61C8F5" w:themeColor="accent2" w:themeTint="99"/>
        <w:insideH w:val="single" w:sz="4" w:space="0" w:color="61C8F5" w:themeColor="accent2" w:themeTint="99"/>
        <w:insideV w:val="single" w:sz="4" w:space="0" w:color="61C8F5"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AEDFC" w:themeFill="accent2" w:themeFillTint="33"/>
      </w:tcPr>
    </w:tblStylePr>
    <w:tblStylePr w:type="band1Horz">
      <w:tblPr/>
      <w:tcPr>
        <w:shd w:val="clear" w:color="auto" w:fill="CAEDFC" w:themeFill="accent2" w:themeFillTint="33"/>
      </w:tcPr>
    </w:tblStylePr>
    <w:tblStylePr w:type="neCell">
      <w:tblPr/>
      <w:tcPr>
        <w:tcBorders>
          <w:bottom w:val="single" w:sz="4" w:space="0" w:color="61C8F5" w:themeColor="accent2" w:themeTint="99"/>
        </w:tcBorders>
      </w:tcPr>
    </w:tblStylePr>
    <w:tblStylePr w:type="nwCell">
      <w:tblPr/>
      <w:tcPr>
        <w:tcBorders>
          <w:bottom w:val="single" w:sz="4" w:space="0" w:color="61C8F5" w:themeColor="accent2" w:themeTint="99"/>
        </w:tcBorders>
      </w:tcPr>
    </w:tblStylePr>
    <w:tblStylePr w:type="seCell">
      <w:tblPr/>
      <w:tcPr>
        <w:tcBorders>
          <w:top w:val="single" w:sz="4" w:space="0" w:color="61C8F5" w:themeColor="accent2" w:themeTint="99"/>
        </w:tcBorders>
      </w:tcPr>
    </w:tblStylePr>
    <w:tblStylePr w:type="swCell">
      <w:tblPr/>
      <w:tcPr>
        <w:tcBorders>
          <w:top w:val="single" w:sz="4" w:space="0" w:color="61C8F5" w:themeColor="accent2" w:themeTint="99"/>
        </w:tcBorders>
      </w:tcPr>
    </w:tblStylePr>
  </w:style>
  <w:style w:type="table" w:customStyle="1" w:styleId="GridTable7Colorful1">
    <w:name w:val="Grid Table 7 Colorful1"/>
    <w:basedOn w:val="TableNormal"/>
    <w:uiPriority w:val="52"/>
    <w:rsid w:val="00895F08"/>
    <w:rPr>
      <w:color w:val="000000" w:themeColor="text1"/>
    </w:rPr>
    <w:tblPr>
      <w:tblStyleRowBandSize w:val="1"/>
      <w:tblStyleColBandSize w:val="1"/>
      <w:tblInd w:w="833"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7Colorful-Accent11">
    <w:name w:val="Grid Table 7 Colorful - Accent 11"/>
    <w:basedOn w:val="TableNormal"/>
    <w:uiPriority w:val="52"/>
    <w:rsid w:val="00895F08"/>
    <w:rPr>
      <w:color w:val="37A5C0" w:themeColor="accent1" w:themeShade="BF"/>
    </w:rPr>
    <w:tblPr>
      <w:tblStyleRowBandSize w:val="1"/>
      <w:tblStyleColBandSize w:val="1"/>
      <w:tblInd w:w="833" w:type="dxa"/>
      <w:tblBorders>
        <w:top w:val="single" w:sz="4" w:space="0" w:color="ABDBE7" w:themeColor="accent1" w:themeTint="99"/>
        <w:left w:val="single" w:sz="4" w:space="0" w:color="ABDBE7" w:themeColor="accent1" w:themeTint="99"/>
        <w:bottom w:val="single" w:sz="4" w:space="0" w:color="ABDBE7" w:themeColor="accent1" w:themeTint="99"/>
        <w:right w:val="single" w:sz="4" w:space="0" w:color="ABDBE7" w:themeColor="accent1" w:themeTint="99"/>
        <w:insideH w:val="single" w:sz="4" w:space="0" w:color="ABDBE7" w:themeColor="accent1" w:themeTint="99"/>
        <w:insideV w:val="single" w:sz="4" w:space="0" w:color="ABDBE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3F3F7" w:themeFill="accent1" w:themeFillTint="33"/>
      </w:tcPr>
    </w:tblStylePr>
    <w:tblStylePr w:type="band1Horz">
      <w:tblPr/>
      <w:tcPr>
        <w:shd w:val="clear" w:color="auto" w:fill="E3F3F7" w:themeFill="accent1" w:themeFillTint="33"/>
      </w:tcPr>
    </w:tblStylePr>
    <w:tblStylePr w:type="neCell">
      <w:tblPr/>
      <w:tcPr>
        <w:tcBorders>
          <w:bottom w:val="single" w:sz="4" w:space="0" w:color="ABDBE7" w:themeColor="accent1" w:themeTint="99"/>
        </w:tcBorders>
      </w:tcPr>
    </w:tblStylePr>
    <w:tblStylePr w:type="nwCell">
      <w:tblPr/>
      <w:tcPr>
        <w:tcBorders>
          <w:bottom w:val="single" w:sz="4" w:space="0" w:color="ABDBE7" w:themeColor="accent1" w:themeTint="99"/>
        </w:tcBorders>
      </w:tcPr>
    </w:tblStylePr>
    <w:tblStylePr w:type="seCell">
      <w:tblPr/>
      <w:tcPr>
        <w:tcBorders>
          <w:top w:val="single" w:sz="4" w:space="0" w:color="ABDBE7" w:themeColor="accent1" w:themeTint="99"/>
        </w:tcBorders>
      </w:tcPr>
    </w:tblStylePr>
    <w:tblStylePr w:type="swCell">
      <w:tblPr/>
      <w:tcPr>
        <w:tcBorders>
          <w:top w:val="single" w:sz="4" w:space="0" w:color="ABDBE7" w:themeColor="accent1" w:themeTint="99"/>
        </w:tcBorders>
      </w:tcPr>
    </w:tblStylePr>
  </w:style>
  <w:style w:type="table" w:customStyle="1" w:styleId="GridTable7Colorful-Accent21">
    <w:name w:val="Grid Table 7 Colorful - Accent 21"/>
    <w:basedOn w:val="TableNormal"/>
    <w:uiPriority w:val="52"/>
    <w:rsid w:val="00895F08"/>
    <w:rPr>
      <w:color w:val="0975A3" w:themeColor="accent2" w:themeShade="BF"/>
    </w:rPr>
    <w:tblPr>
      <w:tblStyleRowBandSize w:val="1"/>
      <w:tblStyleColBandSize w:val="1"/>
      <w:tblInd w:w="833" w:type="dxa"/>
      <w:tblBorders>
        <w:top w:val="single" w:sz="4" w:space="0" w:color="61C8F5" w:themeColor="accent2" w:themeTint="99"/>
        <w:left w:val="single" w:sz="4" w:space="0" w:color="61C8F5" w:themeColor="accent2" w:themeTint="99"/>
        <w:bottom w:val="single" w:sz="4" w:space="0" w:color="61C8F5" w:themeColor="accent2" w:themeTint="99"/>
        <w:right w:val="single" w:sz="4" w:space="0" w:color="61C8F5" w:themeColor="accent2" w:themeTint="99"/>
        <w:insideH w:val="single" w:sz="4" w:space="0" w:color="61C8F5" w:themeColor="accent2" w:themeTint="99"/>
        <w:insideV w:val="single" w:sz="4" w:space="0" w:color="61C8F5"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AEDFC" w:themeFill="accent2" w:themeFillTint="33"/>
      </w:tcPr>
    </w:tblStylePr>
    <w:tblStylePr w:type="band1Horz">
      <w:tblPr/>
      <w:tcPr>
        <w:shd w:val="clear" w:color="auto" w:fill="CAEDFC" w:themeFill="accent2" w:themeFillTint="33"/>
      </w:tcPr>
    </w:tblStylePr>
    <w:tblStylePr w:type="neCell">
      <w:tblPr/>
      <w:tcPr>
        <w:tcBorders>
          <w:bottom w:val="single" w:sz="4" w:space="0" w:color="61C8F5" w:themeColor="accent2" w:themeTint="99"/>
        </w:tcBorders>
      </w:tcPr>
    </w:tblStylePr>
    <w:tblStylePr w:type="nwCell">
      <w:tblPr/>
      <w:tcPr>
        <w:tcBorders>
          <w:bottom w:val="single" w:sz="4" w:space="0" w:color="61C8F5" w:themeColor="accent2" w:themeTint="99"/>
        </w:tcBorders>
      </w:tcPr>
    </w:tblStylePr>
    <w:tblStylePr w:type="seCell">
      <w:tblPr/>
      <w:tcPr>
        <w:tcBorders>
          <w:top w:val="single" w:sz="4" w:space="0" w:color="61C8F5" w:themeColor="accent2" w:themeTint="99"/>
        </w:tcBorders>
      </w:tcPr>
    </w:tblStylePr>
    <w:tblStylePr w:type="swCell">
      <w:tblPr/>
      <w:tcPr>
        <w:tcBorders>
          <w:top w:val="single" w:sz="4" w:space="0" w:color="61C8F5" w:themeColor="accent2" w:themeTint="99"/>
        </w:tcBorders>
      </w:tcPr>
    </w:tblStylePr>
  </w:style>
  <w:style w:type="table" w:customStyle="1" w:styleId="GridTable7Colorful-Accent31">
    <w:name w:val="Grid Table 7 Colorful - Accent 31"/>
    <w:basedOn w:val="TableNormal"/>
    <w:uiPriority w:val="52"/>
    <w:rsid w:val="00895F08"/>
    <w:rPr>
      <w:color w:val="827771" w:themeColor="accent3" w:themeShade="BF"/>
    </w:rPr>
    <w:tblPr>
      <w:tblStyleRowBandSize w:val="1"/>
      <w:tblStyleColBandSize w:val="1"/>
      <w:tblInd w:w="833" w:type="dxa"/>
      <w:tblBorders>
        <w:top w:val="single" w:sz="4" w:space="0" w:color="CBC6C3" w:themeColor="accent3" w:themeTint="99"/>
        <w:left w:val="single" w:sz="4" w:space="0" w:color="CBC6C3" w:themeColor="accent3" w:themeTint="99"/>
        <w:bottom w:val="single" w:sz="4" w:space="0" w:color="CBC6C3" w:themeColor="accent3" w:themeTint="99"/>
        <w:right w:val="single" w:sz="4" w:space="0" w:color="CBC6C3" w:themeColor="accent3" w:themeTint="99"/>
        <w:insideH w:val="single" w:sz="4" w:space="0" w:color="CBC6C3" w:themeColor="accent3" w:themeTint="99"/>
        <w:insideV w:val="single" w:sz="4" w:space="0" w:color="CBC6C3"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CEB" w:themeFill="accent3" w:themeFillTint="33"/>
      </w:tcPr>
    </w:tblStylePr>
    <w:tblStylePr w:type="band1Horz">
      <w:tblPr/>
      <w:tcPr>
        <w:shd w:val="clear" w:color="auto" w:fill="EDECEB" w:themeFill="accent3" w:themeFillTint="33"/>
      </w:tcPr>
    </w:tblStylePr>
    <w:tblStylePr w:type="neCell">
      <w:tblPr/>
      <w:tcPr>
        <w:tcBorders>
          <w:bottom w:val="single" w:sz="4" w:space="0" w:color="CBC6C3" w:themeColor="accent3" w:themeTint="99"/>
        </w:tcBorders>
      </w:tcPr>
    </w:tblStylePr>
    <w:tblStylePr w:type="nwCell">
      <w:tblPr/>
      <w:tcPr>
        <w:tcBorders>
          <w:bottom w:val="single" w:sz="4" w:space="0" w:color="CBC6C3" w:themeColor="accent3" w:themeTint="99"/>
        </w:tcBorders>
      </w:tcPr>
    </w:tblStylePr>
    <w:tblStylePr w:type="seCell">
      <w:tblPr/>
      <w:tcPr>
        <w:tcBorders>
          <w:top w:val="single" w:sz="4" w:space="0" w:color="CBC6C3" w:themeColor="accent3" w:themeTint="99"/>
        </w:tcBorders>
      </w:tcPr>
    </w:tblStylePr>
    <w:tblStylePr w:type="swCell">
      <w:tblPr/>
      <w:tcPr>
        <w:tcBorders>
          <w:top w:val="single" w:sz="4" w:space="0" w:color="CBC6C3" w:themeColor="accent3" w:themeTint="99"/>
        </w:tcBorders>
      </w:tcPr>
    </w:tblStylePr>
  </w:style>
  <w:style w:type="table" w:customStyle="1" w:styleId="GridTable7Colorful-Accent41">
    <w:name w:val="Grid Table 7 Colorful - Accent 41"/>
    <w:basedOn w:val="TableNormal"/>
    <w:uiPriority w:val="52"/>
    <w:rsid w:val="00895F08"/>
    <w:rPr>
      <w:color w:val="8DA403" w:themeColor="accent4" w:themeShade="BF"/>
    </w:rPr>
    <w:tblPr>
      <w:tblStyleRowBandSize w:val="1"/>
      <w:tblStyleColBandSize w:val="1"/>
      <w:tblInd w:w="833" w:type="dxa"/>
      <w:tblBorders>
        <w:top w:val="single" w:sz="4" w:space="0" w:color="E3FC56" w:themeColor="accent4" w:themeTint="99"/>
        <w:left w:val="single" w:sz="4" w:space="0" w:color="E3FC56" w:themeColor="accent4" w:themeTint="99"/>
        <w:bottom w:val="single" w:sz="4" w:space="0" w:color="E3FC56" w:themeColor="accent4" w:themeTint="99"/>
        <w:right w:val="single" w:sz="4" w:space="0" w:color="E3FC56" w:themeColor="accent4" w:themeTint="99"/>
        <w:insideH w:val="single" w:sz="4" w:space="0" w:color="E3FC56" w:themeColor="accent4" w:themeTint="99"/>
        <w:insideV w:val="single" w:sz="4" w:space="0" w:color="E3FC5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5FEC6" w:themeFill="accent4" w:themeFillTint="33"/>
      </w:tcPr>
    </w:tblStylePr>
    <w:tblStylePr w:type="band1Horz">
      <w:tblPr/>
      <w:tcPr>
        <w:shd w:val="clear" w:color="auto" w:fill="F5FEC6" w:themeFill="accent4" w:themeFillTint="33"/>
      </w:tcPr>
    </w:tblStylePr>
    <w:tblStylePr w:type="neCell">
      <w:tblPr/>
      <w:tcPr>
        <w:tcBorders>
          <w:bottom w:val="single" w:sz="4" w:space="0" w:color="E3FC56" w:themeColor="accent4" w:themeTint="99"/>
        </w:tcBorders>
      </w:tcPr>
    </w:tblStylePr>
    <w:tblStylePr w:type="nwCell">
      <w:tblPr/>
      <w:tcPr>
        <w:tcBorders>
          <w:bottom w:val="single" w:sz="4" w:space="0" w:color="E3FC56" w:themeColor="accent4" w:themeTint="99"/>
        </w:tcBorders>
      </w:tcPr>
    </w:tblStylePr>
    <w:tblStylePr w:type="seCell">
      <w:tblPr/>
      <w:tcPr>
        <w:tcBorders>
          <w:top w:val="single" w:sz="4" w:space="0" w:color="E3FC56" w:themeColor="accent4" w:themeTint="99"/>
        </w:tcBorders>
      </w:tcPr>
    </w:tblStylePr>
    <w:tblStylePr w:type="swCell">
      <w:tblPr/>
      <w:tcPr>
        <w:tcBorders>
          <w:top w:val="single" w:sz="4" w:space="0" w:color="E3FC56" w:themeColor="accent4" w:themeTint="99"/>
        </w:tcBorders>
      </w:tcPr>
    </w:tblStylePr>
  </w:style>
  <w:style w:type="table" w:customStyle="1" w:styleId="GridTable7Colorful-Accent51">
    <w:name w:val="Grid Table 7 Colorful - Accent 51"/>
    <w:basedOn w:val="TableNormal"/>
    <w:uiPriority w:val="52"/>
    <w:rsid w:val="00895F08"/>
    <w:rPr>
      <w:color w:val="005E7A" w:themeColor="accent5" w:themeShade="BF"/>
    </w:rPr>
    <w:tblPr>
      <w:tblStyleRowBandSize w:val="1"/>
      <w:tblStyleColBandSize w:val="1"/>
      <w:tblInd w:w="833" w:type="dxa"/>
      <w:tblBorders>
        <w:top w:val="single" w:sz="4" w:space="0" w:color="2ED0FF" w:themeColor="accent5" w:themeTint="99"/>
        <w:left w:val="single" w:sz="4" w:space="0" w:color="2ED0FF" w:themeColor="accent5" w:themeTint="99"/>
        <w:bottom w:val="single" w:sz="4" w:space="0" w:color="2ED0FF" w:themeColor="accent5" w:themeTint="99"/>
        <w:right w:val="single" w:sz="4" w:space="0" w:color="2ED0FF" w:themeColor="accent5" w:themeTint="99"/>
        <w:insideH w:val="single" w:sz="4" w:space="0" w:color="2ED0FF" w:themeColor="accent5" w:themeTint="99"/>
        <w:insideV w:val="single" w:sz="4" w:space="0" w:color="2ED0F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9EFFF" w:themeFill="accent5" w:themeFillTint="33"/>
      </w:tcPr>
    </w:tblStylePr>
    <w:tblStylePr w:type="band1Horz">
      <w:tblPr/>
      <w:tcPr>
        <w:shd w:val="clear" w:color="auto" w:fill="B9EFFF" w:themeFill="accent5" w:themeFillTint="33"/>
      </w:tcPr>
    </w:tblStylePr>
    <w:tblStylePr w:type="neCell">
      <w:tblPr/>
      <w:tcPr>
        <w:tcBorders>
          <w:bottom w:val="single" w:sz="4" w:space="0" w:color="2ED0FF" w:themeColor="accent5" w:themeTint="99"/>
        </w:tcBorders>
      </w:tcPr>
    </w:tblStylePr>
    <w:tblStylePr w:type="nwCell">
      <w:tblPr/>
      <w:tcPr>
        <w:tcBorders>
          <w:bottom w:val="single" w:sz="4" w:space="0" w:color="2ED0FF" w:themeColor="accent5" w:themeTint="99"/>
        </w:tcBorders>
      </w:tcPr>
    </w:tblStylePr>
    <w:tblStylePr w:type="seCell">
      <w:tblPr/>
      <w:tcPr>
        <w:tcBorders>
          <w:top w:val="single" w:sz="4" w:space="0" w:color="2ED0FF" w:themeColor="accent5" w:themeTint="99"/>
        </w:tcBorders>
      </w:tcPr>
    </w:tblStylePr>
    <w:tblStylePr w:type="swCell">
      <w:tblPr/>
      <w:tcPr>
        <w:tcBorders>
          <w:top w:val="single" w:sz="4" w:space="0" w:color="2ED0FF" w:themeColor="accent5" w:themeTint="99"/>
        </w:tcBorders>
      </w:tcPr>
    </w:tblStylePr>
  </w:style>
  <w:style w:type="table" w:customStyle="1" w:styleId="GridTable7Colorful-Accent61">
    <w:name w:val="Grid Table 7 Colorful - Accent 61"/>
    <w:basedOn w:val="TableNormal"/>
    <w:uiPriority w:val="52"/>
    <w:rsid w:val="00895F08"/>
    <w:rPr>
      <w:color w:val="434343" w:themeColor="accent6" w:themeShade="BF"/>
    </w:rPr>
    <w:tblPr>
      <w:tblStyleRowBandSize w:val="1"/>
      <w:tblStyleColBandSize w:val="1"/>
      <w:tblInd w:w="833" w:type="dxa"/>
      <w:tblBorders>
        <w:top w:val="single" w:sz="4" w:space="0" w:color="9C9C9C" w:themeColor="accent6" w:themeTint="99"/>
        <w:left w:val="single" w:sz="4" w:space="0" w:color="9C9C9C" w:themeColor="accent6" w:themeTint="99"/>
        <w:bottom w:val="single" w:sz="4" w:space="0" w:color="9C9C9C" w:themeColor="accent6" w:themeTint="99"/>
        <w:right w:val="single" w:sz="4" w:space="0" w:color="9C9C9C" w:themeColor="accent6" w:themeTint="99"/>
        <w:insideH w:val="single" w:sz="4" w:space="0" w:color="9C9C9C" w:themeColor="accent6" w:themeTint="99"/>
        <w:insideV w:val="single" w:sz="4" w:space="0" w:color="9C9C9C"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DEDE" w:themeFill="accent6" w:themeFillTint="33"/>
      </w:tcPr>
    </w:tblStylePr>
    <w:tblStylePr w:type="band1Horz">
      <w:tblPr/>
      <w:tcPr>
        <w:shd w:val="clear" w:color="auto" w:fill="DEDEDE" w:themeFill="accent6" w:themeFillTint="33"/>
      </w:tcPr>
    </w:tblStylePr>
    <w:tblStylePr w:type="neCell">
      <w:tblPr/>
      <w:tcPr>
        <w:tcBorders>
          <w:bottom w:val="single" w:sz="4" w:space="0" w:color="9C9C9C" w:themeColor="accent6" w:themeTint="99"/>
        </w:tcBorders>
      </w:tcPr>
    </w:tblStylePr>
    <w:tblStylePr w:type="nwCell">
      <w:tblPr/>
      <w:tcPr>
        <w:tcBorders>
          <w:bottom w:val="single" w:sz="4" w:space="0" w:color="9C9C9C" w:themeColor="accent6" w:themeTint="99"/>
        </w:tcBorders>
      </w:tcPr>
    </w:tblStylePr>
    <w:tblStylePr w:type="seCell">
      <w:tblPr/>
      <w:tcPr>
        <w:tcBorders>
          <w:top w:val="single" w:sz="4" w:space="0" w:color="9C9C9C" w:themeColor="accent6" w:themeTint="99"/>
        </w:tcBorders>
      </w:tcPr>
    </w:tblStylePr>
    <w:tblStylePr w:type="swCell">
      <w:tblPr/>
      <w:tcPr>
        <w:tcBorders>
          <w:top w:val="single" w:sz="4" w:space="0" w:color="9C9C9C" w:themeColor="accent6" w:themeTint="99"/>
        </w:tcBorders>
      </w:tcPr>
    </w:tblStylePr>
  </w:style>
  <w:style w:type="table" w:customStyle="1" w:styleId="ListTable6Colorful-Accent21">
    <w:name w:val="List Table 6 Colorful - Accent 21"/>
    <w:basedOn w:val="TableNormal"/>
    <w:uiPriority w:val="51"/>
    <w:rsid w:val="00DE53BC"/>
    <w:rPr>
      <w:color w:val="0975A3" w:themeColor="accent2" w:themeShade="BF"/>
    </w:rPr>
    <w:tblPr>
      <w:tblStyleRowBandSize w:val="1"/>
      <w:tblStyleColBandSize w:val="1"/>
      <w:tblInd w:w="833" w:type="dxa"/>
      <w:tblBorders>
        <w:top w:val="single" w:sz="4" w:space="0" w:color="0D9DDB" w:themeColor="accent2"/>
        <w:bottom w:val="single" w:sz="4" w:space="0" w:color="0D9DDB" w:themeColor="accent2"/>
      </w:tblBorders>
    </w:tblPr>
    <w:tblStylePr w:type="firstRow">
      <w:rPr>
        <w:b/>
        <w:bCs/>
      </w:rPr>
      <w:tblPr/>
      <w:tcPr>
        <w:tcBorders>
          <w:bottom w:val="single" w:sz="4" w:space="0" w:color="0D9DDB" w:themeColor="accent2"/>
        </w:tcBorders>
      </w:tcPr>
    </w:tblStylePr>
    <w:tblStylePr w:type="lastRow">
      <w:rPr>
        <w:b/>
        <w:bCs/>
      </w:rPr>
      <w:tblPr/>
      <w:tcPr>
        <w:tcBorders>
          <w:top w:val="double" w:sz="4" w:space="0" w:color="0D9DDB" w:themeColor="accent2"/>
        </w:tcBorders>
      </w:tcPr>
    </w:tblStylePr>
    <w:tblStylePr w:type="firstCol">
      <w:rPr>
        <w:b/>
        <w:bCs/>
      </w:rPr>
    </w:tblStylePr>
    <w:tblStylePr w:type="lastCol">
      <w:rPr>
        <w:b/>
        <w:bCs/>
      </w:rPr>
    </w:tblStylePr>
    <w:tblStylePr w:type="band1Vert">
      <w:tblPr/>
      <w:tcPr>
        <w:shd w:val="clear" w:color="auto" w:fill="CAEDFC" w:themeFill="accent2" w:themeFillTint="33"/>
      </w:tcPr>
    </w:tblStylePr>
    <w:tblStylePr w:type="band1Horz">
      <w:tblPr/>
      <w:tcPr>
        <w:shd w:val="clear" w:color="auto" w:fill="CAEDFC" w:themeFill="accent2" w:themeFillTint="33"/>
      </w:tcPr>
    </w:tblStylePr>
  </w:style>
  <w:style w:type="table" w:customStyle="1" w:styleId="ListTable6Colorful-Accent11">
    <w:name w:val="List Table 6 Colorful - Accent 11"/>
    <w:basedOn w:val="TableNormal"/>
    <w:uiPriority w:val="51"/>
    <w:rsid w:val="00DE53BC"/>
    <w:rPr>
      <w:color w:val="37A5C0" w:themeColor="accent1" w:themeShade="BF"/>
    </w:rPr>
    <w:tblPr>
      <w:tblStyleRowBandSize w:val="1"/>
      <w:tblStyleColBandSize w:val="1"/>
      <w:tblInd w:w="833" w:type="dxa"/>
      <w:tblBorders>
        <w:top w:val="single" w:sz="4" w:space="0" w:color="74C4D7" w:themeColor="accent1"/>
        <w:bottom w:val="single" w:sz="4" w:space="0" w:color="74C4D7" w:themeColor="accent1"/>
      </w:tblBorders>
    </w:tblPr>
    <w:tblStylePr w:type="firstRow">
      <w:rPr>
        <w:b/>
        <w:bCs/>
      </w:rPr>
      <w:tblPr/>
      <w:tcPr>
        <w:tcBorders>
          <w:bottom w:val="single" w:sz="4" w:space="0" w:color="74C4D7" w:themeColor="accent1"/>
        </w:tcBorders>
      </w:tcPr>
    </w:tblStylePr>
    <w:tblStylePr w:type="lastRow">
      <w:rPr>
        <w:b/>
        <w:bCs/>
      </w:rPr>
      <w:tblPr/>
      <w:tcPr>
        <w:tcBorders>
          <w:top w:val="double" w:sz="4" w:space="0" w:color="74C4D7" w:themeColor="accent1"/>
        </w:tcBorders>
      </w:tcPr>
    </w:tblStylePr>
    <w:tblStylePr w:type="firstCol">
      <w:rPr>
        <w:b/>
        <w:bCs/>
      </w:rPr>
    </w:tblStylePr>
    <w:tblStylePr w:type="lastCol">
      <w:rPr>
        <w:b/>
        <w:bCs/>
      </w:rPr>
    </w:tblStylePr>
    <w:tblStylePr w:type="band1Vert">
      <w:tblPr/>
      <w:tcPr>
        <w:shd w:val="clear" w:color="auto" w:fill="E3F3F7" w:themeFill="accent1" w:themeFillTint="33"/>
      </w:tcPr>
    </w:tblStylePr>
    <w:tblStylePr w:type="band1Horz">
      <w:tblPr/>
      <w:tcPr>
        <w:shd w:val="clear" w:color="auto" w:fill="E3F3F7" w:themeFill="accent1" w:themeFillTint="33"/>
      </w:tcPr>
    </w:tblStylePr>
  </w:style>
  <w:style w:type="table" w:customStyle="1" w:styleId="ListTable6Colorful-Accent31">
    <w:name w:val="List Table 6 Colorful - Accent 31"/>
    <w:basedOn w:val="TableNormal"/>
    <w:uiPriority w:val="51"/>
    <w:rsid w:val="00DE53BC"/>
    <w:rPr>
      <w:color w:val="827771" w:themeColor="accent3" w:themeShade="BF"/>
    </w:rPr>
    <w:tblPr>
      <w:tblStyleRowBandSize w:val="1"/>
      <w:tblStyleColBandSize w:val="1"/>
      <w:tblInd w:w="833" w:type="dxa"/>
      <w:tblBorders>
        <w:top w:val="single" w:sz="4" w:space="0" w:color="A9A19C" w:themeColor="accent3"/>
        <w:bottom w:val="single" w:sz="4" w:space="0" w:color="A9A19C" w:themeColor="accent3"/>
      </w:tblBorders>
    </w:tblPr>
    <w:tblStylePr w:type="firstRow">
      <w:rPr>
        <w:b/>
        <w:bCs/>
      </w:rPr>
      <w:tblPr/>
      <w:tcPr>
        <w:tcBorders>
          <w:bottom w:val="single" w:sz="4" w:space="0" w:color="A9A19C" w:themeColor="accent3"/>
        </w:tcBorders>
      </w:tcPr>
    </w:tblStylePr>
    <w:tblStylePr w:type="lastRow">
      <w:rPr>
        <w:b/>
        <w:bCs/>
      </w:rPr>
      <w:tblPr/>
      <w:tcPr>
        <w:tcBorders>
          <w:top w:val="double" w:sz="4" w:space="0" w:color="A9A19C" w:themeColor="accent3"/>
        </w:tcBorders>
      </w:tcPr>
    </w:tblStylePr>
    <w:tblStylePr w:type="firstCol">
      <w:rPr>
        <w:b/>
        <w:bCs/>
      </w:rPr>
    </w:tblStylePr>
    <w:tblStylePr w:type="lastCol">
      <w:rPr>
        <w:b/>
        <w:bCs/>
      </w:rPr>
    </w:tblStylePr>
    <w:tblStylePr w:type="band1Vert">
      <w:tblPr/>
      <w:tcPr>
        <w:shd w:val="clear" w:color="auto" w:fill="EDECEB" w:themeFill="accent3" w:themeFillTint="33"/>
      </w:tcPr>
    </w:tblStylePr>
    <w:tblStylePr w:type="band1Horz">
      <w:tblPr/>
      <w:tcPr>
        <w:shd w:val="clear" w:color="auto" w:fill="EDECEB" w:themeFill="accent3" w:themeFillTint="33"/>
      </w:tcPr>
    </w:tblStylePr>
  </w:style>
  <w:style w:type="table" w:customStyle="1" w:styleId="ListTable6Colorful-Accent41">
    <w:name w:val="List Table 6 Colorful - Accent 41"/>
    <w:basedOn w:val="TableNormal"/>
    <w:uiPriority w:val="51"/>
    <w:rsid w:val="00DE53BC"/>
    <w:rPr>
      <w:color w:val="8DA403" w:themeColor="accent4" w:themeShade="BF"/>
    </w:rPr>
    <w:tblPr>
      <w:tblStyleRowBandSize w:val="1"/>
      <w:tblStyleColBandSize w:val="1"/>
      <w:tblInd w:w="833" w:type="dxa"/>
      <w:tblBorders>
        <w:top w:val="single" w:sz="4" w:space="0" w:color="BDDC04" w:themeColor="accent4"/>
        <w:bottom w:val="single" w:sz="4" w:space="0" w:color="BDDC04" w:themeColor="accent4"/>
      </w:tblBorders>
    </w:tblPr>
    <w:tblStylePr w:type="firstRow">
      <w:rPr>
        <w:b/>
        <w:bCs/>
      </w:rPr>
      <w:tblPr/>
      <w:tcPr>
        <w:tcBorders>
          <w:bottom w:val="single" w:sz="4" w:space="0" w:color="BDDC04" w:themeColor="accent4"/>
        </w:tcBorders>
      </w:tcPr>
    </w:tblStylePr>
    <w:tblStylePr w:type="lastRow">
      <w:rPr>
        <w:b/>
        <w:bCs/>
      </w:rPr>
      <w:tblPr/>
      <w:tcPr>
        <w:tcBorders>
          <w:top w:val="double" w:sz="4" w:space="0" w:color="BDDC04" w:themeColor="accent4"/>
        </w:tcBorders>
      </w:tcPr>
    </w:tblStylePr>
    <w:tblStylePr w:type="firstCol">
      <w:rPr>
        <w:b/>
        <w:bCs/>
      </w:rPr>
    </w:tblStylePr>
    <w:tblStylePr w:type="lastCol">
      <w:rPr>
        <w:b/>
        <w:bCs/>
      </w:rPr>
    </w:tblStylePr>
    <w:tblStylePr w:type="band1Vert">
      <w:tblPr/>
      <w:tcPr>
        <w:shd w:val="clear" w:color="auto" w:fill="F5FEC6" w:themeFill="accent4" w:themeFillTint="33"/>
      </w:tcPr>
    </w:tblStylePr>
    <w:tblStylePr w:type="band1Horz">
      <w:tblPr/>
      <w:tcPr>
        <w:shd w:val="clear" w:color="auto" w:fill="F5FEC6" w:themeFill="accent4" w:themeFillTint="33"/>
      </w:tcPr>
    </w:tblStylePr>
  </w:style>
  <w:style w:type="table" w:customStyle="1" w:styleId="ListTable6Colorful-Accent51">
    <w:name w:val="List Table 6 Colorful - Accent 51"/>
    <w:basedOn w:val="TableNormal"/>
    <w:uiPriority w:val="51"/>
    <w:rsid w:val="00DE53BC"/>
    <w:rPr>
      <w:color w:val="005E7A" w:themeColor="accent5" w:themeShade="BF"/>
    </w:rPr>
    <w:tblPr>
      <w:tblStyleRowBandSize w:val="1"/>
      <w:tblStyleColBandSize w:val="1"/>
      <w:tblInd w:w="833" w:type="dxa"/>
      <w:tblBorders>
        <w:top w:val="single" w:sz="4" w:space="0" w:color="007FA3" w:themeColor="accent5"/>
        <w:bottom w:val="single" w:sz="4" w:space="0" w:color="007FA3" w:themeColor="accent5"/>
      </w:tblBorders>
    </w:tblPr>
    <w:tblStylePr w:type="firstRow">
      <w:rPr>
        <w:b/>
        <w:bCs/>
      </w:rPr>
      <w:tblPr/>
      <w:tcPr>
        <w:tcBorders>
          <w:bottom w:val="single" w:sz="4" w:space="0" w:color="007FA3" w:themeColor="accent5"/>
        </w:tcBorders>
      </w:tcPr>
    </w:tblStylePr>
    <w:tblStylePr w:type="lastRow">
      <w:rPr>
        <w:b/>
        <w:bCs/>
      </w:rPr>
      <w:tblPr/>
      <w:tcPr>
        <w:tcBorders>
          <w:top w:val="double" w:sz="4" w:space="0" w:color="007FA3" w:themeColor="accent5"/>
        </w:tcBorders>
      </w:tcPr>
    </w:tblStylePr>
    <w:tblStylePr w:type="firstCol">
      <w:rPr>
        <w:b/>
        <w:bCs/>
      </w:rPr>
    </w:tblStylePr>
    <w:tblStylePr w:type="lastCol">
      <w:rPr>
        <w:b/>
        <w:bCs/>
      </w:rPr>
    </w:tblStylePr>
    <w:tblStylePr w:type="band1Vert">
      <w:tblPr/>
      <w:tcPr>
        <w:shd w:val="clear" w:color="auto" w:fill="B9EFFF" w:themeFill="accent5" w:themeFillTint="33"/>
      </w:tcPr>
    </w:tblStylePr>
    <w:tblStylePr w:type="band1Horz">
      <w:tblPr/>
      <w:tcPr>
        <w:shd w:val="clear" w:color="auto" w:fill="B9EFFF" w:themeFill="accent5" w:themeFillTint="33"/>
      </w:tcPr>
    </w:tblStylePr>
  </w:style>
  <w:style w:type="table" w:customStyle="1" w:styleId="ListTable6Colorful-Accent61">
    <w:name w:val="List Table 6 Colorful - Accent 61"/>
    <w:basedOn w:val="TableNormal"/>
    <w:uiPriority w:val="51"/>
    <w:rsid w:val="00DE53BC"/>
    <w:rPr>
      <w:color w:val="434343" w:themeColor="accent6" w:themeShade="BF"/>
    </w:rPr>
    <w:tblPr>
      <w:tblStyleRowBandSize w:val="1"/>
      <w:tblStyleColBandSize w:val="1"/>
      <w:tblInd w:w="833" w:type="dxa"/>
      <w:tblBorders>
        <w:top w:val="single" w:sz="4" w:space="0" w:color="5A5A5A" w:themeColor="accent6"/>
        <w:bottom w:val="single" w:sz="4" w:space="0" w:color="5A5A5A" w:themeColor="accent6"/>
      </w:tblBorders>
    </w:tblPr>
    <w:tblStylePr w:type="firstRow">
      <w:rPr>
        <w:b/>
        <w:bCs/>
      </w:rPr>
      <w:tblPr/>
      <w:tcPr>
        <w:tcBorders>
          <w:bottom w:val="single" w:sz="4" w:space="0" w:color="5A5A5A" w:themeColor="accent6"/>
        </w:tcBorders>
      </w:tcPr>
    </w:tblStylePr>
    <w:tblStylePr w:type="lastRow">
      <w:rPr>
        <w:b/>
        <w:bCs/>
      </w:rPr>
      <w:tblPr/>
      <w:tcPr>
        <w:tcBorders>
          <w:top w:val="double" w:sz="4" w:space="0" w:color="5A5A5A" w:themeColor="accent6"/>
        </w:tcBorders>
      </w:tcPr>
    </w:tblStylePr>
    <w:tblStylePr w:type="firstCol">
      <w:rPr>
        <w:b/>
        <w:bCs/>
      </w:rPr>
    </w:tblStylePr>
    <w:tblStylePr w:type="lastCol">
      <w:rPr>
        <w:b/>
        <w:bCs/>
      </w:rPr>
    </w:tblStylePr>
    <w:tblStylePr w:type="band1Vert">
      <w:tblPr/>
      <w:tcPr>
        <w:shd w:val="clear" w:color="auto" w:fill="DEDEDE" w:themeFill="accent6" w:themeFillTint="33"/>
      </w:tcPr>
    </w:tblStylePr>
    <w:tblStylePr w:type="band1Horz">
      <w:tblPr/>
      <w:tcPr>
        <w:shd w:val="clear" w:color="auto" w:fill="DEDEDE" w:themeFill="accent6" w:themeFillTint="33"/>
      </w:tcPr>
    </w:tblStylePr>
  </w:style>
  <w:style w:type="table" w:customStyle="1" w:styleId="GridTable3-Accent31">
    <w:name w:val="Grid Table 3 - Accent 31"/>
    <w:basedOn w:val="TableNormal"/>
    <w:uiPriority w:val="48"/>
    <w:rsid w:val="00F02EF6"/>
    <w:tblPr>
      <w:tblStyleRowBandSize w:val="1"/>
      <w:tblStyleColBandSize w:val="1"/>
      <w:tblInd w:w="833" w:type="dxa"/>
      <w:tblBorders>
        <w:top w:val="single" w:sz="4" w:space="0" w:color="CBC6C3" w:themeColor="accent3" w:themeTint="99"/>
        <w:left w:val="single" w:sz="4" w:space="0" w:color="CBC6C3" w:themeColor="accent3" w:themeTint="99"/>
        <w:bottom w:val="single" w:sz="4" w:space="0" w:color="CBC6C3" w:themeColor="accent3" w:themeTint="99"/>
        <w:right w:val="single" w:sz="4" w:space="0" w:color="CBC6C3" w:themeColor="accent3" w:themeTint="99"/>
        <w:insideH w:val="single" w:sz="4" w:space="0" w:color="CBC6C3" w:themeColor="accent3" w:themeTint="99"/>
        <w:insideV w:val="single" w:sz="4" w:space="0" w:color="CBC6C3"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CEB" w:themeFill="accent3" w:themeFillTint="33"/>
      </w:tcPr>
    </w:tblStylePr>
    <w:tblStylePr w:type="band1Horz">
      <w:tblPr/>
      <w:tcPr>
        <w:shd w:val="clear" w:color="auto" w:fill="EDECEB" w:themeFill="accent3" w:themeFillTint="33"/>
      </w:tcPr>
    </w:tblStylePr>
    <w:tblStylePr w:type="neCell">
      <w:tblPr/>
      <w:tcPr>
        <w:tcBorders>
          <w:bottom w:val="single" w:sz="4" w:space="0" w:color="CBC6C3" w:themeColor="accent3" w:themeTint="99"/>
        </w:tcBorders>
      </w:tcPr>
    </w:tblStylePr>
    <w:tblStylePr w:type="nwCell">
      <w:tblPr/>
      <w:tcPr>
        <w:tcBorders>
          <w:bottom w:val="single" w:sz="4" w:space="0" w:color="CBC6C3" w:themeColor="accent3" w:themeTint="99"/>
        </w:tcBorders>
      </w:tcPr>
    </w:tblStylePr>
    <w:tblStylePr w:type="seCell">
      <w:tblPr/>
      <w:tcPr>
        <w:tcBorders>
          <w:top w:val="single" w:sz="4" w:space="0" w:color="CBC6C3" w:themeColor="accent3" w:themeTint="99"/>
        </w:tcBorders>
      </w:tcPr>
    </w:tblStylePr>
    <w:tblStylePr w:type="swCell">
      <w:tblPr/>
      <w:tcPr>
        <w:tcBorders>
          <w:top w:val="single" w:sz="4" w:space="0" w:color="CBC6C3" w:themeColor="accent3" w:themeTint="99"/>
        </w:tcBorders>
      </w:tcPr>
    </w:tblStylePr>
  </w:style>
  <w:style w:type="table" w:customStyle="1" w:styleId="GridTable3-Accent41">
    <w:name w:val="Grid Table 3 - Accent 41"/>
    <w:basedOn w:val="TableNormal"/>
    <w:uiPriority w:val="48"/>
    <w:rsid w:val="00F02EF6"/>
    <w:tblPr>
      <w:tblStyleRowBandSize w:val="1"/>
      <w:tblStyleColBandSize w:val="1"/>
      <w:tblInd w:w="833" w:type="dxa"/>
      <w:tblBorders>
        <w:top w:val="single" w:sz="4" w:space="0" w:color="E3FC56" w:themeColor="accent4" w:themeTint="99"/>
        <w:left w:val="single" w:sz="4" w:space="0" w:color="E3FC56" w:themeColor="accent4" w:themeTint="99"/>
        <w:bottom w:val="single" w:sz="4" w:space="0" w:color="E3FC56" w:themeColor="accent4" w:themeTint="99"/>
        <w:right w:val="single" w:sz="4" w:space="0" w:color="E3FC56" w:themeColor="accent4" w:themeTint="99"/>
        <w:insideH w:val="single" w:sz="4" w:space="0" w:color="E3FC56" w:themeColor="accent4" w:themeTint="99"/>
        <w:insideV w:val="single" w:sz="4" w:space="0" w:color="E3FC5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5FEC6" w:themeFill="accent4" w:themeFillTint="33"/>
      </w:tcPr>
    </w:tblStylePr>
    <w:tblStylePr w:type="band1Horz">
      <w:tblPr/>
      <w:tcPr>
        <w:shd w:val="clear" w:color="auto" w:fill="F5FEC6" w:themeFill="accent4" w:themeFillTint="33"/>
      </w:tcPr>
    </w:tblStylePr>
    <w:tblStylePr w:type="neCell">
      <w:tblPr/>
      <w:tcPr>
        <w:tcBorders>
          <w:bottom w:val="single" w:sz="4" w:space="0" w:color="E3FC56" w:themeColor="accent4" w:themeTint="99"/>
        </w:tcBorders>
      </w:tcPr>
    </w:tblStylePr>
    <w:tblStylePr w:type="nwCell">
      <w:tblPr/>
      <w:tcPr>
        <w:tcBorders>
          <w:bottom w:val="single" w:sz="4" w:space="0" w:color="E3FC56" w:themeColor="accent4" w:themeTint="99"/>
        </w:tcBorders>
      </w:tcPr>
    </w:tblStylePr>
    <w:tblStylePr w:type="seCell">
      <w:tblPr/>
      <w:tcPr>
        <w:tcBorders>
          <w:top w:val="single" w:sz="4" w:space="0" w:color="E3FC56" w:themeColor="accent4" w:themeTint="99"/>
        </w:tcBorders>
      </w:tcPr>
    </w:tblStylePr>
    <w:tblStylePr w:type="swCell">
      <w:tblPr/>
      <w:tcPr>
        <w:tcBorders>
          <w:top w:val="single" w:sz="4" w:space="0" w:color="E3FC56" w:themeColor="accent4" w:themeTint="99"/>
        </w:tcBorders>
      </w:tcPr>
    </w:tblStylePr>
  </w:style>
  <w:style w:type="table" w:customStyle="1" w:styleId="GridTable3-Accent51">
    <w:name w:val="Grid Table 3 - Accent 51"/>
    <w:basedOn w:val="TableNormal"/>
    <w:uiPriority w:val="48"/>
    <w:rsid w:val="00F02EF6"/>
    <w:tblPr>
      <w:tblStyleRowBandSize w:val="1"/>
      <w:tblStyleColBandSize w:val="1"/>
      <w:tblInd w:w="833" w:type="dxa"/>
      <w:tblBorders>
        <w:top w:val="single" w:sz="4" w:space="0" w:color="2ED0FF" w:themeColor="accent5" w:themeTint="99"/>
        <w:left w:val="single" w:sz="4" w:space="0" w:color="2ED0FF" w:themeColor="accent5" w:themeTint="99"/>
        <w:bottom w:val="single" w:sz="4" w:space="0" w:color="2ED0FF" w:themeColor="accent5" w:themeTint="99"/>
        <w:right w:val="single" w:sz="4" w:space="0" w:color="2ED0FF" w:themeColor="accent5" w:themeTint="99"/>
        <w:insideH w:val="single" w:sz="4" w:space="0" w:color="2ED0FF" w:themeColor="accent5" w:themeTint="99"/>
        <w:insideV w:val="single" w:sz="4" w:space="0" w:color="2ED0F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9EFFF" w:themeFill="accent5" w:themeFillTint="33"/>
      </w:tcPr>
    </w:tblStylePr>
    <w:tblStylePr w:type="band1Horz">
      <w:tblPr/>
      <w:tcPr>
        <w:shd w:val="clear" w:color="auto" w:fill="B9EFFF" w:themeFill="accent5" w:themeFillTint="33"/>
      </w:tcPr>
    </w:tblStylePr>
    <w:tblStylePr w:type="neCell">
      <w:tblPr/>
      <w:tcPr>
        <w:tcBorders>
          <w:bottom w:val="single" w:sz="4" w:space="0" w:color="2ED0FF" w:themeColor="accent5" w:themeTint="99"/>
        </w:tcBorders>
      </w:tcPr>
    </w:tblStylePr>
    <w:tblStylePr w:type="nwCell">
      <w:tblPr/>
      <w:tcPr>
        <w:tcBorders>
          <w:bottom w:val="single" w:sz="4" w:space="0" w:color="2ED0FF" w:themeColor="accent5" w:themeTint="99"/>
        </w:tcBorders>
      </w:tcPr>
    </w:tblStylePr>
    <w:tblStylePr w:type="seCell">
      <w:tblPr/>
      <w:tcPr>
        <w:tcBorders>
          <w:top w:val="single" w:sz="4" w:space="0" w:color="2ED0FF" w:themeColor="accent5" w:themeTint="99"/>
        </w:tcBorders>
      </w:tcPr>
    </w:tblStylePr>
    <w:tblStylePr w:type="swCell">
      <w:tblPr/>
      <w:tcPr>
        <w:tcBorders>
          <w:top w:val="single" w:sz="4" w:space="0" w:color="2ED0FF" w:themeColor="accent5" w:themeTint="99"/>
        </w:tcBorders>
      </w:tcPr>
    </w:tblStylePr>
  </w:style>
  <w:style w:type="table" w:customStyle="1" w:styleId="GridTable3-Accent61">
    <w:name w:val="Grid Table 3 - Accent 61"/>
    <w:basedOn w:val="TableNormal"/>
    <w:uiPriority w:val="48"/>
    <w:rsid w:val="00F02EF6"/>
    <w:tblPr>
      <w:tblStyleRowBandSize w:val="1"/>
      <w:tblStyleColBandSize w:val="1"/>
      <w:tblInd w:w="833" w:type="dxa"/>
      <w:tblBorders>
        <w:top w:val="single" w:sz="4" w:space="0" w:color="9C9C9C" w:themeColor="accent6" w:themeTint="99"/>
        <w:left w:val="single" w:sz="4" w:space="0" w:color="9C9C9C" w:themeColor="accent6" w:themeTint="99"/>
        <w:bottom w:val="single" w:sz="4" w:space="0" w:color="9C9C9C" w:themeColor="accent6" w:themeTint="99"/>
        <w:right w:val="single" w:sz="4" w:space="0" w:color="9C9C9C" w:themeColor="accent6" w:themeTint="99"/>
        <w:insideH w:val="single" w:sz="4" w:space="0" w:color="9C9C9C" w:themeColor="accent6" w:themeTint="99"/>
        <w:insideV w:val="single" w:sz="4" w:space="0" w:color="9C9C9C"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DEDE" w:themeFill="accent6" w:themeFillTint="33"/>
      </w:tcPr>
    </w:tblStylePr>
    <w:tblStylePr w:type="band1Horz">
      <w:tblPr/>
      <w:tcPr>
        <w:shd w:val="clear" w:color="auto" w:fill="DEDEDE" w:themeFill="accent6" w:themeFillTint="33"/>
      </w:tcPr>
    </w:tblStylePr>
    <w:tblStylePr w:type="neCell">
      <w:tblPr/>
      <w:tcPr>
        <w:tcBorders>
          <w:bottom w:val="single" w:sz="4" w:space="0" w:color="9C9C9C" w:themeColor="accent6" w:themeTint="99"/>
        </w:tcBorders>
      </w:tcPr>
    </w:tblStylePr>
    <w:tblStylePr w:type="nwCell">
      <w:tblPr/>
      <w:tcPr>
        <w:tcBorders>
          <w:bottom w:val="single" w:sz="4" w:space="0" w:color="9C9C9C" w:themeColor="accent6" w:themeTint="99"/>
        </w:tcBorders>
      </w:tcPr>
    </w:tblStylePr>
    <w:tblStylePr w:type="seCell">
      <w:tblPr/>
      <w:tcPr>
        <w:tcBorders>
          <w:top w:val="single" w:sz="4" w:space="0" w:color="9C9C9C" w:themeColor="accent6" w:themeTint="99"/>
        </w:tcBorders>
      </w:tcPr>
    </w:tblStylePr>
    <w:tblStylePr w:type="swCell">
      <w:tblPr/>
      <w:tcPr>
        <w:tcBorders>
          <w:top w:val="single" w:sz="4" w:space="0" w:color="9C9C9C" w:themeColor="accent6" w:themeTint="99"/>
        </w:tcBorders>
      </w:tcPr>
    </w:tblStylePr>
  </w:style>
  <w:style w:type="table" w:customStyle="1" w:styleId="GridTable41">
    <w:name w:val="Grid Table 41"/>
    <w:basedOn w:val="TableNormal"/>
    <w:uiPriority w:val="49"/>
    <w:rsid w:val="00F02EF6"/>
    <w:tblPr>
      <w:tblStyleRowBandSize w:val="1"/>
      <w:tblStyleColBandSize w:val="1"/>
      <w:tblInd w:w="833"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4-Accent11">
    <w:name w:val="Grid Table 4 - Accent 11"/>
    <w:basedOn w:val="TableNormal"/>
    <w:uiPriority w:val="49"/>
    <w:rsid w:val="00F02EF6"/>
    <w:tblPr>
      <w:tblStyleRowBandSize w:val="1"/>
      <w:tblStyleColBandSize w:val="1"/>
      <w:tblInd w:w="833" w:type="dxa"/>
      <w:tblBorders>
        <w:top w:val="single" w:sz="4" w:space="0" w:color="ABDBE7" w:themeColor="accent1" w:themeTint="99"/>
        <w:left w:val="single" w:sz="4" w:space="0" w:color="ABDBE7" w:themeColor="accent1" w:themeTint="99"/>
        <w:bottom w:val="single" w:sz="4" w:space="0" w:color="ABDBE7" w:themeColor="accent1" w:themeTint="99"/>
        <w:right w:val="single" w:sz="4" w:space="0" w:color="ABDBE7" w:themeColor="accent1" w:themeTint="99"/>
        <w:insideH w:val="single" w:sz="4" w:space="0" w:color="ABDBE7" w:themeColor="accent1" w:themeTint="99"/>
        <w:insideV w:val="single" w:sz="4" w:space="0" w:color="ABDBE7" w:themeColor="accent1" w:themeTint="99"/>
      </w:tblBorders>
    </w:tblPr>
    <w:tblStylePr w:type="firstRow">
      <w:rPr>
        <w:b/>
        <w:bCs/>
        <w:color w:val="FFFFFF" w:themeColor="background1"/>
      </w:rPr>
      <w:tblPr/>
      <w:tcPr>
        <w:tcBorders>
          <w:top w:val="single" w:sz="4" w:space="0" w:color="74C4D7" w:themeColor="accent1"/>
          <w:left w:val="single" w:sz="4" w:space="0" w:color="74C4D7" w:themeColor="accent1"/>
          <w:bottom w:val="single" w:sz="4" w:space="0" w:color="74C4D7" w:themeColor="accent1"/>
          <w:right w:val="single" w:sz="4" w:space="0" w:color="74C4D7" w:themeColor="accent1"/>
          <w:insideH w:val="nil"/>
          <w:insideV w:val="nil"/>
        </w:tcBorders>
        <w:shd w:val="clear" w:color="auto" w:fill="74C4D7" w:themeFill="accent1"/>
      </w:tcPr>
    </w:tblStylePr>
    <w:tblStylePr w:type="lastRow">
      <w:rPr>
        <w:b/>
        <w:bCs/>
      </w:rPr>
      <w:tblPr/>
      <w:tcPr>
        <w:tcBorders>
          <w:top w:val="double" w:sz="4" w:space="0" w:color="74C4D7" w:themeColor="accent1"/>
        </w:tcBorders>
      </w:tcPr>
    </w:tblStylePr>
    <w:tblStylePr w:type="firstCol">
      <w:rPr>
        <w:b/>
        <w:bCs/>
      </w:rPr>
    </w:tblStylePr>
    <w:tblStylePr w:type="lastCol">
      <w:rPr>
        <w:b/>
        <w:bCs/>
      </w:rPr>
    </w:tblStylePr>
    <w:tblStylePr w:type="band1Vert">
      <w:tblPr/>
      <w:tcPr>
        <w:shd w:val="clear" w:color="auto" w:fill="E3F3F7" w:themeFill="accent1" w:themeFillTint="33"/>
      </w:tcPr>
    </w:tblStylePr>
    <w:tblStylePr w:type="band1Horz">
      <w:tblPr/>
      <w:tcPr>
        <w:shd w:val="clear" w:color="auto" w:fill="E3F3F7" w:themeFill="accent1" w:themeFillTint="33"/>
      </w:tcPr>
    </w:tblStylePr>
  </w:style>
  <w:style w:type="table" w:customStyle="1" w:styleId="GridTable4-Accent21">
    <w:name w:val="Grid Table 4 - Accent 21"/>
    <w:basedOn w:val="TableNormal"/>
    <w:uiPriority w:val="49"/>
    <w:rsid w:val="00F02EF6"/>
    <w:tblPr>
      <w:tblStyleRowBandSize w:val="1"/>
      <w:tblStyleColBandSize w:val="1"/>
      <w:tblInd w:w="833" w:type="dxa"/>
      <w:tblBorders>
        <w:top w:val="single" w:sz="4" w:space="0" w:color="61C8F5" w:themeColor="accent2" w:themeTint="99"/>
        <w:left w:val="single" w:sz="4" w:space="0" w:color="61C8F5" w:themeColor="accent2" w:themeTint="99"/>
        <w:bottom w:val="single" w:sz="4" w:space="0" w:color="61C8F5" w:themeColor="accent2" w:themeTint="99"/>
        <w:right w:val="single" w:sz="4" w:space="0" w:color="61C8F5" w:themeColor="accent2" w:themeTint="99"/>
        <w:insideH w:val="single" w:sz="4" w:space="0" w:color="61C8F5" w:themeColor="accent2" w:themeTint="99"/>
        <w:insideV w:val="single" w:sz="4" w:space="0" w:color="61C8F5" w:themeColor="accent2" w:themeTint="99"/>
      </w:tblBorders>
    </w:tblPr>
    <w:tblStylePr w:type="firstRow">
      <w:rPr>
        <w:b/>
        <w:bCs/>
        <w:color w:val="FFFFFF" w:themeColor="background1"/>
      </w:rPr>
      <w:tblPr/>
      <w:tcPr>
        <w:tcBorders>
          <w:top w:val="single" w:sz="4" w:space="0" w:color="0D9DDB" w:themeColor="accent2"/>
          <w:left w:val="single" w:sz="4" w:space="0" w:color="0D9DDB" w:themeColor="accent2"/>
          <w:bottom w:val="single" w:sz="4" w:space="0" w:color="0D9DDB" w:themeColor="accent2"/>
          <w:right w:val="single" w:sz="4" w:space="0" w:color="0D9DDB" w:themeColor="accent2"/>
          <w:insideH w:val="nil"/>
          <w:insideV w:val="nil"/>
        </w:tcBorders>
        <w:shd w:val="clear" w:color="auto" w:fill="0D9DDB" w:themeFill="accent2"/>
      </w:tcPr>
    </w:tblStylePr>
    <w:tblStylePr w:type="lastRow">
      <w:rPr>
        <w:b/>
        <w:bCs/>
      </w:rPr>
      <w:tblPr/>
      <w:tcPr>
        <w:tcBorders>
          <w:top w:val="double" w:sz="4" w:space="0" w:color="0D9DDB" w:themeColor="accent2"/>
        </w:tcBorders>
      </w:tcPr>
    </w:tblStylePr>
    <w:tblStylePr w:type="firstCol">
      <w:rPr>
        <w:b/>
        <w:bCs/>
      </w:rPr>
    </w:tblStylePr>
    <w:tblStylePr w:type="lastCol">
      <w:rPr>
        <w:b/>
        <w:bCs/>
      </w:rPr>
    </w:tblStylePr>
    <w:tblStylePr w:type="band1Vert">
      <w:tblPr/>
      <w:tcPr>
        <w:shd w:val="clear" w:color="auto" w:fill="CAEDFC" w:themeFill="accent2" w:themeFillTint="33"/>
      </w:tcPr>
    </w:tblStylePr>
    <w:tblStylePr w:type="band1Horz">
      <w:tblPr/>
      <w:tcPr>
        <w:shd w:val="clear" w:color="auto" w:fill="CAEDFC" w:themeFill="accent2" w:themeFillTint="33"/>
      </w:tcPr>
    </w:tblStylePr>
  </w:style>
  <w:style w:type="table" w:customStyle="1" w:styleId="GridTable4-Accent31">
    <w:name w:val="Grid Table 4 - Accent 31"/>
    <w:basedOn w:val="TableNormal"/>
    <w:uiPriority w:val="49"/>
    <w:rsid w:val="00F02EF6"/>
    <w:tblPr>
      <w:tblStyleRowBandSize w:val="1"/>
      <w:tblStyleColBandSize w:val="1"/>
      <w:tblInd w:w="833" w:type="dxa"/>
      <w:tblBorders>
        <w:top w:val="single" w:sz="4" w:space="0" w:color="CBC6C3" w:themeColor="accent3" w:themeTint="99"/>
        <w:left w:val="single" w:sz="4" w:space="0" w:color="CBC6C3" w:themeColor="accent3" w:themeTint="99"/>
        <w:bottom w:val="single" w:sz="4" w:space="0" w:color="CBC6C3" w:themeColor="accent3" w:themeTint="99"/>
        <w:right w:val="single" w:sz="4" w:space="0" w:color="CBC6C3" w:themeColor="accent3" w:themeTint="99"/>
        <w:insideH w:val="single" w:sz="4" w:space="0" w:color="CBC6C3" w:themeColor="accent3" w:themeTint="99"/>
        <w:insideV w:val="single" w:sz="4" w:space="0" w:color="CBC6C3" w:themeColor="accent3" w:themeTint="99"/>
      </w:tblBorders>
    </w:tblPr>
    <w:tblStylePr w:type="firstRow">
      <w:rPr>
        <w:b/>
        <w:bCs/>
        <w:color w:val="FFFFFF" w:themeColor="background1"/>
      </w:rPr>
      <w:tblPr/>
      <w:tcPr>
        <w:tcBorders>
          <w:top w:val="single" w:sz="4" w:space="0" w:color="A9A19C" w:themeColor="accent3"/>
          <w:left w:val="single" w:sz="4" w:space="0" w:color="A9A19C" w:themeColor="accent3"/>
          <w:bottom w:val="single" w:sz="4" w:space="0" w:color="A9A19C" w:themeColor="accent3"/>
          <w:right w:val="single" w:sz="4" w:space="0" w:color="A9A19C" w:themeColor="accent3"/>
          <w:insideH w:val="nil"/>
          <w:insideV w:val="nil"/>
        </w:tcBorders>
        <w:shd w:val="clear" w:color="auto" w:fill="A9A19C" w:themeFill="accent3"/>
      </w:tcPr>
    </w:tblStylePr>
    <w:tblStylePr w:type="lastRow">
      <w:rPr>
        <w:b/>
        <w:bCs/>
      </w:rPr>
      <w:tblPr/>
      <w:tcPr>
        <w:tcBorders>
          <w:top w:val="double" w:sz="4" w:space="0" w:color="A9A19C" w:themeColor="accent3"/>
        </w:tcBorders>
      </w:tcPr>
    </w:tblStylePr>
    <w:tblStylePr w:type="firstCol">
      <w:rPr>
        <w:b/>
        <w:bCs/>
      </w:rPr>
    </w:tblStylePr>
    <w:tblStylePr w:type="lastCol">
      <w:rPr>
        <w:b/>
        <w:bCs/>
      </w:rPr>
    </w:tblStylePr>
    <w:tblStylePr w:type="band1Vert">
      <w:tblPr/>
      <w:tcPr>
        <w:shd w:val="clear" w:color="auto" w:fill="EDECEB" w:themeFill="accent3" w:themeFillTint="33"/>
      </w:tcPr>
    </w:tblStylePr>
    <w:tblStylePr w:type="band1Horz">
      <w:tblPr/>
      <w:tcPr>
        <w:shd w:val="clear" w:color="auto" w:fill="EDECEB" w:themeFill="accent3" w:themeFillTint="33"/>
      </w:tcPr>
    </w:tblStylePr>
  </w:style>
  <w:style w:type="table" w:customStyle="1" w:styleId="GridTable4-Accent41">
    <w:name w:val="Grid Table 4 - Accent 41"/>
    <w:basedOn w:val="TableNormal"/>
    <w:uiPriority w:val="49"/>
    <w:rsid w:val="00F02EF6"/>
    <w:tblPr>
      <w:tblStyleRowBandSize w:val="1"/>
      <w:tblStyleColBandSize w:val="1"/>
      <w:tblInd w:w="833" w:type="dxa"/>
      <w:tblBorders>
        <w:top w:val="single" w:sz="4" w:space="0" w:color="E3FC56" w:themeColor="accent4" w:themeTint="99"/>
        <w:left w:val="single" w:sz="4" w:space="0" w:color="E3FC56" w:themeColor="accent4" w:themeTint="99"/>
        <w:bottom w:val="single" w:sz="4" w:space="0" w:color="E3FC56" w:themeColor="accent4" w:themeTint="99"/>
        <w:right w:val="single" w:sz="4" w:space="0" w:color="E3FC56" w:themeColor="accent4" w:themeTint="99"/>
        <w:insideH w:val="single" w:sz="4" w:space="0" w:color="E3FC56" w:themeColor="accent4" w:themeTint="99"/>
        <w:insideV w:val="single" w:sz="4" w:space="0" w:color="E3FC56" w:themeColor="accent4" w:themeTint="99"/>
      </w:tblBorders>
    </w:tblPr>
    <w:tblStylePr w:type="firstRow">
      <w:rPr>
        <w:b/>
        <w:bCs/>
        <w:color w:val="FFFFFF" w:themeColor="background1"/>
      </w:rPr>
      <w:tblPr/>
      <w:tcPr>
        <w:tcBorders>
          <w:top w:val="single" w:sz="4" w:space="0" w:color="BDDC04" w:themeColor="accent4"/>
          <w:left w:val="single" w:sz="4" w:space="0" w:color="BDDC04" w:themeColor="accent4"/>
          <w:bottom w:val="single" w:sz="4" w:space="0" w:color="BDDC04" w:themeColor="accent4"/>
          <w:right w:val="single" w:sz="4" w:space="0" w:color="BDDC04" w:themeColor="accent4"/>
          <w:insideH w:val="nil"/>
          <w:insideV w:val="nil"/>
        </w:tcBorders>
        <w:shd w:val="clear" w:color="auto" w:fill="BDDC04" w:themeFill="accent4"/>
      </w:tcPr>
    </w:tblStylePr>
    <w:tblStylePr w:type="lastRow">
      <w:rPr>
        <w:b/>
        <w:bCs/>
      </w:rPr>
      <w:tblPr/>
      <w:tcPr>
        <w:tcBorders>
          <w:top w:val="double" w:sz="4" w:space="0" w:color="BDDC04" w:themeColor="accent4"/>
        </w:tcBorders>
      </w:tcPr>
    </w:tblStylePr>
    <w:tblStylePr w:type="firstCol">
      <w:rPr>
        <w:b/>
        <w:bCs/>
      </w:rPr>
    </w:tblStylePr>
    <w:tblStylePr w:type="lastCol">
      <w:rPr>
        <w:b/>
        <w:bCs/>
      </w:rPr>
    </w:tblStylePr>
    <w:tblStylePr w:type="band1Vert">
      <w:tblPr/>
      <w:tcPr>
        <w:shd w:val="clear" w:color="auto" w:fill="F5FEC6" w:themeFill="accent4" w:themeFillTint="33"/>
      </w:tcPr>
    </w:tblStylePr>
    <w:tblStylePr w:type="band1Horz">
      <w:tblPr/>
      <w:tcPr>
        <w:shd w:val="clear" w:color="auto" w:fill="F5FEC6" w:themeFill="accent4" w:themeFillTint="33"/>
      </w:tcPr>
    </w:tblStylePr>
  </w:style>
  <w:style w:type="table" w:customStyle="1" w:styleId="GridTable4-Accent51">
    <w:name w:val="Grid Table 4 - Accent 51"/>
    <w:basedOn w:val="TableNormal"/>
    <w:uiPriority w:val="49"/>
    <w:rsid w:val="00F02EF6"/>
    <w:tblPr>
      <w:tblStyleRowBandSize w:val="1"/>
      <w:tblStyleColBandSize w:val="1"/>
      <w:tblInd w:w="833" w:type="dxa"/>
      <w:tblBorders>
        <w:top w:val="single" w:sz="4" w:space="0" w:color="2ED0FF" w:themeColor="accent5" w:themeTint="99"/>
        <w:left w:val="single" w:sz="4" w:space="0" w:color="2ED0FF" w:themeColor="accent5" w:themeTint="99"/>
        <w:bottom w:val="single" w:sz="4" w:space="0" w:color="2ED0FF" w:themeColor="accent5" w:themeTint="99"/>
        <w:right w:val="single" w:sz="4" w:space="0" w:color="2ED0FF" w:themeColor="accent5" w:themeTint="99"/>
        <w:insideH w:val="single" w:sz="4" w:space="0" w:color="2ED0FF" w:themeColor="accent5" w:themeTint="99"/>
        <w:insideV w:val="single" w:sz="4" w:space="0" w:color="2ED0FF" w:themeColor="accent5" w:themeTint="99"/>
      </w:tblBorders>
    </w:tblPr>
    <w:tblStylePr w:type="firstRow">
      <w:rPr>
        <w:b/>
        <w:bCs/>
        <w:color w:val="FFFFFF" w:themeColor="background1"/>
      </w:rPr>
      <w:tblPr/>
      <w:tcPr>
        <w:tcBorders>
          <w:top w:val="single" w:sz="4" w:space="0" w:color="007FA3" w:themeColor="accent5"/>
          <w:left w:val="single" w:sz="4" w:space="0" w:color="007FA3" w:themeColor="accent5"/>
          <w:bottom w:val="single" w:sz="4" w:space="0" w:color="007FA3" w:themeColor="accent5"/>
          <w:right w:val="single" w:sz="4" w:space="0" w:color="007FA3" w:themeColor="accent5"/>
          <w:insideH w:val="nil"/>
          <w:insideV w:val="nil"/>
        </w:tcBorders>
        <w:shd w:val="clear" w:color="auto" w:fill="007FA3" w:themeFill="accent5"/>
      </w:tcPr>
    </w:tblStylePr>
    <w:tblStylePr w:type="lastRow">
      <w:rPr>
        <w:b/>
        <w:bCs/>
      </w:rPr>
      <w:tblPr/>
      <w:tcPr>
        <w:tcBorders>
          <w:top w:val="double" w:sz="4" w:space="0" w:color="007FA3" w:themeColor="accent5"/>
        </w:tcBorders>
      </w:tcPr>
    </w:tblStylePr>
    <w:tblStylePr w:type="firstCol">
      <w:rPr>
        <w:b/>
        <w:bCs/>
      </w:rPr>
    </w:tblStylePr>
    <w:tblStylePr w:type="lastCol">
      <w:rPr>
        <w:b/>
        <w:bCs/>
      </w:rPr>
    </w:tblStylePr>
    <w:tblStylePr w:type="band1Vert">
      <w:tblPr/>
      <w:tcPr>
        <w:shd w:val="clear" w:color="auto" w:fill="B9EFFF" w:themeFill="accent5" w:themeFillTint="33"/>
      </w:tcPr>
    </w:tblStylePr>
    <w:tblStylePr w:type="band1Horz">
      <w:tblPr/>
      <w:tcPr>
        <w:shd w:val="clear" w:color="auto" w:fill="B9EFFF" w:themeFill="accent5" w:themeFillTint="33"/>
      </w:tcPr>
    </w:tblStylePr>
  </w:style>
  <w:style w:type="table" w:customStyle="1" w:styleId="GridTable4-Accent61">
    <w:name w:val="Grid Table 4 - Accent 61"/>
    <w:basedOn w:val="TableNormal"/>
    <w:uiPriority w:val="49"/>
    <w:rsid w:val="00F02EF6"/>
    <w:tblPr>
      <w:tblStyleRowBandSize w:val="1"/>
      <w:tblStyleColBandSize w:val="1"/>
      <w:tblInd w:w="833" w:type="dxa"/>
      <w:tblBorders>
        <w:top w:val="single" w:sz="4" w:space="0" w:color="9C9C9C" w:themeColor="accent6" w:themeTint="99"/>
        <w:left w:val="single" w:sz="4" w:space="0" w:color="9C9C9C" w:themeColor="accent6" w:themeTint="99"/>
        <w:bottom w:val="single" w:sz="4" w:space="0" w:color="9C9C9C" w:themeColor="accent6" w:themeTint="99"/>
        <w:right w:val="single" w:sz="4" w:space="0" w:color="9C9C9C" w:themeColor="accent6" w:themeTint="99"/>
        <w:insideH w:val="single" w:sz="4" w:space="0" w:color="9C9C9C" w:themeColor="accent6" w:themeTint="99"/>
        <w:insideV w:val="single" w:sz="4" w:space="0" w:color="9C9C9C" w:themeColor="accent6" w:themeTint="99"/>
      </w:tblBorders>
    </w:tblPr>
    <w:tblStylePr w:type="firstRow">
      <w:rPr>
        <w:b/>
        <w:bCs/>
        <w:color w:val="FFFFFF" w:themeColor="background1"/>
      </w:rPr>
      <w:tblPr/>
      <w:tcPr>
        <w:tcBorders>
          <w:top w:val="single" w:sz="4" w:space="0" w:color="5A5A5A" w:themeColor="accent6"/>
          <w:left w:val="single" w:sz="4" w:space="0" w:color="5A5A5A" w:themeColor="accent6"/>
          <w:bottom w:val="single" w:sz="4" w:space="0" w:color="5A5A5A" w:themeColor="accent6"/>
          <w:right w:val="single" w:sz="4" w:space="0" w:color="5A5A5A" w:themeColor="accent6"/>
          <w:insideH w:val="nil"/>
          <w:insideV w:val="nil"/>
        </w:tcBorders>
        <w:shd w:val="clear" w:color="auto" w:fill="5A5A5A" w:themeFill="accent6"/>
      </w:tcPr>
    </w:tblStylePr>
    <w:tblStylePr w:type="lastRow">
      <w:rPr>
        <w:b/>
        <w:bCs/>
      </w:rPr>
      <w:tblPr/>
      <w:tcPr>
        <w:tcBorders>
          <w:top w:val="double" w:sz="4" w:space="0" w:color="5A5A5A" w:themeColor="accent6"/>
        </w:tcBorders>
      </w:tcPr>
    </w:tblStylePr>
    <w:tblStylePr w:type="firstCol">
      <w:rPr>
        <w:b/>
        <w:bCs/>
      </w:rPr>
    </w:tblStylePr>
    <w:tblStylePr w:type="lastCol">
      <w:rPr>
        <w:b/>
        <w:bCs/>
      </w:rPr>
    </w:tblStylePr>
    <w:tblStylePr w:type="band1Vert">
      <w:tblPr/>
      <w:tcPr>
        <w:shd w:val="clear" w:color="auto" w:fill="DEDEDE" w:themeFill="accent6" w:themeFillTint="33"/>
      </w:tcPr>
    </w:tblStylePr>
    <w:tblStylePr w:type="band1Horz">
      <w:tblPr/>
      <w:tcPr>
        <w:shd w:val="clear" w:color="auto" w:fill="DEDEDE" w:themeFill="accent6" w:themeFillTint="33"/>
      </w:tcPr>
    </w:tblStylePr>
  </w:style>
  <w:style w:type="table" w:customStyle="1" w:styleId="GridTable5Dark1">
    <w:name w:val="Grid Table 5 Dark1"/>
    <w:basedOn w:val="TableNormal"/>
    <w:uiPriority w:val="50"/>
    <w:rsid w:val="00F02EF6"/>
    <w:tblPr>
      <w:tblStyleRowBandSize w:val="1"/>
      <w:tblStyleColBandSize w:val="1"/>
      <w:tblInd w:w="83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GridTable5Dark-Accent11">
    <w:name w:val="Grid Table 5 Dark - Accent 11"/>
    <w:basedOn w:val="TableNormal"/>
    <w:uiPriority w:val="50"/>
    <w:rsid w:val="00F02EF6"/>
    <w:tblPr>
      <w:tblStyleRowBandSize w:val="1"/>
      <w:tblStyleColBandSize w:val="1"/>
      <w:tblInd w:w="83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3F3F7"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4C4D7"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4C4D7"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4C4D7"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4C4D7" w:themeFill="accent1"/>
      </w:tcPr>
    </w:tblStylePr>
    <w:tblStylePr w:type="band1Vert">
      <w:tblPr/>
      <w:tcPr>
        <w:shd w:val="clear" w:color="auto" w:fill="C7E7EF" w:themeFill="accent1" w:themeFillTint="66"/>
      </w:tcPr>
    </w:tblStylePr>
    <w:tblStylePr w:type="band1Horz">
      <w:tblPr/>
      <w:tcPr>
        <w:shd w:val="clear" w:color="auto" w:fill="C7E7EF" w:themeFill="accent1" w:themeFillTint="66"/>
      </w:tcPr>
    </w:tblStylePr>
  </w:style>
  <w:style w:type="table" w:customStyle="1" w:styleId="GridTable5Dark-Accent21">
    <w:name w:val="Grid Table 5 Dark - Accent 21"/>
    <w:basedOn w:val="TableNormal"/>
    <w:uiPriority w:val="50"/>
    <w:rsid w:val="00F02EF6"/>
    <w:tblPr>
      <w:tblStyleRowBandSize w:val="1"/>
      <w:tblStyleColBandSize w:val="1"/>
      <w:tblInd w:w="83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AEDFC"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D9DDB"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D9DDB"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D9DDB"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D9DDB" w:themeFill="accent2"/>
      </w:tcPr>
    </w:tblStylePr>
    <w:tblStylePr w:type="band1Vert">
      <w:tblPr/>
      <w:tcPr>
        <w:shd w:val="clear" w:color="auto" w:fill="95DAF8" w:themeFill="accent2" w:themeFillTint="66"/>
      </w:tcPr>
    </w:tblStylePr>
    <w:tblStylePr w:type="band1Horz">
      <w:tblPr/>
      <w:tcPr>
        <w:shd w:val="clear" w:color="auto" w:fill="95DAF8" w:themeFill="accent2" w:themeFillTint="66"/>
      </w:tcPr>
    </w:tblStylePr>
  </w:style>
  <w:style w:type="table" w:customStyle="1" w:styleId="GridTable5Dark-Accent31">
    <w:name w:val="Grid Table 5 Dark - Accent 31"/>
    <w:basedOn w:val="TableNormal"/>
    <w:uiPriority w:val="50"/>
    <w:rsid w:val="00AE65B3"/>
    <w:tblPr>
      <w:tblStyleRowBandSize w:val="1"/>
      <w:tblStyleColBandSize w:val="1"/>
      <w:tblInd w:w="83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CEB"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9A19C"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9A19C"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9A19C"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9A19C" w:themeFill="accent3"/>
      </w:tcPr>
    </w:tblStylePr>
    <w:tblStylePr w:type="band1Vert">
      <w:tblPr/>
      <w:tcPr>
        <w:shd w:val="clear" w:color="auto" w:fill="DCD9D7" w:themeFill="accent3" w:themeFillTint="66"/>
      </w:tcPr>
    </w:tblStylePr>
    <w:tblStylePr w:type="band1Horz">
      <w:tblPr/>
      <w:tcPr>
        <w:shd w:val="clear" w:color="auto" w:fill="DCD9D7" w:themeFill="accent3" w:themeFillTint="66"/>
      </w:tcPr>
    </w:tblStylePr>
  </w:style>
  <w:style w:type="table" w:customStyle="1" w:styleId="GridTable5Dark-Accent41">
    <w:name w:val="Grid Table 5 Dark - Accent 41"/>
    <w:basedOn w:val="TableNormal"/>
    <w:uiPriority w:val="50"/>
    <w:rsid w:val="00AE65B3"/>
    <w:tblPr>
      <w:tblStyleRowBandSize w:val="1"/>
      <w:tblStyleColBandSize w:val="1"/>
      <w:tblInd w:w="83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5FEC6"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DDC04"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DDC04"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DDC04"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DDC04" w:themeFill="accent4"/>
      </w:tcPr>
    </w:tblStylePr>
    <w:tblStylePr w:type="band1Vert">
      <w:tblPr/>
      <w:tcPr>
        <w:shd w:val="clear" w:color="auto" w:fill="ECFD8E" w:themeFill="accent4" w:themeFillTint="66"/>
      </w:tcPr>
    </w:tblStylePr>
    <w:tblStylePr w:type="band1Horz">
      <w:tblPr/>
      <w:tcPr>
        <w:shd w:val="clear" w:color="auto" w:fill="ECFD8E" w:themeFill="accent4" w:themeFillTint="66"/>
      </w:tcPr>
    </w:tblStylePr>
  </w:style>
  <w:style w:type="table" w:customStyle="1" w:styleId="GridTable5Dark-Accent51">
    <w:name w:val="Grid Table 5 Dark - Accent 51"/>
    <w:basedOn w:val="TableNormal"/>
    <w:uiPriority w:val="50"/>
    <w:rsid w:val="00AE65B3"/>
    <w:tblPr>
      <w:tblStyleRowBandSize w:val="1"/>
      <w:tblStyleColBandSize w:val="1"/>
      <w:tblInd w:w="83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9EFFF"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7FA3"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7FA3"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7FA3"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7FA3" w:themeFill="accent5"/>
      </w:tcPr>
    </w:tblStylePr>
    <w:tblStylePr w:type="band1Vert">
      <w:tblPr/>
      <w:tcPr>
        <w:shd w:val="clear" w:color="auto" w:fill="74DFFF" w:themeFill="accent5" w:themeFillTint="66"/>
      </w:tcPr>
    </w:tblStylePr>
    <w:tblStylePr w:type="band1Horz">
      <w:tblPr/>
      <w:tcPr>
        <w:shd w:val="clear" w:color="auto" w:fill="74DFFF" w:themeFill="accent5" w:themeFillTint="66"/>
      </w:tcPr>
    </w:tblStylePr>
  </w:style>
  <w:style w:type="table" w:customStyle="1" w:styleId="GridTable5Dark-Accent61">
    <w:name w:val="Grid Table 5 Dark - Accent 61"/>
    <w:basedOn w:val="TableNormal"/>
    <w:uiPriority w:val="50"/>
    <w:rsid w:val="00AE65B3"/>
    <w:tblPr>
      <w:tblStyleRowBandSize w:val="1"/>
      <w:tblStyleColBandSize w:val="1"/>
      <w:tblInd w:w="83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DEDE"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A5A5A"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A5A5A"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A5A5A"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A5A5A" w:themeFill="accent6"/>
      </w:tcPr>
    </w:tblStylePr>
    <w:tblStylePr w:type="band1Vert">
      <w:tblPr/>
      <w:tcPr>
        <w:shd w:val="clear" w:color="auto" w:fill="BDBDBD" w:themeFill="accent6" w:themeFillTint="66"/>
      </w:tcPr>
    </w:tblStylePr>
    <w:tblStylePr w:type="band1Horz">
      <w:tblPr/>
      <w:tcPr>
        <w:shd w:val="clear" w:color="auto" w:fill="BDBDBD" w:themeFill="accent6" w:themeFillTint="66"/>
      </w:tcPr>
    </w:tblStylePr>
  </w:style>
  <w:style w:type="table" w:customStyle="1" w:styleId="GridTable6Colorful1">
    <w:name w:val="Grid Table 6 Colorful1"/>
    <w:basedOn w:val="TableNormal"/>
    <w:uiPriority w:val="51"/>
    <w:rsid w:val="00AE65B3"/>
    <w:rPr>
      <w:color w:val="000000" w:themeColor="text1"/>
    </w:rPr>
    <w:tblPr>
      <w:tblStyleRowBandSize w:val="1"/>
      <w:tblStyleColBandSize w:val="1"/>
      <w:tblInd w:w="833"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6Colorful-Accent11">
    <w:name w:val="Grid Table 6 Colorful - Accent 11"/>
    <w:basedOn w:val="TableNormal"/>
    <w:uiPriority w:val="51"/>
    <w:rsid w:val="00AE65B3"/>
    <w:rPr>
      <w:color w:val="37A5C0" w:themeColor="accent1" w:themeShade="BF"/>
    </w:rPr>
    <w:tblPr>
      <w:tblStyleRowBandSize w:val="1"/>
      <w:tblStyleColBandSize w:val="1"/>
      <w:tblInd w:w="833" w:type="dxa"/>
      <w:tblBorders>
        <w:top w:val="single" w:sz="4" w:space="0" w:color="ABDBE7" w:themeColor="accent1" w:themeTint="99"/>
        <w:left w:val="single" w:sz="4" w:space="0" w:color="ABDBE7" w:themeColor="accent1" w:themeTint="99"/>
        <w:bottom w:val="single" w:sz="4" w:space="0" w:color="ABDBE7" w:themeColor="accent1" w:themeTint="99"/>
        <w:right w:val="single" w:sz="4" w:space="0" w:color="ABDBE7" w:themeColor="accent1" w:themeTint="99"/>
        <w:insideH w:val="single" w:sz="4" w:space="0" w:color="ABDBE7" w:themeColor="accent1" w:themeTint="99"/>
        <w:insideV w:val="single" w:sz="4" w:space="0" w:color="ABDBE7" w:themeColor="accent1" w:themeTint="99"/>
      </w:tblBorders>
    </w:tblPr>
    <w:tblStylePr w:type="firstRow">
      <w:rPr>
        <w:b/>
        <w:bCs/>
      </w:rPr>
      <w:tblPr/>
      <w:tcPr>
        <w:tcBorders>
          <w:bottom w:val="single" w:sz="12" w:space="0" w:color="ABDBE7" w:themeColor="accent1" w:themeTint="99"/>
        </w:tcBorders>
      </w:tcPr>
    </w:tblStylePr>
    <w:tblStylePr w:type="lastRow">
      <w:rPr>
        <w:b/>
        <w:bCs/>
      </w:rPr>
      <w:tblPr/>
      <w:tcPr>
        <w:tcBorders>
          <w:top w:val="double" w:sz="4" w:space="0" w:color="ABDBE7" w:themeColor="accent1" w:themeTint="99"/>
        </w:tcBorders>
      </w:tcPr>
    </w:tblStylePr>
    <w:tblStylePr w:type="firstCol">
      <w:rPr>
        <w:b/>
        <w:bCs/>
      </w:rPr>
    </w:tblStylePr>
    <w:tblStylePr w:type="lastCol">
      <w:rPr>
        <w:b/>
        <w:bCs/>
      </w:rPr>
    </w:tblStylePr>
    <w:tblStylePr w:type="band1Vert">
      <w:tblPr/>
      <w:tcPr>
        <w:shd w:val="clear" w:color="auto" w:fill="E3F3F7" w:themeFill="accent1" w:themeFillTint="33"/>
      </w:tcPr>
    </w:tblStylePr>
    <w:tblStylePr w:type="band1Horz">
      <w:tblPr/>
      <w:tcPr>
        <w:shd w:val="clear" w:color="auto" w:fill="E3F3F7" w:themeFill="accent1" w:themeFillTint="33"/>
      </w:tcPr>
    </w:tblStylePr>
  </w:style>
  <w:style w:type="table" w:customStyle="1" w:styleId="GridTable6Colorful-Accent21">
    <w:name w:val="Grid Table 6 Colorful - Accent 21"/>
    <w:basedOn w:val="TableNormal"/>
    <w:uiPriority w:val="51"/>
    <w:rsid w:val="00AE65B3"/>
    <w:rPr>
      <w:color w:val="0975A3" w:themeColor="accent2" w:themeShade="BF"/>
    </w:rPr>
    <w:tblPr>
      <w:tblStyleRowBandSize w:val="1"/>
      <w:tblStyleColBandSize w:val="1"/>
      <w:tblInd w:w="833" w:type="dxa"/>
      <w:tblBorders>
        <w:top w:val="single" w:sz="4" w:space="0" w:color="61C8F5" w:themeColor="accent2" w:themeTint="99"/>
        <w:left w:val="single" w:sz="4" w:space="0" w:color="61C8F5" w:themeColor="accent2" w:themeTint="99"/>
        <w:bottom w:val="single" w:sz="4" w:space="0" w:color="61C8F5" w:themeColor="accent2" w:themeTint="99"/>
        <w:right w:val="single" w:sz="4" w:space="0" w:color="61C8F5" w:themeColor="accent2" w:themeTint="99"/>
        <w:insideH w:val="single" w:sz="4" w:space="0" w:color="61C8F5" w:themeColor="accent2" w:themeTint="99"/>
        <w:insideV w:val="single" w:sz="4" w:space="0" w:color="61C8F5" w:themeColor="accent2" w:themeTint="99"/>
      </w:tblBorders>
    </w:tblPr>
    <w:tblStylePr w:type="firstRow">
      <w:rPr>
        <w:b/>
        <w:bCs/>
      </w:rPr>
      <w:tblPr/>
      <w:tcPr>
        <w:tcBorders>
          <w:bottom w:val="single" w:sz="12" w:space="0" w:color="61C8F5" w:themeColor="accent2" w:themeTint="99"/>
        </w:tcBorders>
      </w:tcPr>
    </w:tblStylePr>
    <w:tblStylePr w:type="lastRow">
      <w:rPr>
        <w:b/>
        <w:bCs/>
      </w:rPr>
      <w:tblPr/>
      <w:tcPr>
        <w:tcBorders>
          <w:top w:val="double" w:sz="4" w:space="0" w:color="61C8F5" w:themeColor="accent2" w:themeTint="99"/>
        </w:tcBorders>
      </w:tcPr>
    </w:tblStylePr>
    <w:tblStylePr w:type="firstCol">
      <w:rPr>
        <w:b/>
        <w:bCs/>
      </w:rPr>
    </w:tblStylePr>
    <w:tblStylePr w:type="lastCol">
      <w:rPr>
        <w:b/>
        <w:bCs/>
      </w:rPr>
    </w:tblStylePr>
    <w:tblStylePr w:type="band1Vert">
      <w:tblPr/>
      <w:tcPr>
        <w:shd w:val="clear" w:color="auto" w:fill="CAEDFC" w:themeFill="accent2" w:themeFillTint="33"/>
      </w:tcPr>
    </w:tblStylePr>
    <w:tblStylePr w:type="band1Horz">
      <w:tblPr/>
      <w:tcPr>
        <w:shd w:val="clear" w:color="auto" w:fill="CAEDFC" w:themeFill="accent2" w:themeFillTint="33"/>
      </w:tcPr>
    </w:tblStylePr>
  </w:style>
  <w:style w:type="table" w:customStyle="1" w:styleId="GridTable6Colorful-Accent31">
    <w:name w:val="Grid Table 6 Colorful - Accent 31"/>
    <w:basedOn w:val="TableNormal"/>
    <w:uiPriority w:val="51"/>
    <w:rsid w:val="00AE65B3"/>
    <w:rPr>
      <w:color w:val="827771" w:themeColor="accent3" w:themeShade="BF"/>
    </w:rPr>
    <w:tblPr>
      <w:tblStyleRowBandSize w:val="1"/>
      <w:tblStyleColBandSize w:val="1"/>
      <w:tblInd w:w="833" w:type="dxa"/>
      <w:tblBorders>
        <w:top w:val="single" w:sz="4" w:space="0" w:color="CBC6C3" w:themeColor="accent3" w:themeTint="99"/>
        <w:left w:val="single" w:sz="4" w:space="0" w:color="CBC6C3" w:themeColor="accent3" w:themeTint="99"/>
        <w:bottom w:val="single" w:sz="4" w:space="0" w:color="CBC6C3" w:themeColor="accent3" w:themeTint="99"/>
        <w:right w:val="single" w:sz="4" w:space="0" w:color="CBC6C3" w:themeColor="accent3" w:themeTint="99"/>
        <w:insideH w:val="single" w:sz="4" w:space="0" w:color="CBC6C3" w:themeColor="accent3" w:themeTint="99"/>
        <w:insideV w:val="single" w:sz="4" w:space="0" w:color="CBC6C3" w:themeColor="accent3" w:themeTint="99"/>
      </w:tblBorders>
    </w:tblPr>
    <w:tblStylePr w:type="firstRow">
      <w:rPr>
        <w:b/>
        <w:bCs/>
      </w:rPr>
      <w:tblPr/>
      <w:tcPr>
        <w:tcBorders>
          <w:bottom w:val="single" w:sz="12" w:space="0" w:color="CBC6C3" w:themeColor="accent3" w:themeTint="99"/>
        </w:tcBorders>
      </w:tcPr>
    </w:tblStylePr>
    <w:tblStylePr w:type="lastRow">
      <w:rPr>
        <w:b/>
        <w:bCs/>
      </w:rPr>
      <w:tblPr/>
      <w:tcPr>
        <w:tcBorders>
          <w:top w:val="double" w:sz="4" w:space="0" w:color="CBC6C3" w:themeColor="accent3" w:themeTint="99"/>
        </w:tcBorders>
      </w:tcPr>
    </w:tblStylePr>
    <w:tblStylePr w:type="firstCol">
      <w:rPr>
        <w:b/>
        <w:bCs/>
      </w:rPr>
    </w:tblStylePr>
    <w:tblStylePr w:type="lastCol">
      <w:rPr>
        <w:b/>
        <w:bCs/>
      </w:rPr>
    </w:tblStylePr>
    <w:tblStylePr w:type="band1Vert">
      <w:tblPr/>
      <w:tcPr>
        <w:shd w:val="clear" w:color="auto" w:fill="EDECEB" w:themeFill="accent3" w:themeFillTint="33"/>
      </w:tcPr>
    </w:tblStylePr>
    <w:tblStylePr w:type="band1Horz">
      <w:tblPr/>
      <w:tcPr>
        <w:shd w:val="clear" w:color="auto" w:fill="EDECEB" w:themeFill="accent3" w:themeFillTint="33"/>
      </w:tcPr>
    </w:tblStylePr>
  </w:style>
  <w:style w:type="table" w:customStyle="1" w:styleId="GridTable6Colorful-Accent41">
    <w:name w:val="Grid Table 6 Colorful - Accent 41"/>
    <w:basedOn w:val="TableNormal"/>
    <w:uiPriority w:val="51"/>
    <w:rsid w:val="00AE65B3"/>
    <w:rPr>
      <w:color w:val="8DA403" w:themeColor="accent4" w:themeShade="BF"/>
    </w:rPr>
    <w:tblPr>
      <w:tblStyleRowBandSize w:val="1"/>
      <w:tblStyleColBandSize w:val="1"/>
      <w:tblInd w:w="833" w:type="dxa"/>
      <w:tblBorders>
        <w:top w:val="single" w:sz="4" w:space="0" w:color="E3FC56" w:themeColor="accent4" w:themeTint="99"/>
        <w:left w:val="single" w:sz="4" w:space="0" w:color="E3FC56" w:themeColor="accent4" w:themeTint="99"/>
        <w:bottom w:val="single" w:sz="4" w:space="0" w:color="E3FC56" w:themeColor="accent4" w:themeTint="99"/>
        <w:right w:val="single" w:sz="4" w:space="0" w:color="E3FC56" w:themeColor="accent4" w:themeTint="99"/>
        <w:insideH w:val="single" w:sz="4" w:space="0" w:color="E3FC56" w:themeColor="accent4" w:themeTint="99"/>
        <w:insideV w:val="single" w:sz="4" w:space="0" w:color="E3FC56" w:themeColor="accent4" w:themeTint="99"/>
      </w:tblBorders>
    </w:tblPr>
    <w:tblStylePr w:type="firstRow">
      <w:rPr>
        <w:b/>
        <w:bCs/>
      </w:rPr>
      <w:tblPr/>
      <w:tcPr>
        <w:tcBorders>
          <w:bottom w:val="single" w:sz="12" w:space="0" w:color="E3FC56" w:themeColor="accent4" w:themeTint="99"/>
        </w:tcBorders>
      </w:tcPr>
    </w:tblStylePr>
    <w:tblStylePr w:type="lastRow">
      <w:rPr>
        <w:b/>
        <w:bCs/>
      </w:rPr>
      <w:tblPr/>
      <w:tcPr>
        <w:tcBorders>
          <w:top w:val="double" w:sz="4" w:space="0" w:color="E3FC56" w:themeColor="accent4" w:themeTint="99"/>
        </w:tcBorders>
      </w:tcPr>
    </w:tblStylePr>
    <w:tblStylePr w:type="firstCol">
      <w:rPr>
        <w:b/>
        <w:bCs/>
      </w:rPr>
    </w:tblStylePr>
    <w:tblStylePr w:type="lastCol">
      <w:rPr>
        <w:b/>
        <w:bCs/>
      </w:rPr>
    </w:tblStylePr>
    <w:tblStylePr w:type="band1Vert">
      <w:tblPr/>
      <w:tcPr>
        <w:shd w:val="clear" w:color="auto" w:fill="F5FEC6" w:themeFill="accent4" w:themeFillTint="33"/>
      </w:tcPr>
    </w:tblStylePr>
    <w:tblStylePr w:type="band1Horz">
      <w:tblPr/>
      <w:tcPr>
        <w:shd w:val="clear" w:color="auto" w:fill="F5FEC6" w:themeFill="accent4" w:themeFillTint="33"/>
      </w:tcPr>
    </w:tblStylePr>
  </w:style>
  <w:style w:type="table" w:customStyle="1" w:styleId="GridTable6Colorful-Accent51">
    <w:name w:val="Grid Table 6 Colorful - Accent 51"/>
    <w:basedOn w:val="TableNormal"/>
    <w:uiPriority w:val="51"/>
    <w:rsid w:val="00AE65B3"/>
    <w:rPr>
      <w:color w:val="005E7A" w:themeColor="accent5" w:themeShade="BF"/>
    </w:rPr>
    <w:tblPr>
      <w:tblStyleRowBandSize w:val="1"/>
      <w:tblStyleColBandSize w:val="1"/>
      <w:tblInd w:w="833" w:type="dxa"/>
      <w:tblBorders>
        <w:top w:val="single" w:sz="4" w:space="0" w:color="2ED0FF" w:themeColor="accent5" w:themeTint="99"/>
        <w:left w:val="single" w:sz="4" w:space="0" w:color="2ED0FF" w:themeColor="accent5" w:themeTint="99"/>
        <w:bottom w:val="single" w:sz="4" w:space="0" w:color="2ED0FF" w:themeColor="accent5" w:themeTint="99"/>
        <w:right w:val="single" w:sz="4" w:space="0" w:color="2ED0FF" w:themeColor="accent5" w:themeTint="99"/>
        <w:insideH w:val="single" w:sz="4" w:space="0" w:color="2ED0FF" w:themeColor="accent5" w:themeTint="99"/>
        <w:insideV w:val="single" w:sz="4" w:space="0" w:color="2ED0FF" w:themeColor="accent5" w:themeTint="99"/>
      </w:tblBorders>
    </w:tblPr>
    <w:tblStylePr w:type="firstRow">
      <w:rPr>
        <w:b/>
        <w:bCs/>
      </w:rPr>
      <w:tblPr/>
      <w:tcPr>
        <w:tcBorders>
          <w:bottom w:val="single" w:sz="12" w:space="0" w:color="2ED0FF" w:themeColor="accent5" w:themeTint="99"/>
        </w:tcBorders>
      </w:tcPr>
    </w:tblStylePr>
    <w:tblStylePr w:type="lastRow">
      <w:rPr>
        <w:b/>
        <w:bCs/>
      </w:rPr>
      <w:tblPr/>
      <w:tcPr>
        <w:tcBorders>
          <w:top w:val="double" w:sz="4" w:space="0" w:color="2ED0FF" w:themeColor="accent5" w:themeTint="99"/>
        </w:tcBorders>
      </w:tcPr>
    </w:tblStylePr>
    <w:tblStylePr w:type="firstCol">
      <w:rPr>
        <w:b/>
        <w:bCs/>
      </w:rPr>
    </w:tblStylePr>
    <w:tblStylePr w:type="lastCol">
      <w:rPr>
        <w:b/>
        <w:bCs/>
      </w:rPr>
    </w:tblStylePr>
    <w:tblStylePr w:type="band1Vert">
      <w:tblPr/>
      <w:tcPr>
        <w:shd w:val="clear" w:color="auto" w:fill="B9EFFF" w:themeFill="accent5" w:themeFillTint="33"/>
      </w:tcPr>
    </w:tblStylePr>
    <w:tblStylePr w:type="band1Horz">
      <w:tblPr/>
      <w:tcPr>
        <w:shd w:val="clear" w:color="auto" w:fill="B9EFFF" w:themeFill="accent5" w:themeFillTint="33"/>
      </w:tcPr>
    </w:tblStylePr>
  </w:style>
  <w:style w:type="table" w:customStyle="1" w:styleId="GridTable6Colorful-Accent61">
    <w:name w:val="Grid Table 6 Colorful - Accent 61"/>
    <w:basedOn w:val="TableNormal"/>
    <w:uiPriority w:val="51"/>
    <w:rsid w:val="00AE65B3"/>
    <w:rPr>
      <w:color w:val="434343" w:themeColor="accent6" w:themeShade="BF"/>
    </w:rPr>
    <w:tblPr>
      <w:tblStyleRowBandSize w:val="1"/>
      <w:tblStyleColBandSize w:val="1"/>
      <w:tblInd w:w="833" w:type="dxa"/>
      <w:tblBorders>
        <w:top w:val="single" w:sz="4" w:space="0" w:color="9C9C9C" w:themeColor="accent6" w:themeTint="99"/>
        <w:left w:val="single" w:sz="4" w:space="0" w:color="9C9C9C" w:themeColor="accent6" w:themeTint="99"/>
        <w:bottom w:val="single" w:sz="4" w:space="0" w:color="9C9C9C" w:themeColor="accent6" w:themeTint="99"/>
        <w:right w:val="single" w:sz="4" w:space="0" w:color="9C9C9C" w:themeColor="accent6" w:themeTint="99"/>
        <w:insideH w:val="single" w:sz="4" w:space="0" w:color="9C9C9C" w:themeColor="accent6" w:themeTint="99"/>
        <w:insideV w:val="single" w:sz="4" w:space="0" w:color="9C9C9C" w:themeColor="accent6" w:themeTint="99"/>
      </w:tblBorders>
    </w:tblPr>
    <w:tblStylePr w:type="firstRow">
      <w:rPr>
        <w:b/>
        <w:bCs/>
      </w:rPr>
      <w:tblPr/>
      <w:tcPr>
        <w:tcBorders>
          <w:bottom w:val="single" w:sz="12" w:space="0" w:color="9C9C9C" w:themeColor="accent6" w:themeTint="99"/>
        </w:tcBorders>
      </w:tcPr>
    </w:tblStylePr>
    <w:tblStylePr w:type="lastRow">
      <w:rPr>
        <w:b/>
        <w:bCs/>
      </w:rPr>
      <w:tblPr/>
      <w:tcPr>
        <w:tcBorders>
          <w:top w:val="double" w:sz="4" w:space="0" w:color="9C9C9C" w:themeColor="accent6" w:themeTint="99"/>
        </w:tcBorders>
      </w:tcPr>
    </w:tblStylePr>
    <w:tblStylePr w:type="firstCol">
      <w:rPr>
        <w:b/>
        <w:bCs/>
      </w:rPr>
    </w:tblStylePr>
    <w:tblStylePr w:type="lastCol">
      <w:rPr>
        <w:b/>
        <w:bCs/>
      </w:rPr>
    </w:tblStylePr>
    <w:tblStylePr w:type="band1Vert">
      <w:tblPr/>
      <w:tcPr>
        <w:shd w:val="clear" w:color="auto" w:fill="DEDEDE" w:themeFill="accent6" w:themeFillTint="33"/>
      </w:tcPr>
    </w:tblStylePr>
    <w:tblStylePr w:type="band1Horz">
      <w:tblPr/>
      <w:tcPr>
        <w:shd w:val="clear" w:color="auto" w:fill="DEDEDE" w:themeFill="accent6" w:themeFillTint="33"/>
      </w:tcPr>
    </w:tblStylePr>
  </w:style>
  <w:style w:type="table" w:customStyle="1" w:styleId="ListTable1Light1">
    <w:name w:val="List Table 1 Light1"/>
    <w:basedOn w:val="TableNormal"/>
    <w:uiPriority w:val="46"/>
    <w:rsid w:val="00AE65B3"/>
    <w:tblPr>
      <w:tblStyleRowBandSize w:val="1"/>
      <w:tblStyleColBandSize w:val="1"/>
      <w:tblInd w:w="833" w:type="dxa"/>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1Light-Accent11">
    <w:name w:val="List Table 1 Light - Accent 11"/>
    <w:basedOn w:val="TableNormal"/>
    <w:uiPriority w:val="46"/>
    <w:rsid w:val="00AE65B3"/>
    <w:tblPr>
      <w:tblStyleRowBandSize w:val="1"/>
      <w:tblStyleColBandSize w:val="1"/>
      <w:tblInd w:w="833" w:type="dxa"/>
    </w:tblPr>
    <w:tblStylePr w:type="firstRow">
      <w:rPr>
        <w:b/>
        <w:bCs/>
      </w:rPr>
      <w:tblPr/>
      <w:tcPr>
        <w:tcBorders>
          <w:bottom w:val="single" w:sz="4" w:space="0" w:color="ABDBE7" w:themeColor="accent1" w:themeTint="99"/>
        </w:tcBorders>
      </w:tcPr>
    </w:tblStylePr>
    <w:tblStylePr w:type="lastRow">
      <w:rPr>
        <w:b/>
        <w:bCs/>
      </w:rPr>
      <w:tblPr/>
      <w:tcPr>
        <w:tcBorders>
          <w:top w:val="single" w:sz="4" w:space="0" w:color="ABDBE7" w:themeColor="accent1" w:themeTint="99"/>
        </w:tcBorders>
      </w:tcPr>
    </w:tblStylePr>
    <w:tblStylePr w:type="firstCol">
      <w:rPr>
        <w:b/>
        <w:bCs/>
      </w:rPr>
    </w:tblStylePr>
    <w:tblStylePr w:type="lastCol">
      <w:rPr>
        <w:b/>
        <w:bCs/>
      </w:rPr>
    </w:tblStylePr>
    <w:tblStylePr w:type="band1Vert">
      <w:tblPr/>
      <w:tcPr>
        <w:shd w:val="clear" w:color="auto" w:fill="E3F3F7" w:themeFill="accent1" w:themeFillTint="33"/>
      </w:tcPr>
    </w:tblStylePr>
    <w:tblStylePr w:type="band1Horz">
      <w:tblPr/>
      <w:tcPr>
        <w:shd w:val="clear" w:color="auto" w:fill="E3F3F7" w:themeFill="accent1" w:themeFillTint="33"/>
      </w:tcPr>
    </w:tblStylePr>
  </w:style>
  <w:style w:type="table" w:customStyle="1" w:styleId="ListTable1Light-Accent21">
    <w:name w:val="List Table 1 Light - Accent 21"/>
    <w:basedOn w:val="TableNormal"/>
    <w:uiPriority w:val="46"/>
    <w:rsid w:val="00DA07C2"/>
    <w:tblPr>
      <w:tblStyleRowBandSize w:val="1"/>
      <w:tblStyleColBandSize w:val="1"/>
      <w:tblInd w:w="833" w:type="dxa"/>
    </w:tblPr>
    <w:tblStylePr w:type="firstRow">
      <w:rPr>
        <w:b/>
        <w:bCs/>
      </w:rPr>
      <w:tblPr/>
      <w:tcPr>
        <w:tcBorders>
          <w:bottom w:val="single" w:sz="4" w:space="0" w:color="61C8F5" w:themeColor="accent2" w:themeTint="99"/>
        </w:tcBorders>
      </w:tcPr>
    </w:tblStylePr>
    <w:tblStylePr w:type="lastRow">
      <w:rPr>
        <w:b/>
        <w:bCs/>
      </w:rPr>
      <w:tblPr/>
      <w:tcPr>
        <w:tcBorders>
          <w:top w:val="single" w:sz="4" w:space="0" w:color="61C8F5" w:themeColor="accent2" w:themeTint="99"/>
        </w:tcBorders>
      </w:tcPr>
    </w:tblStylePr>
    <w:tblStylePr w:type="firstCol">
      <w:rPr>
        <w:b/>
        <w:bCs/>
      </w:rPr>
    </w:tblStylePr>
    <w:tblStylePr w:type="lastCol">
      <w:rPr>
        <w:b/>
        <w:bCs/>
      </w:rPr>
    </w:tblStylePr>
    <w:tblStylePr w:type="band1Vert">
      <w:tblPr/>
      <w:tcPr>
        <w:shd w:val="clear" w:color="auto" w:fill="CAEDFC" w:themeFill="accent2" w:themeFillTint="33"/>
      </w:tcPr>
    </w:tblStylePr>
    <w:tblStylePr w:type="band1Horz">
      <w:tblPr/>
      <w:tcPr>
        <w:shd w:val="clear" w:color="auto" w:fill="CAEDFC" w:themeFill="accent2" w:themeFillTint="33"/>
      </w:tcPr>
    </w:tblStylePr>
  </w:style>
  <w:style w:type="table" w:customStyle="1" w:styleId="ListTable1Light-Accent31">
    <w:name w:val="List Table 1 Light - Accent 31"/>
    <w:basedOn w:val="TableNormal"/>
    <w:uiPriority w:val="46"/>
    <w:rsid w:val="00DA07C2"/>
    <w:tblPr>
      <w:tblStyleRowBandSize w:val="1"/>
      <w:tblStyleColBandSize w:val="1"/>
      <w:tblInd w:w="833" w:type="dxa"/>
    </w:tblPr>
    <w:tblStylePr w:type="firstRow">
      <w:rPr>
        <w:b/>
        <w:bCs/>
      </w:rPr>
      <w:tblPr/>
      <w:tcPr>
        <w:tcBorders>
          <w:bottom w:val="single" w:sz="4" w:space="0" w:color="CBC6C3" w:themeColor="accent3" w:themeTint="99"/>
        </w:tcBorders>
      </w:tcPr>
    </w:tblStylePr>
    <w:tblStylePr w:type="lastRow">
      <w:rPr>
        <w:b/>
        <w:bCs/>
      </w:rPr>
      <w:tblPr/>
      <w:tcPr>
        <w:tcBorders>
          <w:top w:val="single" w:sz="4" w:space="0" w:color="CBC6C3" w:themeColor="accent3" w:themeTint="99"/>
        </w:tcBorders>
      </w:tcPr>
    </w:tblStylePr>
    <w:tblStylePr w:type="firstCol">
      <w:rPr>
        <w:b/>
        <w:bCs/>
      </w:rPr>
    </w:tblStylePr>
    <w:tblStylePr w:type="lastCol">
      <w:rPr>
        <w:b/>
        <w:bCs/>
      </w:rPr>
    </w:tblStylePr>
    <w:tblStylePr w:type="band1Vert">
      <w:tblPr/>
      <w:tcPr>
        <w:shd w:val="clear" w:color="auto" w:fill="EDECEB" w:themeFill="accent3" w:themeFillTint="33"/>
      </w:tcPr>
    </w:tblStylePr>
    <w:tblStylePr w:type="band1Horz">
      <w:tblPr/>
      <w:tcPr>
        <w:shd w:val="clear" w:color="auto" w:fill="EDECEB" w:themeFill="accent3" w:themeFillTint="33"/>
      </w:tcPr>
    </w:tblStylePr>
  </w:style>
  <w:style w:type="table" w:customStyle="1" w:styleId="ListTable1Light-Accent41">
    <w:name w:val="List Table 1 Light - Accent 41"/>
    <w:basedOn w:val="TableNormal"/>
    <w:uiPriority w:val="46"/>
    <w:rsid w:val="00DA07C2"/>
    <w:tblPr>
      <w:tblStyleRowBandSize w:val="1"/>
      <w:tblStyleColBandSize w:val="1"/>
      <w:tblInd w:w="833" w:type="dxa"/>
    </w:tblPr>
    <w:tblStylePr w:type="firstRow">
      <w:rPr>
        <w:b/>
        <w:bCs/>
      </w:rPr>
      <w:tblPr/>
      <w:tcPr>
        <w:tcBorders>
          <w:bottom w:val="single" w:sz="4" w:space="0" w:color="E3FC56" w:themeColor="accent4" w:themeTint="99"/>
        </w:tcBorders>
      </w:tcPr>
    </w:tblStylePr>
    <w:tblStylePr w:type="lastRow">
      <w:rPr>
        <w:b/>
        <w:bCs/>
      </w:rPr>
      <w:tblPr/>
      <w:tcPr>
        <w:tcBorders>
          <w:top w:val="single" w:sz="4" w:space="0" w:color="E3FC56" w:themeColor="accent4" w:themeTint="99"/>
        </w:tcBorders>
      </w:tcPr>
    </w:tblStylePr>
    <w:tblStylePr w:type="firstCol">
      <w:rPr>
        <w:b/>
        <w:bCs/>
      </w:rPr>
    </w:tblStylePr>
    <w:tblStylePr w:type="lastCol">
      <w:rPr>
        <w:b/>
        <w:bCs/>
      </w:rPr>
    </w:tblStylePr>
    <w:tblStylePr w:type="band1Vert">
      <w:tblPr/>
      <w:tcPr>
        <w:shd w:val="clear" w:color="auto" w:fill="F5FEC6" w:themeFill="accent4" w:themeFillTint="33"/>
      </w:tcPr>
    </w:tblStylePr>
    <w:tblStylePr w:type="band1Horz">
      <w:tblPr/>
      <w:tcPr>
        <w:shd w:val="clear" w:color="auto" w:fill="F5FEC6" w:themeFill="accent4" w:themeFillTint="33"/>
      </w:tcPr>
    </w:tblStylePr>
  </w:style>
  <w:style w:type="table" w:customStyle="1" w:styleId="ListTable1Light-Accent51">
    <w:name w:val="List Table 1 Light - Accent 51"/>
    <w:basedOn w:val="TableNormal"/>
    <w:uiPriority w:val="46"/>
    <w:rsid w:val="00DA07C2"/>
    <w:tblPr>
      <w:tblStyleRowBandSize w:val="1"/>
      <w:tblStyleColBandSize w:val="1"/>
      <w:tblInd w:w="833" w:type="dxa"/>
    </w:tblPr>
    <w:tblStylePr w:type="firstRow">
      <w:rPr>
        <w:b/>
        <w:bCs/>
      </w:rPr>
      <w:tblPr/>
      <w:tcPr>
        <w:tcBorders>
          <w:bottom w:val="single" w:sz="4" w:space="0" w:color="2ED0FF" w:themeColor="accent5" w:themeTint="99"/>
        </w:tcBorders>
      </w:tcPr>
    </w:tblStylePr>
    <w:tblStylePr w:type="lastRow">
      <w:rPr>
        <w:b/>
        <w:bCs/>
      </w:rPr>
      <w:tblPr/>
      <w:tcPr>
        <w:tcBorders>
          <w:top w:val="single" w:sz="4" w:space="0" w:color="2ED0FF" w:themeColor="accent5" w:themeTint="99"/>
        </w:tcBorders>
      </w:tcPr>
    </w:tblStylePr>
    <w:tblStylePr w:type="firstCol">
      <w:rPr>
        <w:b/>
        <w:bCs/>
      </w:rPr>
    </w:tblStylePr>
    <w:tblStylePr w:type="lastCol">
      <w:rPr>
        <w:b/>
        <w:bCs/>
      </w:rPr>
    </w:tblStylePr>
    <w:tblStylePr w:type="band1Vert">
      <w:tblPr/>
      <w:tcPr>
        <w:shd w:val="clear" w:color="auto" w:fill="B9EFFF" w:themeFill="accent5" w:themeFillTint="33"/>
      </w:tcPr>
    </w:tblStylePr>
    <w:tblStylePr w:type="band1Horz">
      <w:tblPr/>
      <w:tcPr>
        <w:shd w:val="clear" w:color="auto" w:fill="B9EFFF" w:themeFill="accent5" w:themeFillTint="33"/>
      </w:tcPr>
    </w:tblStylePr>
  </w:style>
  <w:style w:type="table" w:customStyle="1" w:styleId="ListTable1Light-Accent61">
    <w:name w:val="List Table 1 Light - Accent 61"/>
    <w:basedOn w:val="TableNormal"/>
    <w:uiPriority w:val="46"/>
    <w:rsid w:val="00DA07C2"/>
    <w:tblPr>
      <w:tblStyleRowBandSize w:val="1"/>
      <w:tblStyleColBandSize w:val="1"/>
      <w:tblInd w:w="833" w:type="dxa"/>
    </w:tblPr>
    <w:tblStylePr w:type="firstRow">
      <w:rPr>
        <w:b/>
        <w:bCs/>
      </w:rPr>
      <w:tblPr/>
      <w:tcPr>
        <w:tcBorders>
          <w:bottom w:val="single" w:sz="4" w:space="0" w:color="9C9C9C" w:themeColor="accent6" w:themeTint="99"/>
        </w:tcBorders>
      </w:tcPr>
    </w:tblStylePr>
    <w:tblStylePr w:type="lastRow">
      <w:rPr>
        <w:b/>
        <w:bCs/>
      </w:rPr>
      <w:tblPr/>
      <w:tcPr>
        <w:tcBorders>
          <w:top w:val="single" w:sz="4" w:space="0" w:color="9C9C9C" w:themeColor="accent6" w:themeTint="99"/>
        </w:tcBorders>
      </w:tcPr>
    </w:tblStylePr>
    <w:tblStylePr w:type="firstCol">
      <w:rPr>
        <w:b/>
        <w:bCs/>
      </w:rPr>
    </w:tblStylePr>
    <w:tblStylePr w:type="lastCol">
      <w:rPr>
        <w:b/>
        <w:bCs/>
      </w:rPr>
    </w:tblStylePr>
    <w:tblStylePr w:type="band1Vert">
      <w:tblPr/>
      <w:tcPr>
        <w:shd w:val="clear" w:color="auto" w:fill="DEDEDE" w:themeFill="accent6" w:themeFillTint="33"/>
      </w:tcPr>
    </w:tblStylePr>
    <w:tblStylePr w:type="band1Horz">
      <w:tblPr/>
      <w:tcPr>
        <w:shd w:val="clear" w:color="auto" w:fill="DEDEDE" w:themeFill="accent6" w:themeFillTint="33"/>
      </w:tcPr>
    </w:tblStylePr>
  </w:style>
  <w:style w:type="table" w:customStyle="1" w:styleId="ListTable21">
    <w:name w:val="List Table 21"/>
    <w:basedOn w:val="TableNormal"/>
    <w:uiPriority w:val="47"/>
    <w:rsid w:val="00DA07C2"/>
    <w:tblPr>
      <w:tblStyleRowBandSize w:val="1"/>
      <w:tblStyleColBandSize w:val="1"/>
      <w:tblInd w:w="833" w:type="dxa"/>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2-Accent11">
    <w:name w:val="List Table 2 - Accent 11"/>
    <w:basedOn w:val="TableNormal"/>
    <w:uiPriority w:val="47"/>
    <w:rsid w:val="00DA07C2"/>
    <w:tblPr>
      <w:tblStyleRowBandSize w:val="1"/>
      <w:tblStyleColBandSize w:val="1"/>
      <w:tblInd w:w="833" w:type="dxa"/>
      <w:tblBorders>
        <w:top w:val="single" w:sz="4" w:space="0" w:color="ABDBE7" w:themeColor="accent1" w:themeTint="99"/>
        <w:bottom w:val="single" w:sz="4" w:space="0" w:color="ABDBE7" w:themeColor="accent1" w:themeTint="99"/>
        <w:insideH w:val="single" w:sz="4" w:space="0" w:color="ABDBE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3F3F7" w:themeFill="accent1" w:themeFillTint="33"/>
      </w:tcPr>
    </w:tblStylePr>
    <w:tblStylePr w:type="band1Horz">
      <w:tblPr/>
      <w:tcPr>
        <w:shd w:val="clear" w:color="auto" w:fill="E3F3F7" w:themeFill="accent1" w:themeFillTint="33"/>
      </w:tcPr>
    </w:tblStylePr>
  </w:style>
  <w:style w:type="table" w:customStyle="1" w:styleId="ListTable2-Accent21">
    <w:name w:val="List Table 2 - Accent 21"/>
    <w:basedOn w:val="TableNormal"/>
    <w:uiPriority w:val="47"/>
    <w:rsid w:val="00DA07C2"/>
    <w:tblPr>
      <w:tblStyleRowBandSize w:val="1"/>
      <w:tblStyleColBandSize w:val="1"/>
      <w:tblInd w:w="833" w:type="dxa"/>
      <w:tblBorders>
        <w:top w:val="single" w:sz="4" w:space="0" w:color="61C8F5" w:themeColor="accent2" w:themeTint="99"/>
        <w:bottom w:val="single" w:sz="4" w:space="0" w:color="61C8F5" w:themeColor="accent2" w:themeTint="99"/>
        <w:insideH w:val="single" w:sz="4" w:space="0" w:color="61C8F5"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AEDFC" w:themeFill="accent2" w:themeFillTint="33"/>
      </w:tcPr>
    </w:tblStylePr>
    <w:tblStylePr w:type="band1Horz">
      <w:tblPr/>
      <w:tcPr>
        <w:shd w:val="clear" w:color="auto" w:fill="CAEDFC" w:themeFill="accent2" w:themeFillTint="33"/>
      </w:tcPr>
    </w:tblStylePr>
  </w:style>
  <w:style w:type="table" w:customStyle="1" w:styleId="ListTable2-Accent31">
    <w:name w:val="List Table 2 - Accent 31"/>
    <w:basedOn w:val="TableNormal"/>
    <w:uiPriority w:val="47"/>
    <w:rsid w:val="00DA07C2"/>
    <w:tblPr>
      <w:tblStyleRowBandSize w:val="1"/>
      <w:tblStyleColBandSize w:val="1"/>
      <w:tblInd w:w="833" w:type="dxa"/>
      <w:tblBorders>
        <w:top w:val="single" w:sz="4" w:space="0" w:color="CBC6C3" w:themeColor="accent3" w:themeTint="99"/>
        <w:bottom w:val="single" w:sz="4" w:space="0" w:color="CBC6C3" w:themeColor="accent3" w:themeTint="99"/>
        <w:insideH w:val="single" w:sz="4" w:space="0" w:color="CBC6C3"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CEB" w:themeFill="accent3" w:themeFillTint="33"/>
      </w:tcPr>
    </w:tblStylePr>
    <w:tblStylePr w:type="band1Horz">
      <w:tblPr/>
      <w:tcPr>
        <w:shd w:val="clear" w:color="auto" w:fill="EDECEB" w:themeFill="accent3" w:themeFillTint="33"/>
      </w:tcPr>
    </w:tblStylePr>
  </w:style>
  <w:style w:type="table" w:customStyle="1" w:styleId="ListTable2-Accent41">
    <w:name w:val="List Table 2 - Accent 41"/>
    <w:basedOn w:val="TableNormal"/>
    <w:uiPriority w:val="47"/>
    <w:rsid w:val="00DA07C2"/>
    <w:tblPr>
      <w:tblStyleRowBandSize w:val="1"/>
      <w:tblStyleColBandSize w:val="1"/>
      <w:tblInd w:w="833" w:type="dxa"/>
      <w:tblBorders>
        <w:top w:val="single" w:sz="4" w:space="0" w:color="E3FC56" w:themeColor="accent4" w:themeTint="99"/>
        <w:bottom w:val="single" w:sz="4" w:space="0" w:color="E3FC56" w:themeColor="accent4" w:themeTint="99"/>
        <w:insideH w:val="single" w:sz="4" w:space="0" w:color="E3FC56"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5FEC6" w:themeFill="accent4" w:themeFillTint="33"/>
      </w:tcPr>
    </w:tblStylePr>
    <w:tblStylePr w:type="band1Horz">
      <w:tblPr/>
      <w:tcPr>
        <w:shd w:val="clear" w:color="auto" w:fill="F5FEC6" w:themeFill="accent4" w:themeFillTint="33"/>
      </w:tcPr>
    </w:tblStylePr>
  </w:style>
  <w:style w:type="table" w:customStyle="1" w:styleId="ListTable2-Accent51">
    <w:name w:val="List Table 2 - Accent 51"/>
    <w:basedOn w:val="TableNormal"/>
    <w:uiPriority w:val="47"/>
    <w:rsid w:val="00DA07C2"/>
    <w:tblPr>
      <w:tblStyleRowBandSize w:val="1"/>
      <w:tblStyleColBandSize w:val="1"/>
      <w:tblInd w:w="833" w:type="dxa"/>
      <w:tblBorders>
        <w:top w:val="single" w:sz="4" w:space="0" w:color="2ED0FF" w:themeColor="accent5" w:themeTint="99"/>
        <w:bottom w:val="single" w:sz="4" w:space="0" w:color="2ED0FF" w:themeColor="accent5" w:themeTint="99"/>
        <w:insideH w:val="single" w:sz="4" w:space="0" w:color="2ED0FF"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9EFFF" w:themeFill="accent5" w:themeFillTint="33"/>
      </w:tcPr>
    </w:tblStylePr>
    <w:tblStylePr w:type="band1Horz">
      <w:tblPr/>
      <w:tcPr>
        <w:shd w:val="clear" w:color="auto" w:fill="B9EFFF" w:themeFill="accent5" w:themeFillTint="33"/>
      </w:tcPr>
    </w:tblStylePr>
  </w:style>
  <w:style w:type="table" w:customStyle="1" w:styleId="ListTable2-Accent61">
    <w:name w:val="List Table 2 - Accent 61"/>
    <w:basedOn w:val="TableNormal"/>
    <w:uiPriority w:val="47"/>
    <w:rsid w:val="00DA07C2"/>
    <w:tblPr>
      <w:tblStyleRowBandSize w:val="1"/>
      <w:tblStyleColBandSize w:val="1"/>
      <w:tblInd w:w="833" w:type="dxa"/>
      <w:tblBorders>
        <w:top w:val="single" w:sz="4" w:space="0" w:color="9C9C9C" w:themeColor="accent6" w:themeTint="99"/>
        <w:bottom w:val="single" w:sz="4" w:space="0" w:color="9C9C9C" w:themeColor="accent6" w:themeTint="99"/>
        <w:insideH w:val="single" w:sz="4" w:space="0" w:color="9C9C9C"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DEDE" w:themeFill="accent6" w:themeFillTint="33"/>
      </w:tcPr>
    </w:tblStylePr>
    <w:tblStylePr w:type="band1Horz">
      <w:tblPr/>
      <w:tcPr>
        <w:shd w:val="clear" w:color="auto" w:fill="DEDEDE" w:themeFill="accent6" w:themeFillTint="33"/>
      </w:tcPr>
    </w:tblStylePr>
  </w:style>
  <w:style w:type="table" w:customStyle="1" w:styleId="ListTable31">
    <w:name w:val="List Table 31"/>
    <w:basedOn w:val="TableNormal"/>
    <w:uiPriority w:val="48"/>
    <w:rsid w:val="00DA07C2"/>
    <w:tblPr>
      <w:tblStyleRowBandSize w:val="1"/>
      <w:tblStyleColBandSize w:val="1"/>
      <w:tblInd w:w="833"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ListTable3-Accent11">
    <w:name w:val="List Table 3 - Accent 11"/>
    <w:basedOn w:val="TableNormal"/>
    <w:uiPriority w:val="48"/>
    <w:rsid w:val="00DA07C2"/>
    <w:tblPr>
      <w:tblStyleRowBandSize w:val="1"/>
      <w:tblStyleColBandSize w:val="1"/>
      <w:tblInd w:w="833" w:type="dxa"/>
      <w:tblBorders>
        <w:top w:val="single" w:sz="4" w:space="0" w:color="74C4D7" w:themeColor="accent1"/>
        <w:left w:val="single" w:sz="4" w:space="0" w:color="74C4D7" w:themeColor="accent1"/>
        <w:bottom w:val="single" w:sz="4" w:space="0" w:color="74C4D7" w:themeColor="accent1"/>
        <w:right w:val="single" w:sz="4" w:space="0" w:color="74C4D7" w:themeColor="accent1"/>
      </w:tblBorders>
    </w:tblPr>
    <w:tblStylePr w:type="firstRow">
      <w:rPr>
        <w:b/>
        <w:bCs/>
        <w:color w:val="FFFFFF" w:themeColor="background1"/>
      </w:rPr>
      <w:tblPr/>
      <w:tcPr>
        <w:shd w:val="clear" w:color="auto" w:fill="74C4D7" w:themeFill="accent1"/>
      </w:tcPr>
    </w:tblStylePr>
    <w:tblStylePr w:type="lastRow">
      <w:rPr>
        <w:b/>
        <w:bCs/>
      </w:rPr>
      <w:tblPr/>
      <w:tcPr>
        <w:tcBorders>
          <w:top w:val="double" w:sz="4" w:space="0" w:color="74C4D7"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4C4D7" w:themeColor="accent1"/>
          <w:right w:val="single" w:sz="4" w:space="0" w:color="74C4D7" w:themeColor="accent1"/>
        </w:tcBorders>
      </w:tcPr>
    </w:tblStylePr>
    <w:tblStylePr w:type="band1Horz">
      <w:tblPr/>
      <w:tcPr>
        <w:tcBorders>
          <w:top w:val="single" w:sz="4" w:space="0" w:color="74C4D7" w:themeColor="accent1"/>
          <w:bottom w:val="single" w:sz="4" w:space="0" w:color="74C4D7"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4C4D7" w:themeColor="accent1"/>
          <w:left w:val="nil"/>
        </w:tcBorders>
      </w:tcPr>
    </w:tblStylePr>
    <w:tblStylePr w:type="swCell">
      <w:tblPr/>
      <w:tcPr>
        <w:tcBorders>
          <w:top w:val="double" w:sz="4" w:space="0" w:color="74C4D7" w:themeColor="accent1"/>
          <w:right w:val="nil"/>
        </w:tcBorders>
      </w:tcPr>
    </w:tblStylePr>
  </w:style>
  <w:style w:type="table" w:customStyle="1" w:styleId="ListTable3-Accent21">
    <w:name w:val="List Table 3 - Accent 21"/>
    <w:basedOn w:val="TableNormal"/>
    <w:uiPriority w:val="48"/>
    <w:rsid w:val="00DA07C2"/>
    <w:tblPr>
      <w:tblStyleRowBandSize w:val="1"/>
      <w:tblStyleColBandSize w:val="1"/>
      <w:tblInd w:w="833" w:type="dxa"/>
      <w:tblBorders>
        <w:top w:val="single" w:sz="4" w:space="0" w:color="0D9DDB" w:themeColor="accent2"/>
        <w:left w:val="single" w:sz="4" w:space="0" w:color="0D9DDB" w:themeColor="accent2"/>
        <w:bottom w:val="single" w:sz="4" w:space="0" w:color="0D9DDB" w:themeColor="accent2"/>
        <w:right w:val="single" w:sz="4" w:space="0" w:color="0D9DDB" w:themeColor="accent2"/>
      </w:tblBorders>
    </w:tblPr>
    <w:tblStylePr w:type="firstRow">
      <w:rPr>
        <w:b/>
        <w:bCs/>
        <w:color w:val="FFFFFF" w:themeColor="background1"/>
      </w:rPr>
      <w:tblPr/>
      <w:tcPr>
        <w:shd w:val="clear" w:color="auto" w:fill="0D9DDB" w:themeFill="accent2"/>
      </w:tcPr>
    </w:tblStylePr>
    <w:tblStylePr w:type="lastRow">
      <w:rPr>
        <w:b/>
        <w:bCs/>
      </w:rPr>
      <w:tblPr/>
      <w:tcPr>
        <w:tcBorders>
          <w:top w:val="double" w:sz="4" w:space="0" w:color="0D9DDB"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D9DDB" w:themeColor="accent2"/>
          <w:right w:val="single" w:sz="4" w:space="0" w:color="0D9DDB" w:themeColor="accent2"/>
        </w:tcBorders>
      </w:tcPr>
    </w:tblStylePr>
    <w:tblStylePr w:type="band1Horz">
      <w:tblPr/>
      <w:tcPr>
        <w:tcBorders>
          <w:top w:val="single" w:sz="4" w:space="0" w:color="0D9DDB" w:themeColor="accent2"/>
          <w:bottom w:val="single" w:sz="4" w:space="0" w:color="0D9DDB"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D9DDB" w:themeColor="accent2"/>
          <w:left w:val="nil"/>
        </w:tcBorders>
      </w:tcPr>
    </w:tblStylePr>
    <w:tblStylePr w:type="swCell">
      <w:tblPr/>
      <w:tcPr>
        <w:tcBorders>
          <w:top w:val="double" w:sz="4" w:space="0" w:color="0D9DDB" w:themeColor="accent2"/>
          <w:right w:val="nil"/>
        </w:tcBorders>
      </w:tcPr>
    </w:tblStylePr>
  </w:style>
  <w:style w:type="table" w:customStyle="1" w:styleId="ListTable3-Accent31">
    <w:name w:val="List Table 3 - Accent 31"/>
    <w:basedOn w:val="TableNormal"/>
    <w:uiPriority w:val="48"/>
    <w:rsid w:val="00DA07C2"/>
    <w:tblPr>
      <w:tblStyleRowBandSize w:val="1"/>
      <w:tblStyleColBandSize w:val="1"/>
      <w:tblInd w:w="833" w:type="dxa"/>
      <w:tblBorders>
        <w:top w:val="single" w:sz="4" w:space="0" w:color="A9A19C" w:themeColor="accent3"/>
        <w:left w:val="single" w:sz="4" w:space="0" w:color="A9A19C" w:themeColor="accent3"/>
        <w:bottom w:val="single" w:sz="4" w:space="0" w:color="A9A19C" w:themeColor="accent3"/>
        <w:right w:val="single" w:sz="4" w:space="0" w:color="A9A19C" w:themeColor="accent3"/>
      </w:tblBorders>
    </w:tblPr>
    <w:tblStylePr w:type="firstRow">
      <w:rPr>
        <w:b/>
        <w:bCs/>
        <w:color w:val="FFFFFF" w:themeColor="background1"/>
      </w:rPr>
      <w:tblPr/>
      <w:tcPr>
        <w:shd w:val="clear" w:color="auto" w:fill="A9A19C" w:themeFill="accent3"/>
      </w:tcPr>
    </w:tblStylePr>
    <w:tblStylePr w:type="lastRow">
      <w:rPr>
        <w:b/>
        <w:bCs/>
      </w:rPr>
      <w:tblPr/>
      <w:tcPr>
        <w:tcBorders>
          <w:top w:val="double" w:sz="4" w:space="0" w:color="A9A19C"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9A19C" w:themeColor="accent3"/>
          <w:right w:val="single" w:sz="4" w:space="0" w:color="A9A19C" w:themeColor="accent3"/>
        </w:tcBorders>
      </w:tcPr>
    </w:tblStylePr>
    <w:tblStylePr w:type="band1Horz">
      <w:tblPr/>
      <w:tcPr>
        <w:tcBorders>
          <w:top w:val="single" w:sz="4" w:space="0" w:color="A9A19C" w:themeColor="accent3"/>
          <w:bottom w:val="single" w:sz="4" w:space="0" w:color="A9A19C"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9A19C" w:themeColor="accent3"/>
          <w:left w:val="nil"/>
        </w:tcBorders>
      </w:tcPr>
    </w:tblStylePr>
    <w:tblStylePr w:type="swCell">
      <w:tblPr/>
      <w:tcPr>
        <w:tcBorders>
          <w:top w:val="double" w:sz="4" w:space="0" w:color="A9A19C" w:themeColor="accent3"/>
          <w:right w:val="nil"/>
        </w:tcBorders>
      </w:tcPr>
    </w:tblStylePr>
  </w:style>
  <w:style w:type="table" w:customStyle="1" w:styleId="ListTable3-Accent41">
    <w:name w:val="List Table 3 - Accent 41"/>
    <w:basedOn w:val="TableNormal"/>
    <w:uiPriority w:val="48"/>
    <w:rsid w:val="00DA07C2"/>
    <w:tblPr>
      <w:tblStyleRowBandSize w:val="1"/>
      <w:tblStyleColBandSize w:val="1"/>
      <w:tblInd w:w="833" w:type="dxa"/>
      <w:tblBorders>
        <w:top w:val="single" w:sz="4" w:space="0" w:color="BDDC04" w:themeColor="accent4"/>
        <w:left w:val="single" w:sz="4" w:space="0" w:color="BDDC04" w:themeColor="accent4"/>
        <w:bottom w:val="single" w:sz="4" w:space="0" w:color="BDDC04" w:themeColor="accent4"/>
        <w:right w:val="single" w:sz="4" w:space="0" w:color="BDDC04" w:themeColor="accent4"/>
      </w:tblBorders>
    </w:tblPr>
    <w:tblStylePr w:type="firstRow">
      <w:rPr>
        <w:b/>
        <w:bCs/>
        <w:color w:val="FFFFFF" w:themeColor="background1"/>
      </w:rPr>
      <w:tblPr/>
      <w:tcPr>
        <w:shd w:val="clear" w:color="auto" w:fill="BDDC04" w:themeFill="accent4"/>
      </w:tcPr>
    </w:tblStylePr>
    <w:tblStylePr w:type="lastRow">
      <w:rPr>
        <w:b/>
        <w:bCs/>
      </w:rPr>
      <w:tblPr/>
      <w:tcPr>
        <w:tcBorders>
          <w:top w:val="double" w:sz="4" w:space="0" w:color="BDDC04"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DDC04" w:themeColor="accent4"/>
          <w:right w:val="single" w:sz="4" w:space="0" w:color="BDDC04" w:themeColor="accent4"/>
        </w:tcBorders>
      </w:tcPr>
    </w:tblStylePr>
    <w:tblStylePr w:type="band1Horz">
      <w:tblPr/>
      <w:tcPr>
        <w:tcBorders>
          <w:top w:val="single" w:sz="4" w:space="0" w:color="BDDC04" w:themeColor="accent4"/>
          <w:bottom w:val="single" w:sz="4" w:space="0" w:color="BDDC04"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DDC04" w:themeColor="accent4"/>
          <w:left w:val="nil"/>
        </w:tcBorders>
      </w:tcPr>
    </w:tblStylePr>
    <w:tblStylePr w:type="swCell">
      <w:tblPr/>
      <w:tcPr>
        <w:tcBorders>
          <w:top w:val="double" w:sz="4" w:space="0" w:color="BDDC04" w:themeColor="accent4"/>
          <w:right w:val="nil"/>
        </w:tcBorders>
      </w:tcPr>
    </w:tblStylePr>
  </w:style>
  <w:style w:type="table" w:customStyle="1" w:styleId="ListTable3-Accent51">
    <w:name w:val="List Table 3 - Accent 51"/>
    <w:basedOn w:val="TableNormal"/>
    <w:uiPriority w:val="48"/>
    <w:rsid w:val="00DA07C2"/>
    <w:tblPr>
      <w:tblStyleRowBandSize w:val="1"/>
      <w:tblStyleColBandSize w:val="1"/>
      <w:tblInd w:w="833" w:type="dxa"/>
      <w:tblBorders>
        <w:top w:val="single" w:sz="4" w:space="0" w:color="007FA3" w:themeColor="accent5"/>
        <w:left w:val="single" w:sz="4" w:space="0" w:color="007FA3" w:themeColor="accent5"/>
        <w:bottom w:val="single" w:sz="4" w:space="0" w:color="007FA3" w:themeColor="accent5"/>
        <w:right w:val="single" w:sz="4" w:space="0" w:color="007FA3" w:themeColor="accent5"/>
      </w:tblBorders>
    </w:tblPr>
    <w:tblStylePr w:type="firstRow">
      <w:rPr>
        <w:b/>
        <w:bCs/>
        <w:color w:val="FFFFFF" w:themeColor="background1"/>
      </w:rPr>
      <w:tblPr/>
      <w:tcPr>
        <w:shd w:val="clear" w:color="auto" w:fill="007FA3" w:themeFill="accent5"/>
      </w:tcPr>
    </w:tblStylePr>
    <w:tblStylePr w:type="lastRow">
      <w:rPr>
        <w:b/>
        <w:bCs/>
      </w:rPr>
      <w:tblPr/>
      <w:tcPr>
        <w:tcBorders>
          <w:top w:val="double" w:sz="4" w:space="0" w:color="007FA3"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7FA3" w:themeColor="accent5"/>
          <w:right w:val="single" w:sz="4" w:space="0" w:color="007FA3" w:themeColor="accent5"/>
        </w:tcBorders>
      </w:tcPr>
    </w:tblStylePr>
    <w:tblStylePr w:type="band1Horz">
      <w:tblPr/>
      <w:tcPr>
        <w:tcBorders>
          <w:top w:val="single" w:sz="4" w:space="0" w:color="007FA3" w:themeColor="accent5"/>
          <w:bottom w:val="single" w:sz="4" w:space="0" w:color="007FA3"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7FA3" w:themeColor="accent5"/>
          <w:left w:val="nil"/>
        </w:tcBorders>
      </w:tcPr>
    </w:tblStylePr>
    <w:tblStylePr w:type="swCell">
      <w:tblPr/>
      <w:tcPr>
        <w:tcBorders>
          <w:top w:val="double" w:sz="4" w:space="0" w:color="007FA3" w:themeColor="accent5"/>
          <w:right w:val="nil"/>
        </w:tcBorders>
      </w:tcPr>
    </w:tblStylePr>
  </w:style>
  <w:style w:type="table" w:customStyle="1" w:styleId="ListTable3-Accent61">
    <w:name w:val="List Table 3 - Accent 61"/>
    <w:basedOn w:val="TableNormal"/>
    <w:uiPriority w:val="48"/>
    <w:rsid w:val="00DA07C2"/>
    <w:tblPr>
      <w:tblStyleRowBandSize w:val="1"/>
      <w:tblStyleColBandSize w:val="1"/>
      <w:tblInd w:w="833" w:type="dxa"/>
      <w:tblBorders>
        <w:top w:val="single" w:sz="4" w:space="0" w:color="5A5A5A" w:themeColor="accent6"/>
        <w:left w:val="single" w:sz="4" w:space="0" w:color="5A5A5A" w:themeColor="accent6"/>
        <w:bottom w:val="single" w:sz="4" w:space="0" w:color="5A5A5A" w:themeColor="accent6"/>
        <w:right w:val="single" w:sz="4" w:space="0" w:color="5A5A5A" w:themeColor="accent6"/>
      </w:tblBorders>
    </w:tblPr>
    <w:tblStylePr w:type="firstRow">
      <w:rPr>
        <w:b/>
        <w:bCs/>
        <w:color w:val="FFFFFF" w:themeColor="background1"/>
      </w:rPr>
      <w:tblPr/>
      <w:tcPr>
        <w:shd w:val="clear" w:color="auto" w:fill="5A5A5A" w:themeFill="accent6"/>
      </w:tcPr>
    </w:tblStylePr>
    <w:tblStylePr w:type="lastRow">
      <w:rPr>
        <w:b/>
        <w:bCs/>
      </w:rPr>
      <w:tblPr/>
      <w:tcPr>
        <w:tcBorders>
          <w:top w:val="double" w:sz="4" w:space="0" w:color="5A5A5A"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A5A5A" w:themeColor="accent6"/>
          <w:right w:val="single" w:sz="4" w:space="0" w:color="5A5A5A" w:themeColor="accent6"/>
        </w:tcBorders>
      </w:tcPr>
    </w:tblStylePr>
    <w:tblStylePr w:type="band1Horz">
      <w:tblPr/>
      <w:tcPr>
        <w:tcBorders>
          <w:top w:val="single" w:sz="4" w:space="0" w:color="5A5A5A" w:themeColor="accent6"/>
          <w:bottom w:val="single" w:sz="4" w:space="0" w:color="5A5A5A"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A5A5A" w:themeColor="accent6"/>
          <w:left w:val="nil"/>
        </w:tcBorders>
      </w:tcPr>
    </w:tblStylePr>
    <w:tblStylePr w:type="swCell">
      <w:tblPr/>
      <w:tcPr>
        <w:tcBorders>
          <w:top w:val="double" w:sz="4" w:space="0" w:color="5A5A5A" w:themeColor="accent6"/>
          <w:right w:val="nil"/>
        </w:tcBorders>
      </w:tcPr>
    </w:tblStylePr>
  </w:style>
  <w:style w:type="table" w:customStyle="1" w:styleId="ListTable4-Accent11">
    <w:name w:val="List Table 4 - Accent 11"/>
    <w:basedOn w:val="TableNormal"/>
    <w:uiPriority w:val="49"/>
    <w:rsid w:val="00DA07C2"/>
    <w:tblPr>
      <w:tblStyleRowBandSize w:val="1"/>
      <w:tblStyleColBandSize w:val="1"/>
      <w:tblInd w:w="833" w:type="dxa"/>
      <w:tblBorders>
        <w:top w:val="single" w:sz="4" w:space="0" w:color="ABDBE7" w:themeColor="accent1" w:themeTint="99"/>
        <w:left w:val="single" w:sz="4" w:space="0" w:color="ABDBE7" w:themeColor="accent1" w:themeTint="99"/>
        <w:bottom w:val="single" w:sz="4" w:space="0" w:color="ABDBE7" w:themeColor="accent1" w:themeTint="99"/>
        <w:right w:val="single" w:sz="4" w:space="0" w:color="ABDBE7" w:themeColor="accent1" w:themeTint="99"/>
        <w:insideH w:val="single" w:sz="4" w:space="0" w:color="ABDBE7" w:themeColor="accent1" w:themeTint="99"/>
      </w:tblBorders>
    </w:tblPr>
    <w:tblStylePr w:type="firstRow">
      <w:rPr>
        <w:b/>
        <w:bCs/>
        <w:color w:val="FFFFFF" w:themeColor="background1"/>
      </w:rPr>
      <w:tblPr/>
      <w:tcPr>
        <w:tcBorders>
          <w:top w:val="single" w:sz="4" w:space="0" w:color="74C4D7" w:themeColor="accent1"/>
          <w:left w:val="single" w:sz="4" w:space="0" w:color="74C4D7" w:themeColor="accent1"/>
          <w:bottom w:val="single" w:sz="4" w:space="0" w:color="74C4D7" w:themeColor="accent1"/>
          <w:right w:val="single" w:sz="4" w:space="0" w:color="74C4D7" w:themeColor="accent1"/>
          <w:insideH w:val="nil"/>
        </w:tcBorders>
        <w:shd w:val="clear" w:color="auto" w:fill="74C4D7" w:themeFill="accent1"/>
      </w:tcPr>
    </w:tblStylePr>
    <w:tblStylePr w:type="lastRow">
      <w:rPr>
        <w:b/>
        <w:bCs/>
      </w:rPr>
      <w:tblPr/>
      <w:tcPr>
        <w:tcBorders>
          <w:top w:val="double" w:sz="4" w:space="0" w:color="ABDBE7" w:themeColor="accent1" w:themeTint="99"/>
        </w:tcBorders>
      </w:tcPr>
    </w:tblStylePr>
    <w:tblStylePr w:type="firstCol">
      <w:rPr>
        <w:b/>
        <w:bCs/>
      </w:rPr>
    </w:tblStylePr>
    <w:tblStylePr w:type="lastCol">
      <w:rPr>
        <w:b/>
        <w:bCs/>
      </w:rPr>
    </w:tblStylePr>
    <w:tblStylePr w:type="band1Vert">
      <w:tblPr/>
      <w:tcPr>
        <w:shd w:val="clear" w:color="auto" w:fill="E3F3F7" w:themeFill="accent1" w:themeFillTint="33"/>
      </w:tcPr>
    </w:tblStylePr>
    <w:tblStylePr w:type="band1Horz">
      <w:tblPr/>
      <w:tcPr>
        <w:shd w:val="clear" w:color="auto" w:fill="E3F3F7" w:themeFill="accent1" w:themeFillTint="33"/>
      </w:tcPr>
    </w:tblStylePr>
  </w:style>
  <w:style w:type="table" w:customStyle="1" w:styleId="ListTable4-Accent21">
    <w:name w:val="List Table 4 - Accent 21"/>
    <w:basedOn w:val="TableNormal"/>
    <w:uiPriority w:val="49"/>
    <w:rsid w:val="00DA07C2"/>
    <w:tblPr>
      <w:tblStyleRowBandSize w:val="1"/>
      <w:tblStyleColBandSize w:val="1"/>
      <w:tblInd w:w="833" w:type="dxa"/>
      <w:tblBorders>
        <w:top w:val="single" w:sz="4" w:space="0" w:color="61C8F5" w:themeColor="accent2" w:themeTint="99"/>
        <w:left w:val="single" w:sz="4" w:space="0" w:color="61C8F5" w:themeColor="accent2" w:themeTint="99"/>
        <w:bottom w:val="single" w:sz="4" w:space="0" w:color="61C8F5" w:themeColor="accent2" w:themeTint="99"/>
        <w:right w:val="single" w:sz="4" w:space="0" w:color="61C8F5" w:themeColor="accent2" w:themeTint="99"/>
        <w:insideH w:val="single" w:sz="4" w:space="0" w:color="61C8F5" w:themeColor="accent2" w:themeTint="99"/>
      </w:tblBorders>
    </w:tblPr>
    <w:tblStylePr w:type="firstRow">
      <w:rPr>
        <w:b/>
        <w:bCs/>
        <w:color w:val="FFFFFF" w:themeColor="background1"/>
      </w:rPr>
      <w:tblPr/>
      <w:tcPr>
        <w:tcBorders>
          <w:top w:val="single" w:sz="4" w:space="0" w:color="0D9DDB" w:themeColor="accent2"/>
          <w:left w:val="single" w:sz="4" w:space="0" w:color="0D9DDB" w:themeColor="accent2"/>
          <w:bottom w:val="single" w:sz="4" w:space="0" w:color="0D9DDB" w:themeColor="accent2"/>
          <w:right w:val="single" w:sz="4" w:space="0" w:color="0D9DDB" w:themeColor="accent2"/>
          <w:insideH w:val="nil"/>
        </w:tcBorders>
        <w:shd w:val="clear" w:color="auto" w:fill="0D9DDB" w:themeFill="accent2"/>
      </w:tcPr>
    </w:tblStylePr>
    <w:tblStylePr w:type="lastRow">
      <w:rPr>
        <w:b/>
        <w:bCs/>
      </w:rPr>
      <w:tblPr/>
      <w:tcPr>
        <w:tcBorders>
          <w:top w:val="double" w:sz="4" w:space="0" w:color="61C8F5" w:themeColor="accent2" w:themeTint="99"/>
        </w:tcBorders>
      </w:tcPr>
    </w:tblStylePr>
    <w:tblStylePr w:type="firstCol">
      <w:rPr>
        <w:b/>
        <w:bCs/>
      </w:rPr>
    </w:tblStylePr>
    <w:tblStylePr w:type="lastCol">
      <w:rPr>
        <w:b/>
        <w:bCs/>
      </w:rPr>
    </w:tblStylePr>
    <w:tblStylePr w:type="band1Vert">
      <w:tblPr/>
      <w:tcPr>
        <w:shd w:val="clear" w:color="auto" w:fill="CAEDFC" w:themeFill="accent2" w:themeFillTint="33"/>
      </w:tcPr>
    </w:tblStylePr>
    <w:tblStylePr w:type="band1Horz">
      <w:tblPr/>
      <w:tcPr>
        <w:shd w:val="clear" w:color="auto" w:fill="CAEDFC" w:themeFill="accent2" w:themeFillTint="33"/>
      </w:tcPr>
    </w:tblStylePr>
  </w:style>
  <w:style w:type="table" w:customStyle="1" w:styleId="ListTable4-Accent31">
    <w:name w:val="List Table 4 - Accent 31"/>
    <w:basedOn w:val="TableNormal"/>
    <w:uiPriority w:val="49"/>
    <w:rsid w:val="00DA07C2"/>
    <w:tblPr>
      <w:tblStyleRowBandSize w:val="1"/>
      <w:tblStyleColBandSize w:val="1"/>
      <w:tblInd w:w="833" w:type="dxa"/>
      <w:tblBorders>
        <w:top w:val="single" w:sz="4" w:space="0" w:color="CBC6C3" w:themeColor="accent3" w:themeTint="99"/>
        <w:left w:val="single" w:sz="4" w:space="0" w:color="CBC6C3" w:themeColor="accent3" w:themeTint="99"/>
        <w:bottom w:val="single" w:sz="4" w:space="0" w:color="CBC6C3" w:themeColor="accent3" w:themeTint="99"/>
        <w:right w:val="single" w:sz="4" w:space="0" w:color="CBC6C3" w:themeColor="accent3" w:themeTint="99"/>
        <w:insideH w:val="single" w:sz="4" w:space="0" w:color="CBC6C3" w:themeColor="accent3" w:themeTint="99"/>
      </w:tblBorders>
    </w:tblPr>
    <w:tblStylePr w:type="firstRow">
      <w:rPr>
        <w:b/>
        <w:bCs/>
        <w:color w:val="FFFFFF" w:themeColor="background1"/>
      </w:rPr>
      <w:tblPr/>
      <w:tcPr>
        <w:tcBorders>
          <w:top w:val="single" w:sz="4" w:space="0" w:color="A9A19C" w:themeColor="accent3"/>
          <w:left w:val="single" w:sz="4" w:space="0" w:color="A9A19C" w:themeColor="accent3"/>
          <w:bottom w:val="single" w:sz="4" w:space="0" w:color="A9A19C" w:themeColor="accent3"/>
          <w:right w:val="single" w:sz="4" w:space="0" w:color="A9A19C" w:themeColor="accent3"/>
          <w:insideH w:val="nil"/>
        </w:tcBorders>
        <w:shd w:val="clear" w:color="auto" w:fill="A9A19C" w:themeFill="accent3"/>
      </w:tcPr>
    </w:tblStylePr>
    <w:tblStylePr w:type="lastRow">
      <w:rPr>
        <w:b/>
        <w:bCs/>
      </w:rPr>
      <w:tblPr/>
      <w:tcPr>
        <w:tcBorders>
          <w:top w:val="double" w:sz="4" w:space="0" w:color="CBC6C3" w:themeColor="accent3" w:themeTint="99"/>
        </w:tcBorders>
      </w:tcPr>
    </w:tblStylePr>
    <w:tblStylePr w:type="firstCol">
      <w:rPr>
        <w:b/>
        <w:bCs/>
      </w:rPr>
    </w:tblStylePr>
    <w:tblStylePr w:type="lastCol">
      <w:rPr>
        <w:b/>
        <w:bCs/>
      </w:rPr>
    </w:tblStylePr>
    <w:tblStylePr w:type="band1Vert">
      <w:tblPr/>
      <w:tcPr>
        <w:shd w:val="clear" w:color="auto" w:fill="EDECEB" w:themeFill="accent3" w:themeFillTint="33"/>
      </w:tcPr>
    </w:tblStylePr>
    <w:tblStylePr w:type="band1Horz">
      <w:tblPr/>
      <w:tcPr>
        <w:shd w:val="clear" w:color="auto" w:fill="EDECEB" w:themeFill="accent3" w:themeFillTint="33"/>
      </w:tcPr>
    </w:tblStylePr>
  </w:style>
  <w:style w:type="table" w:customStyle="1" w:styleId="ListTable4-Accent41">
    <w:name w:val="List Table 4 - Accent 41"/>
    <w:basedOn w:val="TableNormal"/>
    <w:uiPriority w:val="49"/>
    <w:rsid w:val="00DA07C2"/>
    <w:tblPr>
      <w:tblStyleRowBandSize w:val="1"/>
      <w:tblStyleColBandSize w:val="1"/>
      <w:tblInd w:w="833" w:type="dxa"/>
      <w:tblBorders>
        <w:top w:val="single" w:sz="4" w:space="0" w:color="E3FC56" w:themeColor="accent4" w:themeTint="99"/>
        <w:left w:val="single" w:sz="4" w:space="0" w:color="E3FC56" w:themeColor="accent4" w:themeTint="99"/>
        <w:bottom w:val="single" w:sz="4" w:space="0" w:color="E3FC56" w:themeColor="accent4" w:themeTint="99"/>
        <w:right w:val="single" w:sz="4" w:space="0" w:color="E3FC56" w:themeColor="accent4" w:themeTint="99"/>
        <w:insideH w:val="single" w:sz="4" w:space="0" w:color="E3FC56" w:themeColor="accent4" w:themeTint="99"/>
      </w:tblBorders>
    </w:tblPr>
    <w:tblStylePr w:type="firstRow">
      <w:rPr>
        <w:b/>
        <w:bCs/>
        <w:color w:val="FFFFFF" w:themeColor="background1"/>
      </w:rPr>
      <w:tblPr/>
      <w:tcPr>
        <w:tcBorders>
          <w:top w:val="single" w:sz="4" w:space="0" w:color="BDDC04" w:themeColor="accent4"/>
          <w:left w:val="single" w:sz="4" w:space="0" w:color="BDDC04" w:themeColor="accent4"/>
          <w:bottom w:val="single" w:sz="4" w:space="0" w:color="BDDC04" w:themeColor="accent4"/>
          <w:right w:val="single" w:sz="4" w:space="0" w:color="BDDC04" w:themeColor="accent4"/>
          <w:insideH w:val="nil"/>
        </w:tcBorders>
        <w:shd w:val="clear" w:color="auto" w:fill="BDDC04" w:themeFill="accent4"/>
      </w:tcPr>
    </w:tblStylePr>
    <w:tblStylePr w:type="lastRow">
      <w:rPr>
        <w:b/>
        <w:bCs/>
      </w:rPr>
      <w:tblPr/>
      <w:tcPr>
        <w:tcBorders>
          <w:top w:val="double" w:sz="4" w:space="0" w:color="E3FC56" w:themeColor="accent4" w:themeTint="99"/>
        </w:tcBorders>
      </w:tcPr>
    </w:tblStylePr>
    <w:tblStylePr w:type="firstCol">
      <w:rPr>
        <w:b/>
        <w:bCs/>
      </w:rPr>
    </w:tblStylePr>
    <w:tblStylePr w:type="lastCol">
      <w:rPr>
        <w:b/>
        <w:bCs/>
      </w:rPr>
    </w:tblStylePr>
    <w:tblStylePr w:type="band1Vert">
      <w:tblPr/>
      <w:tcPr>
        <w:shd w:val="clear" w:color="auto" w:fill="F5FEC6" w:themeFill="accent4" w:themeFillTint="33"/>
      </w:tcPr>
    </w:tblStylePr>
    <w:tblStylePr w:type="band1Horz">
      <w:tblPr/>
      <w:tcPr>
        <w:shd w:val="clear" w:color="auto" w:fill="F5FEC6" w:themeFill="accent4" w:themeFillTint="33"/>
      </w:tcPr>
    </w:tblStylePr>
  </w:style>
  <w:style w:type="table" w:customStyle="1" w:styleId="ListTable4-Accent51">
    <w:name w:val="List Table 4 - Accent 51"/>
    <w:basedOn w:val="TableNormal"/>
    <w:uiPriority w:val="49"/>
    <w:rsid w:val="00DA07C2"/>
    <w:tblPr>
      <w:tblStyleRowBandSize w:val="1"/>
      <w:tblStyleColBandSize w:val="1"/>
      <w:tblInd w:w="833" w:type="dxa"/>
      <w:tblBorders>
        <w:top w:val="single" w:sz="4" w:space="0" w:color="2ED0FF" w:themeColor="accent5" w:themeTint="99"/>
        <w:left w:val="single" w:sz="4" w:space="0" w:color="2ED0FF" w:themeColor="accent5" w:themeTint="99"/>
        <w:bottom w:val="single" w:sz="4" w:space="0" w:color="2ED0FF" w:themeColor="accent5" w:themeTint="99"/>
        <w:right w:val="single" w:sz="4" w:space="0" w:color="2ED0FF" w:themeColor="accent5" w:themeTint="99"/>
        <w:insideH w:val="single" w:sz="4" w:space="0" w:color="2ED0FF" w:themeColor="accent5" w:themeTint="99"/>
      </w:tblBorders>
    </w:tblPr>
    <w:tblStylePr w:type="firstRow">
      <w:rPr>
        <w:b/>
        <w:bCs/>
        <w:color w:val="FFFFFF" w:themeColor="background1"/>
      </w:rPr>
      <w:tblPr/>
      <w:tcPr>
        <w:tcBorders>
          <w:top w:val="single" w:sz="4" w:space="0" w:color="007FA3" w:themeColor="accent5"/>
          <w:left w:val="single" w:sz="4" w:space="0" w:color="007FA3" w:themeColor="accent5"/>
          <w:bottom w:val="single" w:sz="4" w:space="0" w:color="007FA3" w:themeColor="accent5"/>
          <w:right w:val="single" w:sz="4" w:space="0" w:color="007FA3" w:themeColor="accent5"/>
          <w:insideH w:val="nil"/>
        </w:tcBorders>
        <w:shd w:val="clear" w:color="auto" w:fill="007FA3" w:themeFill="accent5"/>
      </w:tcPr>
    </w:tblStylePr>
    <w:tblStylePr w:type="lastRow">
      <w:rPr>
        <w:b/>
        <w:bCs/>
      </w:rPr>
      <w:tblPr/>
      <w:tcPr>
        <w:tcBorders>
          <w:top w:val="double" w:sz="4" w:space="0" w:color="2ED0FF" w:themeColor="accent5" w:themeTint="99"/>
        </w:tcBorders>
      </w:tcPr>
    </w:tblStylePr>
    <w:tblStylePr w:type="firstCol">
      <w:rPr>
        <w:b/>
        <w:bCs/>
      </w:rPr>
    </w:tblStylePr>
    <w:tblStylePr w:type="lastCol">
      <w:rPr>
        <w:b/>
        <w:bCs/>
      </w:rPr>
    </w:tblStylePr>
    <w:tblStylePr w:type="band1Vert">
      <w:tblPr/>
      <w:tcPr>
        <w:shd w:val="clear" w:color="auto" w:fill="B9EFFF" w:themeFill="accent5" w:themeFillTint="33"/>
      </w:tcPr>
    </w:tblStylePr>
    <w:tblStylePr w:type="band1Horz">
      <w:tblPr/>
      <w:tcPr>
        <w:shd w:val="clear" w:color="auto" w:fill="B9EFFF" w:themeFill="accent5" w:themeFillTint="33"/>
      </w:tcPr>
    </w:tblStylePr>
  </w:style>
  <w:style w:type="table" w:customStyle="1" w:styleId="ListTable4-Accent61">
    <w:name w:val="List Table 4 - Accent 61"/>
    <w:basedOn w:val="TableNormal"/>
    <w:uiPriority w:val="49"/>
    <w:rsid w:val="00DA07C2"/>
    <w:tblPr>
      <w:tblStyleRowBandSize w:val="1"/>
      <w:tblStyleColBandSize w:val="1"/>
      <w:tblInd w:w="833" w:type="dxa"/>
      <w:tblBorders>
        <w:top w:val="single" w:sz="4" w:space="0" w:color="9C9C9C" w:themeColor="accent6" w:themeTint="99"/>
        <w:left w:val="single" w:sz="4" w:space="0" w:color="9C9C9C" w:themeColor="accent6" w:themeTint="99"/>
        <w:bottom w:val="single" w:sz="4" w:space="0" w:color="9C9C9C" w:themeColor="accent6" w:themeTint="99"/>
        <w:right w:val="single" w:sz="4" w:space="0" w:color="9C9C9C" w:themeColor="accent6" w:themeTint="99"/>
        <w:insideH w:val="single" w:sz="4" w:space="0" w:color="9C9C9C" w:themeColor="accent6" w:themeTint="99"/>
      </w:tblBorders>
    </w:tblPr>
    <w:tblStylePr w:type="firstRow">
      <w:rPr>
        <w:b/>
        <w:bCs/>
        <w:color w:val="FFFFFF" w:themeColor="background1"/>
      </w:rPr>
      <w:tblPr/>
      <w:tcPr>
        <w:tcBorders>
          <w:top w:val="single" w:sz="4" w:space="0" w:color="5A5A5A" w:themeColor="accent6"/>
          <w:left w:val="single" w:sz="4" w:space="0" w:color="5A5A5A" w:themeColor="accent6"/>
          <w:bottom w:val="single" w:sz="4" w:space="0" w:color="5A5A5A" w:themeColor="accent6"/>
          <w:right w:val="single" w:sz="4" w:space="0" w:color="5A5A5A" w:themeColor="accent6"/>
          <w:insideH w:val="nil"/>
        </w:tcBorders>
        <w:shd w:val="clear" w:color="auto" w:fill="5A5A5A" w:themeFill="accent6"/>
      </w:tcPr>
    </w:tblStylePr>
    <w:tblStylePr w:type="lastRow">
      <w:rPr>
        <w:b/>
        <w:bCs/>
      </w:rPr>
      <w:tblPr/>
      <w:tcPr>
        <w:tcBorders>
          <w:top w:val="double" w:sz="4" w:space="0" w:color="9C9C9C" w:themeColor="accent6" w:themeTint="99"/>
        </w:tcBorders>
      </w:tcPr>
    </w:tblStylePr>
    <w:tblStylePr w:type="firstCol">
      <w:rPr>
        <w:b/>
        <w:bCs/>
      </w:rPr>
    </w:tblStylePr>
    <w:tblStylePr w:type="lastCol">
      <w:rPr>
        <w:b/>
        <w:bCs/>
      </w:rPr>
    </w:tblStylePr>
    <w:tblStylePr w:type="band1Vert">
      <w:tblPr/>
      <w:tcPr>
        <w:shd w:val="clear" w:color="auto" w:fill="DEDEDE" w:themeFill="accent6" w:themeFillTint="33"/>
      </w:tcPr>
    </w:tblStylePr>
    <w:tblStylePr w:type="band1Horz">
      <w:tblPr/>
      <w:tcPr>
        <w:shd w:val="clear" w:color="auto" w:fill="DEDEDE" w:themeFill="accent6" w:themeFillTint="33"/>
      </w:tcPr>
    </w:tblStylePr>
  </w:style>
  <w:style w:type="table" w:customStyle="1" w:styleId="ListTable5Dark1">
    <w:name w:val="List Table 5 Dark1"/>
    <w:basedOn w:val="TableNormal"/>
    <w:uiPriority w:val="50"/>
    <w:rsid w:val="00DA07C2"/>
    <w:rPr>
      <w:color w:val="FFFFFF" w:themeColor="background1"/>
    </w:rPr>
    <w:tblPr>
      <w:tblStyleRowBandSize w:val="1"/>
      <w:tblStyleColBandSize w:val="1"/>
      <w:tblInd w:w="833" w:type="dxa"/>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11">
    <w:name w:val="List Table 5 Dark - Accent 11"/>
    <w:basedOn w:val="TableNormal"/>
    <w:uiPriority w:val="50"/>
    <w:rsid w:val="00DA07C2"/>
    <w:rPr>
      <w:color w:val="FFFFFF" w:themeColor="background1"/>
    </w:rPr>
    <w:tblPr>
      <w:tblStyleRowBandSize w:val="1"/>
      <w:tblStyleColBandSize w:val="1"/>
      <w:tblInd w:w="833" w:type="dxa"/>
      <w:tblBorders>
        <w:top w:val="single" w:sz="24" w:space="0" w:color="74C4D7" w:themeColor="accent1"/>
        <w:left w:val="single" w:sz="24" w:space="0" w:color="74C4D7" w:themeColor="accent1"/>
        <w:bottom w:val="single" w:sz="24" w:space="0" w:color="74C4D7" w:themeColor="accent1"/>
        <w:right w:val="single" w:sz="24" w:space="0" w:color="74C4D7" w:themeColor="accent1"/>
      </w:tblBorders>
    </w:tblPr>
    <w:tcPr>
      <w:shd w:val="clear" w:color="auto" w:fill="74C4D7"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21">
    <w:name w:val="List Table 5 Dark - Accent 21"/>
    <w:basedOn w:val="TableNormal"/>
    <w:uiPriority w:val="50"/>
    <w:rsid w:val="00DA07C2"/>
    <w:rPr>
      <w:color w:val="FFFFFF" w:themeColor="background1"/>
    </w:rPr>
    <w:tblPr>
      <w:tblStyleRowBandSize w:val="1"/>
      <w:tblStyleColBandSize w:val="1"/>
      <w:tblInd w:w="833" w:type="dxa"/>
      <w:tblBorders>
        <w:top w:val="single" w:sz="24" w:space="0" w:color="0D9DDB" w:themeColor="accent2"/>
        <w:left w:val="single" w:sz="24" w:space="0" w:color="0D9DDB" w:themeColor="accent2"/>
        <w:bottom w:val="single" w:sz="24" w:space="0" w:color="0D9DDB" w:themeColor="accent2"/>
        <w:right w:val="single" w:sz="24" w:space="0" w:color="0D9DDB" w:themeColor="accent2"/>
      </w:tblBorders>
    </w:tblPr>
    <w:tcPr>
      <w:shd w:val="clear" w:color="auto" w:fill="0D9DDB"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31">
    <w:name w:val="List Table 5 Dark - Accent 31"/>
    <w:basedOn w:val="TableNormal"/>
    <w:uiPriority w:val="50"/>
    <w:rsid w:val="00DA07C2"/>
    <w:rPr>
      <w:color w:val="FFFFFF" w:themeColor="background1"/>
    </w:rPr>
    <w:tblPr>
      <w:tblStyleRowBandSize w:val="1"/>
      <w:tblStyleColBandSize w:val="1"/>
      <w:tblInd w:w="833" w:type="dxa"/>
      <w:tblBorders>
        <w:top w:val="single" w:sz="24" w:space="0" w:color="A9A19C" w:themeColor="accent3"/>
        <w:left w:val="single" w:sz="24" w:space="0" w:color="A9A19C" w:themeColor="accent3"/>
        <w:bottom w:val="single" w:sz="24" w:space="0" w:color="A9A19C" w:themeColor="accent3"/>
        <w:right w:val="single" w:sz="24" w:space="0" w:color="A9A19C" w:themeColor="accent3"/>
      </w:tblBorders>
    </w:tblPr>
    <w:tcPr>
      <w:shd w:val="clear" w:color="auto" w:fill="A9A19C"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41">
    <w:name w:val="List Table 5 Dark - Accent 41"/>
    <w:basedOn w:val="TableNormal"/>
    <w:uiPriority w:val="50"/>
    <w:rsid w:val="00DA07C2"/>
    <w:rPr>
      <w:color w:val="FFFFFF" w:themeColor="background1"/>
    </w:rPr>
    <w:tblPr>
      <w:tblStyleRowBandSize w:val="1"/>
      <w:tblStyleColBandSize w:val="1"/>
      <w:tblInd w:w="833" w:type="dxa"/>
      <w:tblBorders>
        <w:top w:val="single" w:sz="24" w:space="0" w:color="BDDC04" w:themeColor="accent4"/>
        <w:left w:val="single" w:sz="24" w:space="0" w:color="BDDC04" w:themeColor="accent4"/>
        <w:bottom w:val="single" w:sz="24" w:space="0" w:color="BDDC04" w:themeColor="accent4"/>
        <w:right w:val="single" w:sz="24" w:space="0" w:color="BDDC04" w:themeColor="accent4"/>
      </w:tblBorders>
    </w:tblPr>
    <w:tcPr>
      <w:shd w:val="clear" w:color="auto" w:fill="BDDC04"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51">
    <w:name w:val="List Table 5 Dark - Accent 51"/>
    <w:basedOn w:val="TableNormal"/>
    <w:uiPriority w:val="50"/>
    <w:rsid w:val="00DA07C2"/>
    <w:rPr>
      <w:color w:val="FFFFFF" w:themeColor="background1"/>
    </w:rPr>
    <w:tblPr>
      <w:tblStyleRowBandSize w:val="1"/>
      <w:tblStyleColBandSize w:val="1"/>
      <w:tblInd w:w="833" w:type="dxa"/>
      <w:tblBorders>
        <w:top w:val="single" w:sz="24" w:space="0" w:color="007FA3" w:themeColor="accent5"/>
        <w:left w:val="single" w:sz="24" w:space="0" w:color="007FA3" w:themeColor="accent5"/>
        <w:bottom w:val="single" w:sz="24" w:space="0" w:color="007FA3" w:themeColor="accent5"/>
        <w:right w:val="single" w:sz="24" w:space="0" w:color="007FA3" w:themeColor="accent5"/>
      </w:tblBorders>
    </w:tblPr>
    <w:tcPr>
      <w:shd w:val="clear" w:color="auto" w:fill="007FA3"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61">
    <w:name w:val="List Table 5 Dark - Accent 61"/>
    <w:basedOn w:val="TableNormal"/>
    <w:uiPriority w:val="50"/>
    <w:rsid w:val="00DA07C2"/>
    <w:rPr>
      <w:color w:val="FFFFFF" w:themeColor="background1"/>
    </w:rPr>
    <w:tblPr>
      <w:tblStyleRowBandSize w:val="1"/>
      <w:tblStyleColBandSize w:val="1"/>
      <w:tblInd w:w="833" w:type="dxa"/>
      <w:tblBorders>
        <w:top w:val="single" w:sz="24" w:space="0" w:color="5A5A5A" w:themeColor="accent6"/>
        <w:left w:val="single" w:sz="24" w:space="0" w:color="5A5A5A" w:themeColor="accent6"/>
        <w:bottom w:val="single" w:sz="24" w:space="0" w:color="5A5A5A" w:themeColor="accent6"/>
        <w:right w:val="single" w:sz="24" w:space="0" w:color="5A5A5A" w:themeColor="accent6"/>
      </w:tblBorders>
    </w:tblPr>
    <w:tcPr>
      <w:shd w:val="clear" w:color="auto" w:fill="5A5A5A"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7Colorful1">
    <w:name w:val="List Table 7 Colorful1"/>
    <w:basedOn w:val="TableNormal"/>
    <w:uiPriority w:val="52"/>
    <w:rsid w:val="00DA07C2"/>
    <w:rPr>
      <w:color w:val="000000" w:themeColor="text1"/>
    </w:rPr>
    <w:tblPr>
      <w:tblStyleRowBandSize w:val="1"/>
      <w:tblStyleColBandSize w:val="1"/>
      <w:tblInd w:w="833" w:type="dxa"/>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11">
    <w:name w:val="List Table 7 Colorful - Accent 11"/>
    <w:basedOn w:val="TableNormal"/>
    <w:uiPriority w:val="52"/>
    <w:rsid w:val="00DA07C2"/>
    <w:rPr>
      <w:color w:val="37A5C0" w:themeColor="accent1" w:themeShade="BF"/>
    </w:rPr>
    <w:tblPr>
      <w:tblStyleRowBandSize w:val="1"/>
      <w:tblStyleColBandSize w:val="1"/>
      <w:tblInd w:w="833" w:type="dxa"/>
    </w:tblPr>
    <w:tblStylePr w:type="firstRow">
      <w:rPr>
        <w:rFonts w:asciiTheme="majorHAnsi" w:eastAsiaTheme="majorEastAsia" w:hAnsiTheme="majorHAnsi" w:cstheme="majorBidi"/>
        <w:i/>
        <w:iCs/>
        <w:sz w:val="26"/>
      </w:rPr>
      <w:tblPr/>
      <w:tcPr>
        <w:tcBorders>
          <w:bottom w:val="single" w:sz="4" w:space="0" w:color="74C4D7"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4C4D7"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4C4D7"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4C4D7" w:themeColor="accent1"/>
        </w:tcBorders>
        <w:shd w:val="clear" w:color="auto" w:fill="FFFFFF" w:themeFill="background1"/>
      </w:tcPr>
    </w:tblStylePr>
    <w:tblStylePr w:type="band1Vert">
      <w:tblPr/>
      <w:tcPr>
        <w:shd w:val="clear" w:color="auto" w:fill="E3F3F7" w:themeFill="accent1" w:themeFillTint="33"/>
      </w:tcPr>
    </w:tblStylePr>
    <w:tblStylePr w:type="band1Horz">
      <w:tblPr/>
      <w:tcPr>
        <w:shd w:val="clear" w:color="auto" w:fill="E3F3F7"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21">
    <w:name w:val="List Table 7 Colorful - Accent 21"/>
    <w:basedOn w:val="TableNormal"/>
    <w:uiPriority w:val="52"/>
    <w:rsid w:val="00DA07C2"/>
    <w:rPr>
      <w:color w:val="0975A3" w:themeColor="accent2" w:themeShade="BF"/>
    </w:rPr>
    <w:tblPr>
      <w:tblStyleRowBandSize w:val="1"/>
      <w:tblStyleColBandSize w:val="1"/>
      <w:tblInd w:w="833" w:type="dxa"/>
    </w:tblPr>
    <w:tblStylePr w:type="firstRow">
      <w:rPr>
        <w:rFonts w:asciiTheme="majorHAnsi" w:eastAsiaTheme="majorEastAsia" w:hAnsiTheme="majorHAnsi" w:cstheme="majorBidi"/>
        <w:i/>
        <w:iCs/>
        <w:sz w:val="26"/>
      </w:rPr>
      <w:tblPr/>
      <w:tcPr>
        <w:tcBorders>
          <w:bottom w:val="single" w:sz="4" w:space="0" w:color="0D9DDB"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D9DDB"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D9DDB"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D9DDB" w:themeColor="accent2"/>
        </w:tcBorders>
        <w:shd w:val="clear" w:color="auto" w:fill="FFFFFF" w:themeFill="background1"/>
      </w:tcPr>
    </w:tblStylePr>
    <w:tblStylePr w:type="band1Vert">
      <w:tblPr/>
      <w:tcPr>
        <w:shd w:val="clear" w:color="auto" w:fill="CAEDFC" w:themeFill="accent2" w:themeFillTint="33"/>
      </w:tcPr>
    </w:tblStylePr>
    <w:tblStylePr w:type="band1Horz">
      <w:tblPr/>
      <w:tcPr>
        <w:shd w:val="clear" w:color="auto" w:fill="CAEDFC"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31">
    <w:name w:val="List Table 7 Colorful - Accent 31"/>
    <w:basedOn w:val="TableNormal"/>
    <w:uiPriority w:val="52"/>
    <w:rsid w:val="00DA07C2"/>
    <w:rPr>
      <w:color w:val="827771" w:themeColor="accent3" w:themeShade="BF"/>
    </w:rPr>
    <w:tblPr>
      <w:tblStyleRowBandSize w:val="1"/>
      <w:tblStyleColBandSize w:val="1"/>
      <w:tblInd w:w="833" w:type="dxa"/>
    </w:tblPr>
    <w:tblStylePr w:type="firstRow">
      <w:rPr>
        <w:rFonts w:asciiTheme="majorHAnsi" w:eastAsiaTheme="majorEastAsia" w:hAnsiTheme="majorHAnsi" w:cstheme="majorBidi"/>
        <w:i/>
        <w:iCs/>
        <w:sz w:val="26"/>
      </w:rPr>
      <w:tblPr/>
      <w:tcPr>
        <w:tcBorders>
          <w:bottom w:val="single" w:sz="4" w:space="0" w:color="A9A19C"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9A19C"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9A19C"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9A19C" w:themeColor="accent3"/>
        </w:tcBorders>
        <w:shd w:val="clear" w:color="auto" w:fill="FFFFFF" w:themeFill="background1"/>
      </w:tcPr>
    </w:tblStylePr>
    <w:tblStylePr w:type="band1Vert">
      <w:tblPr/>
      <w:tcPr>
        <w:shd w:val="clear" w:color="auto" w:fill="EDECEB" w:themeFill="accent3" w:themeFillTint="33"/>
      </w:tcPr>
    </w:tblStylePr>
    <w:tblStylePr w:type="band1Horz">
      <w:tblPr/>
      <w:tcPr>
        <w:shd w:val="clear" w:color="auto" w:fill="EDECEB"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41">
    <w:name w:val="List Table 7 Colorful - Accent 41"/>
    <w:basedOn w:val="TableNormal"/>
    <w:uiPriority w:val="52"/>
    <w:rsid w:val="00DA07C2"/>
    <w:rPr>
      <w:color w:val="8DA403" w:themeColor="accent4" w:themeShade="BF"/>
    </w:rPr>
    <w:tblPr>
      <w:tblStyleRowBandSize w:val="1"/>
      <w:tblStyleColBandSize w:val="1"/>
      <w:tblInd w:w="833" w:type="dxa"/>
    </w:tblPr>
    <w:tblStylePr w:type="firstRow">
      <w:rPr>
        <w:rFonts w:asciiTheme="majorHAnsi" w:eastAsiaTheme="majorEastAsia" w:hAnsiTheme="majorHAnsi" w:cstheme="majorBidi"/>
        <w:i/>
        <w:iCs/>
        <w:sz w:val="26"/>
      </w:rPr>
      <w:tblPr/>
      <w:tcPr>
        <w:tcBorders>
          <w:bottom w:val="single" w:sz="4" w:space="0" w:color="BDDC04"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DDC04"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DDC04"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DDC04" w:themeColor="accent4"/>
        </w:tcBorders>
        <w:shd w:val="clear" w:color="auto" w:fill="FFFFFF" w:themeFill="background1"/>
      </w:tcPr>
    </w:tblStylePr>
    <w:tblStylePr w:type="band1Vert">
      <w:tblPr/>
      <w:tcPr>
        <w:shd w:val="clear" w:color="auto" w:fill="F5FEC6" w:themeFill="accent4" w:themeFillTint="33"/>
      </w:tcPr>
    </w:tblStylePr>
    <w:tblStylePr w:type="band1Horz">
      <w:tblPr/>
      <w:tcPr>
        <w:shd w:val="clear" w:color="auto" w:fill="F5FEC6"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51">
    <w:name w:val="List Table 7 Colorful - Accent 51"/>
    <w:basedOn w:val="TableNormal"/>
    <w:uiPriority w:val="52"/>
    <w:rsid w:val="00DA07C2"/>
    <w:rPr>
      <w:color w:val="005E7A" w:themeColor="accent5" w:themeShade="BF"/>
    </w:rPr>
    <w:tblPr>
      <w:tblStyleRowBandSize w:val="1"/>
      <w:tblStyleColBandSize w:val="1"/>
      <w:tblInd w:w="833" w:type="dxa"/>
    </w:tblPr>
    <w:tblStylePr w:type="firstRow">
      <w:rPr>
        <w:rFonts w:asciiTheme="majorHAnsi" w:eastAsiaTheme="majorEastAsia" w:hAnsiTheme="majorHAnsi" w:cstheme="majorBidi"/>
        <w:i/>
        <w:iCs/>
        <w:sz w:val="26"/>
      </w:rPr>
      <w:tblPr/>
      <w:tcPr>
        <w:tcBorders>
          <w:bottom w:val="single" w:sz="4" w:space="0" w:color="007FA3"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7FA3"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7FA3"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7FA3" w:themeColor="accent5"/>
        </w:tcBorders>
        <w:shd w:val="clear" w:color="auto" w:fill="FFFFFF" w:themeFill="background1"/>
      </w:tcPr>
    </w:tblStylePr>
    <w:tblStylePr w:type="band1Vert">
      <w:tblPr/>
      <w:tcPr>
        <w:shd w:val="clear" w:color="auto" w:fill="B9EFFF" w:themeFill="accent5" w:themeFillTint="33"/>
      </w:tcPr>
    </w:tblStylePr>
    <w:tblStylePr w:type="band1Horz">
      <w:tblPr/>
      <w:tcPr>
        <w:shd w:val="clear" w:color="auto" w:fill="B9EFFF"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61">
    <w:name w:val="List Table 7 Colorful - Accent 61"/>
    <w:basedOn w:val="TableNormal"/>
    <w:uiPriority w:val="52"/>
    <w:rsid w:val="00DA07C2"/>
    <w:rPr>
      <w:color w:val="434343" w:themeColor="accent6" w:themeShade="BF"/>
    </w:rPr>
    <w:tblPr>
      <w:tblStyleRowBandSize w:val="1"/>
      <w:tblStyleColBandSize w:val="1"/>
      <w:tblInd w:w="833" w:type="dxa"/>
    </w:tblPr>
    <w:tblStylePr w:type="firstRow">
      <w:rPr>
        <w:rFonts w:asciiTheme="majorHAnsi" w:eastAsiaTheme="majorEastAsia" w:hAnsiTheme="majorHAnsi" w:cstheme="majorBidi"/>
        <w:i/>
        <w:iCs/>
        <w:sz w:val="26"/>
      </w:rPr>
      <w:tblPr/>
      <w:tcPr>
        <w:tcBorders>
          <w:bottom w:val="single" w:sz="4" w:space="0" w:color="5A5A5A"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A5A5A"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A5A5A"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A5A5A" w:themeColor="accent6"/>
        </w:tcBorders>
        <w:shd w:val="clear" w:color="auto" w:fill="FFFFFF" w:themeFill="background1"/>
      </w:tcPr>
    </w:tblStylePr>
    <w:tblStylePr w:type="band1Vert">
      <w:tblPr/>
      <w:tcPr>
        <w:shd w:val="clear" w:color="auto" w:fill="DEDEDE" w:themeFill="accent6" w:themeFillTint="33"/>
      </w:tcPr>
    </w:tblStylePr>
    <w:tblStylePr w:type="band1Horz">
      <w:tblPr/>
      <w:tcPr>
        <w:shd w:val="clear" w:color="auto" w:fill="DEDEDE"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JBAContents">
    <w:name w:val="JBA Contents"/>
    <w:basedOn w:val="Normal"/>
    <w:rsid w:val="0099330C"/>
    <w:pPr>
      <w:keepNext/>
      <w:widowControl w:val="0"/>
      <w:spacing w:after="0"/>
      <w:contextualSpacing/>
    </w:pPr>
    <w:rPr>
      <w:rFonts w:eastAsia="Times New Roman"/>
      <w:color w:val="153B55"/>
      <w:spacing w:val="5"/>
      <w:kern w:val="28"/>
      <w:sz w:val="24"/>
      <w:szCs w:val="52"/>
    </w:rPr>
  </w:style>
  <w:style w:type="paragraph" w:styleId="BalloonText">
    <w:name w:val="Balloon Text"/>
    <w:basedOn w:val="Normal"/>
    <w:link w:val="BalloonTextChar"/>
    <w:uiPriority w:val="99"/>
    <w:unhideWhenUsed/>
    <w:locked/>
    <w:rsid w:val="00694D4F"/>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rsid w:val="00694D4F"/>
    <w:rPr>
      <w:rFonts w:ascii="Segoe UI" w:hAnsi="Segoe UI" w:cs="Segoe UI"/>
      <w:sz w:val="18"/>
      <w:szCs w:val="18"/>
    </w:rPr>
  </w:style>
  <w:style w:type="table" w:customStyle="1" w:styleId="JBATable">
    <w:name w:val="JBA Table"/>
    <w:basedOn w:val="TableNormal"/>
    <w:uiPriority w:val="99"/>
    <w:rsid w:val="00F96B2E"/>
    <w:pPr>
      <w:ind w:left="720" w:right="720"/>
    </w:pPr>
    <w:rPr>
      <w:rFonts w:ascii="Verdana" w:hAnsi="Verdana"/>
    </w:rPr>
    <w:tblPr>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Verdana" w:hAnsi="Verdana"/>
        <w:b/>
        <w:color w:val="FFFFFF" w:themeColor="background1"/>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153B55"/>
      </w:tcPr>
    </w:tblStylePr>
    <w:tblStylePr w:type="firstCol">
      <w:rPr>
        <w:rFonts w:ascii="Verdana" w:hAnsi="Verdana"/>
        <w:b w:val="0"/>
        <w:color w:val="FFFFFF" w:themeColor="background1"/>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153B55"/>
      </w:tcPr>
    </w:tblStylePr>
  </w:style>
  <w:style w:type="paragraph" w:customStyle="1" w:styleId="JBAContractTab2">
    <w:name w:val="JBA Contract Tab 2"/>
    <w:basedOn w:val="Normal"/>
    <w:rsid w:val="00F16A3F"/>
    <w:pPr>
      <w:keepNext/>
      <w:tabs>
        <w:tab w:val="right" w:leader="dot" w:pos="4536"/>
      </w:tabs>
      <w:spacing w:before="360" w:after="240"/>
      <w:ind w:left="4689" w:hanging="3969"/>
    </w:pPr>
    <w:rPr>
      <w:sz w:val="24"/>
    </w:rPr>
  </w:style>
  <w:style w:type="character" w:customStyle="1" w:styleId="JBAListofoffices">
    <w:name w:val="JBA List of offices"/>
    <w:basedOn w:val="DefaultParagraphFont"/>
    <w:uiPriority w:val="1"/>
    <w:qFormat/>
    <w:rsid w:val="00A31059"/>
    <w:rPr>
      <w:rFonts w:ascii="Verdana" w:hAnsi="Verdana"/>
      <w:b w:val="0"/>
      <w:i w:val="0"/>
      <w:color w:val="auto"/>
      <w:sz w:val="16"/>
      <w:lang w:val="en-US"/>
    </w:rPr>
  </w:style>
  <w:style w:type="paragraph" w:customStyle="1" w:styleId="JBANewTableMiddle">
    <w:name w:val="JBA New Table Middle"/>
    <w:basedOn w:val="JBAParaText"/>
    <w:rsid w:val="00FC72C0"/>
    <w:pPr>
      <w:ind w:left="0"/>
    </w:pPr>
  </w:style>
  <w:style w:type="character" w:customStyle="1" w:styleId="UnresolvedMention1">
    <w:name w:val="Unresolved Mention1"/>
    <w:basedOn w:val="DefaultParagraphFont"/>
    <w:uiPriority w:val="99"/>
    <w:semiHidden/>
    <w:unhideWhenUsed/>
    <w:rsid w:val="00A25530"/>
    <w:rPr>
      <w:color w:val="808080"/>
      <w:shd w:val="clear" w:color="auto" w:fill="E6E6E6"/>
    </w:rPr>
  </w:style>
  <w:style w:type="paragraph" w:styleId="Footer">
    <w:name w:val="footer"/>
    <w:basedOn w:val="Normal"/>
    <w:link w:val="FooterChar"/>
    <w:uiPriority w:val="99"/>
    <w:unhideWhenUsed/>
    <w:locked/>
    <w:rsid w:val="00345D09"/>
    <w:pPr>
      <w:tabs>
        <w:tab w:val="center" w:pos="4513"/>
        <w:tab w:val="right" w:pos="9026"/>
      </w:tabs>
      <w:spacing w:after="0"/>
    </w:pPr>
  </w:style>
  <w:style w:type="character" w:customStyle="1" w:styleId="FooterChar">
    <w:name w:val="Footer Char"/>
    <w:basedOn w:val="DefaultParagraphFont"/>
    <w:link w:val="Footer"/>
    <w:uiPriority w:val="99"/>
    <w:rsid w:val="00345D09"/>
  </w:style>
  <w:style w:type="paragraph" w:styleId="TOCHeading">
    <w:name w:val="TOC Heading"/>
    <w:basedOn w:val="Heading1"/>
    <w:next w:val="Normal"/>
    <w:uiPriority w:val="39"/>
    <w:unhideWhenUsed/>
    <w:qFormat/>
    <w:rsid w:val="00A31059"/>
    <w:pPr>
      <w:keepNext/>
      <w:keepLines/>
      <w:widowControl/>
      <w:numPr>
        <w:numId w:val="0"/>
      </w:numPr>
      <w:spacing w:after="0" w:line="259" w:lineRule="auto"/>
      <w:ind w:right="0"/>
      <w:outlineLvl w:val="9"/>
    </w:pPr>
    <w:rPr>
      <w:rFonts w:asciiTheme="majorHAnsi" w:eastAsiaTheme="majorEastAsia" w:hAnsiTheme="majorHAnsi" w:cstheme="majorBidi"/>
      <w:b w:val="0"/>
      <w:bCs w:val="0"/>
      <w:color w:val="37A5C0" w:themeColor="accent1" w:themeShade="BF"/>
      <w:sz w:val="32"/>
      <w:szCs w:val="32"/>
      <w:lang w:val="en-US" w:eastAsia="en-US"/>
    </w:rPr>
  </w:style>
  <w:style w:type="paragraph" w:styleId="Caption">
    <w:name w:val="caption"/>
    <w:aliases w:val="_JBA Caption,_ Figure JBA Caption"/>
    <w:basedOn w:val="Normal"/>
    <w:next w:val="JBAParaText"/>
    <w:uiPriority w:val="35"/>
    <w:unhideWhenUsed/>
    <w:qFormat/>
    <w:rsid w:val="00CC33C4"/>
    <w:pPr>
      <w:tabs>
        <w:tab w:val="right" w:pos="10206"/>
      </w:tabs>
      <w:spacing w:after="40"/>
      <w:ind w:left="1588"/>
    </w:pPr>
    <w:rPr>
      <w:b/>
      <w:iCs/>
      <w:color w:val="153B55"/>
      <w:sz w:val="24"/>
      <w:szCs w:val="18"/>
    </w:rPr>
  </w:style>
  <w:style w:type="paragraph" w:customStyle="1" w:styleId="JBANewTableTopRowBold">
    <w:name w:val="JBA New Table Top Row Bold"/>
    <w:basedOn w:val="JBANewTableTopRow"/>
    <w:rsid w:val="00F16A3F"/>
    <w:pPr>
      <w:spacing w:before="40" w:after="40"/>
    </w:pPr>
  </w:style>
  <w:style w:type="paragraph" w:styleId="Header">
    <w:name w:val="header"/>
    <w:basedOn w:val="Normal"/>
    <w:link w:val="HeaderChar"/>
    <w:uiPriority w:val="99"/>
    <w:unhideWhenUsed/>
    <w:locked/>
    <w:rsid w:val="005332A3"/>
    <w:pPr>
      <w:tabs>
        <w:tab w:val="center" w:pos="4513"/>
        <w:tab w:val="right" w:pos="9026"/>
      </w:tabs>
      <w:spacing w:after="0"/>
    </w:pPr>
  </w:style>
  <w:style w:type="character" w:customStyle="1" w:styleId="HeaderChar">
    <w:name w:val="Header Char"/>
    <w:basedOn w:val="DefaultParagraphFont"/>
    <w:link w:val="Header"/>
    <w:uiPriority w:val="99"/>
    <w:rsid w:val="005332A3"/>
  </w:style>
  <w:style w:type="paragraph" w:customStyle="1" w:styleId="JBAClientDetails">
    <w:name w:val="JBA Client Details"/>
    <w:basedOn w:val="JBAReportTitle"/>
    <w:rsid w:val="00AE3E37"/>
    <w:pPr>
      <w:spacing w:before="240" w:after="60"/>
    </w:pPr>
    <w:rPr>
      <w:sz w:val="24"/>
    </w:rPr>
  </w:style>
  <w:style w:type="paragraph" w:customStyle="1" w:styleId="JBANewTableText">
    <w:name w:val="JBA New Table Text"/>
    <w:basedOn w:val="Normal"/>
    <w:rsid w:val="00F16A3F"/>
    <w:pPr>
      <w:ind w:left="0" w:right="57"/>
    </w:pPr>
    <w:rPr>
      <w:bCs/>
      <w:sz w:val="24"/>
    </w:rPr>
  </w:style>
  <w:style w:type="paragraph" w:customStyle="1" w:styleId="StyleStyleJBATableTopRow-Bold">
    <w:name w:val="Style Style _JBA Table Top Row - Bold + + +"/>
    <w:basedOn w:val="Normal"/>
    <w:rsid w:val="001F0250"/>
    <w:pPr>
      <w:pBdr>
        <w:right w:val="single" w:sz="4" w:space="4" w:color="153B55"/>
      </w:pBdr>
      <w:spacing w:before="80" w:after="80"/>
      <w:ind w:left="0"/>
    </w:pPr>
    <w:rPr>
      <w:rFonts w:eastAsia="Times New Roman"/>
      <w:b/>
      <w:bCs/>
      <w:color w:val="FFFFFF" w:themeColor="background1"/>
      <w:sz w:val="24"/>
    </w:rPr>
  </w:style>
  <w:style w:type="paragraph" w:customStyle="1" w:styleId="JBANewTableTopRow">
    <w:name w:val="JBA New Table Top Row"/>
    <w:basedOn w:val="JBANewTableText"/>
    <w:rsid w:val="009716AD"/>
    <w:rPr>
      <w:bCs w:val="0"/>
      <w:color w:val="FFFFFF" w:themeColor="background1"/>
    </w:rPr>
  </w:style>
  <w:style w:type="paragraph" w:customStyle="1" w:styleId="JBATable2ndrowbold">
    <w:name w:val="JBA Table 2nd row bold"/>
    <w:basedOn w:val="JBANewTableTopRowBold"/>
    <w:rsid w:val="0033361C"/>
    <w:rPr>
      <w:b/>
      <w:bCs/>
    </w:rPr>
  </w:style>
  <w:style w:type="paragraph" w:customStyle="1" w:styleId="JBANewText">
    <w:name w:val="JBA New Text"/>
    <w:basedOn w:val="JBAParaText"/>
    <w:rsid w:val="00371867"/>
    <w:pPr>
      <w:ind w:left="720"/>
    </w:pPr>
  </w:style>
  <w:style w:type="character" w:styleId="FollowedHyperlink">
    <w:name w:val="FollowedHyperlink"/>
    <w:basedOn w:val="DefaultParagraphFont"/>
    <w:uiPriority w:val="99"/>
    <w:unhideWhenUsed/>
    <w:rsid w:val="00F4576F"/>
    <w:rPr>
      <w:color w:val="954F72" w:themeColor="followedHyperlink"/>
      <w:u w:val="single"/>
    </w:rPr>
  </w:style>
  <w:style w:type="paragraph" w:customStyle="1" w:styleId="AppendicesCaption">
    <w:name w:val="Appendices Caption"/>
    <w:basedOn w:val="Caption"/>
    <w:rsid w:val="00136730"/>
    <w:pPr>
      <w:keepNext/>
    </w:pPr>
  </w:style>
  <w:style w:type="table" w:customStyle="1" w:styleId="JBATable1">
    <w:name w:val="JBA Table 1"/>
    <w:basedOn w:val="JBATable"/>
    <w:uiPriority w:val="99"/>
    <w:rsid w:val="00937F8B"/>
    <w:pPr>
      <w:spacing w:after="0"/>
      <w:ind w:left="57" w:right="57"/>
    </w:pPr>
    <w:tblPr>
      <w:tblInd w:w="1588" w:type="dxa"/>
    </w:tblPr>
    <w:tblStylePr w:type="firstRow">
      <w:rPr>
        <w:rFonts w:ascii="Verdana" w:hAnsi="Verdana"/>
        <w:b/>
        <w:color w:val="FFFFFF" w:themeColor="background1"/>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153B55"/>
      </w:tcPr>
    </w:tblStylePr>
    <w:tblStylePr w:type="firstCol">
      <w:rPr>
        <w:rFonts w:ascii="Verdana" w:hAnsi="Verdana"/>
        <w:b w:val="0"/>
        <w:color w:val="auto"/>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paragraph" w:customStyle="1" w:styleId="StyleCaptionJBACaptionLeft0cm">
    <w:name w:val="Style Caption_JBA Caption + Left:  0 cm"/>
    <w:basedOn w:val="Caption"/>
    <w:rsid w:val="004734A5"/>
    <w:pPr>
      <w:spacing w:before="120"/>
      <w:ind w:left="0"/>
    </w:pPr>
    <w:rPr>
      <w:rFonts w:eastAsia="Times New Roman"/>
      <w:bCs/>
      <w:iCs w:val="0"/>
      <w:szCs w:val="20"/>
    </w:rPr>
  </w:style>
  <w:style w:type="character" w:styleId="PlaceholderText">
    <w:name w:val="Placeholder Text"/>
    <w:basedOn w:val="DefaultParagraphFont"/>
    <w:uiPriority w:val="99"/>
    <w:rsid w:val="00742C1F"/>
    <w:rPr>
      <w:color w:val="808080"/>
    </w:rPr>
  </w:style>
  <w:style w:type="paragraph" w:styleId="FootnoteText">
    <w:name w:val="footnote text"/>
    <w:basedOn w:val="Normal"/>
    <w:link w:val="FootnoteTextChar"/>
    <w:uiPriority w:val="99"/>
    <w:locked/>
    <w:rsid w:val="00742C1F"/>
    <w:pPr>
      <w:keepNext/>
      <w:spacing w:after="0"/>
      <w:ind w:left="0" w:right="0"/>
    </w:pPr>
  </w:style>
  <w:style w:type="character" w:customStyle="1" w:styleId="FootnoteTextChar">
    <w:name w:val="Footnote Text Char"/>
    <w:basedOn w:val="DefaultParagraphFont"/>
    <w:link w:val="FootnoteText"/>
    <w:uiPriority w:val="99"/>
    <w:rsid w:val="00742C1F"/>
  </w:style>
  <w:style w:type="character" w:styleId="FootnoteReference">
    <w:name w:val="footnote reference"/>
    <w:basedOn w:val="DefaultParagraphFont"/>
    <w:uiPriority w:val="99"/>
    <w:locked/>
    <w:rsid w:val="00742C1F"/>
    <w:rPr>
      <w:vertAlign w:val="superscript"/>
    </w:rPr>
  </w:style>
  <w:style w:type="paragraph" w:customStyle="1" w:styleId="Centered">
    <w:name w:val="Centered"/>
    <w:basedOn w:val="Normal"/>
    <w:rsid w:val="00742C1F"/>
    <w:pPr>
      <w:widowControl w:val="0"/>
      <w:spacing w:after="0"/>
      <w:ind w:left="0" w:right="0"/>
      <w:jc w:val="center"/>
    </w:pPr>
    <w:rPr>
      <w:rFonts w:eastAsia="Times New Roman"/>
    </w:rPr>
  </w:style>
  <w:style w:type="character" w:customStyle="1" w:styleId="JBAItalic">
    <w:name w:val="JBA Italic"/>
    <w:basedOn w:val="DefaultParagraphFont"/>
    <w:uiPriority w:val="1"/>
    <w:rsid w:val="00855A24"/>
    <w:rPr>
      <w:rFonts w:ascii="Verdana" w:hAnsi="Verdana"/>
      <w:i/>
      <w:color w:val="auto"/>
      <w:lang w:val="en-US"/>
    </w:rPr>
  </w:style>
  <w:style w:type="character" w:customStyle="1" w:styleId="JBASuperscript">
    <w:name w:val="JBA Superscript"/>
    <w:basedOn w:val="DefaultParagraphFont"/>
    <w:uiPriority w:val="1"/>
    <w:qFormat/>
    <w:rsid w:val="00742C1F"/>
    <w:rPr>
      <w:rFonts w:ascii="Arial" w:hAnsi="Arial"/>
      <w:dstrike w:val="0"/>
      <w:vertAlign w:val="superscript"/>
    </w:rPr>
  </w:style>
  <w:style w:type="paragraph" w:customStyle="1" w:styleId="JBATableText9ptLeft">
    <w:name w:val="JBA Table Text 9pt Left"/>
    <w:basedOn w:val="Normal"/>
    <w:rsid w:val="00742C1F"/>
    <w:pPr>
      <w:widowControl w:val="0"/>
      <w:spacing w:before="40" w:after="40"/>
      <w:ind w:left="57" w:right="57"/>
    </w:pPr>
    <w:rPr>
      <w:sz w:val="18"/>
    </w:rPr>
  </w:style>
  <w:style w:type="paragraph" w:customStyle="1" w:styleId="JBACentre">
    <w:name w:val="JBA Centre"/>
    <w:basedOn w:val="Normal"/>
    <w:next w:val="JBAParaText"/>
    <w:rsid w:val="00742C1F"/>
    <w:pPr>
      <w:spacing w:after="0"/>
      <w:ind w:right="0"/>
      <w:jc w:val="center"/>
    </w:pPr>
    <w:rPr>
      <w:rFonts w:eastAsia="Times New Roman"/>
      <w:szCs w:val="16"/>
    </w:rPr>
  </w:style>
  <w:style w:type="paragraph" w:customStyle="1" w:styleId="JBAReportTypeBlack">
    <w:name w:val="JBA Report Type Black"/>
    <w:basedOn w:val="Normal"/>
    <w:link w:val="JBAReportTypeBlackChar"/>
    <w:rsid w:val="00D229BB"/>
    <w:pPr>
      <w:widowControl w:val="0"/>
      <w:tabs>
        <w:tab w:val="left" w:pos="720"/>
      </w:tabs>
      <w:spacing w:before="240" w:after="60"/>
      <w:ind w:left="5954" w:right="1701"/>
    </w:pPr>
    <w:rPr>
      <w:rFonts w:eastAsia="Times New Roman"/>
      <w:iCs/>
      <w:sz w:val="24"/>
      <w:szCs w:val="24"/>
    </w:rPr>
  </w:style>
  <w:style w:type="character" w:customStyle="1" w:styleId="JBAReportTypeBlackChar">
    <w:name w:val="JBA Report Type Black Char"/>
    <w:basedOn w:val="DefaultParagraphFont"/>
    <w:link w:val="JBAReportTypeBlack"/>
    <w:rsid w:val="00742C1F"/>
    <w:rPr>
      <w:rFonts w:eastAsia="Times New Roman"/>
      <w:iCs/>
      <w:sz w:val="24"/>
      <w:szCs w:val="24"/>
    </w:rPr>
  </w:style>
  <w:style w:type="paragraph" w:customStyle="1" w:styleId="JBAParaTextfurtherindent">
    <w:name w:val="JBA Para Text (further indent)"/>
    <w:basedOn w:val="Normal"/>
    <w:next w:val="JBAParaText"/>
    <w:rsid w:val="00855A24"/>
    <w:pPr>
      <w:spacing w:after="60"/>
      <w:ind w:left="1985" w:right="0"/>
      <w:jc w:val="both"/>
    </w:pPr>
    <w:rPr>
      <w:rFonts w:eastAsia="Times New Roman"/>
      <w:szCs w:val="16"/>
    </w:rPr>
  </w:style>
  <w:style w:type="paragraph" w:customStyle="1" w:styleId="JBABackCoverText10pt">
    <w:name w:val="JBA Back Cover Text 10pt"/>
    <w:basedOn w:val="JBABackCovertext8ptofficesbackpage"/>
    <w:rsid w:val="00E175D3"/>
    <w:rPr>
      <w:sz w:val="20"/>
    </w:rPr>
  </w:style>
  <w:style w:type="paragraph" w:customStyle="1" w:styleId="ParaTextnoindent">
    <w:name w:val="Para Text no indent"/>
    <w:basedOn w:val="Normal"/>
    <w:link w:val="ParaTextnoindentChar"/>
    <w:rsid w:val="00742C1F"/>
    <w:pPr>
      <w:tabs>
        <w:tab w:val="right" w:pos="10206"/>
      </w:tabs>
      <w:ind w:left="0" w:right="0"/>
      <w:jc w:val="both"/>
    </w:pPr>
    <w:rPr>
      <w:rFonts w:eastAsia="Times New Roman"/>
      <w:szCs w:val="16"/>
    </w:rPr>
  </w:style>
  <w:style w:type="character" w:customStyle="1" w:styleId="ParaTextnoindentChar">
    <w:name w:val="Para Text no indent Char"/>
    <w:basedOn w:val="DefaultParagraphFont"/>
    <w:link w:val="ParaTextnoindent"/>
    <w:rsid w:val="00742C1F"/>
    <w:rPr>
      <w:rFonts w:eastAsia="Times New Roman"/>
      <w:szCs w:val="16"/>
    </w:rPr>
  </w:style>
  <w:style w:type="character" w:customStyle="1" w:styleId="JBABoldItalic">
    <w:name w:val="JBA Bold Italic"/>
    <w:basedOn w:val="DefaultParagraphFont"/>
    <w:uiPriority w:val="1"/>
    <w:rsid w:val="00FC72C0"/>
    <w:rPr>
      <w:rFonts w:ascii="Verdana" w:hAnsi="Verdana"/>
      <w:b/>
      <w:i/>
      <w:color w:val="auto"/>
    </w:rPr>
  </w:style>
  <w:style w:type="character" w:customStyle="1" w:styleId="JBASubscript">
    <w:name w:val="JBA Subscript"/>
    <w:basedOn w:val="DefaultParagraphFont"/>
    <w:uiPriority w:val="1"/>
    <w:rsid w:val="00742C1F"/>
    <w:rPr>
      <w:rFonts w:ascii="Arial" w:hAnsi="Arial"/>
      <w:dstrike w:val="0"/>
      <w:color w:val="auto"/>
      <w:vertAlign w:val="subscript"/>
    </w:rPr>
  </w:style>
  <w:style w:type="paragraph" w:customStyle="1" w:styleId="JBATableBulletStyle">
    <w:name w:val="JBA Table Bullet Style"/>
    <w:basedOn w:val="JBATableText9ptLeft"/>
    <w:rsid w:val="00742C1F"/>
    <w:pPr>
      <w:ind w:left="357" w:right="0" w:hanging="357"/>
      <w:jc w:val="both"/>
    </w:pPr>
    <w:rPr>
      <w:sz w:val="20"/>
    </w:rPr>
  </w:style>
  <w:style w:type="paragraph" w:customStyle="1" w:styleId="JBATableNumberedStyle">
    <w:name w:val="JBA Table Numbered Style"/>
    <w:basedOn w:val="JBATableBulletStyle"/>
    <w:rsid w:val="00742C1F"/>
  </w:style>
  <w:style w:type="paragraph" w:customStyle="1" w:styleId="JBALetteredList">
    <w:name w:val="JBA Lettered List"/>
    <w:basedOn w:val="JBANumberedList"/>
    <w:next w:val="JBAParaText"/>
    <w:rsid w:val="00742C1F"/>
    <w:pPr>
      <w:numPr>
        <w:numId w:val="0"/>
      </w:numPr>
      <w:tabs>
        <w:tab w:val="clear" w:pos="1418"/>
        <w:tab w:val="left" w:pos="720"/>
      </w:tabs>
      <w:ind w:left="1797" w:right="0" w:hanging="360"/>
      <w:jc w:val="both"/>
    </w:pPr>
    <w:rPr>
      <w:rFonts w:ascii="Arial" w:hAnsi="Arial"/>
    </w:rPr>
  </w:style>
  <w:style w:type="paragraph" w:customStyle="1" w:styleId="JBATableText9ptCentre">
    <w:name w:val="JBA Table Text 9pt Centre"/>
    <w:basedOn w:val="JBATableText9ptLeft"/>
    <w:rsid w:val="00742C1F"/>
    <w:pPr>
      <w:jc w:val="center"/>
    </w:pPr>
  </w:style>
  <w:style w:type="paragraph" w:customStyle="1" w:styleId="JBAReportCoverTextBlack">
    <w:name w:val="JBA Report Cover Text Black"/>
    <w:basedOn w:val="JBAReportTypeBlack"/>
    <w:rsid w:val="00742C1F"/>
    <w:pPr>
      <w:tabs>
        <w:tab w:val="left" w:pos="9923"/>
      </w:tabs>
      <w:spacing w:before="960" w:after="0" w:line="276" w:lineRule="auto"/>
    </w:pPr>
  </w:style>
  <w:style w:type="paragraph" w:customStyle="1" w:styleId="JBARightJustified">
    <w:name w:val="JBA Right Justified"/>
    <w:basedOn w:val="Normal"/>
    <w:rsid w:val="00742C1F"/>
    <w:pPr>
      <w:widowControl w:val="0"/>
      <w:spacing w:after="0"/>
      <w:ind w:left="0" w:right="0"/>
      <w:jc w:val="right"/>
    </w:pPr>
  </w:style>
  <w:style w:type="paragraph" w:customStyle="1" w:styleId="JBATableText8ptLeft">
    <w:name w:val="JBA Table Text 8 pt Left"/>
    <w:basedOn w:val="JBATableText9ptLeft"/>
    <w:rsid w:val="00742C1F"/>
    <w:rPr>
      <w:sz w:val="16"/>
    </w:rPr>
  </w:style>
  <w:style w:type="paragraph" w:customStyle="1" w:styleId="JBAReportTitlelongblack">
    <w:name w:val="JBA Report Title (long black)"/>
    <w:basedOn w:val="JBAReportTitleBlack"/>
    <w:rsid w:val="00742C1F"/>
    <w:rPr>
      <w:sz w:val="28"/>
    </w:rPr>
  </w:style>
  <w:style w:type="character" w:customStyle="1" w:styleId="JBABrownyRedtext">
    <w:name w:val="JBA Browny Red text"/>
    <w:basedOn w:val="DefaultParagraphFont"/>
    <w:uiPriority w:val="1"/>
    <w:rsid w:val="00742C1F"/>
    <w:rPr>
      <w:color w:val="981E32"/>
    </w:rPr>
  </w:style>
  <w:style w:type="paragraph" w:customStyle="1" w:styleId="JBAReportTitleBlack">
    <w:name w:val="JBA Report Title Black"/>
    <w:basedOn w:val="Normal"/>
    <w:rsid w:val="00742C1F"/>
    <w:pPr>
      <w:widowControl w:val="0"/>
      <w:spacing w:before="5400"/>
      <w:ind w:left="5954" w:right="1021"/>
      <w:contextualSpacing/>
    </w:pPr>
    <w:rPr>
      <w:rFonts w:eastAsia="Times New Roman"/>
      <w:spacing w:val="5"/>
      <w:kern w:val="28"/>
      <w:sz w:val="36"/>
      <w:szCs w:val="52"/>
    </w:rPr>
  </w:style>
  <w:style w:type="paragraph" w:customStyle="1" w:styleId="JBATableText8ptCentre">
    <w:name w:val="JBA Table Text 8pt Centre"/>
    <w:basedOn w:val="JBATableText9ptCentre"/>
    <w:rsid w:val="00742C1F"/>
    <w:rPr>
      <w:sz w:val="16"/>
    </w:rPr>
  </w:style>
  <w:style w:type="paragraph" w:customStyle="1" w:styleId="JBABlueBoxParagraph">
    <w:name w:val="JBA Blue Box Paragraph"/>
    <w:basedOn w:val="JBAParaText"/>
    <w:next w:val="JBAParaText"/>
    <w:rsid w:val="00742C1F"/>
    <w:pPr>
      <w:shd w:val="clear" w:color="auto" w:fill="C0E0F6"/>
      <w:spacing w:after="120"/>
      <w:ind w:left="720"/>
    </w:pPr>
    <w:rPr>
      <w:rFonts w:ascii="Arial" w:hAnsi="Arial"/>
    </w:rPr>
  </w:style>
  <w:style w:type="character" w:customStyle="1" w:styleId="JBASuperscriptbold">
    <w:name w:val="JBA Superscript (bold)"/>
    <w:basedOn w:val="DefaultParagraphFont"/>
    <w:uiPriority w:val="1"/>
    <w:rsid w:val="00742C1F"/>
    <w:rPr>
      <w:rFonts w:ascii="Arial" w:hAnsi="Arial"/>
      <w:b/>
      <w:dstrike w:val="0"/>
      <w:vertAlign w:val="superscript"/>
    </w:rPr>
  </w:style>
  <w:style w:type="character" w:customStyle="1" w:styleId="JBASubscriptbold">
    <w:name w:val="JBA Subscript (bold)"/>
    <w:basedOn w:val="DefaultParagraphFont"/>
    <w:uiPriority w:val="1"/>
    <w:rsid w:val="00742C1F"/>
    <w:rPr>
      <w:rFonts w:ascii="Arial Bold" w:hAnsi="Arial Bold"/>
      <w:b/>
      <w:dstrike w:val="0"/>
      <w:vertAlign w:val="subscript"/>
    </w:rPr>
  </w:style>
  <w:style w:type="paragraph" w:customStyle="1" w:styleId="JBATableText8ptRight">
    <w:name w:val="JBA Table Text 8pt Right"/>
    <w:basedOn w:val="Normal"/>
    <w:rsid w:val="00742C1F"/>
    <w:pPr>
      <w:widowControl w:val="0"/>
      <w:spacing w:before="40" w:after="40"/>
      <w:ind w:left="57" w:right="57"/>
      <w:jc w:val="right"/>
    </w:pPr>
    <w:rPr>
      <w:sz w:val="16"/>
    </w:rPr>
  </w:style>
  <w:style w:type="paragraph" w:customStyle="1" w:styleId="JBATableText9ptRight">
    <w:name w:val="JBA Table Text 9pt Right"/>
    <w:basedOn w:val="Normal"/>
    <w:rsid w:val="00742C1F"/>
    <w:pPr>
      <w:widowControl w:val="0"/>
      <w:spacing w:after="0"/>
      <w:ind w:left="57" w:right="57"/>
      <w:jc w:val="right"/>
    </w:pPr>
    <w:rPr>
      <w:sz w:val="18"/>
    </w:rPr>
  </w:style>
  <w:style w:type="character" w:customStyle="1" w:styleId="JBAColourDarkRed">
    <w:name w:val="JBA Colour (Dark Red)"/>
    <w:basedOn w:val="DefaultParagraphFont"/>
    <w:uiPriority w:val="1"/>
    <w:rsid w:val="00742C1F"/>
    <w:rPr>
      <w:rFonts w:ascii="Arial" w:hAnsi="Arial"/>
      <w:b/>
      <w:color w:val="981E32"/>
    </w:rPr>
  </w:style>
  <w:style w:type="paragraph" w:customStyle="1" w:styleId="JBANumberedListfurtherindent">
    <w:name w:val="JBA Numbered List (further indent)"/>
    <w:basedOn w:val="JBALetteredList"/>
    <w:rsid w:val="00742C1F"/>
    <w:pPr>
      <w:spacing w:after="20"/>
      <w:ind w:left="2509" w:hanging="241"/>
    </w:pPr>
  </w:style>
  <w:style w:type="paragraph" w:customStyle="1" w:styleId="JBAParaText8pt">
    <w:name w:val="JBA Para Text 8pt"/>
    <w:basedOn w:val="JBAParaText"/>
    <w:rsid w:val="00E175D3"/>
    <w:pPr>
      <w:spacing w:after="120"/>
    </w:pPr>
    <w:rPr>
      <w:sz w:val="16"/>
    </w:rPr>
  </w:style>
  <w:style w:type="paragraph" w:customStyle="1" w:styleId="JBATableText10ptLeft">
    <w:name w:val="JBA Table Text 10pt Left"/>
    <w:basedOn w:val="Normal"/>
    <w:rsid w:val="00742C1F"/>
    <w:pPr>
      <w:widowControl w:val="0"/>
      <w:spacing w:before="40" w:after="40"/>
      <w:ind w:left="57" w:right="57"/>
    </w:pPr>
  </w:style>
  <w:style w:type="paragraph" w:customStyle="1" w:styleId="JBATabletext10ptCentre">
    <w:name w:val="JBA Table text 10pt Centre"/>
    <w:basedOn w:val="JBATableText10ptLeft"/>
    <w:rsid w:val="00742C1F"/>
    <w:pPr>
      <w:jc w:val="center"/>
    </w:pPr>
  </w:style>
  <w:style w:type="paragraph" w:customStyle="1" w:styleId="JBATableText10ptRight">
    <w:name w:val="JBA Table Text 10pt Right"/>
    <w:basedOn w:val="JBATabletext10ptCentre"/>
    <w:rsid w:val="00742C1F"/>
    <w:pPr>
      <w:jc w:val="right"/>
    </w:pPr>
  </w:style>
  <w:style w:type="paragraph" w:customStyle="1" w:styleId="JBATableText10ptJustified">
    <w:name w:val="JBA Table Text 10pt Justified"/>
    <w:basedOn w:val="JBATableText10ptRight"/>
    <w:rsid w:val="00742C1F"/>
    <w:pPr>
      <w:ind w:left="6" w:right="6"/>
      <w:jc w:val="both"/>
    </w:pPr>
  </w:style>
  <w:style w:type="character" w:customStyle="1" w:styleId="JBAWhiteBold">
    <w:name w:val="JBA White Bold"/>
    <w:basedOn w:val="DefaultParagraphFont"/>
    <w:uiPriority w:val="1"/>
    <w:rsid w:val="00742C1F"/>
    <w:rPr>
      <w:rFonts w:ascii="Arial Bold" w:hAnsi="Arial Bold"/>
      <w:b/>
      <w:color w:val="FFFFFF"/>
    </w:rPr>
  </w:style>
  <w:style w:type="character" w:customStyle="1" w:styleId="JBAWhiteRegular">
    <w:name w:val="JBA White Regular"/>
    <w:basedOn w:val="DefaultParagraphFont"/>
    <w:uiPriority w:val="1"/>
    <w:rsid w:val="00742C1F"/>
    <w:rPr>
      <w:rFonts w:cs="Times New Roman"/>
      <w:color w:val="FFFFFF"/>
    </w:rPr>
  </w:style>
  <w:style w:type="paragraph" w:customStyle="1" w:styleId="JBATableText9ptJustified">
    <w:name w:val="JBA Table Text 9pt Justified"/>
    <w:basedOn w:val="Normal"/>
    <w:rsid w:val="00742C1F"/>
    <w:pPr>
      <w:widowControl w:val="0"/>
      <w:spacing w:before="40" w:after="40"/>
      <w:ind w:left="6" w:right="6"/>
      <w:jc w:val="both"/>
    </w:pPr>
    <w:rPr>
      <w:bCs/>
      <w:sz w:val="18"/>
    </w:rPr>
  </w:style>
  <w:style w:type="paragraph" w:customStyle="1" w:styleId="JBATableText8ptJustified">
    <w:name w:val="JBA Table Text 8pt Justified"/>
    <w:basedOn w:val="JBATableText10ptLeft"/>
    <w:rsid w:val="00742C1F"/>
    <w:rPr>
      <w:color w:val="000000" w:themeColor="text1"/>
      <w:sz w:val="16"/>
    </w:rPr>
  </w:style>
  <w:style w:type="character" w:customStyle="1" w:styleId="Whiteboldsupercript">
    <w:name w:val="White bold supercript"/>
    <w:basedOn w:val="DefaultParagraphFont"/>
    <w:uiPriority w:val="1"/>
    <w:rsid w:val="00742C1F"/>
    <w:rPr>
      <w:b/>
      <w:dstrike w:val="0"/>
      <w:color w:val="FFFFFF"/>
      <w:vertAlign w:val="superscript"/>
    </w:rPr>
  </w:style>
  <w:style w:type="paragraph" w:customStyle="1" w:styleId="JBA2pt">
    <w:name w:val="JBA 2pt"/>
    <w:basedOn w:val="JBAParaText"/>
    <w:rsid w:val="00742C1F"/>
    <w:pPr>
      <w:spacing w:after="0"/>
      <w:ind w:left="0"/>
    </w:pPr>
    <w:rPr>
      <w:rFonts w:ascii="Arial" w:hAnsi="Arial"/>
      <w:sz w:val="4"/>
    </w:rPr>
  </w:style>
  <w:style w:type="paragraph" w:customStyle="1" w:styleId="JBADate-frontcover">
    <w:name w:val="JBA Date - front cover"/>
    <w:basedOn w:val="JBAReportTypeBlack"/>
    <w:rsid w:val="00742C1F"/>
    <w:rPr>
      <w:sz w:val="20"/>
    </w:rPr>
  </w:style>
  <w:style w:type="paragraph" w:customStyle="1" w:styleId="JBAClientdetails0">
    <w:name w:val="JBA Client details"/>
    <w:aliases w:val="front cover"/>
    <w:basedOn w:val="JBAReportCoverTextBlack"/>
    <w:rsid w:val="00742C1F"/>
    <w:pPr>
      <w:spacing w:before="120"/>
    </w:pPr>
  </w:style>
  <w:style w:type="character" w:customStyle="1" w:styleId="Redtext">
    <w:name w:val="Red text"/>
    <w:basedOn w:val="DefaultParagraphFont"/>
    <w:uiPriority w:val="1"/>
    <w:rsid w:val="00742C1F"/>
    <w:rPr>
      <w:b w:val="0"/>
      <w:bCs/>
      <w:color w:val="FF0000"/>
      <w:sz w:val="20"/>
    </w:rPr>
  </w:style>
  <w:style w:type="character" w:customStyle="1" w:styleId="Greentext">
    <w:name w:val="Green text"/>
    <w:basedOn w:val="Redtext"/>
    <w:rsid w:val="00742C1F"/>
    <w:rPr>
      <w:b/>
      <w:bCs/>
      <w:color w:val="00B050"/>
      <w:sz w:val="20"/>
    </w:rPr>
  </w:style>
  <w:style w:type="paragraph" w:customStyle="1" w:styleId="JBABackCovertext8ptofficesbackpage">
    <w:name w:val="JBA Back Cover text 8ptoffices back page"/>
    <w:basedOn w:val="JBATableText9ptLeft"/>
    <w:rsid w:val="00E175D3"/>
    <w:pPr>
      <w:spacing w:before="0"/>
    </w:pPr>
    <w:rPr>
      <w:sz w:val="16"/>
    </w:rPr>
  </w:style>
  <w:style w:type="paragraph" w:customStyle="1" w:styleId="JBAContractTabSecondContributor">
    <w:name w:val="JBA Contract Tab Second Contributor"/>
    <w:basedOn w:val="JBAContractTab2"/>
    <w:rsid w:val="00742C1F"/>
    <w:pPr>
      <w:tabs>
        <w:tab w:val="clear" w:pos="4536"/>
      </w:tabs>
      <w:spacing w:after="60"/>
      <w:ind w:right="0" w:firstLine="0"/>
    </w:pPr>
    <w:rPr>
      <w:rFonts w:ascii="Arial" w:hAnsi="Arial"/>
    </w:rPr>
  </w:style>
  <w:style w:type="character" w:styleId="CommentReference">
    <w:name w:val="annotation reference"/>
    <w:basedOn w:val="DefaultParagraphFont"/>
    <w:uiPriority w:val="99"/>
    <w:locked/>
    <w:rsid w:val="00742C1F"/>
    <w:rPr>
      <w:sz w:val="16"/>
      <w:szCs w:val="16"/>
    </w:rPr>
  </w:style>
  <w:style w:type="paragraph" w:styleId="CommentText">
    <w:name w:val="annotation text"/>
    <w:basedOn w:val="Normal"/>
    <w:link w:val="CommentTextChar"/>
    <w:uiPriority w:val="99"/>
    <w:locked/>
    <w:rsid w:val="00742C1F"/>
    <w:pPr>
      <w:keepNext/>
      <w:spacing w:after="0"/>
      <w:ind w:left="0" w:right="0"/>
    </w:pPr>
  </w:style>
  <w:style w:type="character" w:customStyle="1" w:styleId="CommentTextChar">
    <w:name w:val="Comment Text Char"/>
    <w:basedOn w:val="DefaultParagraphFont"/>
    <w:link w:val="CommentText"/>
    <w:uiPriority w:val="99"/>
    <w:rsid w:val="00742C1F"/>
  </w:style>
  <w:style w:type="paragraph" w:styleId="CommentSubject">
    <w:name w:val="annotation subject"/>
    <w:basedOn w:val="CommentText"/>
    <w:next w:val="CommentText"/>
    <w:link w:val="CommentSubjectChar"/>
    <w:uiPriority w:val="99"/>
    <w:locked/>
    <w:rsid w:val="00742C1F"/>
    <w:rPr>
      <w:b/>
      <w:bCs/>
    </w:rPr>
  </w:style>
  <w:style w:type="character" w:customStyle="1" w:styleId="CommentSubjectChar">
    <w:name w:val="Comment Subject Char"/>
    <w:basedOn w:val="CommentTextChar"/>
    <w:link w:val="CommentSubject"/>
    <w:uiPriority w:val="99"/>
    <w:rsid w:val="00742C1F"/>
    <w:rPr>
      <w:b/>
      <w:bCs/>
    </w:rPr>
  </w:style>
  <w:style w:type="paragraph" w:styleId="Revision">
    <w:name w:val="Revision"/>
    <w:hidden/>
    <w:uiPriority w:val="99"/>
    <w:semiHidden/>
    <w:rsid w:val="00742C1F"/>
    <w:pPr>
      <w:spacing w:after="0"/>
    </w:pPr>
  </w:style>
  <w:style w:type="paragraph" w:styleId="ListParagraph">
    <w:name w:val="List Paragraph"/>
    <w:basedOn w:val="Normal"/>
    <w:uiPriority w:val="34"/>
    <w:locked/>
    <w:rsid w:val="00742C1F"/>
    <w:pPr>
      <w:keepNext/>
      <w:spacing w:after="0"/>
      <w:ind w:right="0"/>
      <w:contextualSpacing/>
    </w:pPr>
  </w:style>
  <w:style w:type="paragraph" w:styleId="TOC4">
    <w:name w:val="toc 4"/>
    <w:basedOn w:val="Normal"/>
    <w:next w:val="Normal"/>
    <w:autoRedefine/>
    <w:uiPriority w:val="39"/>
    <w:locked/>
    <w:rsid w:val="00742C1F"/>
    <w:pPr>
      <w:keepNext/>
      <w:spacing w:after="100"/>
      <w:ind w:left="600" w:right="0"/>
    </w:pPr>
  </w:style>
  <w:style w:type="paragraph" w:customStyle="1" w:styleId="JBA-Footer">
    <w:name w:val="JBA - Footer"/>
    <w:basedOn w:val="Normal"/>
    <w:autoRedefine/>
    <w:qFormat/>
    <w:rsid w:val="004274AC"/>
    <w:pPr>
      <w:widowControl w:val="0"/>
      <w:spacing w:after="240"/>
      <w:ind w:left="0"/>
    </w:pPr>
    <w:rPr>
      <w:rFonts w:cs="Arial"/>
      <w:bCs/>
      <w:noProof/>
      <w:sz w:val="16"/>
    </w:rPr>
  </w:style>
  <w:style w:type="paragraph" w:customStyle="1" w:styleId="JBA-ReportText">
    <w:name w:val="JBA - Report Text"/>
    <w:basedOn w:val="Normal"/>
    <w:rsid w:val="00304E19"/>
    <w:pPr>
      <w:spacing w:after="80"/>
    </w:pPr>
    <w:rPr>
      <w:sz w:val="21"/>
    </w:rPr>
  </w:style>
  <w:style w:type="paragraph" w:styleId="TOC7">
    <w:name w:val="toc 7"/>
    <w:basedOn w:val="Normal"/>
    <w:next w:val="Normal"/>
    <w:autoRedefine/>
    <w:uiPriority w:val="39"/>
    <w:locked/>
    <w:rsid w:val="004F2671"/>
    <w:pPr>
      <w:tabs>
        <w:tab w:val="left" w:pos="709"/>
        <w:tab w:val="left" w:pos="1600"/>
        <w:tab w:val="right" w:pos="10168"/>
      </w:tabs>
      <w:spacing w:after="100"/>
      <w:ind w:left="426" w:firstLine="283"/>
    </w:pPr>
    <w:rPr>
      <w:sz w:val="24"/>
    </w:rPr>
  </w:style>
  <w:style w:type="paragraph" w:customStyle="1" w:styleId="Heading4New">
    <w:name w:val="Heading 4 New"/>
    <w:basedOn w:val="Heading3"/>
    <w:next w:val="JBAParaText"/>
    <w:rsid w:val="00252944"/>
    <w:pPr>
      <w:numPr>
        <w:ilvl w:val="3"/>
      </w:numPr>
      <w:ind w:left="1571" w:hanging="851"/>
    </w:pPr>
  </w:style>
  <w:style w:type="paragraph" w:customStyle="1" w:styleId="JBAExecSummaryText">
    <w:name w:val="JBA Exec Summary Text"/>
    <w:basedOn w:val="Normal"/>
    <w:rsid w:val="00706502"/>
    <w:pPr>
      <w:ind w:right="567"/>
      <w:jc w:val="both"/>
    </w:pPr>
  </w:style>
  <w:style w:type="character" w:customStyle="1" w:styleId="JBAParaTextChar">
    <w:name w:val="JBA Para Text Char"/>
    <w:basedOn w:val="DefaultParagraphFont"/>
    <w:link w:val="JBAParaText"/>
    <w:rsid w:val="00F16A3F"/>
    <w:rPr>
      <w:rFonts w:ascii="Verdana" w:hAnsi="Verdana"/>
      <w:sz w:val="24"/>
    </w:rPr>
  </w:style>
  <w:style w:type="table" w:customStyle="1" w:styleId="JBATable11">
    <w:name w:val="JBA Table 11"/>
    <w:basedOn w:val="JBATable"/>
    <w:uiPriority w:val="99"/>
    <w:rsid w:val="002F2C90"/>
    <w:pPr>
      <w:spacing w:after="0"/>
      <w:ind w:left="57" w:right="57"/>
    </w:pPr>
    <w:tblPr>
      <w:tblInd w:w="1588" w:type="dxa"/>
    </w:tblPr>
    <w:tblStylePr w:type="firstRow">
      <w:rPr>
        <w:rFonts w:ascii="Verdana" w:hAnsi="Verdana"/>
        <w:b/>
        <w:color w:val="FFFFFF" w:themeColor="background1"/>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153B55"/>
      </w:tcPr>
    </w:tblStylePr>
    <w:tblStylePr w:type="firstCol">
      <w:rPr>
        <w:rFonts w:ascii="Verdana" w:hAnsi="Verdana"/>
        <w:b w:val="0"/>
        <w:color w:val="auto"/>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numbering" w:customStyle="1" w:styleId="NoList1">
    <w:name w:val="No List1"/>
    <w:next w:val="NoList"/>
    <w:uiPriority w:val="99"/>
    <w:semiHidden/>
    <w:unhideWhenUsed/>
    <w:rsid w:val="00EF0E0A"/>
  </w:style>
  <w:style w:type="table" w:customStyle="1" w:styleId="JBATableGrid1">
    <w:name w:val="JBA Table Grid1"/>
    <w:basedOn w:val="TableGridLight1"/>
    <w:next w:val="TableGrid"/>
    <w:uiPriority w:val="59"/>
    <w:rsid w:val="00EF0E0A"/>
    <w:tblPr>
      <w:tblStyleRowBandSize w:val="1"/>
      <w:tblInd w:w="15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blStylePr w:type="firstRow">
      <w:pPr>
        <w:keepNext w:val="0"/>
        <w:keepLines w:val="0"/>
        <w:pageBreakBefore w:val="0"/>
        <w:widowControl w:val="0"/>
        <w:suppressLineNumbers w:val="0"/>
        <w:suppressAutoHyphens w:val="0"/>
        <w:wordWrap/>
        <w:spacing w:line="240" w:lineRule="auto"/>
        <w:ind w:leftChars="0" w:left="0" w:rightChars="0" w:right="0"/>
        <w:contextualSpacing w:val="0"/>
        <w:mirrorIndents w:val="0"/>
      </w:pPr>
      <w:rPr>
        <w:rFonts w:ascii="Arial" w:hAnsi="Arial"/>
        <w:sz w:val="20"/>
      </w:rPr>
      <w:tblPr/>
      <w:tcPr>
        <w:tcBorders>
          <w:top w:val="single" w:sz="4" w:space="0" w:color="00A9E0"/>
          <w:left w:val="single" w:sz="4" w:space="0" w:color="00A9E0"/>
          <w:bottom w:val="single" w:sz="4" w:space="0" w:color="00A9E0"/>
          <w:right w:val="single" w:sz="4" w:space="0" w:color="00A9E0"/>
          <w:insideH w:val="single" w:sz="4" w:space="0" w:color="00A9E0"/>
          <w:insideV w:val="single" w:sz="4" w:space="0" w:color="00A9E0"/>
          <w:tl2br w:val="nil"/>
          <w:tr2bl w:val="nil"/>
        </w:tcBorders>
      </w:tcPr>
    </w:tblStylePr>
    <w:tblStylePr w:type="lastRow">
      <w:pPr>
        <w:keepNext w:val="0"/>
        <w:keepLines w:val="0"/>
        <w:pageBreakBefore w:val="0"/>
        <w:widowControl w:val="0"/>
        <w:suppressLineNumbers w:val="0"/>
        <w:suppressAutoHyphens w:val="0"/>
        <w:wordWrap/>
        <w:spacing w:line="240" w:lineRule="auto"/>
        <w:ind w:leftChars="0" w:left="0" w:rightChars="0" w:right="0"/>
      </w:pPr>
      <w:rPr>
        <w:rFonts w:ascii="Arial" w:hAnsi="Arial"/>
        <w:b w:val="0"/>
        <w:i w:val="0"/>
        <w:sz w:val="20"/>
      </w:rPr>
      <w:tblPr/>
      <w:tcPr>
        <w:tcBorders>
          <w:top w:val="single" w:sz="4" w:space="0" w:color="00A9E0"/>
          <w:left w:val="single" w:sz="4" w:space="0" w:color="00A9E0"/>
          <w:bottom w:val="single" w:sz="4" w:space="0" w:color="00A9E0"/>
          <w:right w:val="single" w:sz="4" w:space="0" w:color="00A9E0"/>
          <w:insideH w:val="single" w:sz="4" w:space="0" w:color="00A9E0"/>
          <w:insideV w:val="single" w:sz="4" w:space="0" w:color="00A9E0"/>
          <w:tl2br w:val="nil"/>
          <w:tr2bl w:val="nil"/>
        </w:tcBorders>
      </w:tcPr>
    </w:tblStylePr>
    <w:tblStylePr w:type="band1Horz">
      <w:pPr>
        <w:keepNext w:val="0"/>
        <w:keepLines w:val="0"/>
        <w:pageBreakBefore w:val="0"/>
        <w:widowControl w:val="0"/>
        <w:suppressLineNumbers w:val="0"/>
        <w:suppressAutoHyphens w:val="0"/>
        <w:wordWrap/>
        <w:spacing w:line="240" w:lineRule="auto"/>
        <w:mirrorIndents w:val="0"/>
      </w:pPr>
      <w:rPr>
        <w:rFonts w:ascii="Arial" w:hAnsi="Arial"/>
        <w:b w:val="0"/>
        <w:i w:val="0"/>
        <w:sz w:val="20"/>
      </w:rPr>
      <w:tblPr/>
      <w:tcPr>
        <w:tcBorders>
          <w:top w:val="single" w:sz="4" w:space="0" w:color="00A9E0"/>
          <w:left w:val="single" w:sz="4" w:space="0" w:color="00A9E0"/>
          <w:bottom w:val="single" w:sz="4" w:space="0" w:color="00A9E0"/>
          <w:right w:val="single" w:sz="4" w:space="0" w:color="00A9E0"/>
          <w:insideH w:val="single" w:sz="4" w:space="0" w:color="00A9E0"/>
          <w:insideV w:val="single" w:sz="4" w:space="0" w:color="00A9E0"/>
          <w:tl2br w:val="nil"/>
          <w:tr2bl w:val="nil"/>
        </w:tcBorders>
      </w:tcPr>
    </w:tblStylePr>
    <w:tblStylePr w:type="band2Horz">
      <w:pPr>
        <w:wordWrap/>
        <w:spacing w:line="240" w:lineRule="auto"/>
        <w:ind w:leftChars="0" w:left="0" w:rightChars="0" w:right="0"/>
      </w:pPr>
      <w:rPr>
        <w:rFonts w:ascii="Arial" w:hAnsi="Arial"/>
        <w:sz w:val="20"/>
      </w:rPr>
      <w:tblPr/>
      <w:tcPr>
        <w:tcBorders>
          <w:top w:val="single" w:sz="4" w:space="0" w:color="00A9E0"/>
          <w:left w:val="single" w:sz="4" w:space="0" w:color="00A9E0"/>
          <w:bottom w:val="single" w:sz="4" w:space="0" w:color="00A9E0"/>
          <w:right w:val="single" w:sz="4" w:space="0" w:color="00A9E0"/>
          <w:insideH w:val="single" w:sz="4" w:space="0" w:color="00A9E0"/>
          <w:insideV w:val="single" w:sz="4" w:space="0" w:color="00A9E0"/>
          <w:tl2br w:val="nil"/>
          <w:tr2bl w:val="nil"/>
        </w:tcBorders>
      </w:tcPr>
    </w:tblStylePr>
  </w:style>
  <w:style w:type="table" w:customStyle="1" w:styleId="JBATable31">
    <w:name w:val="JBA Table 31"/>
    <w:basedOn w:val="TableNormal"/>
    <w:uiPriority w:val="99"/>
    <w:qFormat/>
    <w:rsid w:val="00EF0E0A"/>
    <w:tblPr>
      <w:tblStyleRowBandSize w:val="1"/>
      <w:tblInd w:w="833" w:type="dxa"/>
    </w:tblPr>
    <w:tblStylePr w:type="firstRow">
      <w:pPr>
        <w:wordWrap/>
        <w:ind w:leftChars="0" w:left="57" w:rightChars="0" w:right="57"/>
      </w:pPr>
      <w:rPr>
        <w:rFonts w:ascii="Arial" w:hAnsi="Arial"/>
        <w:sz w:val="20"/>
      </w:rPr>
      <w:tblPr/>
      <w:trPr>
        <w:cantSplit/>
        <w:tblHeader/>
      </w:trPr>
      <w:tcPr>
        <w:tcBorders>
          <w:top w:val="nil"/>
          <w:left w:val="nil"/>
          <w:bottom w:val="nil"/>
          <w:right w:val="nil"/>
          <w:insideH w:val="nil"/>
          <w:insideV w:val="nil"/>
          <w:tl2br w:val="nil"/>
          <w:tr2bl w:val="nil"/>
        </w:tcBorders>
      </w:tcPr>
    </w:tblStylePr>
    <w:tblStylePr w:type="lastRow">
      <w:pPr>
        <w:wordWrap/>
        <w:ind w:leftChars="0" w:left="57" w:rightChars="0" w:right="57" w:firstLineChars="0" w:firstLine="0"/>
      </w:pPr>
      <w:rPr>
        <w:rFonts w:ascii="Arial" w:hAnsi="Arial"/>
        <w:sz w:val="20"/>
      </w:rPr>
    </w:tblStylePr>
    <w:tblStylePr w:type="band1Horz">
      <w:pPr>
        <w:wordWrap/>
        <w:ind w:leftChars="0" w:left="57" w:rightChars="0" w:right="57"/>
      </w:pPr>
      <w:rPr>
        <w:rFonts w:ascii="Arial" w:hAnsi="Arial"/>
        <w:sz w:val="20"/>
      </w:rPr>
    </w:tblStylePr>
    <w:tblStylePr w:type="band2Horz">
      <w:pPr>
        <w:wordWrap/>
        <w:ind w:leftChars="0" w:left="57" w:rightChars="0" w:right="57"/>
      </w:pPr>
      <w:rPr>
        <w:rFonts w:ascii="Arial" w:hAnsi="Arial"/>
        <w:sz w:val="20"/>
      </w:rPr>
    </w:tblStylePr>
  </w:style>
  <w:style w:type="table" w:customStyle="1" w:styleId="TableGridLight11">
    <w:name w:val="Table Grid Light11"/>
    <w:basedOn w:val="TableNormal"/>
    <w:next w:val="TableGridLight1"/>
    <w:uiPriority w:val="40"/>
    <w:rsid w:val="00EF0E0A"/>
    <w:tblPr>
      <w:tblInd w:w="83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LightShading-Accent41">
    <w:name w:val="Light Shading - Accent 41"/>
    <w:basedOn w:val="TableNormal"/>
    <w:next w:val="LightShading-Accent4"/>
    <w:uiPriority w:val="60"/>
    <w:rsid w:val="00EF0E0A"/>
    <w:rPr>
      <w:color w:val="5F497A"/>
    </w:rPr>
    <w:tblPr>
      <w:tblStyleRowBandSize w:val="1"/>
      <w:tblStyleColBandSize w:val="1"/>
      <w:tblInd w:w="833" w:type="dxa"/>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MediumList1-Accent21">
    <w:name w:val="Medium List 1 - Accent 21"/>
    <w:basedOn w:val="TableNormal"/>
    <w:next w:val="MediumList1-Accent2"/>
    <w:uiPriority w:val="65"/>
    <w:rsid w:val="00EF0E0A"/>
    <w:rPr>
      <w:color w:val="000000"/>
    </w:rPr>
    <w:tblPr>
      <w:tblStyleRowBandSize w:val="1"/>
      <w:tblStyleColBandSize w:val="1"/>
      <w:tblInd w:w="833" w:type="dxa"/>
      <w:tblBorders>
        <w:top w:val="single" w:sz="8" w:space="0" w:color="C0504D"/>
        <w:bottom w:val="single" w:sz="8" w:space="0" w:color="C0504D"/>
      </w:tblBorders>
    </w:tblPr>
    <w:tblStylePr w:type="firstRow">
      <w:rPr>
        <w:rFonts w:ascii="Segoe UI" w:eastAsia="Times New Roman" w:hAnsi="Segoe UI"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customStyle="1" w:styleId="JBATableStyle11">
    <w:name w:val="JBA Table Style 11"/>
    <w:basedOn w:val="TableNormal"/>
    <w:uiPriority w:val="99"/>
    <w:qFormat/>
    <w:rsid w:val="00EF0E0A"/>
    <w:tblPr>
      <w:tblStyleRowBandSize w:val="1"/>
      <w:tblInd w:w="833" w:type="dxa"/>
    </w:tblPr>
    <w:tblStylePr w:type="firstRow">
      <w:pPr>
        <w:keepNext w:val="0"/>
        <w:keepLines w:val="0"/>
        <w:pageBreakBefore w:val="0"/>
        <w:widowControl w:val="0"/>
        <w:suppressLineNumbers w:val="0"/>
        <w:suppressAutoHyphens w:val="0"/>
        <w:wordWrap/>
        <w:spacing w:line="240" w:lineRule="auto"/>
        <w:ind w:leftChars="0" w:left="0" w:rightChars="0" w:right="0"/>
      </w:pPr>
      <w:rPr>
        <w:rFonts w:ascii="Verdana" w:hAnsi="Verdana"/>
        <w:b/>
        <w:i w:val="0"/>
        <w:color w:val="FFFFFF"/>
        <w:sz w:val="20"/>
      </w:rPr>
      <w:tblPr/>
      <w:tcPr>
        <w:tcBorders>
          <w:top w:val="single" w:sz="2" w:space="0" w:color="74C4D7" w:themeColor="accent1"/>
          <w:left w:val="single" w:sz="2" w:space="0" w:color="74C4D7" w:themeColor="accent1"/>
          <w:bottom w:val="single" w:sz="2" w:space="0" w:color="74C4D7" w:themeColor="accent1"/>
          <w:right w:val="single" w:sz="2" w:space="0" w:color="74C4D7" w:themeColor="accent1"/>
          <w:insideH w:val="single" w:sz="2" w:space="0" w:color="74C4D7" w:themeColor="accent1"/>
          <w:insideV w:val="single" w:sz="2" w:space="0" w:color="74C4D7" w:themeColor="accent1"/>
          <w:tl2br w:val="nil"/>
          <w:tr2bl w:val="nil"/>
        </w:tcBorders>
        <w:shd w:val="clear" w:color="auto" w:fill="74C4D7" w:themeFill="accent1"/>
      </w:tcPr>
    </w:tblStylePr>
    <w:tblStylePr w:type="lastRow">
      <w:pPr>
        <w:wordWrap/>
      </w:pPr>
      <w:tblPr/>
      <w:tcPr>
        <w:tcBorders>
          <w:top w:val="single" w:sz="2" w:space="0" w:color="74C4D7" w:themeColor="accent1"/>
          <w:left w:val="single" w:sz="2" w:space="0" w:color="74C4D7" w:themeColor="accent1"/>
          <w:bottom w:val="single" w:sz="2" w:space="0" w:color="74C4D7" w:themeColor="accent1"/>
          <w:right w:val="single" w:sz="2" w:space="0" w:color="74C4D7" w:themeColor="accent1"/>
          <w:insideH w:val="single" w:sz="2" w:space="0" w:color="74C4D7" w:themeColor="accent1"/>
          <w:insideV w:val="single" w:sz="2" w:space="0" w:color="74C4D7" w:themeColor="accent1"/>
          <w:tl2br w:val="nil"/>
          <w:tr2bl w:val="nil"/>
        </w:tcBorders>
      </w:tcPr>
    </w:tblStylePr>
    <w:tblStylePr w:type="band1Horz">
      <w:pPr>
        <w:wordWrap/>
        <w:spacing w:line="240" w:lineRule="auto"/>
        <w:ind w:leftChars="0" w:left="0" w:rightChars="0" w:right="0"/>
      </w:pPr>
      <w:rPr>
        <w:rFonts w:ascii="Arial" w:hAnsi="Arial"/>
        <w:b w:val="0"/>
        <w:i w:val="0"/>
        <w:color w:val="auto"/>
        <w:sz w:val="20"/>
      </w:rPr>
      <w:tblPr/>
      <w:tcPr>
        <w:tcBorders>
          <w:top w:val="single" w:sz="2" w:space="0" w:color="74C4D7" w:themeColor="accent1"/>
          <w:left w:val="single" w:sz="2" w:space="0" w:color="74C4D7" w:themeColor="accent1"/>
          <w:bottom w:val="single" w:sz="2" w:space="0" w:color="74C4D7" w:themeColor="accent1"/>
          <w:right w:val="single" w:sz="2" w:space="0" w:color="74C4D7" w:themeColor="accent1"/>
          <w:insideH w:val="single" w:sz="2" w:space="0" w:color="74C4D7" w:themeColor="accent1"/>
          <w:insideV w:val="single" w:sz="2" w:space="0" w:color="74C4D7" w:themeColor="accent1"/>
          <w:tl2br w:val="nil"/>
          <w:tr2bl w:val="nil"/>
        </w:tcBorders>
      </w:tcPr>
    </w:tblStylePr>
    <w:tblStylePr w:type="band2Horz">
      <w:pPr>
        <w:wordWrap/>
        <w:spacing w:line="240" w:lineRule="auto"/>
        <w:ind w:leftChars="0" w:left="0" w:rightChars="0" w:right="0"/>
      </w:pPr>
      <w:rPr>
        <w:rFonts w:ascii="Arial" w:hAnsi="Arial"/>
        <w:b w:val="0"/>
        <w:i w:val="0"/>
        <w:color w:val="auto"/>
        <w:sz w:val="20"/>
      </w:rPr>
      <w:tblPr/>
      <w:tcPr>
        <w:tcBorders>
          <w:top w:val="single" w:sz="2" w:space="0" w:color="74C4D7" w:themeColor="accent1"/>
          <w:left w:val="single" w:sz="2" w:space="0" w:color="74C4D7" w:themeColor="accent1"/>
          <w:bottom w:val="single" w:sz="2" w:space="0" w:color="74C4D7" w:themeColor="accent1"/>
          <w:right w:val="single" w:sz="2" w:space="0" w:color="74C4D7" w:themeColor="accent1"/>
          <w:insideH w:val="single" w:sz="2" w:space="0" w:color="74C4D7" w:themeColor="accent1"/>
          <w:insideV w:val="single" w:sz="2" w:space="0" w:color="74C4D7" w:themeColor="accent1"/>
          <w:tl2br w:val="nil"/>
          <w:tr2bl w:val="nil"/>
        </w:tcBorders>
      </w:tcPr>
    </w:tblStylePr>
  </w:style>
  <w:style w:type="table" w:customStyle="1" w:styleId="JBAtableStyle41">
    <w:name w:val="JBA table Style 41"/>
    <w:basedOn w:val="TableNormal"/>
    <w:uiPriority w:val="99"/>
    <w:qFormat/>
    <w:rsid w:val="00EF0E0A"/>
    <w:tblPr>
      <w:tblStyleRowBandSize w:val="1"/>
      <w:tblInd w:w="833" w:type="dxa"/>
    </w:tblPr>
    <w:tblStylePr w:type="firstRow">
      <w:tblPr/>
      <w:tcPr>
        <w:tc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l2br w:val="nil"/>
          <w:tr2bl w:val="nil"/>
        </w:tcBorders>
        <w:shd w:val="clear" w:color="auto" w:fill="85CDDB"/>
      </w:tcPr>
    </w:tblStylePr>
    <w:tblStylePr w:type="lastRow">
      <w:tblPr/>
      <w:tcPr>
        <w:tc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l2br w:val="nil"/>
          <w:tr2bl w:val="nil"/>
        </w:tcBorders>
        <w:shd w:val="clear" w:color="auto" w:fill="85CDDB"/>
      </w:tcPr>
    </w:tblStylePr>
    <w:tblStylePr w:type="band1Horz">
      <w:tblPr/>
      <w:tcPr>
        <w:tc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l2br w:val="nil"/>
          <w:tr2bl w:val="nil"/>
        </w:tcBorders>
        <w:shd w:val="clear" w:color="auto" w:fill="DFF1F5"/>
      </w:tcPr>
    </w:tblStylePr>
    <w:tblStylePr w:type="band2Horz">
      <w:tblPr/>
      <w:tcPr>
        <w:tc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l2br w:val="nil"/>
          <w:tr2bl w:val="nil"/>
        </w:tcBorders>
        <w:shd w:val="clear" w:color="auto" w:fill="EEECE1"/>
      </w:tcPr>
    </w:tblStylePr>
  </w:style>
  <w:style w:type="table" w:customStyle="1" w:styleId="LightShading11">
    <w:name w:val="Light Shading11"/>
    <w:basedOn w:val="TableNormal"/>
    <w:uiPriority w:val="60"/>
    <w:rsid w:val="00EF0E0A"/>
    <w:rPr>
      <w:color w:val="000000"/>
    </w:rPr>
    <w:tblPr>
      <w:tblStyleRowBandSize w:val="1"/>
      <w:tblStyleColBandSize w:val="1"/>
      <w:tblInd w:w="833" w:type="dxa"/>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stTable411">
    <w:name w:val="List Table 411"/>
    <w:basedOn w:val="TableNormal"/>
    <w:next w:val="ListTable41"/>
    <w:uiPriority w:val="49"/>
    <w:rsid w:val="00EF0E0A"/>
    <w:tblPr>
      <w:tblStyleRowBandSize w:val="1"/>
      <w:tblStyleColBandSize w:val="1"/>
      <w:tblInd w:w="833"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1Light11">
    <w:name w:val="Grid Table 1 Light11"/>
    <w:basedOn w:val="TableNormal"/>
    <w:next w:val="GridTable1Light1"/>
    <w:uiPriority w:val="46"/>
    <w:rsid w:val="00EF0E0A"/>
    <w:tblPr>
      <w:tblStyleRowBandSize w:val="1"/>
      <w:tblStyleColBandSize w:val="1"/>
      <w:tblInd w:w="833"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ListTable6Colorful11">
    <w:name w:val="List Table 6 Colorful11"/>
    <w:basedOn w:val="TableNormal"/>
    <w:next w:val="ListTable6Colorful1"/>
    <w:uiPriority w:val="51"/>
    <w:rsid w:val="00EF0E0A"/>
    <w:rPr>
      <w:rFonts w:ascii="Verdana" w:hAnsi="Verdana"/>
      <w:color w:val="FFFFFF" w:themeColor="background1"/>
    </w:rPr>
    <w:tblPr>
      <w:tblStyleRowBandSize w:val="1"/>
      <w:tblStyleColBandSize w:val="1"/>
      <w:tblInd w:w="833" w:type="dxa"/>
      <w:tblBorders>
        <w:top w:val="single" w:sz="4" w:space="0" w:color="000000" w:themeColor="text1"/>
        <w:bottom w:val="single" w:sz="4" w:space="0" w:color="000000" w:themeColor="text1"/>
      </w:tblBorders>
    </w:tblPr>
    <w:tblStylePr w:type="firstRow">
      <w:rPr>
        <w:rFonts w:ascii="Arial" w:hAnsi="Arial"/>
        <w:b/>
        <w:bCs/>
      </w:rPr>
      <w:tblPr/>
      <w:tcPr>
        <w:tcBorders>
          <w:bottom w:val="single" w:sz="4" w:space="0" w:color="153B55"/>
          <w:right w:val="nil"/>
        </w:tcBorders>
      </w:tcPr>
    </w:tblStylePr>
    <w:tblStylePr w:type="lastRow">
      <w:rPr>
        <w:rFonts w:ascii="Arial" w:hAnsi="Arial"/>
        <w:b/>
        <w:bCs/>
      </w:rPr>
      <w:tblPr/>
      <w:tcPr>
        <w:tcBorders>
          <w:top w:val="double" w:sz="4" w:space="0" w:color="000000" w:themeColor="text1"/>
        </w:tcBorders>
      </w:tcPr>
    </w:tblStylePr>
    <w:tblStylePr w:type="firstCol">
      <w:rPr>
        <w:b w:val="0"/>
        <w:bCs/>
      </w:rPr>
    </w:tblStylePr>
    <w:tblStylePr w:type="lastCol">
      <w:rPr>
        <w:b/>
        <w:bCs/>
      </w:rPr>
    </w:tblStylePr>
    <w:tblStylePr w:type="band1Vert">
      <w:tblPr/>
      <w:tcPr>
        <w:shd w:val="clear" w:color="auto" w:fill="CCCCCC" w:themeFill="text1" w:themeFillTint="33"/>
      </w:tcPr>
    </w:tblStylePr>
    <w:tblStylePr w:type="band1Horz">
      <w:rPr>
        <w:rFonts w:ascii="Arial" w:hAnsi="Arial"/>
      </w:rPr>
      <w:tblPr/>
      <w:tcPr>
        <w:shd w:val="clear" w:color="auto" w:fill="CCCCCC" w:themeFill="text1" w:themeFillTint="33"/>
      </w:tcPr>
    </w:tblStylePr>
    <w:tblStylePr w:type="band2Horz">
      <w:rPr>
        <w:rFonts w:ascii="Arial" w:hAnsi="Arial"/>
      </w:rPr>
    </w:tblStylePr>
  </w:style>
  <w:style w:type="table" w:customStyle="1" w:styleId="PlainTable111">
    <w:name w:val="Plain Table 111"/>
    <w:basedOn w:val="TableNormal"/>
    <w:next w:val="PlainTable11"/>
    <w:uiPriority w:val="41"/>
    <w:rsid w:val="00EF0E0A"/>
    <w:tblPr>
      <w:tblStyleRowBandSize w:val="1"/>
      <w:tblStyleColBandSize w:val="1"/>
      <w:tblInd w:w="83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11">
    <w:name w:val="Plain Table 211"/>
    <w:basedOn w:val="TableNormal"/>
    <w:next w:val="PlainTable21"/>
    <w:uiPriority w:val="42"/>
    <w:rsid w:val="00EF0E0A"/>
    <w:tblPr>
      <w:tblStyleRowBandSize w:val="1"/>
      <w:tblStyleColBandSize w:val="1"/>
      <w:tblInd w:w="833" w:type="dxa"/>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311">
    <w:name w:val="Plain Table 311"/>
    <w:basedOn w:val="TableNormal"/>
    <w:next w:val="PlainTable31"/>
    <w:uiPriority w:val="43"/>
    <w:rsid w:val="00EF0E0A"/>
    <w:tblPr>
      <w:tblStyleRowBandSize w:val="1"/>
      <w:tblStyleColBandSize w:val="1"/>
      <w:tblInd w:w="833" w:type="dxa"/>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11">
    <w:name w:val="Plain Table 411"/>
    <w:basedOn w:val="TableNormal"/>
    <w:next w:val="PlainTable41"/>
    <w:uiPriority w:val="44"/>
    <w:rsid w:val="00EF0E0A"/>
    <w:tblPr>
      <w:tblStyleRowBandSize w:val="1"/>
      <w:tblStyleColBandSize w:val="1"/>
      <w:tblInd w:w="833" w:type="dxa"/>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11">
    <w:name w:val="Plain Table 511"/>
    <w:basedOn w:val="TableNormal"/>
    <w:next w:val="PlainTable51"/>
    <w:uiPriority w:val="45"/>
    <w:rsid w:val="00EF0E0A"/>
    <w:tblPr>
      <w:tblStyleRowBandSize w:val="1"/>
      <w:tblStyleColBandSize w:val="1"/>
      <w:tblInd w:w="833" w:type="dxa"/>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1Light-Accent111">
    <w:name w:val="Grid Table 1 Light - Accent 111"/>
    <w:basedOn w:val="TableNormal"/>
    <w:next w:val="GridTable1Light-Accent11"/>
    <w:uiPriority w:val="46"/>
    <w:rsid w:val="00EF0E0A"/>
    <w:tblPr>
      <w:tblStyleRowBandSize w:val="1"/>
      <w:tblStyleColBandSize w:val="1"/>
      <w:tblInd w:w="833" w:type="dxa"/>
      <w:tblBorders>
        <w:top w:val="single" w:sz="4" w:space="0" w:color="C7E7EF" w:themeColor="accent1" w:themeTint="66"/>
        <w:left w:val="single" w:sz="4" w:space="0" w:color="C7E7EF" w:themeColor="accent1" w:themeTint="66"/>
        <w:bottom w:val="single" w:sz="4" w:space="0" w:color="C7E7EF" w:themeColor="accent1" w:themeTint="66"/>
        <w:right w:val="single" w:sz="4" w:space="0" w:color="C7E7EF" w:themeColor="accent1" w:themeTint="66"/>
        <w:insideH w:val="single" w:sz="4" w:space="0" w:color="C7E7EF" w:themeColor="accent1" w:themeTint="66"/>
        <w:insideV w:val="single" w:sz="4" w:space="0" w:color="C7E7EF" w:themeColor="accent1" w:themeTint="66"/>
      </w:tblBorders>
    </w:tblPr>
    <w:tblStylePr w:type="firstRow">
      <w:rPr>
        <w:b/>
        <w:bCs/>
      </w:rPr>
      <w:tblPr/>
      <w:tcPr>
        <w:tcBorders>
          <w:bottom w:val="single" w:sz="12" w:space="0" w:color="ABDBE7" w:themeColor="accent1" w:themeTint="99"/>
        </w:tcBorders>
      </w:tcPr>
    </w:tblStylePr>
    <w:tblStylePr w:type="lastRow">
      <w:rPr>
        <w:b/>
        <w:bCs/>
      </w:rPr>
      <w:tblPr/>
      <w:tcPr>
        <w:tcBorders>
          <w:top w:val="double" w:sz="2" w:space="0" w:color="ABDBE7" w:themeColor="accent1" w:themeTint="99"/>
        </w:tcBorders>
      </w:tcPr>
    </w:tblStylePr>
    <w:tblStylePr w:type="firstCol">
      <w:rPr>
        <w:b/>
        <w:bCs/>
      </w:rPr>
    </w:tblStylePr>
    <w:tblStylePr w:type="lastCol">
      <w:rPr>
        <w:b/>
        <w:bCs/>
      </w:rPr>
    </w:tblStylePr>
  </w:style>
  <w:style w:type="table" w:customStyle="1" w:styleId="GridTable1Light-Accent211">
    <w:name w:val="Grid Table 1 Light - Accent 211"/>
    <w:basedOn w:val="TableNormal"/>
    <w:next w:val="GridTable1Light-Accent21"/>
    <w:uiPriority w:val="46"/>
    <w:rsid w:val="00EF0E0A"/>
    <w:tblPr>
      <w:tblStyleRowBandSize w:val="1"/>
      <w:tblStyleColBandSize w:val="1"/>
      <w:tblInd w:w="833" w:type="dxa"/>
      <w:tblBorders>
        <w:top w:val="single" w:sz="4" w:space="0" w:color="95DAF8" w:themeColor="accent2" w:themeTint="66"/>
        <w:left w:val="single" w:sz="4" w:space="0" w:color="95DAF8" w:themeColor="accent2" w:themeTint="66"/>
        <w:bottom w:val="single" w:sz="4" w:space="0" w:color="95DAF8" w:themeColor="accent2" w:themeTint="66"/>
        <w:right w:val="single" w:sz="4" w:space="0" w:color="95DAF8" w:themeColor="accent2" w:themeTint="66"/>
        <w:insideH w:val="single" w:sz="4" w:space="0" w:color="95DAF8" w:themeColor="accent2" w:themeTint="66"/>
        <w:insideV w:val="single" w:sz="4" w:space="0" w:color="95DAF8" w:themeColor="accent2" w:themeTint="66"/>
      </w:tblBorders>
    </w:tblPr>
    <w:tblStylePr w:type="firstRow">
      <w:rPr>
        <w:b/>
        <w:bCs/>
      </w:rPr>
      <w:tblPr/>
      <w:tcPr>
        <w:tcBorders>
          <w:bottom w:val="single" w:sz="12" w:space="0" w:color="61C8F5" w:themeColor="accent2" w:themeTint="99"/>
        </w:tcBorders>
      </w:tcPr>
    </w:tblStylePr>
    <w:tblStylePr w:type="lastRow">
      <w:rPr>
        <w:b/>
        <w:bCs/>
      </w:rPr>
      <w:tblPr/>
      <w:tcPr>
        <w:tcBorders>
          <w:top w:val="double" w:sz="2" w:space="0" w:color="61C8F5" w:themeColor="accent2" w:themeTint="99"/>
        </w:tcBorders>
      </w:tcPr>
    </w:tblStylePr>
    <w:tblStylePr w:type="firstCol">
      <w:rPr>
        <w:b/>
        <w:bCs/>
      </w:rPr>
    </w:tblStylePr>
    <w:tblStylePr w:type="lastCol">
      <w:rPr>
        <w:b/>
        <w:bCs/>
      </w:rPr>
    </w:tblStylePr>
  </w:style>
  <w:style w:type="table" w:customStyle="1" w:styleId="GridTable1Light-Accent311">
    <w:name w:val="Grid Table 1 Light - Accent 311"/>
    <w:basedOn w:val="TableNormal"/>
    <w:next w:val="GridTable1Light-Accent31"/>
    <w:uiPriority w:val="46"/>
    <w:rsid w:val="00EF0E0A"/>
    <w:tblPr>
      <w:tblStyleRowBandSize w:val="1"/>
      <w:tblStyleColBandSize w:val="1"/>
      <w:tblInd w:w="833" w:type="dxa"/>
      <w:tblBorders>
        <w:top w:val="single" w:sz="4" w:space="0" w:color="DCD9D7" w:themeColor="accent3" w:themeTint="66"/>
        <w:left w:val="single" w:sz="4" w:space="0" w:color="DCD9D7" w:themeColor="accent3" w:themeTint="66"/>
        <w:bottom w:val="single" w:sz="4" w:space="0" w:color="DCD9D7" w:themeColor="accent3" w:themeTint="66"/>
        <w:right w:val="single" w:sz="4" w:space="0" w:color="DCD9D7" w:themeColor="accent3" w:themeTint="66"/>
        <w:insideH w:val="single" w:sz="4" w:space="0" w:color="DCD9D7" w:themeColor="accent3" w:themeTint="66"/>
        <w:insideV w:val="single" w:sz="4" w:space="0" w:color="DCD9D7" w:themeColor="accent3" w:themeTint="66"/>
      </w:tblBorders>
    </w:tblPr>
    <w:tblStylePr w:type="firstRow">
      <w:rPr>
        <w:b/>
        <w:bCs/>
      </w:rPr>
      <w:tblPr/>
      <w:tcPr>
        <w:tcBorders>
          <w:bottom w:val="single" w:sz="12" w:space="0" w:color="CBC6C3" w:themeColor="accent3" w:themeTint="99"/>
        </w:tcBorders>
      </w:tcPr>
    </w:tblStylePr>
    <w:tblStylePr w:type="lastRow">
      <w:rPr>
        <w:b/>
        <w:bCs/>
      </w:rPr>
      <w:tblPr/>
      <w:tcPr>
        <w:tcBorders>
          <w:top w:val="double" w:sz="2" w:space="0" w:color="CBC6C3" w:themeColor="accent3" w:themeTint="99"/>
        </w:tcBorders>
      </w:tcPr>
    </w:tblStylePr>
    <w:tblStylePr w:type="firstCol">
      <w:rPr>
        <w:b/>
        <w:bCs/>
      </w:rPr>
    </w:tblStylePr>
    <w:tblStylePr w:type="lastCol">
      <w:rPr>
        <w:b/>
        <w:bCs/>
      </w:rPr>
    </w:tblStylePr>
  </w:style>
  <w:style w:type="table" w:customStyle="1" w:styleId="GridTable1Light-Accent411">
    <w:name w:val="Grid Table 1 Light - Accent 411"/>
    <w:basedOn w:val="TableNormal"/>
    <w:next w:val="GridTable1Light-Accent41"/>
    <w:uiPriority w:val="46"/>
    <w:rsid w:val="00EF0E0A"/>
    <w:tblPr>
      <w:tblStyleRowBandSize w:val="1"/>
      <w:tblStyleColBandSize w:val="1"/>
      <w:tblInd w:w="833" w:type="dxa"/>
      <w:tblBorders>
        <w:top w:val="single" w:sz="4" w:space="0" w:color="ECFD8E" w:themeColor="accent4" w:themeTint="66"/>
        <w:left w:val="single" w:sz="4" w:space="0" w:color="ECFD8E" w:themeColor="accent4" w:themeTint="66"/>
        <w:bottom w:val="single" w:sz="4" w:space="0" w:color="ECFD8E" w:themeColor="accent4" w:themeTint="66"/>
        <w:right w:val="single" w:sz="4" w:space="0" w:color="ECFD8E" w:themeColor="accent4" w:themeTint="66"/>
        <w:insideH w:val="single" w:sz="4" w:space="0" w:color="ECFD8E" w:themeColor="accent4" w:themeTint="66"/>
        <w:insideV w:val="single" w:sz="4" w:space="0" w:color="ECFD8E" w:themeColor="accent4" w:themeTint="66"/>
      </w:tblBorders>
    </w:tblPr>
    <w:tblStylePr w:type="firstRow">
      <w:rPr>
        <w:b/>
        <w:bCs/>
      </w:rPr>
      <w:tblPr/>
      <w:tcPr>
        <w:tcBorders>
          <w:bottom w:val="single" w:sz="12" w:space="0" w:color="E3FC56" w:themeColor="accent4" w:themeTint="99"/>
        </w:tcBorders>
      </w:tcPr>
    </w:tblStylePr>
    <w:tblStylePr w:type="lastRow">
      <w:rPr>
        <w:b/>
        <w:bCs/>
      </w:rPr>
      <w:tblPr/>
      <w:tcPr>
        <w:tcBorders>
          <w:top w:val="double" w:sz="2" w:space="0" w:color="E3FC56" w:themeColor="accent4" w:themeTint="99"/>
        </w:tcBorders>
      </w:tcPr>
    </w:tblStylePr>
    <w:tblStylePr w:type="firstCol">
      <w:rPr>
        <w:b/>
        <w:bCs/>
      </w:rPr>
    </w:tblStylePr>
    <w:tblStylePr w:type="lastCol">
      <w:rPr>
        <w:b/>
        <w:bCs/>
      </w:rPr>
    </w:tblStylePr>
  </w:style>
  <w:style w:type="table" w:customStyle="1" w:styleId="GridTable1Light-Accent511">
    <w:name w:val="Grid Table 1 Light - Accent 511"/>
    <w:basedOn w:val="TableNormal"/>
    <w:next w:val="GridTable1Light-Accent51"/>
    <w:uiPriority w:val="46"/>
    <w:rsid w:val="00EF0E0A"/>
    <w:tblPr>
      <w:tblStyleRowBandSize w:val="1"/>
      <w:tblStyleColBandSize w:val="1"/>
      <w:tblInd w:w="833" w:type="dxa"/>
      <w:tblBorders>
        <w:top w:val="single" w:sz="4" w:space="0" w:color="74DFFF" w:themeColor="accent5" w:themeTint="66"/>
        <w:left w:val="single" w:sz="4" w:space="0" w:color="74DFFF" w:themeColor="accent5" w:themeTint="66"/>
        <w:bottom w:val="single" w:sz="4" w:space="0" w:color="74DFFF" w:themeColor="accent5" w:themeTint="66"/>
        <w:right w:val="single" w:sz="4" w:space="0" w:color="74DFFF" w:themeColor="accent5" w:themeTint="66"/>
        <w:insideH w:val="single" w:sz="4" w:space="0" w:color="74DFFF" w:themeColor="accent5" w:themeTint="66"/>
        <w:insideV w:val="single" w:sz="4" w:space="0" w:color="74DFFF" w:themeColor="accent5" w:themeTint="66"/>
      </w:tblBorders>
    </w:tblPr>
    <w:tblStylePr w:type="firstRow">
      <w:rPr>
        <w:b/>
        <w:bCs/>
      </w:rPr>
      <w:tblPr/>
      <w:tcPr>
        <w:tcBorders>
          <w:bottom w:val="single" w:sz="12" w:space="0" w:color="2ED0FF" w:themeColor="accent5" w:themeTint="99"/>
        </w:tcBorders>
      </w:tcPr>
    </w:tblStylePr>
    <w:tblStylePr w:type="lastRow">
      <w:rPr>
        <w:b/>
        <w:bCs/>
      </w:rPr>
      <w:tblPr/>
      <w:tcPr>
        <w:tcBorders>
          <w:top w:val="double" w:sz="2" w:space="0" w:color="2ED0FF" w:themeColor="accent5" w:themeTint="99"/>
        </w:tcBorders>
      </w:tcPr>
    </w:tblStylePr>
    <w:tblStylePr w:type="firstCol">
      <w:rPr>
        <w:b/>
        <w:bCs/>
      </w:rPr>
    </w:tblStylePr>
    <w:tblStylePr w:type="lastCol">
      <w:rPr>
        <w:b/>
        <w:bCs/>
      </w:rPr>
    </w:tblStylePr>
  </w:style>
  <w:style w:type="table" w:customStyle="1" w:styleId="GridTable1Light-Accent611">
    <w:name w:val="Grid Table 1 Light - Accent 611"/>
    <w:basedOn w:val="TableNormal"/>
    <w:next w:val="GridTable1Light-Accent61"/>
    <w:uiPriority w:val="46"/>
    <w:rsid w:val="00EF0E0A"/>
    <w:tblPr>
      <w:tblStyleRowBandSize w:val="1"/>
      <w:tblStyleColBandSize w:val="1"/>
      <w:tblInd w:w="833" w:type="dxa"/>
      <w:tblBorders>
        <w:top w:val="single" w:sz="4" w:space="0" w:color="BDBDBD" w:themeColor="accent6" w:themeTint="66"/>
        <w:left w:val="single" w:sz="4" w:space="0" w:color="BDBDBD" w:themeColor="accent6" w:themeTint="66"/>
        <w:bottom w:val="single" w:sz="4" w:space="0" w:color="BDBDBD" w:themeColor="accent6" w:themeTint="66"/>
        <w:right w:val="single" w:sz="4" w:space="0" w:color="BDBDBD" w:themeColor="accent6" w:themeTint="66"/>
        <w:insideH w:val="single" w:sz="4" w:space="0" w:color="BDBDBD" w:themeColor="accent6" w:themeTint="66"/>
        <w:insideV w:val="single" w:sz="4" w:space="0" w:color="BDBDBD" w:themeColor="accent6" w:themeTint="66"/>
      </w:tblBorders>
    </w:tblPr>
    <w:tblStylePr w:type="firstRow">
      <w:rPr>
        <w:b/>
        <w:bCs/>
      </w:rPr>
      <w:tblPr/>
      <w:tcPr>
        <w:tcBorders>
          <w:bottom w:val="single" w:sz="12" w:space="0" w:color="9C9C9C" w:themeColor="accent6" w:themeTint="99"/>
        </w:tcBorders>
      </w:tcPr>
    </w:tblStylePr>
    <w:tblStylePr w:type="lastRow">
      <w:rPr>
        <w:b/>
        <w:bCs/>
      </w:rPr>
      <w:tblPr/>
      <w:tcPr>
        <w:tcBorders>
          <w:top w:val="double" w:sz="2" w:space="0" w:color="9C9C9C" w:themeColor="accent6" w:themeTint="99"/>
        </w:tcBorders>
      </w:tcPr>
    </w:tblStylePr>
    <w:tblStylePr w:type="firstCol">
      <w:rPr>
        <w:b/>
        <w:bCs/>
      </w:rPr>
    </w:tblStylePr>
    <w:tblStylePr w:type="lastCol">
      <w:rPr>
        <w:b/>
        <w:bCs/>
      </w:rPr>
    </w:tblStylePr>
  </w:style>
  <w:style w:type="table" w:customStyle="1" w:styleId="GridTable211">
    <w:name w:val="Grid Table 211"/>
    <w:basedOn w:val="TableNormal"/>
    <w:next w:val="GridTable21"/>
    <w:uiPriority w:val="47"/>
    <w:rsid w:val="00EF0E0A"/>
    <w:tblPr>
      <w:tblStyleRowBandSize w:val="1"/>
      <w:tblStyleColBandSize w:val="1"/>
      <w:tblInd w:w="833" w:type="dxa"/>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2-Accent111">
    <w:name w:val="Grid Table 2 - Accent 111"/>
    <w:basedOn w:val="TableNormal"/>
    <w:next w:val="GridTable2-Accent11"/>
    <w:uiPriority w:val="47"/>
    <w:rsid w:val="00EF0E0A"/>
    <w:tblPr>
      <w:tblStyleRowBandSize w:val="1"/>
      <w:tblStyleColBandSize w:val="1"/>
      <w:tblInd w:w="833" w:type="dxa"/>
      <w:tblBorders>
        <w:top w:val="single" w:sz="2" w:space="0" w:color="ABDBE7" w:themeColor="accent1" w:themeTint="99"/>
        <w:bottom w:val="single" w:sz="2" w:space="0" w:color="ABDBE7" w:themeColor="accent1" w:themeTint="99"/>
        <w:insideH w:val="single" w:sz="2" w:space="0" w:color="ABDBE7" w:themeColor="accent1" w:themeTint="99"/>
        <w:insideV w:val="single" w:sz="2" w:space="0" w:color="ABDBE7" w:themeColor="accent1" w:themeTint="99"/>
      </w:tblBorders>
    </w:tblPr>
    <w:tblStylePr w:type="firstRow">
      <w:rPr>
        <w:b/>
        <w:bCs/>
      </w:rPr>
      <w:tblPr/>
      <w:tcPr>
        <w:tcBorders>
          <w:top w:val="nil"/>
          <w:bottom w:val="single" w:sz="12" w:space="0" w:color="ABDBE7" w:themeColor="accent1" w:themeTint="99"/>
          <w:insideH w:val="nil"/>
          <w:insideV w:val="nil"/>
        </w:tcBorders>
        <w:shd w:val="clear" w:color="auto" w:fill="FFFFFF" w:themeFill="background1"/>
      </w:tcPr>
    </w:tblStylePr>
    <w:tblStylePr w:type="lastRow">
      <w:rPr>
        <w:b/>
        <w:bCs/>
      </w:rPr>
      <w:tblPr/>
      <w:tcPr>
        <w:tcBorders>
          <w:top w:val="double" w:sz="2" w:space="0" w:color="ABDBE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3F3F7" w:themeFill="accent1" w:themeFillTint="33"/>
      </w:tcPr>
    </w:tblStylePr>
    <w:tblStylePr w:type="band1Horz">
      <w:tblPr/>
      <w:tcPr>
        <w:shd w:val="clear" w:color="auto" w:fill="E3F3F7" w:themeFill="accent1" w:themeFillTint="33"/>
      </w:tcPr>
    </w:tblStylePr>
  </w:style>
  <w:style w:type="table" w:customStyle="1" w:styleId="GridTable2-Accent211">
    <w:name w:val="Grid Table 2 - Accent 211"/>
    <w:basedOn w:val="TableNormal"/>
    <w:next w:val="GridTable2-Accent21"/>
    <w:uiPriority w:val="47"/>
    <w:rsid w:val="00EF0E0A"/>
    <w:tblPr>
      <w:tblStyleRowBandSize w:val="1"/>
      <w:tblStyleColBandSize w:val="1"/>
      <w:tblInd w:w="833" w:type="dxa"/>
      <w:tblBorders>
        <w:top w:val="single" w:sz="2" w:space="0" w:color="61C8F5" w:themeColor="accent2" w:themeTint="99"/>
        <w:bottom w:val="single" w:sz="2" w:space="0" w:color="61C8F5" w:themeColor="accent2" w:themeTint="99"/>
        <w:insideH w:val="single" w:sz="2" w:space="0" w:color="61C8F5" w:themeColor="accent2" w:themeTint="99"/>
        <w:insideV w:val="single" w:sz="2" w:space="0" w:color="61C8F5" w:themeColor="accent2" w:themeTint="99"/>
      </w:tblBorders>
    </w:tblPr>
    <w:tblStylePr w:type="firstRow">
      <w:rPr>
        <w:b/>
        <w:bCs/>
      </w:rPr>
      <w:tblPr/>
      <w:tcPr>
        <w:tcBorders>
          <w:top w:val="nil"/>
          <w:bottom w:val="single" w:sz="12" w:space="0" w:color="61C8F5" w:themeColor="accent2" w:themeTint="99"/>
          <w:insideH w:val="nil"/>
          <w:insideV w:val="nil"/>
        </w:tcBorders>
        <w:shd w:val="clear" w:color="auto" w:fill="FFFFFF" w:themeFill="background1"/>
      </w:tcPr>
    </w:tblStylePr>
    <w:tblStylePr w:type="lastRow">
      <w:rPr>
        <w:b/>
        <w:bCs/>
      </w:rPr>
      <w:tblPr/>
      <w:tcPr>
        <w:tcBorders>
          <w:top w:val="double" w:sz="2" w:space="0" w:color="61C8F5"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AEDFC" w:themeFill="accent2" w:themeFillTint="33"/>
      </w:tcPr>
    </w:tblStylePr>
    <w:tblStylePr w:type="band1Horz">
      <w:tblPr/>
      <w:tcPr>
        <w:shd w:val="clear" w:color="auto" w:fill="CAEDFC" w:themeFill="accent2" w:themeFillTint="33"/>
      </w:tcPr>
    </w:tblStylePr>
  </w:style>
  <w:style w:type="table" w:customStyle="1" w:styleId="GridTable2-Accent311">
    <w:name w:val="Grid Table 2 - Accent 311"/>
    <w:basedOn w:val="TableNormal"/>
    <w:next w:val="GridTable2-Accent31"/>
    <w:uiPriority w:val="47"/>
    <w:rsid w:val="00EF0E0A"/>
    <w:tblPr>
      <w:tblStyleRowBandSize w:val="1"/>
      <w:tblStyleColBandSize w:val="1"/>
      <w:tblInd w:w="833" w:type="dxa"/>
      <w:tblBorders>
        <w:top w:val="single" w:sz="2" w:space="0" w:color="CBC6C3" w:themeColor="accent3" w:themeTint="99"/>
        <w:bottom w:val="single" w:sz="2" w:space="0" w:color="CBC6C3" w:themeColor="accent3" w:themeTint="99"/>
        <w:insideH w:val="single" w:sz="2" w:space="0" w:color="CBC6C3" w:themeColor="accent3" w:themeTint="99"/>
        <w:insideV w:val="single" w:sz="2" w:space="0" w:color="CBC6C3" w:themeColor="accent3" w:themeTint="99"/>
      </w:tblBorders>
    </w:tblPr>
    <w:tblStylePr w:type="firstRow">
      <w:rPr>
        <w:b/>
        <w:bCs/>
      </w:rPr>
      <w:tblPr/>
      <w:tcPr>
        <w:tcBorders>
          <w:top w:val="nil"/>
          <w:bottom w:val="single" w:sz="12" w:space="0" w:color="CBC6C3" w:themeColor="accent3" w:themeTint="99"/>
          <w:insideH w:val="nil"/>
          <w:insideV w:val="nil"/>
        </w:tcBorders>
        <w:shd w:val="clear" w:color="auto" w:fill="FFFFFF" w:themeFill="background1"/>
      </w:tcPr>
    </w:tblStylePr>
    <w:tblStylePr w:type="lastRow">
      <w:rPr>
        <w:b/>
        <w:bCs/>
      </w:rPr>
      <w:tblPr/>
      <w:tcPr>
        <w:tcBorders>
          <w:top w:val="double" w:sz="2" w:space="0" w:color="CBC6C3"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CEB" w:themeFill="accent3" w:themeFillTint="33"/>
      </w:tcPr>
    </w:tblStylePr>
    <w:tblStylePr w:type="band1Horz">
      <w:tblPr/>
      <w:tcPr>
        <w:shd w:val="clear" w:color="auto" w:fill="EDECEB" w:themeFill="accent3" w:themeFillTint="33"/>
      </w:tcPr>
    </w:tblStylePr>
  </w:style>
  <w:style w:type="table" w:customStyle="1" w:styleId="GridTable2-Accent411">
    <w:name w:val="Grid Table 2 - Accent 411"/>
    <w:basedOn w:val="TableNormal"/>
    <w:next w:val="GridTable2-Accent41"/>
    <w:uiPriority w:val="47"/>
    <w:rsid w:val="00EF0E0A"/>
    <w:tblPr>
      <w:tblStyleRowBandSize w:val="1"/>
      <w:tblStyleColBandSize w:val="1"/>
      <w:tblInd w:w="833" w:type="dxa"/>
      <w:tblBorders>
        <w:top w:val="single" w:sz="2" w:space="0" w:color="E3FC56" w:themeColor="accent4" w:themeTint="99"/>
        <w:bottom w:val="single" w:sz="2" w:space="0" w:color="E3FC56" w:themeColor="accent4" w:themeTint="99"/>
        <w:insideH w:val="single" w:sz="2" w:space="0" w:color="E3FC56" w:themeColor="accent4" w:themeTint="99"/>
        <w:insideV w:val="single" w:sz="2" w:space="0" w:color="E3FC56" w:themeColor="accent4" w:themeTint="99"/>
      </w:tblBorders>
    </w:tblPr>
    <w:tblStylePr w:type="firstRow">
      <w:rPr>
        <w:b/>
        <w:bCs/>
      </w:rPr>
      <w:tblPr/>
      <w:tcPr>
        <w:tcBorders>
          <w:top w:val="nil"/>
          <w:bottom w:val="single" w:sz="12" w:space="0" w:color="E3FC56" w:themeColor="accent4" w:themeTint="99"/>
          <w:insideH w:val="nil"/>
          <w:insideV w:val="nil"/>
        </w:tcBorders>
        <w:shd w:val="clear" w:color="auto" w:fill="FFFFFF" w:themeFill="background1"/>
      </w:tcPr>
    </w:tblStylePr>
    <w:tblStylePr w:type="lastRow">
      <w:rPr>
        <w:b/>
        <w:bCs/>
      </w:rPr>
      <w:tblPr/>
      <w:tcPr>
        <w:tcBorders>
          <w:top w:val="double" w:sz="2" w:space="0" w:color="E3FC5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5FEC6" w:themeFill="accent4" w:themeFillTint="33"/>
      </w:tcPr>
    </w:tblStylePr>
    <w:tblStylePr w:type="band1Horz">
      <w:tblPr/>
      <w:tcPr>
        <w:shd w:val="clear" w:color="auto" w:fill="F5FEC6" w:themeFill="accent4" w:themeFillTint="33"/>
      </w:tcPr>
    </w:tblStylePr>
  </w:style>
  <w:style w:type="table" w:customStyle="1" w:styleId="GridTable2-Accent511">
    <w:name w:val="Grid Table 2 - Accent 511"/>
    <w:basedOn w:val="TableNormal"/>
    <w:next w:val="GridTable2-Accent51"/>
    <w:uiPriority w:val="47"/>
    <w:rsid w:val="00EF0E0A"/>
    <w:tblPr>
      <w:tblStyleRowBandSize w:val="1"/>
      <w:tblStyleColBandSize w:val="1"/>
      <w:tblInd w:w="833" w:type="dxa"/>
      <w:tblBorders>
        <w:top w:val="single" w:sz="2" w:space="0" w:color="2ED0FF" w:themeColor="accent5" w:themeTint="99"/>
        <w:bottom w:val="single" w:sz="2" w:space="0" w:color="2ED0FF" w:themeColor="accent5" w:themeTint="99"/>
        <w:insideH w:val="single" w:sz="2" w:space="0" w:color="2ED0FF" w:themeColor="accent5" w:themeTint="99"/>
        <w:insideV w:val="single" w:sz="2" w:space="0" w:color="2ED0FF" w:themeColor="accent5" w:themeTint="99"/>
      </w:tblBorders>
    </w:tblPr>
    <w:tblStylePr w:type="firstRow">
      <w:rPr>
        <w:b/>
        <w:bCs/>
      </w:rPr>
      <w:tblPr/>
      <w:tcPr>
        <w:tcBorders>
          <w:top w:val="nil"/>
          <w:bottom w:val="single" w:sz="12" w:space="0" w:color="2ED0FF" w:themeColor="accent5" w:themeTint="99"/>
          <w:insideH w:val="nil"/>
          <w:insideV w:val="nil"/>
        </w:tcBorders>
        <w:shd w:val="clear" w:color="auto" w:fill="FFFFFF" w:themeFill="background1"/>
      </w:tcPr>
    </w:tblStylePr>
    <w:tblStylePr w:type="lastRow">
      <w:rPr>
        <w:b/>
        <w:bCs/>
      </w:rPr>
      <w:tblPr/>
      <w:tcPr>
        <w:tcBorders>
          <w:top w:val="double" w:sz="2" w:space="0" w:color="2ED0FF"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9EFFF" w:themeFill="accent5" w:themeFillTint="33"/>
      </w:tcPr>
    </w:tblStylePr>
    <w:tblStylePr w:type="band1Horz">
      <w:tblPr/>
      <w:tcPr>
        <w:shd w:val="clear" w:color="auto" w:fill="B9EFFF" w:themeFill="accent5" w:themeFillTint="33"/>
      </w:tcPr>
    </w:tblStylePr>
  </w:style>
  <w:style w:type="table" w:customStyle="1" w:styleId="GridTable2-Accent611">
    <w:name w:val="Grid Table 2 - Accent 611"/>
    <w:basedOn w:val="TableNormal"/>
    <w:next w:val="GridTable2-Accent61"/>
    <w:uiPriority w:val="47"/>
    <w:rsid w:val="00EF0E0A"/>
    <w:tblPr>
      <w:tblStyleRowBandSize w:val="1"/>
      <w:tblStyleColBandSize w:val="1"/>
      <w:tblInd w:w="833" w:type="dxa"/>
      <w:tblBorders>
        <w:top w:val="single" w:sz="2" w:space="0" w:color="9C9C9C" w:themeColor="accent6" w:themeTint="99"/>
        <w:bottom w:val="single" w:sz="2" w:space="0" w:color="9C9C9C" w:themeColor="accent6" w:themeTint="99"/>
        <w:insideH w:val="single" w:sz="2" w:space="0" w:color="9C9C9C" w:themeColor="accent6" w:themeTint="99"/>
        <w:insideV w:val="single" w:sz="2" w:space="0" w:color="9C9C9C" w:themeColor="accent6" w:themeTint="99"/>
      </w:tblBorders>
    </w:tblPr>
    <w:tblStylePr w:type="firstRow">
      <w:rPr>
        <w:b/>
        <w:bCs/>
      </w:rPr>
      <w:tblPr/>
      <w:tcPr>
        <w:tcBorders>
          <w:top w:val="nil"/>
          <w:bottom w:val="single" w:sz="12" w:space="0" w:color="9C9C9C" w:themeColor="accent6" w:themeTint="99"/>
          <w:insideH w:val="nil"/>
          <w:insideV w:val="nil"/>
        </w:tcBorders>
        <w:shd w:val="clear" w:color="auto" w:fill="FFFFFF" w:themeFill="background1"/>
      </w:tcPr>
    </w:tblStylePr>
    <w:tblStylePr w:type="lastRow">
      <w:rPr>
        <w:b/>
        <w:bCs/>
      </w:rPr>
      <w:tblPr/>
      <w:tcPr>
        <w:tcBorders>
          <w:top w:val="double" w:sz="2" w:space="0" w:color="9C9C9C"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DEDE" w:themeFill="accent6" w:themeFillTint="33"/>
      </w:tcPr>
    </w:tblStylePr>
    <w:tblStylePr w:type="band1Horz">
      <w:tblPr/>
      <w:tcPr>
        <w:shd w:val="clear" w:color="auto" w:fill="DEDEDE" w:themeFill="accent6" w:themeFillTint="33"/>
      </w:tcPr>
    </w:tblStylePr>
  </w:style>
  <w:style w:type="table" w:customStyle="1" w:styleId="GridTable311">
    <w:name w:val="Grid Table 311"/>
    <w:basedOn w:val="TableNormal"/>
    <w:next w:val="GridTable31"/>
    <w:uiPriority w:val="48"/>
    <w:rsid w:val="00EF0E0A"/>
    <w:tblPr>
      <w:tblStyleRowBandSize w:val="1"/>
      <w:tblStyleColBandSize w:val="1"/>
      <w:tblInd w:w="833"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3-Accent111">
    <w:name w:val="Grid Table 3 - Accent 111"/>
    <w:basedOn w:val="TableNormal"/>
    <w:next w:val="GridTable3-Accent11"/>
    <w:uiPriority w:val="48"/>
    <w:rsid w:val="00EF0E0A"/>
    <w:tblPr>
      <w:tblStyleRowBandSize w:val="1"/>
      <w:tblStyleColBandSize w:val="1"/>
      <w:tblInd w:w="833" w:type="dxa"/>
      <w:tblBorders>
        <w:top w:val="single" w:sz="4" w:space="0" w:color="ABDBE7" w:themeColor="accent1" w:themeTint="99"/>
        <w:left w:val="single" w:sz="4" w:space="0" w:color="ABDBE7" w:themeColor="accent1" w:themeTint="99"/>
        <w:bottom w:val="single" w:sz="4" w:space="0" w:color="ABDBE7" w:themeColor="accent1" w:themeTint="99"/>
        <w:right w:val="single" w:sz="4" w:space="0" w:color="ABDBE7" w:themeColor="accent1" w:themeTint="99"/>
        <w:insideH w:val="single" w:sz="4" w:space="0" w:color="ABDBE7" w:themeColor="accent1" w:themeTint="99"/>
        <w:insideV w:val="single" w:sz="4" w:space="0" w:color="ABDBE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3F3F7" w:themeFill="accent1" w:themeFillTint="33"/>
      </w:tcPr>
    </w:tblStylePr>
    <w:tblStylePr w:type="band1Horz">
      <w:tblPr/>
      <w:tcPr>
        <w:shd w:val="clear" w:color="auto" w:fill="E3F3F7" w:themeFill="accent1" w:themeFillTint="33"/>
      </w:tcPr>
    </w:tblStylePr>
    <w:tblStylePr w:type="neCell">
      <w:tblPr/>
      <w:tcPr>
        <w:tcBorders>
          <w:bottom w:val="single" w:sz="4" w:space="0" w:color="ABDBE7" w:themeColor="accent1" w:themeTint="99"/>
        </w:tcBorders>
      </w:tcPr>
    </w:tblStylePr>
    <w:tblStylePr w:type="nwCell">
      <w:tblPr/>
      <w:tcPr>
        <w:tcBorders>
          <w:bottom w:val="single" w:sz="4" w:space="0" w:color="ABDBE7" w:themeColor="accent1" w:themeTint="99"/>
        </w:tcBorders>
      </w:tcPr>
    </w:tblStylePr>
    <w:tblStylePr w:type="seCell">
      <w:tblPr/>
      <w:tcPr>
        <w:tcBorders>
          <w:top w:val="single" w:sz="4" w:space="0" w:color="ABDBE7" w:themeColor="accent1" w:themeTint="99"/>
        </w:tcBorders>
      </w:tcPr>
    </w:tblStylePr>
    <w:tblStylePr w:type="swCell">
      <w:tblPr/>
      <w:tcPr>
        <w:tcBorders>
          <w:top w:val="single" w:sz="4" w:space="0" w:color="ABDBE7" w:themeColor="accent1" w:themeTint="99"/>
        </w:tcBorders>
      </w:tcPr>
    </w:tblStylePr>
  </w:style>
  <w:style w:type="table" w:customStyle="1" w:styleId="GridTable3-Accent211">
    <w:name w:val="Grid Table 3 - Accent 211"/>
    <w:basedOn w:val="TableNormal"/>
    <w:next w:val="GridTable3-Accent21"/>
    <w:uiPriority w:val="48"/>
    <w:rsid w:val="00EF0E0A"/>
    <w:tblPr>
      <w:tblStyleRowBandSize w:val="1"/>
      <w:tblStyleColBandSize w:val="1"/>
      <w:tblInd w:w="833" w:type="dxa"/>
      <w:tblBorders>
        <w:top w:val="single" w:sz="4" w:space="0" w:color="61C8F5" w:themeColor="accent2" w:themeTint="99"/>
        <w:left w:val="single" w:sz="4" w:space="0" w:color="61C8F5" w:themeColor="accent2" w:themeTint="99"/>
        <w:bottom w:val="single" w:sz="4" w:space="0" w:color="61C8F5" w:themeColor="accent2" w:themeTint="99"/>
        <w:right w:val="single" w:sz="4" w:space="0" w:color="61C8F5" w:themeColor="accent2" w:themeTint="99"/>
        <w:insideH w:val="single" w:sz="4" w:space="0" w:color="61C8F5" w:themeColor="accent2" w:themeTint="99"/>
        <w:insideV w:val="single" w:sz="4" w:space="0" w:color="61C8F5"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AEDFC" w:themeFill="accent2" w:themeFillTint="33"/>
      </w:tcPr>
    </w:tblStylePr>
    <w:tblStylePr w:type="band1Horz">
      <w:tblPr/>
      <w:tcPr>
        <w:shd w:val="clear" w:color="auto" w:fill="CAEDFC" w:themeFill="accent2" w:themeFillTint="33"/>
      </w:tcPr>
    </w:tblStylePr>
    <w:tblStylePr w:type="neCell">
      <w:tblPr/>
      <w:tcPr>
        <w:tcBorders>
          <w:bottom w:val="single" w:sz="4" w:space="0" w:color="61C8F5" w:themeColor="accent2" w:themeTint="99"/>
        </w:tcBorders>
      </w:tcPr>
    </w:tblStylePr>
    <w:tblStylePr w:type="nwCell">
      <w:tblPr/>
      <w:tcPr>
        <w:tcBorders>
          <w:bottom w:val="single" w:sz="4" w:space="0" w:color="61C8F5" w:themeColor="accent2" w:themeTint="99"/>
        </w:tcBorders>
      </w:tcPr>
    </w:tblStylePr>
    <w:tblStylePr w:type="seCell">
      <w:tblPr/>
      <w:tcPr>
        <w:tcBorders>
          <w:top w:val="single" w:sz="4" w:space="0" w:color="61C8F5" w:themeColor="accent2" w:themeTint="99"/>
        </w:tcBorders>
      </w:tcPr>
    </w:tblStylePr>
    <w:tblStylePr w:type="swCell">
      <w:tblPr/>
      <w:tcPr>
        <w:tcBorders>
          <w:top w:val="single" w:sz="4" w:space="0" w:color="61C8F5" w:themeColor="accent2" w:themeTint="99"/>
        </w:tcBorders>
      </w:tcPr>
    </w:tblStylePr>
  </w:style>
  <w:style w:type="table" w:customStyle="1" w:styleId="GridTable7Colorful11">
    <w:name w:val="Grid Table 7 Colorful11"/>
    <w:basedOn w:val="TableNormal"/>
    <w:next w:val="GridTable7Colorful1"/>
    <w:uiPriority w:val="52"/>
    <w:rsid w:val="00EF0E0A"/>
    <w:rPr>
      <w:color w:val="000000" w:themeColor="text1"/>
    </w:rPr>
    <w:tblPr>
      <w:tblStyleRowBandSize w:val="1"/>
      <w:tblStyleColBandSize w:val="1"/>
      <w:tblInd w:w="833"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7Colorful-Accent111">
    <w:name w:val="Grid Table 7 Colorful - Accent 111"/>
    <w:basedOn w:val="TableNormal"/>
    <w:next w:val="GridTable7Colorful-Accent11"/>
    <w:uiPriority w:val="52"/>
    <w:rsid w:val="00EF0E0A"/>
    <w:rPr>
      <w:color w:val="37A5C0" w:themeColor="accent1" w:themeShade="BF"/>
    </w:rPr>
    <w:tblPr>
      <w:tblStyleRowBandSize w:val="1"/>
      <w:tblStyleColBandSize w:val="1"/>
      <w:tblInd w:w="833" w:type="dxa"/>
      <w:tblBorders>
        <w:top w:val="single" w:sz="4" w:space="0" w:color="ABDBE7" w:themeColor="accent1" w:themeTint="99"/>
        <w:left w:val="single" w:sz="4" w:space="0" w:color="ABDBE7" w:themeColor="accent1" w:themeTint="99"/>
        <w:bottom w:val="single" w:sz="4" w:space="0" w:color="ABDBE7" w:themeColor="accent1" w:themeTint="99"/>
        <w:right w:val="single" w:sz="4" w:space="0" w:color="ABDBE7" w:themeColor="accent1" w:themeTint="99"/>
        <w:insideH w:val="single" w:sz="4" w:space="0" w:color="ABDBE7" w:themeColor="accent1" w:themeTint="99"/>
        <w:insideV w:val="single" w:sz="4" w:space="0" w:color="ABDBE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3F3F7" w:themeFill="accent1" w:themeFillTint="33"/>
      </w:tcPr>
    </w:tblStylePr>
    <w:tblStylePr w:type="band1Horz">
      <w:tblPr/>
      <w:tcPr>
        <w:shd w:val="clear" w:color="auto" w:fill="E3F3F7" w:themeFill="accent1" w:themeFillTint="33"/>
      </w:tcPr>
    </w:tblStylePr>
    <w:tblStylePr w:type="neCell">
      <w:tblPr/>
      <w:tcPr>
        <w:tcBorders>
          <w:bottom w:val="single" w:sz="4" w:space="0" w:color="ABDBE7" w:themeColor="accent1" w:themeTint="99"/>
        </w:tcBorders>
      </w:tcPr>
    </w:tblStylePr>
    <w:tblStylePr w:type="nwCell">
      <w:tblPr/>
      <w:tcPr>
        <w:tcBorders>
          <w:bottom w:val="single" w:sz="4" w:space="0" w:color="ABDBE7" w:themeColor="accent1" w:themeTint="99"/>
        </w:tcBorders>
      </w:tcPr>
    </w:tblStylePr>
    <w:tblStylePr w:type="seCell">
      <w:tblPr/>
      <w:tcPr>
        <w:tcBorders>
          <w:top w:val="single" w:sz="4" w:space="0" w:color="ABDBE7" w:themeColor="accent1" w:themeTint="99"/>
        </w:tcBorders>
      </w:tcPr>
    </w:tblStylePr>
    <w:tblStylePr w:type="swCell">
      <w:tblPr/>
      <w:tcPr>
        <w:tcBorders>
          <w:top w:val="single" w:sz="4" w:space="0" w:color="ABDBE7" w:themeColor="accent1" w:themeTint="99"/>
        </w:tcBorders>
      </w:tcPr>
    </w:tblStylePr>
  </w:style>
  <w:style w:type="table" w:customStyle="1" w:styleId="GridTable7Colorful-Accent211">
    <w:name w:val="Grid Table 7 Colorful - Accent 211"/>
    <w:basedOn w:val="TableNormal"/>
    <w:next w:val="GridTable7Colorful-Accent21"/>
    <w:uiPriority w:val="52"/>
    <w:rsid w:val="00EF0E0A"/>
    <w:rPr>
      <w:color w:val="0975A3" w:themeColor="accent2" w:themeShade="BF"/>
    </w:rPr>
    <w:tblPr>
      <w:tblStyleRowBandSize w:val="1"/>
      <w:tblStyleColBandSize w:val="1"/>
      <w:tblInd w:w="833" w:type="dxa"/>
      <w:tblBorders>
        <w:top w:val="single" w:sz="4" w:space="0" w:color="61C8F5" w:themeColor="accent2" w:themeTint="99"/>
        <w:left w:val="single" w:sz="4" w:space="0" w:color="61C8F5" w:themeColor="accent2" w:themeTint="99"/>
        <w:bottom w:val="single" w:sz="4" w:space="0" w:color="61C8F5" w:themeColor="accent2" w:themeTint="99"/>
        <w:right w:val="single" w:sz="4" w:space="0" w:color="61C8F5" w:themeColor="accent2" w:themeTint="99"/>
        <w:insideH w:val="single" w:sz="4" w:space="0" w:color="61C8F5" w:themeColor="accent2" w:themeTint="99"/>
        <w:insideV w:val="single" w:sz="4" w:space="0" w:color="61C8F5"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AEDFC" w:themeFill="accent2" w:themeFillTint="33"/>
      </w:tcPr>
    </w:tblStylePr>
    <w:tblStylePr w:type="band1Horz">
      <w:tblPr/>
      <w:tcPr>
        <w:shd w:val="clear" w:color="auto" w:fill="CAEDFC" w:themeFill="accent2" w:themeFillTint="33"/>
      </w:tcPr>
    </w:tblStylePr>
    <w:tblStylePr w:type="neCell">
      <w:tblPr/>
      <w:tcPr>
        <w:tcBorders>
          <w:bottom w:val="single" w:sz="4" w:space="0" w:color="61C8F5" w:themeColor="accent2" w:themeTint="99"/>
        </w:tcBorders>
      </w:tcPr>
    </w:tblStylePr>
    <w:tblStylePr w:type="nwCell">
      <w:tblPr/>
      <w:tcPr>
        <w:tcBorders>
          <w:bottom w:val="single" w:sz="4" w:space="0" w:color="61C8F5" w:themeColor="accent2" w:themeTint="99"/>
        </w:tcBorders>
      </w:tcPr>
    </w:tblStylePr>
    <w:tblStylePr w:type="seCell">
      <w:tblPr/>
      <w:tcPr>
        <w:tcBorders>
          <w:top w:val="single" w:sz="4" w:space="0" w:color="61C8F5" w:themeColor="accent2" w:themeTint="99"/>
        </w:tcBorders>
      </w:tcPr>
    </w:tblStylePr>
    <w:tblStylePr w:type="swCell">
      <w:tblPr/>
      <w:tcPr>
        <w:tcBorders>
          <w:top w:val="single" w:sz="4" w:space="0" w:color="61C8F5" w:themeColor="accent2" w:themeTint="99"/>
        </w:tcBorders>
      </w:tcPr>
    </w:tblStylePr>
  </w:style>
  <w:style w:type="table" w:customStyle="1" w:styleId="GridTable7Colorful-Accent311">
    <w:name w:val="Grid Table 7 Colorful - Accent 311"/>
    <w:basedOn w:val="TableNormal"/>
    <w:next w:val="GridTable7Colorful-Accent31"/>
    <w:uiPriority w:val="52"/>
    <w:rsid w:val="00EF0E0A"/>
    <w:rPr>
      <w:color w:val="827771" w:themeColor="accent3" w:themeShade="BF"/>
    </w:rPr>
    <w:tblPr>
      <w:tblStyleRowBandSize w:val="1"/>
      <w:tblStyleColBandSize w:val="1"/>
      <w:tblInd w:w="833" w:type="dxa"/>
      <w:tblBorders>
        <w:top w:val="single" w:sz="4" w:space="0" w:color="CBC6C3" w:themeColor="accent3" w:themeTint="99"/>
        <w:left w:val="single" w:sz="4" w:space="0" w:color="CBC6C3" w:themeColor="accent3" w:themeTint="99"/>
        <w:bottom w:val="single" w:sz="4" w:space="0" w:color="CBC6C3" w:themeColor="accent3" w:themeTint="99"/>
        <w:right w:val="single" w:sz="4" w:space="0" w:color="CBC6C3" w:themeColor="accent3" w:themeTint="99"/>
        <w:insideH w:val="single" w:sz="4" w:space="0" w:color="CBC6C3" w:themeColor="accent3" w:themeTint="99"/>
        <w:insideV w:val="single" w:sz="4" w:space="0" w:color="CBC6C3"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CEB" w:themeFill="accent3" w:themeFillTint="33"/>
      </w:tcPr>
    </w:tblStylePr>
    <w:tblStylePr w:type="band1Horz">
      <w:tblPr/>
      <w:tcPr>
        <w:shd w:val="clear" w:color="auto" w:fill="EDECEB" w:themeFill="accent3" w:themeFillTint="33"/>
      </w:tcPr>
    </w:tblStylePr>
    <w:tblStylePr w:type="neCell">
      <w:tblPr/>
      <w:tcPr>
        <w:tcBorders>
          <w:bottom w:val="single" w:sz="4" w:space="0" w:color="CBC6C3" w:themeColor="accent3" w:themeTint="99"/>
        </w:tcBorders>
      </w:tcPr>
    </w:tblStylePr>
    <w:tblStylePr w:type="nwCell">
      <w:tblPr/>
      <w:tcPr>
        <w:tcBorders>
          <w:bottom w:val="single" w:sz="4" w:space="0" w:color="CBC6C3" w:themeColor="accent3" w:themeTint="99"/>
        </w:tcBorders>
      </w:tcPr>
    </w:tblStylePr>
    <w:tblStylePr w:type="seCell">
      <w:tblPr/>
      <w:tcPr>
        <w:tcBorders>
          <w:top w:val="single" w:sz="4" w:space="0" w:color="CBC6C3" w:themeColor="accent3" w:themeTint="99"/>
        </w:tcBorders>
      </w:tcPr>
    </w:tblStylePr>
    <w:tblStylePr w:type="swCell">
      <w:tblPr/>
      <w:tcPr>
        <w:tcBorders>
          <w:top w:val="single" w:sz="4" w:space="0" w:color="CBC6C3" w:themeColor="accent3" w:themeTint="99"/>
        </w:tcBorders>
      </w:tcPr>
    </w:tblStylePr>
  </w:style>
  <w:style w:type="table" w:customStyle="1" w:styleId="GridTable7Colorful-Accent411">
    <w:name w:val="Grid Table 7 Colorful - Accent 411"/>
    <w:basedOn w:val="TableNormal"/>
    <w:next w:val="GridTable7Colorful-Accent41"/>
    <w:uiPriority w:val="52"/>
    <w:rsid w:val="00EF0E0A"/>
    <w:rPr>
      <w:color w:val="8DA403" w:themeColor="accent4" w:themeShade="BF"/>
    </w:rPr>
    <w:tblPr>
      <w:tblStyleRowBandSize w:val="1"/>
      <w:tblStyleColBandSize w:val="1"/>
      <w:tblInd w:w="833" w:type="dxa"/>
      <w:tblBorders>
        <w:top w:val="single" w:sz="4" w:space="0" w:color="E3FC56" w:themeColor="accent4" w:themeTint="99"/>
        <w:left w:val="single" w:sz="4" w:space="0" w:color="E3FC56" w:themeColor="accent4" w:themeTint="99"/>
        <w:bottom w:val="single" w:sz="4" w:space="0" w:color="E3FC56" w:themeColor="accent4" w:themeTint="99"/>
        <w:right w:val="single" w:sz="4" w:space="0" w:color="E3FC56" w:themeColor="accent4" w:themeTint="99"/>
        <w:insideH w:val="single" w:sz="4" w:space="0" w:color="E3FC56" w:themeColor="accent4" w:themeTint="99"/>
        <w:insideV w:val="single" w:sz="4" w:space="0" w:color="E3FC5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5FEC6" w:themeFill="accent4" w:themeFillTint="33"/>
      </w:tcPr>
    </w:tblStylePr>
    <w:tblStylePr w:type="band1Horz">
      <w:tblPr/>
      <w:tcPr>
        <w:shd w:val="clear" w:color="auto" w:fill="F5FEC6" w:themeFill="accent4" w:themeFillTint="33"/>
      </w:tcPr>
    </w:tblStylePr>
    <w:tblStylePr w:type="neCell">
      <w:tblPr/>
      <w:tcPr>
        <w:tcBorders>
          <w:bottom w:val="single" w:sz="4" w:space="0" w:color="E3FC56" w:themeColor="accent4" w:themeTint="99"/>
        </w:tcBorders>
      </w:tcPr>
    </w:tblStylePr>
    <w:tblStylePr w:type="nwCell">
      <w:tblPr/>
      <w:tcPr>
        <w:tcBorders>
          <w:bottom w:val="single" w:sz="4" w:space="0" w:color="E3FC56" w:themeColor="accent4" w:themeTint="99"/>
        </w:tcBorders>
      </w:tcPr>
    </w:tblStylePr>
    <w:tblStylePr w:type="seCell">
      <w:tblPr/>
      <w:tcPr>
        <w:tcBorders>
          <w:top w:val="single" w:sz="4" w:space="0" w:color="E3FC56" w:themeColor="accent4" w:themeTint="99"/>
        </w:tcBorders>
      </w:tcPr>
    </w:tblStylePr>
    <w:tblStylePr w:type="swCell">
      <w:tblPr/>
      <w:tcPr>
        <w:tcBorders>
          <w:top w:val="single" w:sz="4" w:space="0" w:color="E3FC56" w:themeColor="accent4" w:themeTint="99"/>
        </w:tcBorders>
      </w:tcPr>
    </w:tblStylePr>
  </w:style>
  <w:style w:type="table" w:customStyle="1" w:styleId="GridTable7Colorful-Accent511">
    <w:name w:val="Grid Table 7 Colorful - Accent 511"/>
    <w:basedOn w:val="TableNormal"/>
    <w:next w:val="GridTable7Colorful-Accent51"/>
    <w:uiPriority w:val="52"/>
    <w:rsid w:val="00EF0E0A"/>
    <w:rPr>
      <w:color w:val="005E7A" w:themeColor="accent5" w:themeShade="BF"/>
    </w:rPr>
    <w:tblPr>
      <w:tblStyleRowBandSize w:val="1"/>
      <w:tblStyleColBandSize w:val="1"/>
      <w:tblInd w:w="833" w:type="dxa"/>
      <w:tblBorders>
        <w:top w:val="single" w:sz="4" w:space="0" w:color="2ED0FF" w:themeColor="accent5" w:themeTint="99"/>
        <w:left w:val="single" w:sz="4" w:space="0" w:color="2ED0FF" w:themeColor="accent5" w:themeTint="99"/>
        <w:bottom w:val="single" w:sz="4" w:space="0" w:color="2ED0FF" w:themeColor="accent5" w:themeTint="99"/>
        <w:right w:val="single" w:sz="4" w:space="0" w:color="2ED0FF" w:themeColor="accent5" w:themeTint="99"/>
        <w:insideH w:val="single" w:sz="4" w:space="0" w:color="2ED0FF" w:themeColor="accent5" w:themeTint="99"/>
        <w:insideV w:val="single" w:sz="4" w:space="0" w:color="2ED0F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9EFFF" w:themeFill="accent5" w:themeFillTint="33"/>
      </w:tcPr>
    </w:tblStylePr>
    <w:tblStylePr w:type="band1Horz">
      <w:tblPr/>
      <w:tcPr>
        <w:shd w:val="clear" w:color="auto" w:fill="B9EFFF" w:themeFill="accent5" w:themeFillTint="33"/>
      </w:tcPr>
    </w:tblStylePr>
    <w:tblStylePr w:type="neCell">
      <w:tblPr/>
      <w:tcPr>
        <w:tcBorders>
          <w:bottom w:val="single" w:sz="4" w:space="0" w:color="2ED0FF" w:themeColor="accent5" w:themeTint="99"/>
        </w:tcBorders>
      </w:tcPr>
    </w:tblStylePr>
    <w:tblStylePr w:type="nwCell">
      <w:tblPr/>
      <w:tcPr>
        <w:tcBorders>
          <w:bottom w:val="single" w:sz="4" w:space="0" w:color="2ED0FF" w:themeColor="accent5" w:themeTint="99"/>
        </w:tcBorders>
      </w:tcPr>
    </w:tblStylePr>
    <w:tblStylePr w:type="seCell">
      <w:tblPr/>
      <w:tcPr>
        <w:tcBorders>
          <w:top w:val="single" w:sz="4" w:space="0" w:color="2ED0FF" w:themeColor="accent5" w:themeTint="99"/>
        </w:tcBorders>
      </w:tcPr>
    </w:tblStylePr>
    <w:tblStylePr w:type="swCell">
      <w:tblPr/>
      <w:tcPr>
        <w:tcBorders>
          <w:top w:val="single" w:sz="4" w:space="0" w:color="2ED0FF" w:themeColor="accent5" w:themeTint="99"/>
        </w:tcBorders>
      </w:tcPr>
    </w:tblStylePr>
  </w:style>
  <w:style w:type="table" w:customStyle="1" w:styleId="GridTable7Colorful-Accent611">
    <w:name w:val="Grid Table 7 Colorful - Accent 611"/>
    <w:basedOn w:val="TableNormal"/>
    <w:next w:val="GridTable7Colorful-Accent61"/>
    <w:uiPriority w:val="52"/>
    <w:rsid w:val="00EF0E0A"/>
    <w:rPr>
      <w:color w:val="434343" w:themeColor="accent6" w:themeShade="BF"/>
    </w:rPr>
    <w:tblPr>
      <w:tblStyleRowBandSize w:val="1"/>
      <w:tblStyleColBandSize w:val="1"/>
      <w:tblInd w:w="833" w:type="dxa"/>
      <w:tblBorders>
        <w:top w:val="single" w:sz="4" w:space="0" w:color="9C9C9C" w:themeColor="accent6" w:themeTint="99"/>
        <w:left w:val="single" w:sz="4" w:space="0" w:color="9C9C9C" w:themeColor="accent6" w:themeTint="99"/>
        <w:bottom w:val="single" w:sz="4" w:space="0" w:color="9C9C9C" w:themeColor="accent6" w:themeTint="99"/>
        <w:right w:val="single" w:sz="4" w:space="0" w:color="9C9C9C" w:themeColor="accent6" w:themeTint="99"/>
        <w:insideH w:val="single" w:sz="4" w:space="0" w:color="9C9C9C" w:themeColor="accent6" w:themeTint="99"/>
        <w:insideV w:val="single" w:sz="4" w:space="0" w:color="9C9C9C"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DEDE" w:themeFill="accent6" w:themeFillTint="33"/>
      </w:tcPr>
    </w:tblStylePr>
    <w:tblStylePr w:type="band1Horz">
      <w:tblPr/>
      <w:tcPr>
        <w:shd w:val="clear" w:color="auto" w:fill="DEDEDE" w:themeFill="accent6" w:themeFillTint="33"/>
      </w:tcPr>
    </w:tblStylePr>
    <w:tblStylePr w:type="neCell">
      <w:tblPr/>
      <w:tcPr>
        <w:tcBorders>
          <w:bottom w:val="single" w:sz="4" w:space="0" w:color="9C9C9C" w:themeColor="accent6" w:themeTint="99"/>
        </w:tcBorders>
      </w:tcPr>
    </w:tblStylePr>
    <w:tblStylePr w:type="nwCell">
      <w:tblPr/>
      <w:tcPr>
        <w:tcBorders>
          <w:bottom w:val="single" w:sz="4" w:space="0" w:color="9C9C9C" w:themeColor="accent6" w:themeTint="99"/>
        </w:tcBorders>
      </w:tcPr>
    </w:tblStylePr>
    <w:tblStylePr w:type="seCell">
      <w:tblPr/>
      <w:tcPr>
        <w:tcBorders>
          <w:top w:val="single" w:sz="4" w:space="0" w:color="9C9C9C" w:themeColor="accent6" w:themeTint="99"/>
        </w:tcBorders>
      </w:tcPr>
    </w:tblStylePr>
    <w:tblStylePr w:type="swCell">
      <w:tblPr/>
      <w:tcPr>
        <w:tcBorders>
          <w:top w:val="single" w:sz="4" w:space="0" w:color="9C9C9C" w:themeColor="accent6" w:themeTint="99"/>
        </w:tcBorders>
      </w:tcPr>
    </w:tblStylePr>
  </w:style>
  <w:style w:type="table" w:customStyle="1" w:styleId="ListTable6Colorful-Accent211">
    <w:name w:val="List Table 6 Colorful - Accent 211"/>
    <w:basedOn w:val="TableNormal"/>
    <w:next w:val="ListTable6Colorful-Accent21"/>
    <w:uiPriority w:val="51"/>
    <w:rsid w:val="00EF0E0A"/>
    <w:rPr>
      <w:color w:val="0975A3" w:themeColor="accent2" w:themeShade="BF"/>
    </w:rPr>
    <w:tblPr>
      <w:tblStyleRowBandSize w:val="1"/>
      <w:tblStyleColBandSize w:val="1"/>
      <w:tblInd w:w="833" w:type="dxa"/>
      <w:tblBorders>
        <w:top w:val="single" w:sz="4" w:space="0" w:color="0D9DDB" w:themeColor="accent2"/>
        <w:bottom w:val="single" w:sz="4" w:space="0" w:color="0D9DDB" w:themeColor="accent2"/>
      </w:tblBorders>
    </w:tblPr>
    <w:tblStylePr w:type="firstRow">
      <w:rPr>
        <w:b/>
        <w:bCs/>
      </w:rPr>
      <w:tblPr/>
      <w:tcPr>
        <w:tcBorders>
          <w:bottom w:val="single" w:sz="4" w:space="0" w:color="0D9DDB" w:themeColor="accent2"/>
        </w:tcBorders>
      </w:tcPr>
    </w:tblStylePr>
    <w:tblStylePr w:type="lastRow">
      <w:rPr>
        <w:b/>
        <w:bCs/>
      </w:rPr>
      <w:tblPr/>
      <w:tcPr>
        <w:tcBorders>
          <w:top w:val="double" w:sz="4" w:space="0" w:color="0D9DDB" w:themeColor="accent2"/>
        </w:tcBorders>
      </w:tcPr>
    </w:tblStylePr>
    <w:tblStylePr w:type="firstCol">
      <w:rPr>
        <w:b/>
        <w:bCs/>
      </w:rPr>
    </w:tblStylePr>
    <w:tblStylePr w:type="lastCol">
      <w:rPr>
        <w:b/>
        <w:bCs/>
      </w:rPr>
    </w:tblStylePr>
    <w:tblStylePr w:type="band1Vert">
      <w:tblPr/>
      <w:tcPr>
        <w:shd w:val="clear" w:color="auto" w:fill="CAEDFC" w:themeFill="accent2" w:themeFillTint="33"/>
      </w:tcPr>
    </w:tblStylePr>
    <w:tblStylePr w:type="band1Horz">
      <w:tblPr/>
      <w:tcPr>
        <w:shd w:val="clear" w:color="auto" w:fill="CAEDFC" w:themeFill="accent2" w:themeFillTint="33"/>
      </w:tcPr>
    </w:tblStylePr>
  </w:style>
  <w:style w:type="table" w:customStyle="1" w:styleId="ListTable6Colorful-Accent111">
    <w:name w:val="List Table 6 Colorful - Accent 111"/>
    <w:basedOn w:val="TableNormal"/>
    <w:next w:val="ListTable6Colorful-Accent11"/>
    <w:uiPriority w:val="51"/>
    <w:rsid w:val="00EF0E0A"/>
    <w:rPr>
      <w:color w:val="37A5C0" w:themeColor="accent1" w:themeShade="BF"/>
    </w:rPr>
    <w:tblPr>
      <w:tblStyleRowBandSize w:val="1"/>
      <w:tblStyleColBandSize w:val="1"/>
      <w:tblInd w:w="833" w:type="dxa"/>
      <w:tblBorders>
        <w:top w:val="single" w:sz="4" w:space="0" w:color="74C4D7" w:themeColor="accent1"/>
        <w:bottom w:val="single" w:sz="4" w:space="0" w:color="74C4D7" w:themeColor="accent1"/>
      </w:tblBorders>
    </w:tblPr>
    <w:tblStylePr w:type="firstRow">
      <w:rPr>
        <w:b/>
        <w:bCs/>
      </w:rPr>
      <w:tblPr/>
      <w:tcPr>
        <w:tcBorders>
          <w:bottom w:val="single" w:sz="4" w:space="0" w:color="74C4D7" w:themeColor="accent1"/>
        </w:tcBorders>
      </w:tcPr>
    </w:tblStylePr>
    <w:tblStylePr w:type="lastRow">
      <w:rPr>
        <w:b/>
        <w:bCs/>
      </w:rPr>
      <w:tblPr/>
      <w:tcPr>
        <w:tcBorders>
          <w:top w:val="double" w:sz="4" w:space="0" w:color="74C4D7" w:themeColor="accent1"/>
        </w:tcBorders>
      </w:tcPr>
    </w:tblStylePr>
    <w:tblStylePr w:type="firstCol">
      <w:rPr>
        <w:b/>
        <w:bCs/>
      </w:rPr>
    </w:tblStylePr>
    <w:tblStylePr w:type="lastCol">
      <w:rPr>
        <w:b/>
        <w:bCs/>
      </w:rPr>
    </w:tblStylePr>
    <w:tblStylePr w:type="band1Vert">
      <w:tblPr/>
      <w:tcPr>
        <w:shd w:val="clear" w:color="auto" w:fill="E3F3F7" w:themeFill="accent1" w:themeFillTint="33"/>
      </w:tcPr>
    </w:tblStylePr>
    <w:tblStylePr w:type="band1Horz">
      <w:tblPr/>
      <w:tcPr>
        <w:shd w:val="clear" w:color="auto" w:fill="E3F3F7" w:themeFill="accent1" w:themeFillTint="33"/>
      </w:tcPr>
    </w:tblStylePr>
  </w:style>
  <w:style w:type="table" w:customStyle="1" w:styleId="ListTable6Colorful-Accent311">
    <w:name w:val="List Table 6 Colorful - Accent 311"/>
    <w:basedOn w:val="TableNormal"/>
    <w:next w:val="ListTable6Colorful-Accent31"/>
    <w:uiPriority w:val="51"/>
    <w:rsid w:val="00EF0E0A"/>
    <w:rPr>
      <w:color w:val="827771" w:themeColor="accent3" w:themeShade="BF"/>
    </w:rPr>
    <w:tblPr>
      <w:tblStyleRowBandSize w:val="1"/>
      <w:tblStyleColBandSize w:val="1"/>
      <w:tblInd w:w="833" w:type="dxa"/>
      <w:tblBorders>
        <w:top w:val="single" w:sz="4" w:space="0" w:color="A9A19C" w:themeColor="accent3"/>
        <w:bottom w:val="single" w:sz="4" w:space="0" w:color="A9A19C" w:themeColor="accent3"/>
      </w:tblBorders>
    </w:tblPr>
    <w:tblStylePr w:type="firstRow">
      <w:rPr>
        <w:b/>
        <w:bCs/>
      </w:rPr>
      <w:tblPr/>
      <w:tcPr>
        <w:tcBorders>
          <w:bottom w:val="single" w:sz="4" w:space="0" w:color="A9A19C" w:themeColor="accent3"/>
        </w:tcBorders>
      </w:tcPr>
    </w:tblStylePr>
    <w:tblStylePr w:type="lastRow">
      <w:rPr>
        <w:b/>
        <w:bCs/>
      </w:rPr>
      <w:tblPr/>
      <w:tcPr>
        <w:tcBorders>
          <w:top w:val="double" w:sz="4" w:space="0" w:color="A9A19C" w:themeColor="accent3"/>
        </w:tcBorders>
      </w:tcPr>
    </w:tblStylePr>
    <w:tblStylePr w:type="firstCol">
      <w:rPr>
        <w:b/>
        <w:bCs/>
      </w:rPr>
    </w:tblStylePr>
    <w:tblStylePr w:type="lastCol">
      <w:rPr>
        <w:b/>
        <w:bCs/>
      </w:rPr>
    </w:tblStylePr>
    <w:tblStylePr w:type="band1Vert">
      <w:tblPr/>
      <w:tcPr>
        <w:shd w:val="clear" w:color="auto" w:fill="EDECEB" w:themeFill="accent3" w:themeFillTint="33"/>
      </w:tcPr>
    </w:tblStylePr>
    <w:tblStylePr w:type="band1Horz">
      <w:tblPr/>
      <w:tcPr>
        <w:shd w:val="clear" w:color="auto" w:fill="EDECEB" w:themeFill="accent3" w:themeFillTint="33"/>
      </w:tcPr>
    </w:tblStylePr>
  </w:style>
  <w:style w:type="table" w:customStyle="1" w:styleId="ListTable6Colorful-Accent411">
    <w:name w:val="List Table 6 Colorful - Accent 411"/>
    <w:basedOn w:val="TableNormal"/>
    <w:next w:val="ListTable6Colorful-Accent41"/>
    <w:uiPriority w:val="51"/>
    <w:rsid w:val="00EF0E0A"/>
    <w:rPr>
      <w:color w:val="8DA403" w:themeColor="accent4" w:themeShade="BF"/>
    </w:rPr>
    <w:tblPr>
      <w:tblStyleRowBandSize w:val="1"/>
      <w:tblStyleColBandSize w:val="1"/>
      <w:tblInd w:w="833" w:type="dxa"/>
      <w:tblBorders>
        <w:top w:val="single" w:sz="4" w:space="0" w:color="BDDC04" w:themeColor="accent4"/>
        <w:bottom w:val="single" w:sz="4" w:space="0" w:color="BDDC04" w:themeColor="accent4"/>
      </w:tblBorders>
    </w:tblPr>
    <w:tblStylePr w:type="firstRow">
      <w:rPr>
        <w:b/>
        <w:bCs/>
      </w:rPr>
      <w:tblPr/>
      <w:tcPr>
        <w:tcBorders>
          <w:bottom w:val="single" w:sz="4" w:space="0" w:color="BDDC04" w:themeColor="accent4"/>
        </w:tcBorders>
      </w:tcPr>
    </w:tblStylePr>
    <w:tblStylePr w:type="lastRow">
      <w:rPr>
        <w:b/>
        <w:bCs/>
      </w:rPr>
      <w:tblPr/>
      <w:tcPr>
        <w:tcBorders>
          <w:top w:val="double" w:sz="4" w:space="0" w:color="BDDC04" w:themeColor="accent4"/>
        </w:tcBorders>
      </w:tcPr>
    </w:tblStylePr>
    <w:tblStylePr w:type="firstCol">
      <w:rPr>
        <w:b/>
        <w:bCs/>
      </w:rPr>
    </w:tblStylePr>
    <w:tblStylePr w:type="lastCol">
      <w:rPr>
        <w:b/>
        <w:bCs/>
      </w:rPr>
    </w:tblStylePr>
    <w:tblStylePr w:type="band1Vert">
      <w:tblPr/>
      <w:tcPr>
        <w:shd w:val="clear" w:color="auto" w:fill="F5FEC6" w:themeFill="accent4" w:themeFillTint="33"/>
      </w:tcPr>
    </w:tblStylePr>
    <w:tblStylePr w:type="band1Horz">
      <w:tblPr/>
      <w:tcPr>
        <w:shd w:val="clear" w:color="auto" w:fill="F5FEC6" w:themeFill="accent4" w:themeFillTint="33"/>
      </w:tcPr>
    </w:tblStylePr>
  </w:style>
  <w:style w:type="table" w:customStyle="1" w:styleId="ListTable6Colorful-Accent511">
    <w:name w:val="List Table 6 Colorful - Accent 511"/>
    <w:basedOn w:val="TableNormal"/>
    <w:next w:val="ListTable6Colorful-Accent51"/>
    <w:uiPriority w:val="51"/>
    <w:rsid w:val="00EF0E0A"/>
    <w:rPr>
      <w:color w:val="005E7A" w:themeColor="accent5" w:themeShade="BF"/>
    </w:rPr>
    <w:tblPr>
      <w:tblStyleRowBandSize w:val="1"/>
      <w:tblStyleColBandSize w:val="1"/>
      <w:tblInd w:w="833" w:type="dxa"/>
      <w:tblBorders>
        <w:top w:val="single" w:sz="4" w:space="0" w:color="007FA3" w:themeColor="accent5"/>
        <w:bottom w:val="single" w:sz="4" w:space="0" w:color="007FA3" w:themeColor="accent5"/>
      </w:tblBorders>
    </w:tblPr>
    <w:tblStylePr w:type="firstRow">
      <w:rPr>
        <w:b/>
        <w:bCs/>
      </w:rPr>
      <w:tblPr/>
      <w:tcPr>
        <w:tcBorders>
          <w:bottom w:val="single" w:sz="4" w:space="0" w:color="007FA3" w:themeColor="accent5"/>
        </w:tcBorders>
      </w:tcPr>
    </w:tblStylePr>
    <w:tblStylePr w:type="lastRow">
      <w:rPr>
        <w:b/>
        <w:bCs/>
      </w:rPr>
      <w:tblPr/>
      <w:tcPr>
        <w:tcBorders>
          <w:top w:val="double" w:sz="4" w:space="0" w:color="007FA3" w:themeColor="accent5"/>
        </w:tcBorders>
      </w:tcPr>
    </w:tblStylePr>
    <w:tblStylePr w:type="firstCol">
      <w:rPr>
        <w:b/>
        <w:bCs/>
      </w:rPr>
    </w:tblStylePr>
    <w:tblStylePr w:type="lastCol">
      <w:rPr>
        <w:b/>
        <w:bCs/>
      </w:rPr>
    </w:tblStylePr>
    <w:tblStylePr w:type="band1Vert">
      <w:tblPr/>
      <w:tcPr>
        <w:shd w:val="clear" w:color="auto" w:fill="B9EFFF" w:themeFill="accent5" w:themeFillTint="33"/>
      </w:tcPr>
    </w:tblStylePr>
    <w:tblStylePr w:type="band1Horz">
      <w:tblPr/>
      <w:tcPr>
        <w:shd w:val="clear" w:color="auto" w:fill="B9EFFF" w:themeFill="accent5" w:themeFillTint="33"/>
      </w:tcPr>
    </w:tblStylePr>
  </w:style>
  <w:style w:type="table" w:customStyle="1" w:styleId="ListTable6Colorful-Accent611">
    <w:name w:val="List Table 6 Colorful - Accent 611"/>
    <w:basedOn w:val="TableNormal"/>
    <w:next w:val="ListTable6Colorful-Accent61"/>
    <w:uiPriority w:val="51"/>
    <w:rsid w:val="00EF0E0A"/>
    <w:rPr>
      <w:color w:val="434343" w:themeColor="accent6" w:themeShade="BF"/>
    </w:rPr>
    <w:tblPr>
      <w:tblStyleRowBandSize w:val="1"/>
      <w:tblStyleColBandSize w:val="1"/>
      <w:tblInd w:w="833" w:type="dxa"/>
      <w:tblBorders>
        <w:top w:val="single" w:sz="4" w:space="0" w:color="5A5A5A" w:themeColor="accent6"/>
        <w:bottom w:val="single" w:sz="4" w:space="0" w:color="5A5A5A" w:themeColor="accent6"/>
      </w:tblBorders>
    </w:tblPr>
    <w:tblStylePr w:type="firstRow">
      <w:rPr>
        <w:b/>
        <w:bCs/>
      </w:rPr>
      <w:tblPr/>
      <w:tcPr>
        <w:tcBorders>
          <w:bottom w:val="single" w:sz="4" w:space="0" w:color="5A5A5A" w:themeColor="accent6"/>
        </w:tcBorders>
      </w:tcPr>
    </w:tblStylePr>
    <w:tblStylePr w:type="lastRow">
      <w:rPr>
        <w:b/>
        <w:bCs/>
      </w:rPr>
      <w:tblPr/>
      <w:tcPr>
        <w:tcBorders>
          <w:top w:val="double" w:sz="4" w:space="0" w:color="5A5A5A" w:themeColor="accent6"/>
        </w:tcBorders>
      </w:tcPr>
    </w:tblStylePr>
    <w:tblStylePr w:type="firstCol">
      <w:rPr>
        <w:b/>
        <w:bCs/>
      </w:rPr>
    </w:tblStylePr>
    <w:tblStylePr w:type="lastCol">
      <w:rPr>
        <w:b/>
        <w:bCs/>
      </w:rPr>
    </w:tblStylePr>
    <w:tblStylePr w:type="band1Vert">
      <w:tblPr/>
      <w:tcPr>
        <w:shd w:val="clear" w:color="auto" w:fill="DEDEDE" w:themeFill="accent6" w:themeFillTint="33"/>
      </w:tcPr>
    </w:tblStylePr>
    <w:tblStylePr w:type="band1Horz">
      <w:tblPr/>
      <w:tcPr>
        <w:shd w:val="clear" w:color="auto" w:fill="DEDEDE" w:themeFill="accent6" w:themeFillTint="33"/>
      </w:tcPr>
    </w:tblStylePr>
  </w:style>
  <w:style w:type="table" w:customStyle="1" w:styleId="GridTable3-Accent311">
    <w:name w:val="Grid Table 3 - Accent 311"/>
    <w:basedOn w:val="TableNormal"/>
    <w:next w:val="GridTable3-Accent31"/>
    <w:uiPriority w:val="48"/>
    <w:rsid w:val="00EF0E0A"/>
    <w:tblPr>
      <w:tblStyleRowBandSize w:val="1"/>
      <w:tblStyleColBandSize w:val="1"/>
      <w:tblInd w:w="833" w:type="dxa"/>
      <w:tblBorders>
        <w:top w:val="single" w:sz="4" w:space="0" w:color="CBC6C3" w:themeColor="accent3" w:themeTint="99"/>
        <w:left w:val="single" w:sz="4" w:space="0" w:color="CBC6C3" w:themeColor="accent3" w:themeTint="99"/>
        <w:bottom w:val="single" w:sz="4" w:space="0" w:color="CBC6C3" w:themeColor="accent3" w:themeTint="99"/>
        <w:right w:val="single" w:sz="4" w:space="0" w:color="CBC6C3" w:themeColor="accent3" w:themeTint="99"/>
        <w:insideH w:val="single" w:sz="4" w:space="0" w:color="CBC6C3" w:themeColor="accent3" w:themeTint="99"/>
        <w:insideV w:val="single" w:sz="4" w:space="0" w:color="CBC6C3"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CEB" w:themeFill="accent3" w:themeFillTint="33"/>
      </w:tcPr>
    </w:tblStylePr>
    <w:tblStylePr w:type="band1Horz">
      <w:tblPr/>
      <w:tcPr>
        <w:shd w:val="clear" w:color="auto" w:fill="EDECEB" w:themeFill="accent3" w:themeFillTint="33"/>
      </w:tcPr>
    </w:tblStylePr>
    <w:tblStylePr w:type="neCell">
      <w:tblPr/>
      <w:tcPr>
        <w:tcBorders>
          <w:bottom w:val="single" w:sz="4" w:space="0" w:color="CBC6C3" w:themeColor="accent3" w:themeTint="99"/>
        </w:tcBorders>
      </w:tcPr>
    </w:tblStylePr>
    <w:tblStylePr w:type="nwCell">
      <w:tblPr/>
      <w:tcPr>
        <w:tcBorders>
          <w:bottom w:val="single" w:sz="4" w:space="0" w:color="CBC6C3" w:themeColor="accent3" w:themeTint="99"/>
        </w:tcBorders>
      </w:tcPr>
    </w:tblStylePr>
    <w:tblStylePr w:type="seCell">
      <w:tblPr/>
      <w:tcPr>
        <w:tcBorders>
          <w:top w:val="single" w:sz="4" w:space="0" w:color="CBC6C3" w:themeColor="accent3" w:themeTint="99"/>
        </w:tcBorders>
      </w:tcPr>
    </w:tblStylePr>
    <w:tblStylePr w:type="swCell">
      <w:tblPr/>
      <w:tcPr>
        <w:tcBorders>
          <w:top w:val="single" w:sz="4" w:space="0" w:color="CBC6C3" w:themeColor="accent3" w:themeTint="99"/>
        </w:tcBorders>
      </w:tcPr>
    </w:tblStylePr>
  </w:style>
  <w:style w:type="table" w:customStyle="1" w:styleId="GridTable3-Accent411">
    <w:name w:val="Grid Table 3 - Accent 411"/>
    <w:basedOn w:val="TableNormal"/>
    <w:next w:val="GridTable3-Accent41"/>
    <w:uiPriority w:val="48"/>
    <w:rsid w:val="00EF0E0A"/>
    <w:tblPr>
      <w:tblStyleRowBandSize w:val="1"/>
      <w:tblStyleColBandSize w:val="1"/>
      <w:tblInd w:w="833" w:type="dxa"/>
      <w:tblBorders>
        <w:top w:val="single" w:sz="4" w:space="0" w:color="E3FC56" w:themeColor="accent4" w:themeTint="99"/>
        <w:left w:val="single" w:sz="4" w:space="0" w:color="E3FC56" w:themeColor="accent4" w:themeTint="99"/>
        <w:bottom w:val="single" w:sz="4" w:space="0" w:color="E3FC56" w:themeColor="accent4" w:themeTint="99"/>
        <w:right w:val="single" w:sz="4" w:space="0" w:color="E3FC56" w:themeColor="accent4" w:themeTint="99"/>
        <w:insideH w:val="single" w:sz="4" w:space="0" w:color="E3FC56" w:themeColor="accent4" w:themeTint="99"/>
        <w:insideV w:val="single" w:sz="4" w:space="0" w:color="E3FC5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5FEC6" w:themeFill="accent4" w:themeFillTint="33"/>
      </w:tcPr>
    </w:tblStylePr>
    <w:tblStylePr w:type="band1Horz">
      <w:tblPr/>
      <w:tcPr>
        <w:shd w:val="clear" w:color="auto" w:fill="F5FEC6" w:themeFill="accent4" w:themeFillTint="33"/>
      </w:tcPr>
    </w:tblStylePr>
    <w:tblStylePr w:type="neCell">
      <w:tblPr/>
      <w:tcPr>
        <w:tcBorders>
          <w:bottom w:val="single" w:sz="4" w:space="0" w:color="E3FC56" w:themeColor="accent4" w:themeTint="99"/>
        </w:tcBorders>
      </w:tcPr>
    </w:tblStylePr>
    <w:tblStylePr w:type="nwCell">
      <w:tblPr/>
      <w:tcPr>
        <w:tcBorders>
          <w:bottom w:val="single" w:sz="4" w:space="0" w:color="E3FC56" w:themeColor="accent4" w:themeTint="99"/>
        </w:tcBorders>
      </w:tcPr>
    </w:tblStylePr>
    <w:tblStylePr w:type="seCell">
      <w:tblPr/>
      <w:tcPr>
        <w:tcBorders>
          <w:top w:val="single" w:sz="4" w:space="0" w:color="E3FC56" w:themeColor="accent4" w:themeTint="99"/>
        </w:tcBorders>
      </w:tcPr>
    </w:tblStylePr>
    <w:tblStylePr w:type="swCell">
      <w:tblPr/>
      <w:tcPr>
        <w:tcBorders>
          <w:top w:val="single" w:sz="4" w:space="0" w:color="E3FC56" w:themeColor="accent4" w:themeTint="99"/>
        </w:tcBorders>
      </w:tcPr>
    </w:tblStylePr>
  </w:style>
  <w:style w:type="table" w:customStyle="1" w:styleId="GridTable3-Accent511">
    <w:name w:val="Grid Table 3 - Accent 511"/>
    <w:basedOn w:val="TableNormal"/>
    <w:next w:val="GridTable3-Accent51"/>
    <w:uiPriority w:val="48"/>
    <w:rsid w:val="00EF0E0A"/>
    <w:tblPr>
      <w:tblStyleRowBandSize w:val="1"/>
      <w:tblStyleColBandSize w:val="1"/>
      <w:tblInd w:w="833" w:type="dxa"/>
      <w:tblBorders>
        <w:top w:val="single" w:sz="4" w:space="0" w:color="2ED0FF" w:themeColor="accent5" w:themeTint="99"/>
        <w:left w:val="single" w:sz="4" w:space="0" w:color="2ED0FF" w:themeColor="accent5" w:themeTint="99"/>
        <w:bottom w:val="single" w:sz="4" w:space="0" w:color="2ED0FF" w:themeColor="accent5" w:themeTint="99"/>
        <w:right w:val="single" w:sz="4" w:space="0" w:color="2ED0FF" w:themeColor="accent5" w:themeTint="99"/>
        <w:insideH w:val="single" w:sz="4" w:space="0" w:color="2ED0FF" w:themeColor="accent5" w:themeTint="99"/>
        <w:insideV w:val="single" w:sz="4" w:space="0" w:color="2ED0F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9EFFF" w:themeFill="accent5" w:themeFillTint="33"/>
      </w:tcPr>
    </w:tblStylePr>
    <w:tblStylePr w:type="band1Horz">
      <w:tblPr/>
      <w:tcPr>
        <w:shd w:val="clear" w:color="auto" w:fill="B9EFFF" w:themeFill="accent5" w:themeFillTint="33"/>
      </w:tcPr>
    </w:tblStylePr>
    <w:tblStylePr w:type="neCell">
      <w:tblPr/>
      <w:tcPr>
        <w:tcBorders>
          <w:bottom w:val="single" w:sz="4" w:space="0" w:color="2ED0FF" w:themeColor="accent5" w:themeTint="99"/>
        </w:tcBorders>
      </w:tcPr>
    </w:tblStylePr>
    <w:tblStylePr w:type="nwCell">
      <w:tblPr/>
      <w:tcPr>
        <w:tcBorders>
          <w:bottom w:val="single" w:sz="4" w:space="0" w:color="2ED0FF" w:themeColor="accent5" w:themeTint="99"/>
        </w:tcBorders>
      </w:tcPr>
    </w:tblStylePr>
    <w:tblStylePr w:type="seCell">
      <w:tblPr/>
      <w:tcPr>
        <w:tcBorders>
          <w:top w:val="single" w:sz="4" w:space="0" w:color="2ED0FF" w:themeColor="accent5" w:themeTint="99"/>
        </w:tcBorders>
      </w:tcPr>
    </w:tblStylePr>
    <w:tblStylePr w:type="swCell">
      <w:tblPr/>
      <w:tcPr>
        <w:tcBorders>
          <w:top w:val="single" w:sz="4" w:space="0" w:color="2ED0FF" w:themeColor="accent5" w:themeTint="99"/>
        </w:tcBorders>
      </w:tcPr>
    </w:tblStylePr>
  </w:style>
  <w:style w:type="table" w:customStyle="1" w:styleId="GridTable3-Accent611">
    <w:name w:val="Grid Table 3 - Accent 611"/>
    <w:basedOn w:val="TableNormal"/>
    <w:next w:val="GridTable3-Accent61"/>
    <w:uiPriority w:val="48"/>
    <w:rsid w:val="00EF0E0A"/>
    <w:tblPr>
      <w:tblStyleRowBandSize w:val="1"/>
      <w:tblStyleColBandSize w:val="1"/>
      <w:tblInd w:w="833" w:type="dxa"/>
      <w:tblBorders>
        <w:top w:val="single" w:sz="4" w:space="0" w:color="9C9C9C" w:themeColor="accent6" w:themeTint="99"/>
        <w:left w:val="single" w:sz="4" w:space="0" w:color="9C9C9C" w:themeColor="accent6" w:themeTint="99"/>
        <w:bottom w:val="single" w:sz="4" w:space="0" w:color="9C9C9C" w:themeColor="accent6" w:themeTint="99"/>
        <w:right w:val="single" w:sz="4" w:space="0" w:color="9C9C9C" w:themeColor="accent6" w:themeTint="99"/>
        <w:insideH w:val="single" w:sz="4" w:space="0" w:color="9C9C9C" w:themeColor="accent6" w:themeTint="99"/>
        <w:insideV w:val="single" w:sz="4" w:space="0" w:color="9C9C9C"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DEDE" w:themeFill="accent6" w:themeFillTint="33"/>
      </w:tcPr>
    </w:tblStylePr>
    <w:tblStylePr w:type="band1Horz">
      <w:tblPr/>
      <w:tcPr>
        <w:shd w:val="clear" w:color="auto" w:fill="DEDEDE" w:themeFill="accent6" w:themeFillTint="33"/>
      </w:tcPr>
    </w:tblStylePr>
    <w:tblStylePr w:type="neCell">
      <w:tblPr/>
      <w:tcPr>
        <w:tcBorders>
          <w:bottom w:val="single" w:sz="4" w:space="0" w:color="9C9C9C" w:themeColor="accent6" w:themeTint="99"/>
        </w:tcBorders>
      </w:tcPr>
    </w:tblStylePr>
    <w:tblStylePr w:type="nwCell">
      <w:tblPr/>
      <w:tcPr>
        <w:tcBorders>
          <w:bottom w:val="single" w:sz="4" w:space="0" w:color="9C9C9C" w:themeColor="accent6" w:themeTint="99"/>
        </w:tcBorders>
      </w:tcPr>
    </w:tblStylePr>
    <w:tblStylePr w:type="seCell">
      <w:tblPr/>
      <w:tcPr>
        <w:tcBorders>
          <w:top w:val="single" w:sz="4" w:space="0" w:color="9C9C9C" w:themeColor="accent6" w:themeTint="99"/>
        </w:tcBorders>
      </w:tcPr>
    </w:tblStylePr>
    <w:tblStylePr w:type="swCell">
      <w:tblPr/>
      <w:tcPr>
        <w:tcBorders>
          <w:top w:val="single" w:sz="4" w:space="0" w:color="9C9C9C" w:themeColor="accent6" w:themeTint="99"/>
        </w:tcBorders>
      </w:tcPr>
    </w:tblStylePr>
  </w:style>
  <w:style w:type="table" w:customStyle="1" w:styleId="GridTable411">
    <w:name w:val="Grid Table 411"/>
    <w:basedOn w:val="TableNormal"/>
    <w:next w:val="GridTable41"/>
    <w:uiPriority w:val="49"/>
    <w:rsid w:val="00EF0E0A"/>
    <w:tblPr>
      <w:tblStyleRowBandSize w:val="1"/>
      <w:tblStyleColBandSize w:val="1"/>
      <w:tblInd w:w="833"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4-Accent111">
    <w:name w:val="Grid Table 4 - Accent 111"/>
    <w:basedOn w:val="TableNormal"/>
    <w:next w:val="GridTable4-Accent11"/>
    <w:uiPriority w:val="49"/>
    <w:rsid w:val="00EF0E0A"/>
    <w:tblPr>
      <w:tblStyleRowBandSize w:val="1"/>
      <w:tblStyleColBandSize w:val="1"/>
      <w:tblInd w:w="833" w:type="dxa"/>
      <w:tblBorders>
        <w:top w:val="single" w:sz="4" w:space="0" w:color="ABDBE7" w:themeColor="accent1" w:themeTint="99"/>
        <w:left w:val="single" w:sz="4" w:space="0" w:color="ABDBE7" w:themeColor="accent1" w:themeTint="99"/>
        <w:bottom w:val="single" w:sz="4" w:space="0" w:color="ABDBE7" w:themeColor="accent1" w:themeTint="99"/>
        <w:right w:val="single" w:sz="4" w:space="0" w:color="ABDBE7" w:themeColor="accent1" w:themeTint="99"/>
        <w:insideH w:val="single" w:sz="4" w:space="0" w:color="ABDBE7" w:themeColor="accent1" w:themeTint="99"/>
        <w:insideV w:val="single" w:sz="4" w:space="0" w:color="ABDBE7" w:themeColor="accent1" w:themeTint="99"/>
      </w:tblBorders>
    </w:tblPr>
    <w:tblStylePr w:type="firstRow">
      <w:rPr>
        <w:b/>
        <w:bCs/>
        <w:color w:val="FFFFFF" w:themeColor="background1"/>
      </w:rPr>
      <w:tblPr/>
      <w:tcPr>
        <w:tcBorders>
          <w:top w:val="single" w:sz="4" w:space="0" w:color="74C4D7" w:themeColor="accent1"/>
          <w:left w:val="single" w:sz="4" w:space="0" w:color="74C4D7" w:themeColor="accent1"/>
          <w:bottom w:val="single" w:sz="4" w:space="0" w:color="74C4D7" w:themeColor="accent1"/>
          <w:right w:val="single" w:sz="4" w:space="0" w:color="74C4D7" w:themeColor="accent1"/>
          <w:insideH w:val="nil"/>
          <w:insideV w:val="nil"/>
        </w:tcBorders>
        <w:shd w:val="clear" w:color="auto" w:fill="74C4D7" w:themeFill="accent1"/>
      </w:tcPr>
    </w:tblStylePr>
    <w:tblStylePr w:type="lastRow">
      <w:rPr>
        <w:b/>
        <w:bCs/>
      </w:rPr>
      <w:tblPr/>
      <w:tcPr>
        <w:tcBorders>
          <w:top w:val="double" w:sz="4" w:space="0" w:color="74C4D7" w:themeColor="accent1"/>
        </w:tcBorders>
      </w:tcPr>
    </w:tblStylePr>
    <w:tblStylePr w:type="firstCol">
      <w:rPr>
        <w:b/>
        <w:bCs/>
      </w:rPr>
    </w:tblStylePr>
    <w:tblStylePr w:type="lastCol">
      <w:rPr>
        <w:b/>
        <w:bCs/>
      </w:rPr>
    </w:tblStylePr>
    <w:tblStylePr w:type="band1Vert">
      <w:tblPr/>
      <w:tcPr>
        <w:shd w:val="clear" w:color="auto" w:fill="E3F3F7" w:themeFill="accent1" w:themeFillTint="33"/>
      </w:tcPr>
    </w:tblStylePr>
    <w:tblStylePr w:type="band1Horz">
      <w:tblPr/>
      <w:tcPr>
        <w:shd w:val="clear" w:color="auto" w:fill="E3F3F7" w:themeFill="accent1" w:themeFillTint="33"/>
      </w:tcPr>
    </w:tblStylePr>
  </w:style>
  <w:style w:type="table" w:customStyle="1" w:styleId="GridTable4-Accent211">
    <w:name w:val="Grid Table 4 - Accent 211"/>
    <w:basedOn w:val="TableNormal"/>
    <w:next w:val="GridTable4-Accent21"/>
    <w:uiPriority w:val="49"/>
    <w:rsid w:val="00EF0E0A"/>
    <w:tblPr>
      <w:tblStyleRowBandSize w:val="1"/>
      <w:tblStyleColBandSize w:val="1"/>
      <w:tblInd w:w="833" w:type="dxa"/>
      <w:tblBorders>
        <w:top w:val="single" w:sz="4" w:space="0" w:color="61C8F5" w:themeColor="accent2" w:themeTint="99"/>
        <w:left w:val="single" w:sz="4" w:space="0" w:color="61C8F5" w:themeColor="accent2" w:themeTint="99"/>
        <w:bottom w:val="single" w:sz="4" w:space="0" w:color="61C8F5" w:themeColor="accent2" w:themeTint="99"/>
        <w:right w:val="single" w:sz="4" w:space="0" w:color="61C8F5" w:themeColor="accent2" w:themeTint="99"/>
        <w:insideH w:val="single" w:sz="4" w:space="0" w:color="61C8F5" w:themeColor="accent2" w:themeTint="99"/>
        <w:insideV w:val="single" w:sz="4" w:space="0" w:color="61C8F5" w:themeColor="accent2" w:themeTint="99"/>
      </w:tblBorders>
    </w:tblPr>
    <w:tblStylePr w:type="firstRow">
      <w:rPr>
        <w:b/>
        <w:bCs/>
        <w:color w:val="FFFFFF" w:themeColor="background1"/>
      </w:rPr>
      <w:tblPr/>
      <w:tcPr>
        <w:tcBorders>
          <w:top w:val="single" w:sz="4" w:space="0" w:color="0D9DDB" w:themeColor="accent2"/>
          <w:left w:val="single" w:sz="4" w:space="0" w:color="0D9DDB" w:themeColor="accent2"/>
          <w:bottom w:val="single" w:sz="4" w:space="0" w:color="0D9DDB" w:themeColor="accent2"/>
          <w:right w:val="single" w:sz="4" w:space="0" w:color="0D9DDB" w:themeColor="accent2"/>
          <w:insideH w:val="nil"/>
          <w:insideV w:val="nil"/>
        </w:tcBorders>
        <w:shd w:val="clear" w:color="auto" w:fill="0D9DDB" w:themeFill="accent2"/>
      </w:tcPr>
    </w:tblStylePr>
    <w:tblStylePr w:type="lastRow">
      <w:rPr>
        <w:b/>
        <w:bCs/>
      </w:rPr>
      <w:tblPr/>
      <w:tcPr>
        <w:tcBorders>
          <w:top w:val="double" w:sz="4" w:space="0" w:color="0D9DDB" w:themeColor="accent2"/>
        </w:tcBorders>
      </w:tcPr>
    </w:tblStylePr>
    <w:tblStylePr w:type="firstCol">
      <w:rPr>
        <w:b/>
        <w:bCs/>
      </w:rPr>
    </w:tblStylePr>
    <w:tblStylePr w:type="lastCol">
      <w:rPr>
        <w:b/>
        <w:bCs/>
      </w:rPr>
    </w:tblStylePr>
    <w:tblStylePr w:type="band1Vert">
      <w:tblPr/>
      <w:tcPr>
        <w:shd w:val="clear" w:color="auto" w:fill="CAEDFC" w:themeFill="accent2" w:themeFillTint="33"/>
      </w:tcPr>
    </w:tblStylePr>
    <w:tblStylePr w:type="band1Horz">
      <w:tblPr/>
      <w:tcPr>
        <w:shd w:val="clear" w:color="auto" w:fill="CAEDFC" w:themeFill="accent2" w:themeFillTint="33"/>
      </w:tcPr>
    </w:tblStylePr>
  </w:style>
  <w:style w:type="table" w:customStyle="1" w:styleId="GridTable4-Accent311">
    <w:name w:val="Grid Table 4 - Accent 311"/>
    <w:basedOn w:val="TableNormal"/>
    <w:next w:val="GridTable4-Accent31"/>
    <w:uiPriority w:val="49"/>
    <w:rsid w:val="00EF0E0A"/>
    <w:tblPr>
      <w:tblStyleRowBandSize w:val="1"/>
      <w:tblStyleColBandSize w:val="1"/>
      <w:tblInd w:w="833" w:type="dxa"/>
      <w:tblBorders>
        <w:top w:val="single" w:sz="4" w:space="0" w:color="CBC6C3" w:themeColor="accent3" w:themeTint="99"/>
        <w:left w:val="single" w:sz="4" w:space="0" w:color="CBC6C3" w:themeColor="accent3" w:themeTint="99"/>
        <w:bottom w:val="single" w:sz="4" w:space="0" w:color="CBC6C3" w:themeColor="accent3" w:themeTint="99"/>
        <w:right w:val="single" w:sz="4" w:space="0" w:color="CBC6C3" w:themeColor="accent3" w:themeTint="99"/>
        <w:insideH w:val="single" w:sz="4" w:space="0" w:color="CBC6C3" w:themeColor="accent3" w:themeTint="99"/>
        <w:insideV w:val="single" w:sz="4" w:space="0" w:color="CBC6C3" w:themeColor="accent3" w:themeTint="99"/>
      </w:tblBorders>
    </w:tblPr>
    <w:tblStylePr w:type="firstRow">
      <w:rPr>
        <w:b/>
        <w:bCs/>
        <w:color w:val="FFFFFF" w:themeColor="background1"/>
      </w:rPr>
      <w:tblPr/>
      <w:tcPr>
        <w:tcBorders>
          <w:top w:val="single" w:sz="4" w:space="0" w:color="A9A19C" w:themeColor="accent3"/>
          <w:left w:val="single" w:sz="4" w:space="0" w:color="A9A19C" w:themeColor="accent3"/>
          <w:bottom w:val="single" w:sz="4" w:space="0" w:color="A9A19C" w:themeColor="accent3"/>
          <w:right w:val="single" w:sz="4" w:space="0" w:color="A9A19C" w:themeColor="accent3"/>
          <w:insideH w:val="nil"/>
          <w:insideV w:val="nil"/>
        </w:tcBorders>
        <w:shd w:val="clear" w:color="auto" w:fill="A9A19C" w:themeFill="accent3"/>
      </w:tcPr>
    </w:tblStylePr>
    <w:tblStylePr w:type="lastRow">
      <w:rPr>
        <w:b/>
        <w:bCs/>
      </w:rPr>
      <w:tblPr/>
      <w:tcPr>
        <w:tcBorders>
          <w:top w:val="double" w:sz="4" w:space="0" w:color="A9A19C" w:themeColor="accent3"/>
        </w:tcBorders>
      </w:tcPr>
    </w:tblStylePr>
    <w:tblStylePr w:type="firstCol">
      <w:rPr>
        <w:b/>
        <w:bCs/>
      </w:rPr>
    </w:tblStylePr>
    <w:tblStylePr w:type="lastCol">
      <w:rPr>
        <w:b/>
        <w:bCs/>
      </w:rPr>
    </w:tblStylePr>
    <w:tblStylePr w:type="band1Vert">
      <w:tblPr/>
      <w:tcPr>
        <w:shd w:val="clear" w:color="auto" w:fill="EDECEB" w:themeFill="accent3" w:themeFillTint="33"/>
      </w:tcPr>
    </w:tblStylePr>
    <w:tblStylePr w:type="band1Horz">
      <w:tblPr/>
      <w:tcPr>
        <w:shd w:val="clear" w:color="auto" w:fill="EDECEB" w:themeFill="accent3" w:themeFillTint="33"/>
      </w:tcPr>
    </w:tblStylePr>
  </w:style>
  <w:style w:type="table" w:customStyle="1" w:styleId="GridTable4-Accent411">
    <w:name w:val="Grid Table 4 - Accent 411"/>
    <w:basedOn w:val="TableNormal"/>
    <w:next w:val="GridTable4-Accent41"/>
    <w:uiPriority w:val="49"/>
    <w:rsid w:val="00EF0E0A"/>
    <w:tblPr>
      <w:tblStyleRowBandSize w:val="1"/>
      <w:tblStyleColBandSize w:val="1"/>
      <w:tblInd w:w="833" w:type="dxa"/>
      <w:tblBorders>
        <w:top w:val="single" w:sz="4" w:space="0" w:color="E3FC56" w:themeColor="accent4" w:themeTint="99"/>
        <w:left w:val="single" w:sz="4" w:space="0" w:color="E3FC56" w:themeColor="accent4" w:themeTint="99"/>
        <w:bottom w:val="single" w:sz="4" w:space="0" w:color="E3FC56" w:themeColor="accent4" w:themeTint="99"/>
        <w:right w:val="single" w:sz="4" w:space="0" w:color="E3FC56" w:themeColor="accent4" w:themeTint="99"/>
        <w:insideH w:val="single" w:sz="4" w:space="0" w:color="E3FC56" w:themeColor="accent4" w:themeTint="99"/>
        <w:insideV w:val="single" w:sz="4" w:space="0" w:color="E3FC56" w:themeColor="accent4" w:themeTint="99"/>
      </w:tblBorders>
    </w:tblPr>
    <w:tblStylePr w:type="firstRow">
      <w:rPr>
        <w:b/>
        <w:bCs/>
        <w:color w:val="FFFFFF" w:themeColor="background1"/>
      </w:rPr>
      <w:tblPr/>
      <w:tcPr>
        <w:tcBorders>
          <w:top w:val="single" w:sz="4" w:space="0" w:color="BDDC04" w:themeColor="accent4"/>
          <w:left w:val="single" w:sz="4" w:space="0" w:color="BDDC04" w:themeColor="accent4"/>
          <w:bottom w:val="single" w:sz="4" w:space="0" w:color="BDDC04" w:themeColor="accent4"/>
          <w:right w:val="single" w:sz="4" w:space="0" w:color="BDDC04" w:themeColor="accent4"/>
          <w:insideH w:val="nil"/>
          <w:insideV w:val="nil"/>
        </w:tcBorders>
        <w:shd w:val="clear" w:color="auto" w:fill="BDDC04" w:themeFill="accent4"/>
      </w:tcPr>
    </w:tblStylePr>
    <w:tblStylePr w:type="lastRow">
      <w:rPr>
        <w:b/>
        <w:bCs/>
      </w:rPr>
      <w:tblPr/>
      <w:tcPr>
        <w:tcBorders>
          <w:top w:val="double" w:sz="4" w:space="0" w:color="BDDC04" w:themeColor="accent4"/>
        </w:tcBorders>
      </w:tcPr>
    </w:tblStylePr>
    <w:tblStylePr w:type="firstCol">
      <w:rPr>
        <w:b/>
        <w:bCs/>
      </w:rPr>
    </w:tblStylePr>
    <w:tblStylePr w:type="lastCol">
      <w:rPr>
        <w:b/>
        <w:bCs/>
      </w:rPr>
    </w:tblStylePr>
    <w:tblStylePr w:type="band1Vert">
      <w:tblPr/>
      <w:tcPr>
        <w:shd w:val="clear" w:color="auto" w:fill="F5FEC6" w:themeFill="accent4" w:themeFillTint="33"/>
      </w:tcPr>
    </w:tblStylePr>
    <w:tblStylePr w:type="band1Horz">
      <w:tblPr/>
      <w:tcPr>
        <w:shd w:val="clear" w:color="auto" w:fill="F5FEC6" w:themeFill="accent4" w:themeFillTint="33"/>
      </w:tcPr>
    </w:tblStylePr>
  </w:style>
  <w:style w:type="table" w:customStyle="1" w:styleId="GridTable4-Accent511">
    <w:name w:val="Grid Table 4 - Accent 511"/>
    <w:basedOn w:val="TableNormal"/>
    <w:next w:val="GridTable4-Accent51"/>
    <w:uiPriority w:val="49"/>
    <w:rsid w:val="00EF0E0A"/>
    <w:tblPr>
      <w:tblStyleRowBandSize w:val="1"/>
      <w:tblStyleColBandSize w:val="1"/>
      <w:tblInd w:w="833" w:type="dxa"/>
      <w:tblBorders>
        <w:top w:val="single" w:sz="4" w:space="0" w:color="2ED0FF" w:themeColor="accent5" w:themeTint="99"/>
        <w:left w:val="single" w:sz="4" w:space="0" w:color="2ED0FF" w:themeColor="accent5" w:themeTint="99"/>
        <w:bottom w:val="single" w:sz="4" w:space="0" w:color="2ED0FF" w:themeColor="accent5" w:themeTint="99"/>
        <w:right w:val="single" w:sz="4" w:space="0" w:color="2ED0FF" w:themeColor="accent5" w:themeTint="99"/>
        <w:insideH w:val="single" w:sz="4" w:space="0" w:color="2ED0FF" w:themeColor="accent5" w:themeTint="99"/>
        <w:insideV w:val="single" w:sz="4" w:space="0" w:color="2ED0FF" w:themeColor="accent5" w:themeTint="99"/>
      </w:tblBorders>
    </w:tblPr>
    <w:tblStylePr w:type="firstRow">
      <w:rPr>
        <w:b/>
        <w:bCs/>
        <w:color w:val="FFFFFF" w:themeColor="background1"/>
      </w:rPr>
      <w:tblPr/>
      <w:tcPr>
        <w:tcBorders>
          <w:top w:val="single" w:sz="4" w:space="0" w:color="007FA3" w:themeColor="accent5"/>
          <w:left w:val="single" w:sz="4" w:space="0" w:color="007FA3" w:themeColor="accent5"/>
          <w:bottom w:val="single" w:sz="4" w:space="0" w:color="007FA3" w:themeColor="accent5"/>
          <w:right w:val="single" w:sz="4" w:space="0" w:color="007FA3" w:themeColor="accent5"/>
          <w:insideH w:val="nil"/>
          <w:insideV w:val="nil"/>
        </w:tcBorders>
        <w:shd w:val="clear" w:color="auto" w:fill="007FA3" w:themeFill="accent5"/>
      </w:tcPr>
    </w:tblStylePr>
    <w:tblStylePr w:type="lastRow">
      <w:rPr>
        <w:b/>
        <w:bCs/>
      </w:rPr>
      <w:tblPr/>
      <w:tcPr>
        <w:tcBorders>
          <w:top w:val="double" w:sz="4" w:space="0" w:color="007FA3" w:themeColor="accent5"/>
        </w:tcBorders>
      </w:tcPr>
    </w:tblStylePr>
    <w:tblStylePr w:type="firstCol">
      <w:rPr>
        <w:b/>
        <w:bCs/>
      </w:rPr>
    </w:tblStylePr>
    <w:tblStylePr w:type="lastCol">
      <w:rPr>
        <w:b/>
        <w:bCs/>
      </w:rPr>
    </w:tblStylePr>
    <w:tblStylePr w:type="band1Vert">
      <w:tblPr/>
      <w:tcPr>
        <w:shd w:val="clear" w:color="auto" w:fill="B9EFFF" w:themeFill="accent5" w:themeFillTint="33"/>
      </w:tcPr>
    </w:tblStylePr>
    <w:tblStylePr w:type="band1Horz">
      <w:tblPr/>
      <w:tcPr>
        <w:shd w:val="clear" w:color="auto" w:fill="B9EFFF" w:themeFill="accent5" w:themeFillTint="33"/>
      </w:tcPr>
    </w:tblStylePr>
  </w:style>
  <w:style w:type="table" w:customStyle="1" w:styleId="GridTable4-Accent611">
    <w:name w:val="Grid Table 4 - Accent 611"/>
    <w:basedOn w:val="TableNormal"/>
    <w:next w:val="GridTable4-Accent61"/>
    <w:uiPriority w:val="49"/>
    <w:rsid w:val="00EF0E0A"/>
    <w:tblPr>
      <w:tblStyleRowBandSize w:val="1"/>
      <w:tblStyleColBandSize w:val="1"/>
      <w:tblInd w:w="833" w:type="dxa"/>
      <w:tblBorders>
        <w:top w:val="single" w:sz="4" w:space="0" w:color="9C9C9C" w:themeColor="accent6" w:themeTint="99"/>
        <w:left w:val="single" w:sz="4" w:space="0" w:color="9C9C9C" w:themeColor="accent6" w:themeTint="99"/>
        <w:bottom w:val="single" w:sz="4" w:space="0" w:color="9C9C9C" w:themeColor="accent6" w:themeTint="99"/>
        <w:right w:val="single" w:sz="4" w:space="0" w:color="9C9C9C" w:themeColor="accent6" w:themeTint="99"/>
        <w:insideH w:val="single" w:sz="4" w:space="0" w:color="9C9C9C" w:themeColor="accent6" w:themeTint="99"/>
        <w:insideV w:val="single" w:sz="4" w:space="0" w:color="9C9C9C" w:themeColor="accent6" w:themeTint="99"/>
      </w:tblBorders>
    </w:tblPr>
    <w:tblStylePr w:type="firstRow">
      <w:rPr>
        <w:b/>
        <w:bCs/>
        <w:color w:val="FFFFFF" w:themeColor="background1"/>
      </w:rPr>
      <w:tblPr/>
      <w:tcPr>
        <w:tcBorders>
          <w:top w:val="single" w:sz="4" w:space="0" w:color="5A5A5A" w:themeColor="accent6"/>
          <w:left w:val="single" w:sz="4" w:space="0" w:color="5A5A5A" w:themeColor="accent6"/>
          <w:bottom w:val="single" w:sz="4" w:space="0" w:color="5A5A5A" w:themeColor="accent6"/>
          <w:right w:val="single" w:sz="4" w:space="0" w:color="5A5A5A" w:themeColor="accent6"/>
          <w:insideH w:val="nil"/>
          <w:insideV w:val="nil"/>
        </w:tcBorders>
        <w:shd w:val="clear" w:color="auto" w:fill="5A5A5A" w:themeFill="accent6"/>
      </w:tcPr>
    </w:tblStylePr>
    <w:tblStylePr w:type="lastRow">
      <w:rPr>
        <w:b/>
        <w:bCs/>
      </w:rPr>
      <w:tblPr/>
      <w:tcPr>
        <w:tcBorders>
          <w:top w:val="double" w:sz="4" w:space="0" w:color="5A5A5A" w:themeColor="accent6"/>
        </w:tcBorders>
      </w:tcPr>
    </w:tblStylePr>
    <w:tblStylePr w:type="firstCol">
      <w:rPr>
        <w:b/>
        <w:bCs/>
      </w:rPr>
    </w:tblStylePr>
    <w:tblStylePr w:type="lastCol">
      <w:rPr>
        <w:b/>
        <w:bCs/>
      </w:rPr>
    </w:tblStylePr>
    <w:tblStylePr w:type="band1Vert">
      <w:tblPr/>
      <w:tcPr>
        <w:shd w:val="clear" w:color="auto" w:fill="DEDEDE" w:themeFill="accent6" w:themeFillTint="33"/>
      </w:tcPr>
    </w:tblStylePr>
    <w:tblStylePr w:type="band1Horz">
      <w:tblPr/>
      <w:tcPr>
        <w:shd w:val="clear" w:color="auto" w:fill="DEDEDE" w:themeFill="accent6" w:themeFillTint="33"/>
      </w:tcPr>
    </w:tblStylePr>
  </w:style>
  <w:style w:type="table" w:customStyle="1" w:styleId="GridTable5Dark11">
    <w:name w:val="Grid Table 5 Dark11"/>
    <w:basedOn w:val="TableNormal"/>
    <w:next w:val="GridTable5Dark1"/>
    <w:uiPriority w:val="50"/>
    <w:rsid w:val="00EF0E0A"/>
    <w:tblPr>
      <w:tblStyleRowBandSize w:val="1"/>
      <w:tblStyleColBandSize w:val="1"/>
      <w:tblInd w:w="83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GridTable5Dark-Accent111">
    <w:name w:val="Grid Table 5 Dark - Accent 111"/>
    <w:basedOn w:val="TableNormal"/>
    <w:next w:val="GridTable5Dark-Accent11"/>
    <w:uiPriority w:val="50"/>
    <w:rsid w:val="00EF0E0A"/>
    <w:tblPr>
      <w:tblStyleRowBandSize w:val="1"/>
      <w:tblStyleColBandSize w:val="1"/>
      <w:tblInd w:w="83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3F3F7"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4C4D7"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4C4D7"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4C4D7"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4C4D7" w:themeFill="accent1"/>
      </w:tcPr>
    </w:tblStylePr>
    <w:tblStylePr w:type="band1Vert">
      <w:tblPr/>
      <w:tcPr>
        <w:shd w:val="clear" w:color="auto" w:fill="C7E7EF" w:themeFill="accent1" w:themeFillTint="66"/>
      </w:tcPr>
    </w:tblStylePr>
    <w:tblStylePr w:type="band1Horz">
      <w:tblPr/>
      <w:tcPr>
        <w:shd w:val="clear" w:color="auto" w:fill="C7E7EF" w:themeFill="accent1" w:themeFillTint="66"/>
      </w:tcPr>
    </w:tblStylePr>
  </w:style>
  <w:style w:type="table" w:customStyle="1" w:styleId="GridTable5Dark-Accent211">
    <w:name w:val="Grid Table 5 Dark - Accent 211"/>
    <w:basedOn w:val="TableNormal"/>
    <w:next w:val="GridTable5Dark-Accent21"/>
    <w:uiPriority w:val="50"/>
    <w:rsid w:val="00EF0E0A"/>
    <w:tblPr>
      <w:tblStyleRowBandSize w:val="1"/>
      <w:tblStyleColBandSize w:val="1"/>
      <w:tblInd w:w="83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AEDFC"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D9DDB"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D9DDB"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D9DDB"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D9DDB" w:themeFill="accent2"/>
      </w:tcPr>
    </w:tblStylePr>
    <w:tblStylePr w:type="band1Vert">
      <w:tblPr/>
      <w:tcPr>
        <w:shd w:val="clear" w:color="auto" w:fill="95DAF8" w:themeFill="accent2" w:themeFillTint="66"/>
      </w:tcPr>
    </w:tblStylePr>
    <w:tblStylePr w:type="band1Horz">
      <w:tblPr/>
      <w:tcPr>
        <w:shd w:val="clear" w:color="auto" w:fill="95DAF8" w:themeFill="accent2" w:themeFillTint="66"/>
      </w:tcPr>
    </w:tblStylePr>
  </w:style>
  <w:style w:type="table" w:customStyle="1" w:styleId="GridTable5Dark-Accent311">
    <w:name w:val="Grid Table 5 Dark - Accent 311"/>
    <w:basedOn w:val="TableNormal"/>
    <w:next w:val="GridTable5Dark-Accent31"/>
    <w:uiPriority w:val="50"/>
    <w:rsid w:val="00EF0E0A"/>
    <w:tblPr>
      <w:tblStyleRowBandSize w:val="1"/>
      <w:tblStyleColBandSize w:val="1"/>
      <w:tblInd w:w="83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CEB"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9A19C"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9A19C"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9A19C"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9A19C" w:themeFill="accent3"/>
      </w:tcPr>
    </w:tblStylePr>
    <w:tblStylePr w:type="band1Vert">
      <w:tblPr/>
      <w:tcPr>
        <w:shd w:val="clear" w:color="auto" w:fill="DCD9D7" w:themeFill="accent3" w:themeFillTint="66"/>
      </w:tcPr>
    </w:tblStylePr>
    <w:tblStylePr w:type="band1Horz">
      <w:tblPr/>
      <w:tcPr>
        <w:shd w:val="clear" w:color="auto" w:fill="DCD9D7" w:themeFill="accent3" w:themeFillTint="66"/>
      </w:tcPr>
    </w:tblStylePr>
  </w:style>
  <w:style w:type="table" w:customStyle="1" w:styleId="GridTable5Dark-Accent411">
    <w:name w:val="Grid Table 5 Dark - Accent 411"/>
    <w:basedOn w:val="TableNormal"/>
    <w:next w:val="GridTable5Dark-Accent41"/>
    <w:uiPriority w:val="50"/>
    <w:rsid w:val="00EF0E0A"/>
    <w:tblPr>
      <w:tblStyleRowBandSize w:val="1"/>
      <w:tblStyleColBandSize w:val="1"/>
      <w:tblInd w:w="83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5FEC6"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DDC04"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DDC04"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DDC04"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DDC04" w:themeFill="accent4"/>
      </w:tcPr>
    </w:tblStylePr>
    <w:tblStylePr w:type="band1Vert">
      <w:tblPr/>
      <w:tcPr>
        <w:shd w:val="clear" w:color="auto" w:fill="ECFD8E" w:themeFill="accent4" w:themeFillTint="66"/>
      </w:tcPr>
    </w:tblStylePr>
    <w:tblStylePr w:type="band1Horz">
      <w:tblPr/>
      <w:tcPr>
        <w:shd w:val="clear" w:color="auto" w:fill="ECFD8E" w:themeFill="accent4" w:themeFillTint="66"/>
      </w:tcPr>
    </w:tblStylePr>
  </w:style>
  <w:style w:type="table" w:customStyle="1" w:styleId="GridTable5Dark-Accent511">
    <w:name w:val="Grid Table 5 Dark - Accent 511"/>
    <w:basedOn w:val="TableNormal"/>
    <w:next w:val="GridTable5Dark-Accent51"/>
    <w:uiPriority w:val="50"/>
    <w:rsid w:val="00EF0E0A"/>
    <w:tblPr>
      <w:tblStyleRowBandSize w:val="1"/>
      <w:tblStyleColBandSize w:val="1"/>
      <w:tblInd w:w="83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9EFFF"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7FA3"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7FA3"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7FA3"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7FA3" w:themeFill="accent5"/>
      </w:tcPr>
    </w:tblStylePr>
    <w:tblStylePr w:type="band1Vert">
      <w:tblPr/>
      <w:tcPr>
        <w:shd w:val="clear" w:color="auto" w:fill="74DFFF" w:themeFill="accent5" w:themeFillTint="66"/>
      </w:tcPr>
    </w:tblStylePr>
    <w:tblStylePr w:type="band1Horz">
      <w:tblPr/>
      <w:tcPr>
        <w:shd w:val="clear" w:color="auto" w:fill="74DFFF" w:themeFill="accent5" w:themeFillTint="66"/>
      </w:tcPr>
    </w:tblStylePr>
  </w:style>
  <w:style w:type="table" w:customStyle="1" w:styleId="GridTable5Dark-Accent611">
    <w:name w:val="Grid Table 5 Dark - Accent 611"/>
    <w:basedOn w:val="TableNormal"/>
    <w:next w:val="GridTable5Dark-Accent61"/>
    <w:uiPriority w:val="50"/>
    <w:rsid w:val="00EF0E0A"/>
    <w:tblPr>
      <w:tblStyleRowBandSize w:val="1"/>
      <w:tblStyleColBandSize w:val="1"/>
      <w:tblInd w:w="83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DEDE"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A5A5A"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A5A5A"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A5A5A"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A5A5A" w:themeFill="accent6"/>
      </w:tcPr>
    </w:tblStylePr>
    <w:tblStylePr w:type="band1Vert">
      <w:tblPr/>
      <w:tcPr>
        <w:shd w:val="clear" w:color="auto" w:fill="BDBDBD" w:themeFill="accent6" w:themeFillTint="66"/>
      </w:tcPr>
    </w:tblStylePr>
    <w:tblStylePr w:type="band1Horz">
      <w:tblPr/>
      <w:tcPr>
        <w:shd w:val="clear" w:color="auto" w:fill="BDBDBD" w:themeFill="accent6" w:themeFillTint="66"/>
      </w:tcPr>
    </w:tblStylePr>
  </w:style>
  <w:style w:type="table" w:customStyle="1" w:styleId="GridTable6Colorful11">
    <w:name w:val="Grid Table 6 Colorful11"/>
    <w:basedOn w:val="TableNormal"/>
    <w:next w:val="GridTable6Colorful1"/>
    <w:uiPriority w:val="51"/>
    <w:rsid w:val="00EF0E0A"/>
    <w:rPr>
      <w:color w:val="000000" w:themeColor="text1"/>
    </w:rPr>
    <w:tblPr>
      <w:tblStyleRowBandSize w:val="1"/>
      <w:tblStyleColBandSize w:val="1"/>
      <w:tblInd w:w="833"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6Colorful-Accent111">
    <w:name w:val="Grid Table 6 Colorful - Accent 111"/>
    <w:basedOn w:val="TableNormal"/>
    <w:next w:val="GridTable6Colorful-Accent11"/>
    <w:uiPriority w:val="51"/>
    <w:rsid w:val="00EF0E0A"/>
    <w:rPr>
      <w:color w:val="37A5C0" w:themeColor="accent1" w:themeShade="BF"/>
    </w:rPr>
    <w:tblPr>
      <w:tblStyleRowBandSize w:val="1"/>
      <w:tblStyleColBandSize w:val="1"/>
      <w:tblInd w:w="833" w:type="dxa"/>
      <w:tblBorders>
        <w:top w:val="single" w:sz="4" w:space="0" w:color="ABDBE7" w:themeColor="accent1" w:themeTint="99"/>
        <w:left w:val="single" w:sz="4" w:space="0" w:color="ABDBE7" w:themeColor="accent1" w:themeTint="99"/>
        <w:bottom w:val="single" w:sz="4" w:space="0" w:color="ABDBE7" w:themeColor="accent1" w:themeTint="99"/>
        <w:right w:val="single" w:sz="4" w:space="0" w:color="ABDBE7" w:themeColor="accent1" w:themeTint="99"/>
        <w:insideH w:val="single" w:sz="4" w:space="0" w:color="ABDBE7" w:themeColor="accent1" w:themeTint="99"/>
        <w:insideV w:val="single" w:sz="4" w:space="0" w:color="ABDBE7" w:themeColor="accent1" w:themeTint="99"/>
      </w:tblBorders>
    </w:tblPr>
    <w:tblStylePr w:type="firstRow">
      <w:rPr>
        <w:b/>
        <w:bCs/>
      </w:rPr>
      <w:tblPr/>
      <w:tcPr>
        <w:tcBorders>
          <w:bottom w:val="single" w:sz="12" w:space="0" w:color="ABDBE7" w:themeColor="accent1" w:themeTint="99"/>
        </w:tcBorders>
      </w:tcPr>
    </w:tblStylePr>
    <w:tblStylePr w:type="lastRow">
      <w:rPr>
        <w:b/>
        <w:bCs/>
      </w:rPr>
      <w:tblPr/>
      <w:tcPr>
        <w:tcBorders>
          <w:top w:val="double" w:sz="4" w:space="0" w:color="ABDBE7" w:themeColor="accent1" w:themeTint="99"/>
        </w:tcBorders>
      </w:tcPr>
    </w:tblStylePr>
    <w:tblStylePr w:type="firstCol">
      <w:rPr>
        <w:b/>
        <w:bCs/>
      </w:rPr>
    </w:tblStylePr>
    <w:tblStylePr w:type="lastCol">
      <w:rPr>
        <w:b/>
        <w:bCs/>
      </w:rPr>
    </w:tblStylePr>
    <w:tblStylePr w:type="band1Vert">
      <w:tblPr/>
      <w:tcPr>
        <w:shd w:val="clear" w:color="auto" w:fill="E3F3F7" w:themeFill="accent1" w:themeFillTint="33"/>
      </w:tcPr>
    </w:tblStylePr>
    <w:tblStylePr w:type="band1Horz">
      <w:tblPr/>
      <w:tcPr>
        <w:shd w:val="clear" w:color="auto" w:fill="E3F3F7" w:themeFill="accent1" w:themeFillTint="33"/>
      </w:tcPr>
    </w:tblStylePr>
  </w:style>
  <w:style w:type="table" w:customStyle="1" w:styleId="GridTable6Colorful-Accent211">
    <w:name w:val="Grid Table 6 Colorful - Accent 211"/>
    <w:basedOn w:val="TableNormal"/>
    <w:next w:val="GridTable6Colorful-Accent21"/>
    <w:uiPriority w:val="51"/>
    <w:rsid w:val="00EF0E0A"/>
    <w:rPr>
      <w:color w:val="0975A3" w:themeColor="accent2" w:themeShade="BF"/>
    </w:rPr>
    <w:tblPr>
      <w:tblStyleRowBandSize w:val="1"/>
      <w:tblStyleColBandSize w:val="1"/>
      <w:tblInd w:w="833" w:type="dxa"/>
      <w:tblBorders>
        <w:top w:val="single" w:sz="4" w:space="0" w:color="61C8F5" w:themeColor="accent2" w:themeTint="99"/>
        <w:left w:val="single" w:sz="4" w:space="0" w:color="61C8F5" w:themeColor="accent2" w:themeTint="99"/>
        <w:bottom w:val="single" w:sz="4" w:space="0" w:color="61C8F5" w:themeColor="accent2" w:themeTint="99"/>
        <w:right w:val="single" w:sz="4" w:space="0" w:color="61C8F5" w:themeColor="accent2" w:themeTint="99"/>
        <w:insideH w:val="single" w:sz="4" w:space="0" w:color="61C8F5" w:themeColor="accent2" w:themeTint="99"/>
        <w:insideV w:val="single" w:sz="4" w:space="0" w:color="61C8F5" w:themeColor="accent2" w:themeTint="99"/>
      </w:tblBorders>
    </w:tblPr>
    <w:tblStylePr w:type="firstRow">
      <w:rPr>
        <w:b/>
        <w:bCs/>
      </w:rPr>
      <w:tblPr/>
      <w:tcPr>
        <w:tcBorders>
          <w:bottom w:val="single" w:sz="12" w:space="0" w:color="61C8F5" w:themeColor="accent2" w:themeTint="99"/>
        </w:tcBorders>
      </w:tcPr>
    </w:tblStylePr>
    <w:tblStylePr w:type="lastRow">
      <w:rPr>
        <w:b/>
        <w:bCs/>
      </w:rPr>
      <w:tblPr/>
      <w:tcPr>
        <w:tcBorders>
          <w:top w:val="double" w:sz="4" w:space="0" w:color="61C8F5" w:themeColor="accent2" w:themeTint="99"/>
        </w:tcBorders>
      </w:tcPr>
    </w:tblStylePr>
    <w:tblStylePr w:type="firstCol">
      <w:rPr>
        <w:b/>
        <w:bCs/>
      </w:rPr>
    </w:tblStylePr>
    <w:tblStylePr w:type="lastCol">
      <w:rPr>
        <w:b/>
        <w:bCs/>
      </w:rPr>
    </w:tblStylePr>
    <w:tblStylePr w:type="band1Vert">
      <w:tblPr/>
      <w:tcPr>
        <w:shd w:val="clear" w:color="auto" w:fill="CAEDFC" w:themeFill="accent2" w:themeFillTint="33"/>
      </w:tcPr>
    </w:tblStylePr>
    <w:tblStylePr w:type="band1Horz">
      <w:tblPr/>
      <w:tcPr>
        <w:shd w:val="clear" w:color="auto" w:fill="CAEDFC" w:themeFill="accent2" w:themeFillTint="33"/>
      </w:tcPr>
    </w:tblStylePr>
  </w:style>
  <w:style w:type="table" w:customStyle="1" w:styleId="GridTable6Colorful-Accent311">
    <w:name w:val="Grid Table 6 Colorful - Accent 311"/>
    <w:basedOn w:val="TableNormal"/>
    <w:next w:val="GridTable6Colorful-Accent31"/>
    <w:uiPriority w:val="51"/>
    <w:rsid w:val="00EF0E0A"/>
    <w:rPr>
      <w:color w:val="827771" w:themeColor="accent3" w:themeShade="BF"/>
    </w:rPr>
    <w:tblPr>
      <w:tblStyleRowBandSize w:val="1"/>
      <w:tblStyleColBandSize w:val="1"/>
      <w:tblInd w:w="833" w:type="dxa"/>
      <w:tblBorders>
        <w:top w:val="single" w:sz="4" w:space="0" w:color="CBC6C3" w:themeColor="accent3" w:themeTint="99"/>
        <w:left w:val="single" w:sz="4" w:space="0" w:color="CBC6C3" w:themeColor="accent3" w:themeTint="99"/>
        <w:bottom w:val="single" w:sz="4" w:space="0" w:color="CBC6C3" w:themeColor="accent3" w:themeTint="99"/>
        <w:right w:val="single" w:sz="4" w:space="0" w:color="CBC6C3" w:themeColor="accent3" w:themeTint="99"/>
        <w:insideH w:val="single" w:sz="4" w:space="0" w:color="CBC6C3" w:themeColor="accent3" w:themeTint="99"/>
        <w:insideV w:val="single" w:sz="4" w:space="0" w:color="CBC6C3" w:themeColor="accent3" w:themeTint="99"/>
      </w:tblBorders>
    </w:tblPr>
    <w:tblStylePr w:type="firstRow">
      <w:rPr>
        <w:b/>
        <w:bCs/>
      </w:rPr>
      <w:tblPr/>
      <w:tcPr>
        <w:tcBorders>
          <w:bottom w:val="single" w:sz="12" w:space="0" w:color="CBC6C3" w:themeColor="accent3" w:themeTint="99"/>
        </w:tcBorders>
      </w:tcPr>
    </w:tblStylePr>
    <w:tblStylePr w:type="lastRow">
      <w:rPr>
        <w:b/>
        <w:bCs/>
      </w:rPr>
      <w:tblPr/>
      <w:tcPr>
        <w:tcBorders>
          <w:top w:val="double" w:sz="4" w:space="0" w:color="CBC6C3" w:themeColor="accent3" w:themeTint="99"/>
        </w:tcBorders>
      </w:tcPr>
    </w:tblStylePr>
    <w:tblStylePr w:type="firstCol">
      <w:rPr>
        <w:b/>
        <w:bCs/>
      </w:rPr>
    </w:tblStylePr>
    <w:tblStylePr w:type="lastCol">
      <w:rPr>
        <w:b/>
        <w:bCs/>
      </w:rPr>
    </w:tblStylePr>
    <w:tblStylePr w:type="band1Vert">
      <w:tblPr/>
      <w:tcPr>
        <w:shd w:val="clear" w:color="auto" w:fill="EDECEB" w:themeFill="accent3" w:themeFillTint="33"/>
      </w:tcPr>
    </w:tblStylePr>
    <w:tblStylePr w:type="band1Horz">
      <w:tblPr/>
      <w:tcPr>
        <w:shd w:val="clear" w:color="auto" w:fill="EDECEB" w:themeFill="accent3" w:themeFillTint="33"/>
      </w:tcPr>
    </w:tblStylePr>
  </w:style>
  <w:style w:type="table" w:customStyle="1" w:styleId="GridTable6Colorful-Accent411">
    <w:name w:val="Grid Table 6 Colorful - Accent 411"/>
    <w:basedOn w:val="TableNormal"/>
    <w:next w:val="GridTable6Colorful-Accent41"/>
    <w:uiPriority w:val="51"/>
    <w:rsid w:val="00EF0E0A"/>
    <w:rPr>
      <w:color w:val="8DA403" w:themeColor="accent4" w:themeShade="BF"/>
    </w:rPr>
    <w:tblPr>
      <w:tblStyleRowBandSize w:val="1"/>
      <w:tblStyleColBandSize w:val="1"/>
      <w:tblInd w:w="833" w:type="dxa"/>
      <w:tblBorders>
        <w:top w:val="single" w:sz="4" w:space="0" w:color="E3FC56" w:themeColor="accent4" w:themeTint="99"/>
        <w:left w:val="single" w:sz="4" w:space="0" w:color="E3FC56" w:themeColor="accent4" w:themeTint="99"/>
        <w:bottom w:val="single" w:sz="4" w:space="0" w:color="E3FC56" w:themeColor="accent4" w:themeTint="99"/>
        <w:right w:val="single" w:sz="4" w:space="0" w:color="E3FC56" w:themeColor="accent4" w:themeTint="99"/>
        <w:insideH w:val="single" w:sz="4" w:space="0" w:color="E3FC56" w:themeColor="accent4" w:themeTint="99"/>
        <w:insideV w:val="single" w:sz="4" w:space="0" w:color="E3FC56" w:themeColor="accent4" w:themeTint="99"/>
      </w:tblBorders>
    </w:tblPr>
    <w:tblStylePr w:type="firstRow">
      <w:rPr>
        <w:b/>
        <w:bCs/>
      </w:rPr>
      <w:tblPr/>
      <w:tcPr>
        <w:tcBorders>
          <w:bottom w:val="single" w:sz="12" w:space="0" w:color="E3FC56" w:themeColor="accent4" w:themeTint="99"/>
        </w:tcBorders>
      </w:tcPr>
    </w:tblStylePr>
    <w:tblStylePr w:type="lastRow">
      <w:rPr>
        <w:b/>
        <w:bCs/>
      </w:rPr>
      <w:tblPr/>
      <w:tcPr>
        <w:tcBorders>
          <w:top w:val="double" w:sz="4" w:space="0" w:color="E3FC56" w:themeColor="accent4" w:themeTint="99"/>
        </w:tcBorders>
      </w:tcPr>
    </w:tblStylePr>
    <w:tblStylePr w:type="firstCol">
      <w:rPr>
        <w:b/>
        <w:bCs/>
      </w:rPr>
    </w:tblStylePr>
    <w:tblStylePr w:type="lastCol">
      <w:rPr>
        <w:b/>
        <w:bCs/>
      </w:rPr>
    </w:tblStylePr>
    <w:tblStylePr w:type="band1Vert">
      <w:tblPr/>
      <w:tcPr>
        <w:shd w:val="clear" w:color="auto" w:fill="F5FEC6" w:themeFill="accent4" w:themeFillTint="33"/>
      </w:tcPr>
    </w:tblStylePr>
    <w:tblStylePr w:type="band1Horz">
      <w:tblPr/>
      <w:tcPr>
        <w:shd w:val="clear" w:color="auto" w:fill="F5FEC6" w:themeFill="accent4" w:themeFillTint="33"/>
      </w:tcPr>
    </w:tblStylePr>
  </w:style>
  <w:style w:type="table" w:customStyle="1" w:styleId="GridTable6Colorful-Accent511">
    <w:name w:val="Grid Table 6 Colorful - Accent 511"/>
    <w:basedOn w:val="TableNormal"/>
    <w:next w:val="GridTable6Colorful-Accent51"/>
    <w:uiPriority w:val="51"/>
    <w:rsid w:val="00EF0E0A"/>
    <w:rPr>
      <w:color w:val="005E7A" w:themeColor="accent5" w:themeShade="BF"/>
    </w:rPr>
    <w:tblPr>
      <w:tblStyleRowBandSize w:val="1"/>
      <w:tblStyleColBandSize w:val="1"/>
      <w:tblInd w:w="833" w:type="dxa"/>
      <w:tblBorders>
        <w:top w:val="single" w:sz="4" w:space="0" w:color="2ED0FF" w:themeColor="accent5" w:themeTint="99"/>
        <w:left w:val="single" w:sz="4" w:space="0" w:color="2ED0FF" w:themeColor="accent5" w:themeTint="99"/>
        <w:bottom w:val="single" w:sz="4" w:space="0" w:color="2ED0FF" w:themeColor="accent5" w:themeTint="99"/>
        <w:right w:val="single" w:sz="4" w:space="0" w:color="2ED0FF" w:themeColor="accent5" w:themeTint="99"/>
        <w:insideH w:val="single" w:sz="4" w:space="0" w:color="2ED0FF" w:themeColor="accent5" w:themeTint="99"/>
        <w:insideV w:val="single" w:sz="4" w:space="0" w:color="2ED0FF" w:themeColor="accent5" w:themeTint="99"/>
      </w:tblBorders>
    </w:tblPr>
    <w:tblStylePr w:type="firstRow">
      <w:rPr>
        <w:b/>
        <w:bCs/>
      </w:rPr>
      <w:tblPr/>
      <w:tcPr>
        <w:tcBorders>
          <w:bottom w:val="single" w:sz="12" w:space="0" w:color="2ED0FF" w:themeColor="accent5" w:themeTint="99"/>
        </w:tcBorders>
      </w:tcPr>
    </w:tblStylePr>
    <w:tblStylePr w:type="lastRow">
      <w:rPr>
        <w:b/>
        <w:bCs/>
      </w:rPr>
      <w:tblPr/>
      <w:tcPr>
        <w:tcBorders>
          <w:top w:val="double" w:sz="4" w:space="0" w:color="2ED0FF" w:themeColor="accent5" w:themeTint="99"/>
        </w:tcBorders>
      </w:tcPr>
    </w:tblStylePr>
    <w:tblStylePr w:type="firstCol">
      <w:rPr>
        <w:b/>
        <w:bCs/>
      </w:rPr>
    </w:tblStylePr>
    <w:tblStylePr w:type="lastCol">
      <w:rPr>
        <w:b/>
        <w:bCs/>
      </w:rPr>
    </w:tblStylePr>
    <w:tblStylePr w:type="band1Vert">
      <w:tblPr/>
      <w:tcPr>
        <w:shd w:val="clear" w:color="auto" w:fill="B9EFFF" w:themeFill="accent5" w:themeFillTint="33"/>
      </w:tcPr>
    </w:tblStylePr>
    <w:tblStylePr w:type="band1Horz">
      <w:tblPr/>
      <w:tcPr>
        <w:shd w:val="clear" w:color="auto" w:fill="B9EFFF" w:themeFill="accent5" w:themeFillTint="33"/>
      </w:tcPr>
    </w:tblStylePr>
  </w:style>
  <w:style w:type="table" w:customStyle="1" w:styleId="GridTable6Colorful-Accent611">
    <w:name w:val="Grid Table 6 Colorful - Accent 611"/>
    <w:basedOn w:val="TableNormal"/>
    <w:next w:val="GridTable6Colorful-Accent61"/>
    <w:uiPriority w:val="51"/>
    <w:rsid w:val="00EF0E0A"/>
    <w:rPr>
      <w:color w:val="434343" w:themeColor="accent6" w:themeShade="BF"/>
    </w:rPr>
    <w:tblPr>
      <w:tblStyleRowBandSize w:val="1"/>
      <w:tblStyleColBandSize w:val="1"/>
      <w:tblInd w:w="833" w:type="dxa"/>
      <w:tblBorders>
        <w:top w:val="single" w:sz="4" w:space="0" w:color="9C9C9C" w:themeColor="accent6" w:themeTint="99"/>
        <w:left w:val="single" w:sz="4" w:space="0" w:color="9C9C9C" w:themeColor="accent6" w:themeTint="99"/>
        <w:bottom w:val="single" w:sz="4" w:space="0" w:color="9C9C9C" w:themeColor="accent6" w:themeTint="99"/>
        <w:right w:val="single" w:sz="4" w:space="0" w:color="9C9C9C" w:themeColor="accent6" w:themeTint="99"/>
        <w:insideH w:val="single" w:sz="4" w:space="0" w:color="9C9C9C" w:themeColor="accent6" w:themeTint="99"/>
        <w:insideV w:val="single" w:sz="4" w:space="0" w:color="9C9C9C" w:themeColor="accent6" w:themeTint="99"/>
      </w:tblBorders>
    </w:tblPr>
    <w:tblStylePr w:type="firstRow">
      <w:rPr>
        <w:b/>
        <w:bCs/>
      </w:rPr>
      <w:tblPr/>
      <w:tcPr>
        <w:tcBorders>
          <w:bottom w:val="single" w:sz="12" w:space="0" w:color="9C9C9C" w:themeColor="accent6" w:themeTint="99"/>
        </w:tcBorders>
      </w:tcPr>
    </w:tblStylePr>
    <w:tblStylePr w:type="lastRow">
      <w:rPr>
        <w:b/>
        <w:bCs/>
      </w:rPr>
      <w:tblPr/>
      <w:tcPr>
        <w:tcBorders>
          <w:top w:val="double" w:sz="4" w:space="0" w:color="9C9C9C" w:themeColor="accent6" w:themeTint="99"/>
        </w:tcBorders>
      </w:tcPr>
    </w:tblStylePr>
    <w:tblStylePr w:type="firstCol">
      <w:rPr>
        <w:b/>
        <w:bCs/>
      </w:rPr>
    </w:tblStylePr>
    <w:tblStylePr w:type="lastCol">
      <w:rPr>
        <w:b/>
        <w:bCs/>
      </w:rPr>
    </w:tblStylePr>
    <w:tblStylePr w:type="band1Vert">
      <w:tblPr/>
      <w:tcPr>
        <w:shd w:val="clear" w:color="auto" w:fill="DEDEDE" w:themeFill="accent6" w:themeFillTint="33"/>
      </w:tcPr>
    </w:tblStylePr>
    <w:tblStylePr w:type="band1Horz">
      <w:tblPr/>
      <w:tcPr>
        <w:shd w:val="clear" w:color="auto" w:fill="DEDEDE" w:themeFill="accent6" w:themeFillTint="33"/>
      </w:tcPr>
    </w:tblStylePr>
  </w:style>
  <w:style w:type="table" w:customStyle="1" w:styleId="ListTable1Light11">
    <w:name w:val="List Table 1 Light11"/>
    <w:basedOn w:val="TableNormal"/>
    <w:next w:val="ListTable1Light1"/>
    <w:uiPriority w:val="46"/>
    <w:rsid w:val="00EF0E0A"/>
    <w:tblPr>
      <w:tblStyleRowBandSize w:val="1"/>
      <w:tblStyleColBandSize w:val="1"/>
      <w:tblInd w:w="833" w:type="dxa"/>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1Light-Accent111">
    <w:name w:val="List Table 1 Light - Accent 111"/>
    <w:basedOn w:val="TableNormal"/>
    <w:next w:val="ListTable1Light-Accent11"/>
    <w:uiPriority w:val="46"/>
    <w:rsid w:val="00EF0E0A"/>
    <w:tblPr>
      <w:tblStyleRowBandSize w:val="1"/>
      <w:tblStyleColBandSize w:val="1"/>
      <w:tblInd w:w="833" w:type="dxa"/>
    </w:tblPr>
    <w:tblStylePr w:type="firstRow">
      <w:rPr>
        <w:b/>
        <w:bCs/>
      </w:rPr>
      <w:tblPr/>
      <w:tcPr>
        <w:tcBorders>
          <w:bottom w:val="single" w:sz="4" w:space="0" w:color="ABDBE7" w:themeColor="accent1" w:themeTint="99"/>
        </w:tcBorders>
      </w:tcPr>
    </w:tblStylePr>
    <w:tblStylePr w:type="lastRow">
      <w:rPr>
        <w:b/>
        <w:bCs/>
      </w:rPr>
      <w:tblPr/>
      <w:tcPr>
        <w:tcBorders>
          <w:top w:val="single" w:sz="4" w:space="0" w:color="ABDBE7" w:themeColor="accent1" w:themeTint="99"/>
        </w:tcBorders>
      </w:tcPr>
    </w:tblStylePr>
    <w:tblStylePr w:type="firstCol">
      <w:rPr>
        <w:b/>
        <w:bCs/>
      </w:rPr>
    </w:tblStylePr>
    <w:tblStylePr w:type="lastCol">
      <w:rPr>
        <w:b/>
        <w:bCs/>
      </w:rPr>
    </w:tblStylePr>
    <w:tblStylePr w:type="band1Vert">
      <w:tblPr/>
      <w:tcPr>
        <w:shd w:val="clear" w:color="auto" w:fill="E3F3F7" w:themeFill="accent1" w:themeFillTint="33"/>
      </w:tcPr>
    </w:tblStylePr>
    <w:tblStylePr w:type="band1Horz">
      <w:tblPr/>
      <w:tcPr>
        <w:shd w:val="clear" w:color="auto" w:fill="E3F3F7" w:themeFill="accent1" w:themeFillTint="33"/>
      </w:tcPr>
    </w:tblStylePr>
  </w:style>
  <w:style w:type="table" w:customStyle="1" w:styleId="ListTable1Light-Accent211">
    <w:name w:val="List Table 1 Light - Accent 211"/>
    <w:basedOn w:val="TableNormal"/>
    <w:next w:val="ListTable1Light-Accent21"/>
    <w:uiPriority w:val="46"/>
    <w:rsid w:val="00EF0E0A"/>
    <w:tblPr>
      <w:tblStyleRowBandSize w:val="1"/>
      <w:tblStyleColBandSize w:val="1"/>
      <w:tblInd w:w="833" w:type="dxa"/>
    </w:tblPr>
    <w:tblStylePr w:type="firstRow">
      <w:rPr>
        <w:b/>
        <w:bCs/>
      </w:rPr>
      <w:tblPr/>
      <w:tcPr>
        <w:tcBorders>
          <w:bottom w:val="single" w:sz="4" w:space="0" w:color="61C8F5" w:themeColor="accent2" w:themeTint="99"/>
        </w:tcBorders>
      </w:tcPr>
    </w:tblStylePr>
    <w:tblStylePr w:type="lastRow">
      <w:rPr>
        <w:b/>
        <w:bCs/>
      </w:rPr>
      <w:tblPr/>
      <w:tcPr>
        <w:tcBorders>
          <w:top w:val="single" w:sz="4" w:space="0" w:color="61C8F5" w:themeColor="accent2" w:themeTint="99"/>
        </w:tcBorders>
      </w:tcPr>
    </w:tblStylePr>
    <w:tblStylePr w:type="firstCol">
      <w:rPr>
        <w:b/>
        <w:bCs/>
      </w:rPr>
    </w:tblStylePr>
    <w:tblStylePr w:type="lastCol">
      <w:rPr>
        <w:b/>
        <w:bCs/>
      </w:rPr>
    </w:tblStylePr>
    <w:tblStylePr w:type="band1Vert">
      <w:tblPr/>
      <w:tcPr>
        <w:shd w:val="clear" w:color="auto" w:fill="CAEDFC" w:themeFill="accent2" w:themeFillTint="33"/>
      </w:tcPr>
    </w:tblStylePr>
    <w:tblStylePr w:type="band1Horz">
      <w:tblPr/>
      <w:tcPr>
        <w:shd w:val="clear" w:color="auto" w:fill="CAEDFC" w:themeFill="accent2" w:themeFillTint="33"/>
      </w:tcPr>
    </w:tblStylePr>
  </w:style>
  <w:style w:type="table" w:customStyle="1" w:styleId="ListTable1Light-Accent311">
    <w:name w:val="List Table 1 Light - Accent 311"/>
    <w:basedOn w:val="TableNormal"/>
    <w:next w:val="ListTable1Light-Accent31"/>
    <w:uiPriority w:val="46"/>
    <w:rsid w:val="00EF0E0A"/>
    <w:tblPr>
      <w:tblStyleRowBandSize w:val="1"/>
      <w:tblStyleColBandSize w:val="1"/>
      <w:tblInd w:w="833" w:type="dxa"/>
    </w:tblPr>
    <w:tblStylePr w:type="firstRow">
      <w:rPr>
        <w:b/>
        <w:bCs/>
      </w:rPr>
      <w:tblPr/>
      <w:tcPr>
        <w:tcBorders>
          <w:bottom w:val="single" w:sz="4" w:space="0" w:color="CBC6C3" w:themeColor="accent3" w:themeTint="99"/>
        </w:tcBorders>
      </w:tcPr>
    </w:tblStylePr>
    <w:tblStylePr w:type="lastRow">
      <w:rPr>
        <w:b/>
        <w:bCs/>
      </w:rPr>
      <w:tblPr/>
      <w:tcPr>
        <w:tcBorders>
          <w:top w:val="single" w:sz="4" w:space="0" w:color="CBC6C3" w:themeColor="accent3" w:themeTint="99"/>
        </w:tcBorders>
      </w:tcPr>
    </w:tblStylePr>
    <w:tblStylePr w:type="firstCol">
      <w:rPr>
        <w:b/>
        <w:bCs/>
      </w:rPr>
    </w:tblStylePr>
    <w:tblStylePr w:type="lastCol">
      <w:rPr>
        <w:b/>
        <w:bCs/>
      </w:rPr>
    </w:tblStylePr>
    <w:tblStylePr w:type="band1Vert">
      <w:tblPr/>
      <w:tcPr>
        <w:shd w:val="clear" w:color="auto" w:fill="EDECEB" w:themeFill="accent3" w:themeFillTint="33"/>
      </w:tcPr>
    </w:tblStylePr>
    <w:tblStylePr w:type="band1Horz">
      <w:tblPr/>
      <w:tcPr>
        <w:shd w:val="clear" w:color="auto" w:fill="EDECEB" w:themeFill="accent3" w:themeFillTint="33"/>
      </w:tcPr>
    </w:tblStylePr>
  </w:style>
  <w:style w:type="table" w:customStyle="1" w:styleId="ListTable1Light-Accent411">
    <w:name w:val="List Table 1 Light - Accent 411"/>
    <w:basedOn w:val="TableNormal"/>
    <w:next w:val="ListTable1Light-Accent41"/>
    <w:uiPriority w:val="46"/>
    <w:rsid w:val="00EF0E0A"/>
    <w:tblPr>
      <w:tblStyleRowBandSize w:val="1"/>
      <w:tblStyleColBandSize w:val="1"/>
      <w:tblInd w:w="833" w:type="dxa"/>
    </w:tblPr>
    <w:tblStylePr w:type="firstRow">
      <w:rPr>
        <w:b/>
        <w:bCs/>
      </w:rPr>
      <w:tblPr/>
      <w:tcPr>
        <w:tcBorders>
          <w:bottom w:val="single" w:sz="4" w:space="0" w:color="E3FC56" w:themeColor="accent4" w:themeTint="99"/>
        </w:tcBorders>
      </w:tcPr>
    </w:tblStylePr>
    <w:tblStylePr w:type="lastRow">
      <w:rPr>
        <w:b/>
        <w:bCs/>
      </w:rPr>
      <w:tblPr/>
      <w:tcPr>
        <w:tcBorders>
          <w:top w:val="single" w:sz="4" w:space="0" w:color="E3FC56" w:themeColor="accent4" w:themeTint="99"/>
        </w:tcBorders>
      </w:tcPr>
    </w:tblStylePr>
    <w:tblStylePr w:type="firstCol">
      <w:rPr>
        <w:b/>
        <w:bCs/>
      </w:rPr>
    </w:tblStylePr>
    <w:tblStylePr w:type="lastCol">
      <w:rPr>
        <w:b/>
        <w:bCs/>
      </w:rPr>
    </w:tblStylePr>
    <w:tblStylePr w:type="band1Vert">
      <w:tblPr/>
      <w:tcPr>
        <w:shd w:val="clear" w:color="auto" w:fill="F5FEC6" w:themeFill="accent4" w:themeFillTint="33"/>
      </w:tcPr>
    </w:tblStylePr>
    <w:tblStylePr w:type="band1Horz">
      <w:tblPr/>
      <w:tcPr>
        <w:shd w:val="clear" w:color="auto" w:fill="F5FEC6" w:themeFill="accent4" w:themeFillTint="33"/>
      </w:tcPr>
    </w:tblStylePr>
  </w:style>
  <w:style w:type="table" w:customStyle="1" w:styleId="ListTable1Light-Accent511">
    <w:name w:val="List Table 1 Light - Accent 511"/>
    <w:basedOn w:val="TableNormal"/>
    <w:next w:val="ListTable1Light-Accent51"/>
    <w:uiPriority w:val="46"/>
    <w:rsid w:val="00EF0E0A"/>
    <w:tblPr>
      <w:tblStyleRowBandSize w:val="1"/>
      <w:tblStyleColBandSize w:val="1"/>
      <w:tblInd w:w="833" w:type="dxa"/>
    </w:tblPr>
    <w:tblStylePr w:type="firstRow">
      <w:rPr>
        <w:b/>
        <w:bCs/>
      </w:rPr>
      <w:tblPr/>
      <w:tcPr>
        <w:tcBorders>
          <w:bottom w:val="single" w:sz="4" w:space="0" w:color="2ED0FF" w:themeColor="accent5" w:themeTint="99"/>
        </w:tcBorders>
      </w:tcPr>
    </w:tblStylePr>
    <w:tblStylePr w:type="lastRow">
      <w:rPr>
        <w:b/>
        <w:bCs/>
      </w:rPr>
      <w:tblPr/>
      <w:tcPr>
        <w:tcBorders>
          <w:top w:val="single" w:sz="4" w:space="0" w:color="2ED0FF" w:themeColor="accent5" w:themeTint="99"/>
        </w:tcBorders>
      </w:tcPr>
    </w:tblStylePr>
    <w:tblStylePr w:type="firstCol">
      <w:rPr>
        <w:b/>
        <w:bCs/>
      </w:rPr>
    </w:tblStylePr>
    <w:tblStylePr w:type="lastCol">
      <w:rPr>
        <w:b/>
        <w:bCs/>
      </w:rPr>
    </w:tblStylePr>
    <w:tblStylePr w:type="band1Vert">
      <w:tblPr/>
      <w:tcPr>
        <w:shd w:val="clear" w:color="auto" w:fill="B9EFFF" w:themeFill="accent5" w:themeFillTint="33"/>
      </w:tcPr>
    </w:tblStylePr>
    <w:tblStylePr w:type="band1Horz">
      <w:tblPr/>
      <w:tcPr>
        <w:shd w:val="clear" w:color="auto" w:fill="B9EFFF" w:themeFill="accent5" w:themeFillTint="33"/>
      </w:tcPr>
    </w:tblStylePr>
  </w:style>
  <w:style w:type="table" w:customStyle="1" w:styleId="ListTable1Light-Accent611">
    <w:name w:val="List Table 1 Light - Accent 611"/>
    <w:basedOn w:val="TableNormal"/>
    <w:next w:val="ListTable1Light-Accent61"/>
    <w:uiPriority w:val="46"/>
    <w:rsid w:val="00EF0E0A"/>
    <w:tblPr>
      <w:tblStyleRowBandSize w:val="1"/>
      <w:tblStyleColBandSize w:val="1"/>
      <w:tblInd w:w="833" w:type="dxa"/>
    </w:tblPr>
    <w:tblStylePr w:type="firstRow">
      <w:rPr>
        <w:b/>
        <w:bCs/>
      </w:rPr>
      <w:tblPr/>
      <w:tcPr>
        <w:tcBorders>
          <w:bottom w:val="single" w:sz="4" w:space="0" w:color="9C9C9C" w:themeColor="accent6" w:themeTint="99"/>
        </w:tcBorders>
      </w:tcPr>
    </w:tblStylePr>
    <w:tblStylePr w:type="lastRow">
      <w:rPr>
        <w:b/>
        <w:bCs/>
      </w:rPr>
      <w:tblPr/>
      <w:tcPr>
        <w:tcBorders>
          <w:top w:val="single" w:sz="4" w:space="0" w:color="9C9C9C" w:themeColor="accent6" w:themeTint="99"/>
        </w:tcBorders>
      </w:tcPr>
    </w:tblStylePr>
    <w:tblStylePr w:type="firstCol">
      <w:rPr>
        <w:b/>
        <w:bCs/>
      </w:rPr>
    </w:tblStylePr>
    <w:tblStylePr w:type="lastCol">
      <w:rPr>
        <w:b/>
        <w:bCs/>
      </w:rPr>
    </w:tblStylePr>
    <w:tblStylePr w:type="band1Vert">
      <w:tblPr/>
      <w:tcPr>
        <w:shd w:val="clear" w:color="auto" w:fill="DEDEDE" w:themeFill="accent6" w:themeFillTint="33"/>
      </w:tcPr>
    </w:tblStylePr>
    <w:tblStylePr w:type="band1Horz">
      <w:tblPr/>
      <w:tcPr>
        <w:shd w:val="clear" w:color="auto" w:fill="DEDEDE" w:themeFill="accent6" w:themeFillTint="33"/>
      </w:tcPr>
    </w:tblStylePr>
  </w:style>
  <w:style w:type="table" w:customStyle="1" w:styleId="ListTable211">
    <w:name w:val="List Table 211"/>
    <w:basedOn w:val="TableNormal"/>
    <w:next w:val="ListTable21"/>
    <w:uiPriority w:val="47"/>
    <w:rsid w:val="00EF0E0A"/>
    <w:tblPr>
      <w:tblStyleRowBandSize w:val="1"/>
      <w:tblStyleColBandSize w:val="1"/>
      <w:tblInd w:w="833" w:type="dxa"/>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2-Accent111">
    <w:name w:val="List Table 2 - Accent 111"/>
    <w:basedOn w:val="TableNormal"/>
    <w:next w:val="ListTable2-Accent11"/>
    <w:uiPriority w:val="47"/>
    <w:rsid w:val="00EF0E0A"/>
    <w:tblPr>
      <w:tblStyleRowBandSize w:val="1"/>
      <w:tblStyleColBandSize w:val="1"/>
      <w:tblInd w:w="833" w:type="dxa"/>
      <w:tblBorders>
        <w:top w:val="single" w:sz="4" w:space="0" w:color="ABDBE7" w:themeColor="accent1" w:themeTint="99"/>
        <w:bottom w:val="single" w:sz="4" w:space="0" w:color="ABDBE7" w:themeColor="accent1" w:themeTint="99"/>
        <w:insideH w:val="single" w:sz="4" w:space="0" w:color="ABDBE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3F3F7" w:themeFill="accent1" w:themeFillTint="33"/>
      </w:tcPr>
    </w:tblStylePr>
    <w:tblStylePr w:type="band1Horz">
      <w:tblPr/>
      <w:tcPr>
        <w:shd w:val="clear" w:color="auto" w:fill="E3F3F7" w:themeFill="accent1" w:themeFillTint="33"/>
      </w:tcPr>
    </w:tblStylePr>
  </w:style>
  <w:style w:type="table" w:customStyle="1" w:styleId="ListTable2-Accent211">
    <w:name w:val="List Table 2 - Accent 211"/>
    <w:basedOn w:val="TableNormal"/>
    <w:next w:val="ListTable2-Accent21"/>
    <w:uiPriority w:val="47"/>
    <w:rsid w:val="00EF0E0A"/>
    <w:tblPr>
      <w:tblStyleRowBandSize w:val="1"/>
      <w:tblStyleColBandSize w:val="1"/>
      <w:tblInd w:w="833" w:type="dxa"/>
      <w:tblBorders>
        <w:top w:val="single" w:sz="4" w:space="0" w:color="61C8F5" w:themeColor="accent2" w:themeTint="99"/>
        <w:bottom w:val="single" w:sz="4" w:space="0" w:color="61C8F5" w:themeColor="accent2" w:themeTint="99"/>
        <w:insideH w:val="single" w:sz="4" w:space="0" w:color="61C8F5"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AEDFC" w:themeFill="accent2" w:themeFillTint="33"/>
      </w:tcPr>
    </w:tblStylePr>
    <w:tblStylePr w:type="band1Horz">
      <w:tblPr/>
      <w:tcPr>
        <w:shd w:val="clear" w:color="auto" w:fill="CAEDFC" w:themeFill="accent2" w:themeFillTint="33"/>
      </w:tcPr>
    </w:tblStylePr>
  </w:style>
  <w:style w:type="table" w:customStyle="1" w:styleId="ListTable2-Accent311">
    <w:name w:val="List Table 2 - Accent 311"/>
    <w:basedOn w:val="TableNormal"/>
    <w:next w:val="ListTable2-Accent31"/>
    <w:uiPriority w:val="47"/>
    <w:rsid w:val="00EF0E0A"/>
    <w:tblPr>
      <w:tblStyleRowBandSize w:val="1"/>
      <w:tblStyleColBandSize w:val="1"/>
      <w:tblInd w:w="833" w:type="dxa"/>
      <w:tblBorders>
        <w:top w:val="single" w:sz="4" w:space="0" w:color="CBC6C3" w:themeColor="accent3" w:themeTint="99"/>
        <w:bottom w:val="single" w:sz="4" w:space="0" w:color="CBC6C3" w:themeColor="accent3" w:themeTint="99"/>
        <w:insideH w:val="single" w:sz="4" w:space="0" w:color="CBC6C3"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CEB" w:themeFill="accent3" w:themeFillTint="33"/>
      </w:tcPr>
    </w:tblStylePr>
    <w:tblStylePr w:type="band1Horz">
      <w:tblPr/>
      <w:tcPr>
        <w:shd w:val="clear" w:color="auto" w:fill="EDECEB" w:themeFill="accent3" w:themeFillTint="33"/>
      </w:tcPr>
    </w:tblStylePr>
  </w:style>
  <w:style w:type="table" w:customStyle="1" w:styleId="ListTable2-Accent411">
    <w:name w:val="List Table 2 - Accent 411"/>
    <w:basedOn w:val="TableNormal"/>
    <w:next w:val="ListTable2-Accent41"/>
    <w:uiPriority w:val="47"/>
    <w:rsid w:val="00EF0E0A"/>
    <w:tblPr>
      <w:tblStyleRowBandSize w:val="1"/>
      <w:tblStyleColBandSize w:val="1"/>
      <w:tblInd w:w="833" w:type="dxa"/>
      <w:tblBorders>
        <w:top w:val="single" w:sz="4" w:space="0" w:color="E3FC56" w:themeColor="accent4" w:themeTint="99"/>
        <w:bottom w:val="single" w:sz="4" w:space="0" w:color="E3FC56" w:themeColor="accent4" w:themeTint="99"/>
        <w:insideH w:val="single" w:sz="4" w:space="0" w:color="E3FC56"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5FEC6" w:themeFill="accent4" w:themeFillTint="33"/>
      </w:tcPr>
    </w:tblStylePr>
    <w:tblStylePr w:type="band1Horz">
      <w:tblPr/>
      <w:tcPr>
        <w:shd w:val="clear" w:color="auto" w:fill="F5FEC6" w:themeFill="accent4" w:themeFillTint="33"/>
      </w:tcPr>
    </w:tblStylePr>
  </w:style>
  <w:style w:type="table" w:customStyle="1" w:styleId="ListTable2-Accent511">
    <w:name w:val="List Table 2 - Accent 511"/>
    <w:basedOn w:val="TableNormal"/>
    <w:next w:val="ListTable2-Accent51"/>
    <w:uiPriority w:val="47"/>
    <w:rsid w:val="00EF0E0A"/>
    <w:tblPr>
      <w:tblStyleRowBandSize w:val="1"/>
      <w:tblStyleColBandSize w:val="1"/>
      <w:tblInd w:w="833" w:type="dxa"/>
      <w:tblBorders>
        <w:top w:val="single" w:sz="4" w:space="0" w:color="2ED0FF" w:themeColor="accent5" w:themeTint="99"/>
        <w:bottom w:val="single" w:sz="4" w:space="0" w:color="2ED0FF" w:themeColor="accent5" w:themeTint="99"/>
        <w:insideH w:val="single" w:sz="4" w:space="0" w:color="2ED0FF"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9EFFF" w:themeFill="accent5" w:themeFillTint="33"/>
      </w:tcPr>
    </w:tblStylePr>
    <w:tblStylePr w:type="band1Horz">
      <w:tblPr/>
      <w:tcPr>
        <w:shd w:val="clear" w:color="auto" w:fill="B9EFFF" w:themeFill="accent5" w:themeFillTint="33"/>
      </w:tcPr>
    </w:tblStylePr>
  </w:style>
  <w:style w:type="table" w:customStyle="1" w:styleId="ListTable2-Accent611">
    <w:name w:val="List Table 2 - Accent 611"/>
    <w:basedOn w:val="TableNormal"/>
    <w:next w:val="ListTable2-Accent61"/>
    <w:uiPriority w:val="47"/>
    <w:rsid w:val="00EF0E0A"/>
    <w:tblPr>
      <w:tblStyleRowBandSize w:val="1"/>
      <w:tblStyleColBandSize w:val="1"/>
      <w:tblInd w:w="833" w:type="dxa"/>
      <w:tblBorders>
        <w:top w:val="single" w:sz="4" w:space="0" w:color="9C9C9C" w:themeColor="accent6" w:themeTint="99"/>
        <w:bottom w:val="single" w:sz="4" w:space="0" w:color="9C9C9C" w:themeColor="accent6" w:themeTint="99"/>
        <w:insideH w:val="single" w:sz="4" w:space="0" w:color="9C9C9C"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DEDE" w:themeFill="accent6" w:themeFillTint="33"/>
      </w:tcPr>
    </w:tblStylePr>
    <w:tblStylePr w:type="band1Horz">
      <w:tblPr/>
      <w:tcPr>
        <w:shd w:val="clear" w:color="auto" w:fill="DEDEDE" w:themeFill="accent6" w:themeFillTint="33"/>
      </w:tcPr>
    </w:tblStylePr>
  </w:style>
  <w:style w:type="table" w:customStyle="1" w:styleId="ListTable311">
    <w:name w:val="List Table 311"/>
    <w:basedOn w:val="TableNormal"/>
    <w:next w:val="ListTable31"/>
    <w:uiPriority w:val="48"/>
    <w:rsid w:val="00EF0E0A"/>
    <w:tblPr>
      <w:tblStyleRowBandSize w:val="1"/>
      <w:tblStyleColBandSize w:val="1"/>
      <w:tblInd w:w="833"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ListTable3-Accent111">
    <w:name w:val="List Table 3 - Accent 111"/>
    <w:basedOn w:val="TableNormal"/>
    <w:next w:val="ListTable3-Accent11"/>
    <w:uiPriority w:val="48"/>
    <w:rsid w:val="00EF0E0A"/>
    <w:tblPr>
      <w:tblStyleRowBandSize w:val="1"/>
      <w:tblStyleColBandSize w:val="1"/>
      <w:tblInd w:w="833" w:type="dxa"/>
      <w:tblBorders>
        <w:top w:val="single" w:sz="4" w:space="0" w:color="74C4D7" w:themeColor="accent1"/>
        <w:left w:val="single" w:sz="4" w:space="0" w:color="74C4D7" w:themeColor="accent1"/>
        <w:bottom w:val="single" w:sz="4" w:space="0" w:color="74C4D7" w:themeColor="accent1"/>
        <w:right w:val="single" w:sz="4" w:space="0" w:color="74C4D7" w:themeColor="accent1"/>
      </w:tblBorders>
    </w:tblPr>
    <w:tblStylePr w:type="firstRow">
      <w:rPr>
        <w:b/>
        <w:bCs/>
        <w:color w:val="FFFFFF" w:themeColor="background1"/>
      </w:rPr>
      <w:tblPr/>
      <w:tcPr>
        <w:shd w:val="clear" w:color="auto" w:fill="74C4D7" w:themeFill="accent1"/>
      </w:tcPr>
    </w:tblStylePr>
    <w:tblStylePr w:type="lastRow">
      <w:rPr>
        <w:b/>
        <w:bCs/>
      </w:rPr>
      <w:tblPr/>
      <w:tcPr>
        <w:tcBorders>
          <w:top w:val="double" w:sz="4" w:space="0" w:color="74C4D7"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4C4D7" w:themeColor="accent1"/>
          <w:right w:val="single" w:sz="4" w:space="0" w:color="74C4D7" w:themeColor="accent1"/>
        </w:tcBorders>
      </w:tcPr>
    </w:tblStylePr>
    <w:tblStylePr w:type="band1Horz">
      <w:tblPr/>
      <w:tcPr>
        <w:tcBorders>
          <w:top w:val="single" w:sz="4" w:space="0" w:color="74C4D7" w:themeColor="accent1"/>
          <w:bottom w:val="single" w:sz="4" w:space="0" w:color="74C4D7"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4C4D7" w:themeColor="accent1"/>
          <w:left w:val="nil"/>
        </w:tcBorders>
      </w:tcPr>
    </w:tblStylePr>
    <w:tblStylePr w:type="swCell">
      <w:tblPr/>
      <w:tcPr>
        <w:tcBorders>
          <w:top w:val="double" w:sz="4" w:space="0" w:color="74C4D7" w:themeColor="accent1"/>
          <w:right w:val="nil"/>
        </w:tcBorders>
      </w:tcPr>
    </w:tblStylePr>
  </w:style>
  <w:style w:type="table" w:customStyle="1" w:styleId="ListTable3-Accent211">
    <w:name w:val="List Table 3 - Accent 211"/>
    <w:basedOn w:val="TableNormal"/>
    <w:next w:val="ListTable3-Accent21"/>
    <w:uiPriority w:val="48"/>
    <w:rsid w:val="00EF0E0A"/>
    <w:tblPr>
      <w:tblStyleRowBandSize w:val="1"/>
      <w:tblStyleColBandSize w:val="1"/>
      <w:tblInd w:w="833" w:type="dxa"/>
      <w:tblBorders>
        <w:top w:val="single" w:sz="4" w:space="0" w:color="0D9DDB" w:themeColor="accent2"/>
        <w:left w:val="single" w:sz="4" w:space="0" w:color="0D9DDB" w:themeColor="accent2"/>
        <w:bottom w:val="single" w:sz="4" w:space="0" w:color="0D9DDB" w:themeColor="accent2"/>
        <w:right w:val="single" w:sz="4" w:space="0" w:color="0D9DDB" w:themeColor="accent2"/>
      </w:tblBorders>
    </w:tblPr>
    <w:tblStylePr w:type="firstRow">
      <w:rPr>
        <w:b/>
        <w:bCs/>
        <w:color w:val="FFFFFF" w:themeColor="background1"/>
      </w:rPr>
      <w:tblPr/>
      <w:tcPr>
        <w:shd w:val="clear" w:color="auto" w:fill="0D9DDB" w:themeFill="accent2"/>
      </w:tcPr>
    </w:tblStylePr>
    <w:tblStylePr w:type="lastRow">
      <w:rPr>
        <w:b/>
        <w:bCs/>
      </w:rPr>
      <w:tblPr/>
      <w:tcPr>
        <w:tcBorders>
          <w:top w:val="double" w:sz="4" w:space="0" w:color="0D9DDB"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D9DDB" w:themeColor="accent2"/>
          <w:right w:val="single" w:sz="4" w:space="0" w:color="0D9DDB" w:themeColor="accent2"/>
        </w:tcBorders>
      </w:tcPr>
    </w:tblStylePr>
    <w:tblStylePr w:type="band1Horz">
      <w:tblPr/>
      <w:tcPr>
        <w:tcBorders>
          <w:top w:val="single" w:sz="4" w:space="0" w:color="0D9DDB" w:themeColor="accent2"/>
          <w:bottom w:val="single" w:sz="4" w:space="0" w:color="0D9DDB"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D9DDB" w:themeColor="accent2"/>
          <w:left w:val="nil"/>
        </w:tcBorders>
      </w:tcPr>
    </w:tblStylePr>
    <w:tblStylePr w:type="swCell">
      <w:tblPr/>
      <w:tcPr>
        <w:tcBorders>
          <w:top w:val="double" w:sz="4" w:space="0" w:color="0D9DDB" w:themeColor="accent2"/>
          <w:right w:val="nil"/>
        </w:tcBorders>
      </w:tcPr>
    </w:tblStylePr>
  </w:style>
  <w:style w:type="table" w:customStyle="1" w:styleId="ListTable3-Accent311">
    <w:name w:val="List Table 3 - Accent 311"/>
    <w:basedOn w:val="TableNormal"/>
    <w:next w:val="ListTable3-Accent31"/>
    <w:uiPriority w:val="48"/>
    <w:rsid w:val="00EF0E0A"/>
    <w:tblPr>
      <w:tblStyleRowBandSize w:val="1"/>
      <w:tblStyleColBandSize w:val="1"/>
      <w:tblInd w:w="833" w:type="dxa"/>
      <w:tblBorders>
        <w:top w:val="single" w:sz="4" w:space="0" w:color="A9A19C" w:themeColor="accent3"/>
        <w:left w:val="single" w:sz="4" w:space="0" w:color="A9A19C" w:themeColor="accent3"/>
        <w:bottom w:val="single" w:sz="4" w:space="0" w:color="A9A19C" w:themeColor="accent3"/>
        <w:right w:val="single" w:sz="4" w:space="0" w:color="A9A19C" w:themeColor="accent3"/>
      </w:tblBorders>
    </w:tblPr>
    <w:tblStylePr w:type="firstRow">
      <w:rPr>
        <w:b/>
        <w:bCs/>
        <w:color w:val="FFFFFF" w:themeColor="background1"/>
      </w:rPr>
      <w:tblPr/>
      <w:tcPr>
        <w:shd w:val="clear" w:color="auto" w:fill="A9A19C" w:themeFill="accent3"/>
      </w:tcPr>
    </w:tblStylePr>
    <w:tblStylePr w:type="lastRow">
      <w:rPr>
        <w:b/>
        <w:bCs/>
      </w:rPr>
      <w:tblPr/>
      <w:tcPr>
        <w:tcBorders>
          <w:top w:val="double" w:sz="4" w:space="0" w:color="A9A19C"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9A19C" w:themeColor="accent3"/>
          <w:right w:val="single" w:sz="4" w:space="0" w:color="A9A19C" w:themeColor="accent3"/>
        </w:tcBorders>
      </w:tcPr>
    </w:tblStylePr>
    <w:tblStylePr w:type="band1Horz">
      <w:tblPr/>
      <w:tcPr>
        <w:tcBorders>
          <w:top w:val="single" w:sz="4" w:space="0" w:color="A9A19C" w:themeColor="accent3"/>
          <w:bottom w:val="single" w:sz="4" w:space="0" w:color="A9A19C"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9A19C" w:themeColor="accent3"/>
          <w:left w:val="nil"/>
        </w:tcBorders>
      </w:tcPr>
    </w:tblStylePr>
    <w:tblStylePr w:type="swCell">
      <w:tblPr/>
      <w:tcPr>
        <w:tcBorders>
          <w:top w:val="double" w:sz="4" w:space="0" w:color="A9A19C" w:themeColor="accent3"/>
          <w:right w:val="nil"/>
        </w:tcBorders>
      </w:tcPr>
    </w:tblStylePr>
  </w:style>
  <w:style w:type="table" w:customStyle="1" w:styleId="ListTable3-Accent411">
    <w:name w:val="List Table 3 - Accent 411"/>
    <w:basedOn w:val="TableNormal"/>
    <w:next w:val="ListTable3-Accent41"/>
    <w:uiPriority w:val="48"/>
    <w:rsid w:val="00EF0E0A"/>
    <w:tblPr>
      <w:tblStyleRowBandSize w:val="1"/>
      <w:tblStyleColBandSize w:val="1"/>
      <w:tblInd w:w="833" w:type="dxa"/>
      <w:tblBorders>
        <w:top w:val="single" w:sz="4" w:space="0" w:color="BDDC04" w:themeColor="accent4"/>
        <w:left w:val="single" w:sz="4" w:space="0" w:color="BDDC04" w:themeColor="accent4"/>
        <w:bottom w:val="single" w:sz="4" w:space="0" w:color="BDDC04" w:themeColor="accent4"/>
        <w:right w:val="single" w:sz="4" w:space="0" w:color="BDDC04" w:themeColor="accent4"/>
      </w:tblBorders>
    </w:tblPr>
    <w:tblStylePr w:type="firstRow">
      <w:rPr>
        <w:b/>
        <w:bCs/>
        <w:color w:val="FFFFFF" w:themeColor="background1"/>
      </w:rPr>
      <w:tblPr/>
      <w:tcPr>
        <w:shd w:val="clear" w:color="auto" w:fill="BDDC04" w:themeFill="accent4"/>
      </w:tcPr>
    </w:tblStylePr>
    <w:tblStylePr w:type="lastRow">
      <w:rPr>
        <w:b/>
        <w:bCs/>
      </w:rPr>
      <w:tblPr/>
      <w:tcPr>
        <w:tcBorders>
          <w:top w:val="double" w:sz="4" w:space="0" w:color="BDDC04"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DDC04" w:themeColor="accent4"/>
          <w:right w:val="single" w:sz="4" w:space="0" w:color="BDDC04" w:themeColor="accent4"/>
        </w:tcBorders>
      </w:tcPr>
    </w:tblStylePr>
    <w:tblStylePr w:type="band1Horz">
      <w:tblPr/>
      <w:tcPr>
        <w:tcBorders>
          <w:top w:val="single" w:sz="4" w:space="0" w:color="BDDC04" w:themeColor="accent4"/>
          <w:bottom w:val="single" w:sz="4" w:space="0" w:color="BDDC04"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DDC04" w:themeColor="accent4"/>
          <w:left w:val="nil"/>
        </w:tcBorders>
      </w:tcPr>
    </w:tblStylePr>
    <w:tblStylePr w:type="swCell">
      <w:tblPr/>
      <w:tcPr>
        <w:tcBorders>
          <w:top w:val="double" w:sz="4" w:space="0" w:color="BDDC04" w:themeColor="accent4"/>
          <w:right w:val="nil"/>
        </w:tcBorders>
      </w:tcPr>
    </w:tblStylePr>
  </w:style>
  <w:style w:type="table" w:customStyle="1" w:styleId="ListTable3-Accent511">
    <w:name w:val="List Table 3 - Accent 511"/>
    <w:basedOn w:val="TableNormal"/>
    <w:next w:val="ListTable3-Accent51"/>
    <w:uiPriority w:val="48"/>
    <w:rsid w:val="00EF0E0A"/>
    <w:tblPr>
      <w:tblStyleRowBandSize w:val="1"/>
      <w:tblStyleColBandSize w:val="1"/>
      <w:tblInd w:w="833" w:type="dxa"/>
      <w:tblBorders>
        <w:top w:val="single" w:sz="4" w:space="0" w:color="007FA3" w:themeColor="accent5"/>
        <w:left w:val="single" w:sz="4" w:space="0" w:color="007FA3" w:themeColor="accent5"/>
        <w:bottom w:val="single" w:sz="4" w:space="0" w:color="007FA3" w:themeColor="accent5"/>
        <w:right w:val="single" w:sz="4" w:space="0" w:color="007FA3" w:themeColor="accent5"/>
      </w:tblBorders>
    </w:tblPr>
    <w:tblStylePr w:type="firstRow">
      <w:rPr>
        <w:b/>
        <w:bCs/>
        <w:color w:val="FFFFFF" w:themeColor="background1"/>
      </w:rPr>
      <w:tblPr/>
      <w:tcPr>
        <w:shd w:val="clear" w:color="auto" w:fill="007FA3" w:themeFill="accent5"/>
      </w:tcPr>
    </w:tblStylePr>
    <w:tblStylePr w:type="lastRow">
      <w:rPr>
        <w:b/>
        <w:bCs/>
      </w:rPr>
      <w:tblPr/>
      <w:tcPr>
        <w:tcBorders>
          <w:top w:val="double" w:sz="4" w:space="0" w:color="007FA3"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7FA3" w:themeColor="accent5"/>
          <w:right w:val="single" w:sz="4" w:space="0" w:color="007FA3" w:themeColor="accent5"/>
        </w:tcBorders>
      </w:tcPr>
    </w:tblStylePr>
    <w:tblStylePr w:type="band1Horz">
      <w:tblPr/>
      <w:tcPr>
        <w:tcBorders>
          <w:top w:val="single" w:sz="4" w:space="0" w:color="007FA3" w:themeColor="accent5"/>
          <w:bottom w:val="single" w:sz="4" w:space="0" w:color="007FA3"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7FA3" w:themeColor="accent5"/>
          <w:left w:val="nil"/>
        </w:tcBorders>
      </w:tcPr>
    </w:tblStylePr>
    <w:tblStylePr w:type="swCell">
      <w:tblPr/>
      <w:tcPr>
        <w:tcBorders>
          <w:top w:val="double" w:sz="4" w:space="0" w:color="007FA3" w:themeColor="accent5"/>
          <w:right w:val="nil"/>
        </w:tcBorders>
      </w:tcPr>
    </w:tblStylePr>
  </w:style>
  <w:style w:type="table" w:customStyle="1" w:styleId="ListTable3-Accent611">
    <w:name w:val="List Table 3 - Accent 611"/>
    <w:basedOn w:val="TableNormal"/>
    <w:next w:val="ListTable3-Accent61"/>
    <w:uiPriority w:val="48"/>
    <w:rsid w:val="00EF0E0A"/>
    <w:tblPr>
      <w:tblStyleRowBandSize w:val="1"/>
      <w:tblStyleColBandSize w:val="1"/>
      <w:tblInd w:w="833" w:type="dxa"/>
      <w:tblBorders>
        <w:top w:val="single" w:sz="4" w:space="0" w:color="5A5A5A" w:themeColor="accent6"/>
        <w:left w:val="single" w:sz="4" w:space="0" w:color="5A5A5A" w:themeColor="accent6"/>
        <w:bottom w:val="single" w:sz="4" w:space="0" w:color="5A5A5A" w:themeColor="accent6"/>
        <w:right w:val="single" w:sz="4" w:space="0" w:color="5A5A5A" w:themeColor="accent6"/>
      </w:tblBorders>
    </w:tblPr>
    <w:tblStylePr w:type="firstRow">
      <w:rPr>
        <w:b/>
        <w:bCs/>
        <w:color w:val="FFFFFF" w:themeColor="background1"/>
      </w:rPr>
      <w:tblPr/>
      <w:tcPr>
        <w:shd w:val="clear" w:color="auto" w:fill="5A5A5A" w:themeFill="accent6"/>
      </w:tcPr>
    </w:tblStylePr>
    <w:tblStylePr w:type="lastRow">
      <w:rPr>
        <w:b/>
        <w:bCs/>
      </w:rPr>
      <w:tblPr/>
      <w:tcPr>
        <w:tcBorders>
          <w:top w:val="double" w:sz="4" w:space="0" w:color="5A5A5A"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A5A5A" w:themeColor="accent6"/>
          <w:right w:val="single" w:sz="4" w:space="0" w:color="5A5A5A" w:themeColor="accent6"/>
        </w:tcBorders>
      </w:tcPr>
    </w:tblStylePr>
    <w:tblStylePr w:type="band1Horz">
      <w:tblPr/>
      <w:tcPr>
        <w:tcBorders>
          <w:top w:val="single" w:sz="4" w:space="0" w:color="5A5A5A" w:themeColor="accent6"/>
          <w:bottom w:val="single" w:sz="4" w:space="0" w:color="5A5A5A"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A5A5A" w:themeColor="accent6"/>
          <w:left w:val="nil"/>
        </w:tcBorders>
      </w:tcPr>
    </w:tblStylePr>
    <w:tblStylePr w:type="swCell">
      <w:tblPr/>
      <w:tcPr>
        <w:tcBorders>
          <w:top w:val="double" w:sz="4" w:space="0" w:color="5A5A5A" w:themeColor="accent6"/>
          <w:right w:val="nil"/>
        </w:tcBorders>
      </w:tcPr>
    </w:tblStylePr>
  </w:style>
  <w:style w:type="table" w:customStyle="1" w:styleId="ListTable4-Accent111">
    <w:name w:val="List Table 4 - Accent 111"/>
    <w:basedOn w:val="TableNormal"/>
    <w:next w:val="ListTable4-Accent11"/>
    <w:uiPriority w:val="49"/>
    <w:rsid w:val="00EF0E0A"/>
    <w:tblPr>
      <w:tblStyleRowBandSize w:val="1"/>
      <w:tblStyleColBandSize w:val="1"/>
      <w:tblInd w:w="833" w:type="dxa"/>
      <w:tblBorders>
        <w:top w:val="single" w:sz="4" w:space="0" w:color="ABDBE7" w:themeColor="accent1" w:themeTint="99"/>
        <w:left w:val="single" w:sz="4" w:space="0" w:color="ABDBE7" w:themeColor="accent1" w:themeTint="99"/>
        <w:bottom w:val="single" w:sz="4" w:space="0" w:color="ABDBE7" w:themeColor="accent1" w:themeTint="99"/>
        <w:right w:val="single" w:sz="4" w:space="0" w:color="ABDBE7" w:themeColor="accent1" w:themeTint="99"/>
        <w:insideH w:val="single" w:sz="4" w:space="0" w:color="ABDBE7" w:themeColor="accent1" w:themeTint="99"/>
      </w:tblBorders>
    </w:tblPr>
    <w:tblStylePr w:type="firstRow">
      <w:rPr>
        <w:b/>
        <w:bCs/>
        <w:color w:val="FFFFFF" w:themeColor="background1"/>
      </w:rPr>
      <w:tblPr/>
      <w:tcPr>
        <w:tcBorders>
          <w:top w:val="single" w:sz="4" w:space="0" w:color="74C4D7" w:themeColor="accent1"/>
          <w:left w:val="single" w:sz="4" w:space="0" w:color="74C4D7" w:themeColor="accent1"/>
          <w:bottom w:val="single" w:sz="4" w:space="0" w:color="74C4D7" w:themeColor="accent1"/>
          <w:right w:val="single" w:sz="4" w:space="0" w:color="74C4D7" w:themeColor="accent1"/>
          <w:insideH w:val="nil"/>
        </w:tcBorders>
        <w:shd w:val="clear" w:color="auto" w:fill="74C4D7" w:themeFill="accent1"/>
      </w:tcPr>
    </w:tblStylePr>
    <w:tblStylePr w:type="lastRow">
      <w:rPr>
        <w:b/>
        <w:bCs/>
      </w:rPr>
      <w:tblPr/>
      <w:tcPr>
        <w:tcBorders>
          <w:top w:val="double" w:sz="4" w:space="0" w:color="ABDBE7" w:themeColor="accent1" w:themeTint="99"/>
        </w:tcBorders>
      </w:tcPr>
    </w:tblStylePr>
    <w:tblStylePr w:type="firstCol">
      <w:rPr>
        <w:b/>
        <w:bCs/>
      </w:rPr>
    </w:tblStylePr>
    <w:tblStylePr w:type="lastCol">
      <w:rPr>
        <w:b/>
        <w:bCs/>
      </w:rPr>
    </w:tblStylePr>
    <w:tblStylePr w:type="band1Vert">
      <w:tblPr/>
      <w:tcPr>
        <w:shd w:val="clear" w:color="auto" w:fill="E3F3F7" w:themeFill="accent1" w:themeFillTint="33"/>
      </w:tcPr>
    </w:tblStylePr>
    <w:tblStylePr w:type="band1Horz">
      <w:tblPr/>
      <w:tcPr>
        <w:shd w:val="clear" w:color="auto" w:fill="E3F3F7" w:themeFill="accent1" w:themeFillTint="33"/>
      </w:tcPr>
    </w:tblStylePr>
  </w:style>
  <w:style w:type="table" w:customStyle="1" w:styleId="ListTable4-Accent211">
    <w:name w:val="List Table 4 - Accent 211"/>
    <w:basedOn w:val="TableNormal"/>
    <w:next w:val="ListTable4-Accent21"/>
    <w:uiPriority w:val="49"/>
    <w:rsid w:val="00EF0E0A"/>
    <w:tblPr>
      <w:tblStyleRowBandSize w:val="1"/>
      <w:tblStyleColBandSize w:val="1"/>
      <w:tblInd w:w="833" w:type="dxa"/>
      <w:tblBorders>
        <w:top w:val="single" w:sz="4" w:space="0" w:color="61C8F5" w:themeColor="accent2" w:themeTint="99"/>
        <w:left w:val="single" w:sz="4" w:space="0" w:color="61C8F5" w:themeColor="accent2" w:themeTint="99"/>
        <w:bottom w:val="single" w:sz="4" w:space="0" w:color="61C8F5" w:themeColor="accent2" w:themeTint="99"/>
        <w:right w:val="single" w:sz="4" w:space="0" w:color="61C8F5" w:themeColor="accent2" w:themeTint="99"/>
        <w:insideH w:val="single" w:sz="4" w:space="0" w:color="61C8F5" w:themeColor="accent2" w:themeTint="99"/>
      </w:tblBorders>
    </w:tblPr>
    <w:tblStylePr w:type="firstRow">
      <w:rPr>
        <w:b/>
        <w:bCs/>
        <w:color w:val="FFFFFF" w:themeColor="background1"/>
      </w:rPr>
      <w:tblPr/>
      <w:tcPr>
        <w:tcBorders>
          <w:top w:val="single" w:sz="4" w:space="0" w:color="0D9DDB" w:themeColor="accent2"/>
          <w:left w:val="single" w:sz="4" w:space="0" w:color="0D9DDB" w:themeColor="accent2"/>
          <w:bottom w:val="single" w:sz="4" w:space="0" w:color="0D9DDB" w:themeColor="accent2"/>
          <w:right w:val="single" w:sz="4" w:space="0" w:color="0D9DDB" w:themeColor="accent2"/>
          <w:insideH w:val="nil"/>
        </w:tcBorders>
        <w:shd w:val="clear" w:color="auto" w:fill="0D9DDB" w:themeFill="accent2"/>
      </w:tcPr>
    </w:tblStylePr>
    <w:tblStylePr w:type="lastRow">
      <w:rPr>
        <w:b/>
        <w:bCs/>
      </w:rPr>
      <w:tblPr/>
      <w:tcPr>
        <w:tcBorders>
          <w:top w:val="double" w:sz="4" w:space="0" w:color="61C8F5" w:themeColor="accent2" w:themeTint="99"/>
        </w:tcBorders>
      </w:tcPr>
    </w:tblStylePr>
    <w:tblStylePr w:type="firstCol">
      <w:rPr>
        <w:b/>
        <w:bCs/>
      </w:rPr>
    </w:tblStylePr>
    <w:tblStylePr w:type="lastCol">
      <w:rPr>
        <w:b/>
        <w:bCs/>
      </w:rPr>
    </w:tblStylePr>
    <w:tblStylePr w:type="band1Vert">
      <w:tblPr/>
      <w:tcPr>
        <w:shd w:val="clear" w:color="auto" w:fill="CAEDFC" w:themeFill="accent2" w:themeFillTint="33"/>
      </w:tcPr>
    </w:tblStylePr>
    <w:tblStylePr w:type="band1Horz">
      <w:tblPr/>
      <w:tcPr>
        <w:shd w:val="clear" w:color="auto" w:fill="CAEDFC" w:themeFill="accent2" w:themeFillTint="33"/>
      </w:tcPr>
    </w:tblStylePr>
  </w:style>
  <w:style w:type="table" w:customStyle="1" w:styleId="ListTable4-Accent311">
    <w:name w:val="List Table 4 - Accent 311"/>
    <w:basedOn w:val="TableNormal"/>
    <w:next w:val="ListTable4-Accent31"/>
    <w:uiPriority w:val="49"/>
    <w:rsid w:val="00EF0E0A"/>
    <w:tblPr>
      <w:tblStyleRowBandSize w:val="1"/>
      <w:tblStyleColBandSize w:val="1"/>
      <w:tblInd w:w="833" w:type="dxa"/>
      <w:tblBorders>
        <w:top w:val="single" w:sz="4" w:space="0" w:color="CBC6C3" w:themeColor="accent3" w:themeTint="99"/>
        <w:left w:val="single" w:sz="4" w:space="0" w:color="CBC6C3" w:themeColor="accent3" w:themeTint="99"/>
        <w:bottom w:val="single" w:sz="4" w:space="0" w:color="CBC6C3" w:themeColor="accent3" w:themeTint="99"/>
        <w:right w:val="single" w:sz="4" w:space="0" w:color="CBC6C3" w:themeColor="accent3" w:themeTint="99"/>
        <w:insideH w:val="single" w:sz="4" w:space="0" w:color="CBC6C3" w:themeColor="accent3" w:themeTint="99"/>
      </w:tblBorders>
    </w:tblPr>
    <w:tblStylePr w:type="firstRow">
      <w:rPr>
        <w:b/>
        <w:bCs/>
        <w:color w:val="FFFFFF" w:themeColor="background1"/>
      </w:rPr>
      <w:tblPr/>
      <w:tcPr>
        <w:tcBorders>
          <w:top w:val="single" w:sz="4" w:space="0" w:color="A9A19C" w:themeColor="accent3"/>
          <w:left w:val="single" w:sz="4" w:space="0" w:color="A9A19C" w:themeColor="accent3"/>
          <w:bottom w:val="single" w:sz="4" w:space="0" w:color="A9A19C" w:themeColor="accent3"/>
          <w:right w:val="single" w:sz="4" w:space="0" w:color="A9A19C" w:themeColor="accent3"/>
          <w:insideH w:val="nil"/>
        </w:tcBorders>
        <w:shd w:val="clear" w:color="auto" w:fill="A9A19C" w:themeFill="accent3"/>
      </w:tcPr>
    </w:tblStylePr>
    <w:tblStylePr w:type="lastRow">
      <w:rPr>
        <w:b/>
        <w:bCs/>
      </w:rPr>
      <w:tblPr/>
      <w:tcPr>
        <w:tcBorders>
          <w:top w:val="double" w:sz="4" w:space="0" w:color="CBC6C3" w:themeColor="accent3" w:themeTint="99"/>
        </w:tcBorders>
      </w:tcPr>
    </w:tblStylePr>
    <w:tblStylePr w:type="firstCol">
      <w:rPr>
        <w:b/>
        <w:bCs/>
      </w:rPr>
    </w:tblStylePr>
    <w:tblStylePr w:type="lastCol">
      <w:rPr>
        <w:b/>
        <w:bCs/>
      </w:rPr>
    </w:tblStylePr>
    <w:tblStylePr w:type="band1Vert">
      <w:tblPr/>
      <w:tcPr>
        <w:shd w:val="clear" w:color="auto" w:fill="EDECEB" w:themeFill="accent3" w:themeFillTint="33"/>
      </w:tcPr>
    </w:tblStylePr>
    <w:tblStylePr w:type="band1Horz">
      <w:tblPr/>
      <w:tcPr>
        <w:shd w:val="clear" w:color="auto" w:fill="EDECEB" w:themeFill="accent3" w:themeFillTint="33"/>
      </w:tcPr>
    </w:tblStylePr>
  </w:style>
  <w:style w:type="table" w:customStyle="1" w:styleId="ListTable4-Accent411">
    <w:name w:val="List Table 4 - Accent 411"/>
    <w:basedOn w:val="TableNormal"/>
    <w:next w:val="ListTable4-Accent41"/>
    <w:uiPriority w:val="49"/>
    <w:rsid w:val="00EF0E0A"/>
    <w:tblPr>
      <w:tblStyleRowBandSize w:val="1"/>
      <w:tblStyleColBandSize w:val="1"/>
      <w:tblInd w:w="833" w:type="dxa"/>
      <w:tblBorders>
        <w:top w:val="single" w:sz="4" w:space="0" w:color="E3FC56" w:themeColor="accent4" w:themeTint="99"/>
        <w:left w:val="single" w:sz="4" w:space="0" w:color="E3FC56" w:themeColor="accent4" w:themeTint="99"/>
        <w:bottom w:val="single" w:sz="4" w:space="0" w:color="E3FC56" w:themeColor="accent4" w:themeTint="99"/>
        <w:right w:val="single" w:sz="4" w:space="0" w:color="E3FC56" w:themeColor="accent4" w:themeTint="99"/>
        <w:insideH w:val="single" w:sz="4" w:space="0" w:color="E3FC56" w:themeColor="accent4" w:themeTint="99"/>
      </w:tblBorders>
    </w:tblPr>
    <w:tblStylePr w:type="firstRow">
      <w:rPr>
        <w:b/>
        <w:bCs/>
        <w:color w:val="FFFFFF" w:themeColor="background1"/>
      </w:rPr>
      <w:tblPr/>
      <w:tcPr>
        <w:tcBorders>
          <w:top w:val="single" w:sz="4" w:space="0" w:color="BDDC04" w:themeColor="accent4"/>
          <w:left w:val="single" w:sz="4" w:space="0" w:color="BDDC04" w:themeColor="accent4"/>
          <w:bottom w:val="single" w:sz="4" w:space="0" w:color="BDDC04" w:themeColor="accent4"/>
          <w:right w:val="single" w:sz="4" w:space="0" w:color="BDDC04" w:themeColor="accent4"/>
          <w:insideH w:val="nil"/>
        </w:tcBorders>
        <w:shd w:val="clear" w:color="auto" w:fill="BDDC04" w:themeFill="accent4"/>
      </w:tcPr>
    </w:tblStylePr>
    <w:tblStylePr w:type="lastRow">
      <w:rPr>
        <w:b/>
        <w:bCs/>
      </w:rPr>
      <w:tblPr/>
      <w:tcPr>
        <w:tcBorders>
          <w:top w:val="double" w:sz="4" w:space="0" w:color="E3FC56" w:themeColor="accent4" w:themeTint="99"/>
        </w:tcBorders>
      </w:tcPr>
    </w:tblStylePr>
    <w:tblStylePr w:type="firstCol">
      <w:rPr>
        <w:b/>
        <w:bCs/>
      </w:rPr>
    </w:tblStylePr>
    <w:tblStylePr w:type="lastCol">
      <w:rPr>
        <w:b/>
        <w:bCs/>
      </w:rPr>
    </w:tblStylePr>
    <w:tblStylePr w:type="band1Vert">
      <w:tblPr/>
      <w:tcPr>
        <w:shd w:val="clear" w:color="auto" w:fill="F5FEC6" w:themeFill="accent4" w:themeFillTint="33"/>
      </w:tcPr>
    </w:tblStylePr>
    <w:tblStylePr w:type="band1Horz">
      <w:tblPr/>
      <w:tcPr>
        <w:shd w:val="clear" w:color="auto" w:fill="F5FEC6" w:themeFill="accent4" w:themeFillTint="33"/>
      </w:tcPr>
    </w:tblStylePr>
  </w:style>
  <w:style w:type="table" w:customStyle="1" w:styleId="ListTable4-Accent511">
    <w:name w:val="List Table 4 - Accent 511"/>
    <w:basedOn w:val="TableNormal"/>
    <w:next w:val="ListTable4-Accent51"/>
    <w:uiPriority w:val="49"/>
    <w:rsid w:val="00EF0E0A"/>
    <w:tblPr>
      <w:tblStyleRowBandSize w:val="1"/>
      <w:tblStyleColBandSize w:val="1"/>
      <w:tblInd w:w="833" w:type="dxa"/>
      <w:tblBorders>
        <w:top w:val="single" w:sz="4" w:space="0" w:color="2ED0FF" w:themeColor="accent5" w:themeTint="99"/>
        <w:left w:val="single" w:sz="4" w:space="0" w:color="2ED0FF" w:themeColor="accent5" w:themeTint="99"/>
        <w:bottom w:val="single" w:sz="4" w:space="0" w:color="2ED0FF" w:themeColor="accent5" w:themeTint="99"/>
        <w:right w:val="single" w:sz="4" w:space="0" w:color="2ED0FF" w:themeColor="accent5" w:themeTint="99"/>
        <w:insideH w:val="single" w:sz="4" w:space="0" w:color="2ED0FF" w:themeColor="accent5" w:themeTint="99"/>
      </w:tblBorders>
    </w:tblPr>
    <w:tblStylePr w:type="firstRow">
      <w:rPr>
        <w:b/>
        <w:bCs/>
        <w:color w:val="FFFFFF" w:themeColor="background1"/>
      </w:rPr>
      <w:tblPr/>
      <w:tcPr>
        <w:tcBorders>
          <w:top w:val="single" w:sz="4" w:space="0" w:color="007FA3" w:themeColor="accent5"/>
          <w:left w:val="single" w:sz="4" w:space="0" w:color="007FA3" w:themeColor="accent5"/>
          <w:bottom w:val="single" w:sz="4" w:space="0" w:color="007FA3" w:themeColor="accent5"/>
          <w:right w:val="single" w:sz="4" w:space="0" w:color="007FA3" w:themeColor="accent5"/>
          <w:insideH w:val="nil"/>
        </w:tcBorders>
        <w:shd w:val="clear" w:color="auto" w:fill="007FA3" w:themeFill="accent5"/>
      </w:tcPr>
    </w:tblStylePr>
    <w:tblStylePr w:type="lastRow">
      <w:rPr>
        <w:b/>
        <w:bCs/>
      </w:rPr>
      <w:tblPr/>
      <w:tcPr>
        <w:tcBorders>
          <w:top w:val="double" w:sz="4" w:space="0" w:color="2ED0FF" w:themeColor="accent5" w:themeTint="99"/>
        </w:tcBorders>
      </w:tcPr>
    </w:tblStylePr>
    <w:tblStylePr w:type="firstCol">
      <w:rPr>
        <w:b/>
        <w:bCs/>
      </w:rPr>
    </w:tblStylePr>
    <w:tblStylePr w:type="lastCol">
      <w:rPr>
        <w:b/>
        <w:bCs/>
      </w:rPr>
    </w:tblStylePr>
    <w:tblStylePr w:type="band1Vert">
      <w:tblPr/>
      <w:tcPr>
        <w:shd w:val="clear" w:color="auto" w:fill="B9EFFF" w:themeFill="accent5" w:themeFillTint="33"/>
      </w:tcPr>
    </w:tblStylePr>
    <w:tblStylePr w:type="band1Horz">
      <w:tblPr/>
      <w:tcPr>
        <w:shd w:val="clear" w:color="auto" w:fill="B9EFFF" w:themeFill="accent5" w:themeFillTint="33"/>
      </w:tcPr>
    </w:tblStylePr>
  </w:style>
  <w:style w:type="table" w:customStyle="1" w:styleId="ListTable4-Accent611">
    <w:name w:val="List Table 4 - Accent 611"/>
    <w:basedOn w:val="TableNormal"/>
    <w:next w:val="ListTable4-Accent61"/>
    <w:uiPriority w:val="49"/>
    <w:rsid w:val="00EF0E0A"/>
    <w:tblPr>
      <w:tblStyleRowBandSize w:val="1"/>
      <w:tblStyleColBandSize w:val="1"/>
      <w:tblInd w:w="833" w:type="dxa"/>
      <w:tblBorders>
        <w:top w:val="single" w:sz="4" w:space="0" w:color="9C9C9C" w:themeColor="accent6" w:themeTint="99"/>
        <w:left w:val="single" w:sz="4" w:space="0" w:color="9C9C9C" w:themeColor="accent6" w:themeTint="99"/>
        <w:bottom w:val="single" w:sz="4" w:space="0" w:color="9C9C9C" w:themeColor="accent6" w:themeTint="99"/>
        <w:right w:val="single" w:sz="4" w:space="0" w:color="9C9C9C" w:themeColor="accent6" w:themeTint="99"/>
        <w:insideH w:val="single" w:sz="4" w:space="0" w:color="9C9C9C" w:themeColor="accent6" w:themeTint="99"/>
      </w:tblBorders>
    </w:tblPr>
    <w:tblStylePr w:type="firstRow">
      <w:rPr>
        <w:b/>
        <w:bCs/>
        <w:color w:val="FFFFFF" w:themeColor="background1"/>
      </w:rPr>
      <w:tblPr/>
      <w:tcPr>
        <w:tcBorders>
          <w:top w:val="single" w:sz="4" w:space="0" w:color="5A5A5A" w:themeColor="accent6"/>
          <w:left w:val="single" w:sz="4" w:space="0" w:color="5A5A5A" w:themeColor="accent6"/>
          <w:bottom w:val="single" w:sz="4" w:space="0" w:color="5A5A5A" w:themeColor="accent6"/>
          <w:right w:val="single" w:sz="4" w:space="0" w:color="5A5A5A" w:themeColor="accent6"/>
          <w:insideH w:val="nil"/>
        </w:tcBorders>
        <w:shd w:val="clear" w:color="auto" w:fill="5A5A5A" w:themeFill="accent6"/>
      </w:tcPr>
    </w:tblStylePr>
    <w:tblStylePr w:type="lastRow">
      <w:rPr>
        <w:b/>
        <w:bCs/>
      </w:rPr>
      <w:tblPr/>
      <w:tcPr>
        <w:tcBorders>
          <w:top w:val="double" w:sz="4" w:space="0" w:color="9C9C9C" w:themeColor="accent6" w:themeTint="99"/>
        </w:tcBorders>
      </w:tcPr>
    </w:tblStylePr>
    <w:tblStylePr w:type="firstCol">
      <w:rPr>
        <w:b/>
        <w:bCs/>
      </w:rPr>
    </w:tblStylePr>
    <w:tblStylePr w:type="lastCol">
      <w:rPr>
        <w:b/>
        <w:bCs/>
      </w:rPr>
    </w:tblStylePr>
    <w:tblStylePr w:type="band1Vert">
      <w:tblPr/>
      <w:tcPr>
        <w:shd w:val="clear" w:color="auto" w:fill="DEDEDE" w:themeFill="accent6" w:themeFillTint="33"/>
      </w:tcPr>
    </w:tblStylePr>
    <w:tblStylePr w:type="band1Horz">
      <w:tblPr/>
      <w:tcPr>
        <w:shd w:val="clear" w:color="auto" w:fill="DEDEDE" w:themeFill="accent6" w:themeFillTint="33"/>
      </w:tcPr>
    </w:tblStylePr>
  </w:style>
  <w:style w:type="table" w:customStyle="1" w:styleId="ListTable5Dark11">
    <w:name w:val="List Table 5 Dark11"/>
    <w:basedOn w:val="TableNormal"/>
    <w:next w:val="ListTable5Dark1"/>
    <w:uiPriority w:val="50"/>
    <w:rsid w:val="00EF0E0A"/>
    <w:rPr>
      <w:color w:val="FFFFFF" w:themeColor="background1"/>
    </w:rPr>
    <w:tblPr>
      <w:tblStyleRowBandSize w:val="1"/>
      <w:tblStyleColBandSize w:val="1"/>
      <w:tblInd w:w="833" w:type="dxa"/>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111">
    <w:name w:val="List Table 5 Dark - Accent 111"/>
    <w:basedOn w:val="TableNormal"/>
    <w:next w:val="ListTable5Dark-Accent11"/>
    <w:uiPriority w:val="50"/>
    <w:rsid w:val="00EF0E0A"/>
    <w:rPr>
      <w:color w:val="FFFFFF" w:themeColor="background1"/>
    </w:rPr>
    <w:tblPr>
      <w:tblStyleRowBandSize w:val="1"/>
      <w:tblStyleColBandSize w:val="1"/>
      <w:tblInd w:w="833" w:type="dxa"/>
      <w:tblBorders>
        <w:top w:val="single" w:sz="24" w:space="0" w:color="74C4D7" w:themeColor="accent1"/>
        <w:left w:val="single" w:sz="24" w:space="0" w:color="74C4D7" w:themeColor="accent1"/>
        <w:bottom w:val="single" w:sz="24" w:space="0" w:color="74C4D7" w:themeColor="accent1"/>
        <w:right w:val="single" w:sz="24" w:space="0" w:color="74C4D7" w:themeColor="accent1"/>
      </w:tblBorders>
    </w:tblPr>
    <w:tcPr>
      <w:shd w:val="clear" w:color="auto" w:fill="74C4D7"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211">
    <w:name w:val="List Table 5 Dark - Accent 211"/>
    <w:basedOn w:val="TableNormal"/>
    <w:next w:val="ListTable5Dark-Accent21"/>
    <w:uiPriority w:val="50"/>
    <w:rsid w:val="00EF0E0A"/>
    <w:rPr>
      <w:color w:val="FFFFFF" w:themeColor="background1"/>
    </w:rPr>
    <w:tblPr>
      <w:tblStyleRowBandSize w:val="1"/>
      <w:tblStyleColBandSize w:val="1"/>
      <w:tblInd w:w="833" w:type="dxa"/>
      <w:tblBorders>
        <w:top w:val="single" w:sz="24" w:space="0" w:color="0D9DDB" w:themeColor="accent2"/>
        <w:left w:val="single" w:sz="24" w:space="0" w:color="0D9DDB" w:themeColor="accent2"/>
        <w:bottom w:val="single" w:sz="24" w:space="0" w:color="0D9DDB" w:themeColor="accent2"/>
        <w:right w:val="single" w:sz="24" w:space="0" w:color="0D9DDB" w:themeColor="accent2"/>
      </w:tblBorders>
    </w:tblPr>
    <w:tcPr>
      <w:shd w:val="clear" w:color="auto" w:fill="0D9DDB"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311">
    <w:name w:val="List Table 5 Dark - Accent 311"/>
    <w:basedOn w:val="TableNormal"/>
    <w:next w:val="ListTable5Dark-Accent31"/>
    <w:uiPriority w:val="50"/>
    <w:rsid w:val="00EF0E0A"/>
    <w:rPr>
      <w:color w:val="FFFFFF" w:themeColor="background1"/>
    </w:rPr>
    <w:tblPr>
      <w:tblStyleRowBandSize w:val="1"/>
      <w:tblStyleColBandSize w:val="1"/>
      <w:tblInd w:w="833" w:type="dxa"/>
      <w:tblBorders>
        <w:top w:val="single" w:sz="24" w:space="0" w:color="A9A19C" w:themeColor="accent3"/>
        <w:left w:val="single" w:sz="24" w:space="0" w:color="A9A19C" w:themeColor="accent3"/>
        <w:bottom w:val="single" w:sz="24" w:space="0" w:color="A9A19C" w:themeColor="accent3"/>
        <w:right w:val="single" w:sz="24" w:space="0" w:color="A9A19C" w:themeColor="accent3"/>
      </w:tblBorders>
    </w:tblPr>
    <w:tcPr>
      <w:shd w:val="clear" w:color="auto" w:fill="A9A19C"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411">
    <w:name w:val="List Table 5 Dark - Accent 411"/>
    <w:basedOn w:val="TableNormal"/>
    <w:next w:val="ListTable5Dark-Accent41"/>
    <w:uiPriority w:val="50"/>
    <w:rsid w:val="00EF0E0A"/>
    <w:rPr>
      <w:color w:val="FFFFFF" w:themeColor="background1"/>
    </w:rPr>
    <w:tblPr>
      <w:tblStyleRowBandSize w:val="1"/>
      <w:tblStyleColBandSize w:val="1"/>
      <w:tblInd w:w="833" w:type="dxa"/>
      <w:tblBorders>
        <w:top w:val="single" w:sz="24" w:space="0" w:color="BDDC04" w:themeColor="accent4"/>
        <w:left w:val="single" w:sz="24" w:space="0" w:color="BDDC04" w:themeColor="accent4"/>
        <w:bottom w:val="single" w:sz="24" w:space="0" w:color="BDDC04" w:themeColor="accent4"/>
        <w:right w:val="single" w:sz="24" w:space="0" w:color="BDDC04" w:themeColor="accent4"/>
      </w:tblBorders>
    </w:tblPr>
    <w:tcPr>
      <w:shd w:val="clear" w:color="auto" w:fill="BDDC04"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511">
    <w:name w:val="List Table 5 Dark - Accent 511"/>
    <w:basedOn w:val="TableNormal"/>
    <w:next w:val="ListTable5Dark-Accent51"/>
    <w:uiPriority w:val="50"/>
    <w:rsid w:val="00EF0E0A"/>
    <w:rPr>
      <w:color w:val="FFFFFF" w:themeColor="background1"/>
    </w:rPr>
    <w:tblPr>
      <w:tblStyleRowBandSize w:val="1"/>
      <w:tblStyleColBandSize w:val="1"/>
      <w:tblInd w:w="833" w:type="dxa"/>
      <w:tblBorders>
        <w:top w:val="single" w:sz="24" w:space="0" w:color="007FA3" w:themeColor="accent5"/>
        <w:left w:val="single" w:sz="24" w:space="0" w:color="007FA3" w:themeColor="accent5"/>
        <w:bottom w:val="single" w:sz="24" w:space="0" w:color="007FA3" w:themeColor="accent5"/>
        <w:right w:val="single" w:sz="24" w:space="0" w:color="007FA3" w:themeColor="accent5"/>
      </w:tblBorders>
    </w:tblPr>
    <w:tcPr>
      <w:shd w:val="clear" w:color="auto" w:fill="007FA3"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611">
    <w:name w:val="List Table 5 Dark - Accent 611"/>
    <w:basedOn w:val="TableNormal"/>
    <w:next w:val="ListTable5Dark-Accent61"/>
    <w:uiPriority w:val="50"/>
    <w:rsid w:val="00EF0E0A"/>
    <w:rPr>
      <w:color w:val="FFFFFF" w:themeColor="background1"/>
    </w:rPr>
    <w:tblPr>
      <w:tblStyleRowBandSize w:val="1"/>
      <w:tblStyleColBandSize w:val="1"/>
      <w:tblInd w:w="833" w:type="dxa"/>
      <w:tblBorders>
        <w:top w:val="single" w:sz="24" w:space="0" w:color="5A5A5A" w:themeColor="accent6"/>
        <w:left w:val="single" w:sz="24" w:space="0" w:color="5A5A5A" w:themeColor="accent6"/>
        <w:bottom w:val="single" w:sz="24" w:space="0" w:color="5A5A5A" w:themeColor="accent6"/>
        <w:right w:val="single" w:sz="24" w:space="0" w:color="5A5A5A" w:themeColor="accent6"/>
      </w:tblBorders>
    </w:tblPr>
    <w:tcPr>
      <w:shd w:val="clear" w:color="auto" w:fill="5A5A5A"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7Colorful11">
    <w:name w:val="List Table 7 Colorful11"/>
    <w:basedOn w:val="TableNormal"/>
    <w:next w:val="ListTable7Colorful1"/>
    <w:uiPriority w:val="52"/>
    <w:rsid w:val="00EF0E0A"/>
    <w:rPr>
      <w:color w:val="000000" w:themeColor="text1"/>
    </w:rPr>
    <w:tblPr>
      <w:tblStyleRowBandSize w:val="1"/>
      <w:tblStyleColBandSize w:val="1"/>
      <w:tblInd w:w="833" w:type="dxa"/>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111">
    <w:name w:val="List Table 7 Colorful - Accent 111"/>
    <w:basedOn w:val="TableNormal"/>
    <w:next w:val="ListTable7Colorful-Accent11"/>
    <w:uiPriority w:val="52"/>
    <w:rsid w:val="00EF0E0A"/>
    <w:rPr>
      <w:color w:val="37A5C0" w:themeColor="accent1" w:themeShade="BF"/>
    </w:rPr>
    <w:tblPr>
      <w:tblStyleRowBandSize w:val="1"/>
      <w:tblStyleColBandSize w:val="1"/>
      <w:tblInd w:w="833" w:type="dxa"/>
    </w:tblPr>
    <w:tblStylePr w:type="firstRow">
      <w:rPr>
        <w:rFonts w:asciiTheme="majorHAnsi" w:eastAsiaTheme="majorEastAsia" w:hAnsiTheme="majorHAnsi" w:cstheme="majorBidi"/>
        <w:i/>
        <w:iCs/>
        <w:sz w:val="26"/>
      </w:rPr>
      <w:tblPr/>
      <w:tcPr>
        <w:tcBorders>
          <w:bottom w:val="single" w:sz="4" w:space="0" w:color="74C4D7"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4C4D7"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4C4D7"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4C4D7" w:themeColor="accent1"/>
        </w:tcBorders>
        <w:shd w:val="clear" w:color="auto" w:fill="FFFFFF" w:themeFill="background1"/>
      </w:tcPr>
    </w:tblStylePr>
    <w:tblStylePr w:type="band1Vert">
      <w:tblPr/>
      <w:tcPr>
        <w:shd w:val="clear" w:color="auto" w:fill="E3F3F7" w:themeFill="accent1" w:themeFillTint="33"/>
      </w:tcPr>
    </w:tblStylePr>
    <w:tblStylePr w:type="band1Horz">
      <w:tblPr/>
      <w:tcPr>
        <w:shd w:val="clear" w:color="auto" w:fill="E3F3F7"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211">
    <w:name w:val="List Table 7 Colorful - Accent 211"/>
    <w:basedOn w:val="TableNormal"/>
    <w:next w:val="ListTable7Colorful-Accent21"/>
    <w:uiPriority w:val="52"/>
    <w:rsid w:val="00EF0E0A"/>
    <w:rPr>
      <w:color w:val="0975A3" w:themeColor="accent2" w:themeShade="BF"/>
    </w:rPr>
    <w:tblPr>
      <w:tblStyleRowBandSize w:val="1"/>
      <w:tblStyleColBandSize w:val="1"/>
      <w:tblInd w:w="833" w:type="dxa"/>
    </w:tblPr>
    <w:tblStylePr w:type="firstRow">
      <w:rPr>
        <w:rFonts w:asciiTheme="majorHAnsi" w:eastAsiaTheme="majorEastAsia" w:hAnsiTheme="majorHAnsi" w:cstheme="majorBidi"/>
        <w:i/>
        <w:iCs/>
        <w:sz w:val="26"/>
      </w:rPr>
      <w:tblPr/>
      <w:tcPr>
        <w:tcBorders>
          <w:bottom w:val="single" w:sz="4" w:space="0" w:color="0D9DDB"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D9DDB"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D9DDB"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D9DDB" w:themeColor="accent2"/>
        </w:tcBorders>
        <w:shd w:val="clear" w:color="auto" w:fill="FFFFFF" w:themeFill="background1"/>
      </w:tcPr>
    </w:tblStylePr>
    <w:tblStylePr w:type="band1Vert">
      <w:tblPr/>
      <w:tcPr>
        <w:shd w:val="clear" w:color="auto" w:fill="CAEDFC" w:themeFill="accent2" w:themeFillTint="33"/>
      </w:tcPr>
    </w:tblStylePr>
    <w:tblStylePr w:type="band1Horz">
      <w:tblPr/>
      <w:tcPr>
        <w:shd w:val="clear" w:color="auto" w:fill="CAEDFC"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311">
    <w:name w:val="List Table 7 Colorful - Accent 311"/>
    <w:basedOn w:val="TableNormal"/>
    <w:next w:val="ListTable7Colorful-Accent31"/>
    <w:uiPriority w:val="52"/>
    <w:rsid w:val="00EF0E0A"/>
    <w:rPr>
      <w:color w:val="827771" w:themeColor="accent3" w:themeShade="BF"/>
    </w:rPr>
    <w:tblPr>
      <w:tblStyleRowBandSize w:val="1"/>
      <w:tblStyleColBandSize w:val="1"/>
      <w:tblInd w:w="833" w:type="dxa"/>
    </w:tblPr>
    <w:tblStylePr w:type="firstRow">
      <w:rPr>
        <w:rFonts w:asciiTheme="majorHAnsi" w:eastAsiaTheme="majorEastAsia" w:hAnsiTheme="majorHAnsi" w:cstheme="majorBidi"/>
        <w:i/>
        <w:iCs/>
        <w:sz w:val="26"/>
      </w:rPr>
      <w:tblPr/>
      <w:tcPr>
        <w:tcBorders>
          <w:bottom w:val="single" w:sz="4" w:space="0" w:color="A9A19C"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9A19C"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9A19C"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9A19C" w:themeColor="accent3"/>
        </w:tcBorders>
        <w:shd w:val="clear" w:color="auto" w:fill="FFFFFF" w:themeFill="background1"/>
      </w:tcPr>
    </w:tblStylePr>
    <w:tblStylePr w:type="band1Vert">
      <w:tblPr/>
      <w:tcPr>
        <w:shd w:val="clear" w:color="auto" w:fill="EDECEB" w:themeFill="accent3" w:themeFillTint="33"/>
      </w:tcPr>
    </w:tblStylePr>
    <w:tblStylePr w:type="band1Horz">
      <w:tblPr/>
      <w:tcPr>
        <w:shd w:val="clear" w:color="auto" w:fill="EDECEB"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411">
    <w:name w:val="List Table 7 Colorful - Accent 411"/>
    <w:basedOn w:val="TableNormal"/>
    <w:next w:val="ListTable7Colorful-Accent41"/>
    <w:uiPriority w:val="52"/>
    <w:rsid w:val="00EF0E0A"/>
    <w:rPr>
      <w:color w:val="8DA403" w:themeColor="accent4" w:themeShade="BF"/>
    </w:rPr>
    <w:tblPr>
      <w:tblStyleRowBandSize w:val="1"/>
      <w:tblStyleColBandSize w:val="1"/>
      <w:tblInd w:w="833" w:type="dxa"/>
    </w:tblPr>
    <w:tblStylePr w:type="firstRow">
      <w:rPr>
        <w:rFonts w:asciiTheme="majorHAnsi" w:eastAsiaTheme="majorEastAsia" w:hAnsiTheme="majorHAnsi" w:cstheme="majorBidi"/>
        <w:i/>
        <w:iCs/>
        <w:sz w:val="26"/>
      </w:rPr>
      <w:tblPr/>
      <w:tcPr>
        <w:tcBorders>
          <w:bottom w:val="single" w:sz="4" w:space="0" w:color="BDDC04"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DDC04"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DDC04"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DDC04" w:themeColor="accent4"/>
        </w:tcBorders>
        <w:shd w:val="clear" w:color="auto" w:fill="FFFFFF" w:themeFill="background1"/>
      </w:tcPr>
    </w:tblStylePr>
    <w:tblStylePr w:type="band1Vert">
      <w:tblPr/>
      <w:tcPr>
        <w:shd w:val="clear" w:color="auto" w:fill="F5FEC6" w:themeFill="accent4" w:themeFillTint="33"/>
      </w:tcPr>
    </w:tblStylePr>
    <w:tblStylePr w:type="band1Horz">
      <w:tblPr/>
      <w:tcPr>
        <w:shd w:val="clear" w:color="auto" w:fill="F5FEC6"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511">
    <w:name w:val="List Table 7 Colorful - Accent 511"/>
    <w:basedOn w:val="TableNormal"/>
    <w:next w:val="ListTable7Colorful-Accent51"/>
    <w:uiPriority w:val="52"/>
    <w:rsid w:val="00EF0E0A"/>
    <w:rPr>
      <w:color w:val="005E7A" w:themeColor="accent5" w:themeShade="BF"/>
    </w:rPr>
    <w:tblPr>
      <w:tblStyleRowBandSize w:val="1"/>
      <w:tblStyleColBandSize w:val="1"/>
      <w:tblInd w:w="833" w:type="dxa"/>
    </w:tblPr>
    <w:tblStylePr w:type="firstRow">
      <w:rPr>
        <w:rFonts w:asciiTheme="majorHAnsi" w:eastAsiaTheme="majorEastAsia" w:hAnsiTheme="majorHAnsi" w:cstheme="majorBidi"/>
        <w:i/>
        <w:iCs/>
        <w:sz w:val="26"/>
      </w:rPr>
      <w:tblPr/>
      <w:tcPr>
        <w:tcBorders>
          <w:bottom w:val="single" w:sz="4" w:space="0" w:color="007FA3"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7FA3"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7FA3"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7FA3" w:themeColor="accent5"/>
        </w:tcBorders>
        <w:shd w:val="clear" w:color="auto" w:fill="FFFFFF" w:themeFill="background1"/>
      </w:tcPr>
    </w:tblStylePr>
    <w:tblStylePr w:type="band1Vert">
      <w:tblPr/>
      <w:tcPr>
        <w:shd w:val="clear" w:color="auto" w:fill="B9EFFF" w:themeFill="accent5" w:themeFillTint="33"/>
      </w:tcPr>
    </w:tblStylePr>
    <w:tblStylePr w:type="band1Horz">
      <w:tblPr/>
      <w:tcPr>
        <w:shd w:val="clear" w:color="auto" w:fill="B9EFFF"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611">
    <w:name w:val="List Table 7 Colorful - Accent 611"/>
    <w:basedOn w:val="TableNormal"/>
    <w:next w:val="ListTable7Colorful-Accent61"/>
    <w:uiPriority w:val="52"/>
    <w:rsid w:val="00EF0E0A"/>
    <w:rPr>
      <w:color w:val="434343" w:themeColor="accent6" w:themeShade="BF"/>
    </w:rPr>
    <w:tblPr>
      <w:tblStyleRowBandSize w:val="1"/>
      <w:tblStyleColBandSize w:val="1"/>
      <w:tblInd w:w="833" w:type="dxa"/>
    </w:tblPr>
    <w:tblStylePr w:type="firstRow">
      <w:rPr>
        <w:rFonts w:asciiTheme="majorHAnsi" w:eastAsiaTheme="majorEastAsia" w:hAnsiTheme="majorHAnsi" w:cstheme="majorBidi"/>
        <w:i/>
        <w:iCs/>
        <w:sz w:val="26"/>
      </w:rPr>
      <w:tblPr/>
      <w:tcPr>
        <w:tcBorders>
          <w:bottom w:val="single" w:sz="4" w:space="0" w:color="5A5A5A"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A5A5A"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A5A5A"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A5A5A" w:themeColor="accent6"/>
        </w:tcBorders>
        <w:shd w:val="clear" w:color="auto" w:fill="FFFFFF" w:themeFill="background1"/>
      </w:tcPr>
    </w:tblStylePr>
    <w:tblStylePr w:type="band1Vert">
      <w:tblPr/>
      <w:tcPr>
        <w:shd w:val="clear" w:color="auto" w:fill="DEDEDE" w:themeFill="accent6" w:themeFillTint="33"/>
      </w:tcPr>
    </w:tblStylePr>
    <w:tblStylePr w:type="band1Horz">
      <w:tblPr/>
      <w:tcPr>
        <w:shd w:val="clear" w:color="auto" w:fill="DEDEDE"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JBATable10">
    <w:name w:val="JBA Table1"/>
    <w:basedOn w:val="TableNormal"/>
    <w:uiPriority w:val="99"/>
    <w:rsid w:val="00EF0E0A"/>
    <w:pPr>
      <w:ind w:left="720" w:right="720"/>
    </w:pPr>
    <w:rPr>
      <w:rFonts w:ascii="Verdana" w:hAnsi="Verdana"/>
    </w:rPr>
    <w:tblPr>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Verdana" w:hAnsi="Verdana"/>
        <w:b/>
        <w:color w:val="FFFFFF" w:themeColor="background1"/>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153B55"/>
      </w:tcPr>
    </w:tblStylePr>
    <w:tblStylePr w:type="firstCol">
      <w:rPr>
        <w:rFonts w:ascii="Verdana" w:hAnsi="Verdana"/>
        <w:b w:val="0"/>
        <w:color w:val="FFFFFF" w:themeColor="background1"/>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153B55"/>
      </w:tcPr>
    </w:tblStylePr>
  </w:style>
  <w:style w:type="paragraph" w:customStyle="1" w:styleId="JBANewTableTopBold">
    <w:name w:val="JBA New Table Top Bold"/>
    <w:basedOn w:val="JBANewTableText"/>
    <w:rsid w:val="00EF0E0A"/>
    <w:pPr>
      <w:spacing w:before="40" w:after="40"/>
      <w:ind w:left="57"/>
      <w:jc w:val="center"/>
    </w:pPr>
    <w:rPr>
      <w:color w:val="FFFFFF" w:themeColor="background1"/>
    </w:rPr>
  </w:style>
  <w:style w:type="paragraph" w:customStyle="1" w:styleId="JBANewTableText-Right">
    <w:name w:val="JBA New Table Text - Right"/>
    <w:basedOn w:val="JBANewTableText"/>
    <w:rsid w:val="00EF0E0A"/>
    <w:pPr>
      <w:spacing w:after="80"/>
      <w:ind w:left="57"/>
      <w:jc w:val="right"/>
    </w:pPr>
  </w:style>
  <w:style w:type="paragraph" w:customStyle="1" w:styleId="JBANewTableText-Bold">
    <w:name w:val="JBA New Table Text - Bold"/>
    <w:basedOn w:val="JBANewTableText"/>
    <w:rsid w:val="00EF0E0A"/>
    <w:pPr>
      <w:spacing w:after="80"/>
      <w:ind w:left="57"/>
      <w:jc w:val="right"/>
    </w:pPr>
    <w:rPr>
      <w:b/>
    </w:rPr>
  </w:style>
  <w:style w:type="table" w:customStyle="1" w:styleId="JBATable12">
    <w:name w:val="JBA Table 12"/>
    <w:basedOn w:val="JBATable"/>
    <w:uiPriority w:val="99"/>
    <w:rsid w:val="00EF0E0A"/>
    <w:pPr>
      <w:spacing w:after="0"/>
      <w:ind w:left="57" w:right="57"/>
    </w:pPr>
    <w:tblPr>
      <w:tblInd w:w="1588" w:type="dxa"/>
    </w:tblPr>
    <w:tblStylePr w:type="firstRow">
      <w:rPr>
        <w:rFonts w:ascii="Verdana" w:hAnsi="Verdana"/>
        <w:b/>
        <w:color w:val="FFFFFF" w:themeColor="background1"/>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153B55"/>
      </w:tcPr>
    </w:tblStylePr>
    <w:tblStylePr w:type="firstCol">
      <w:rPr>
        <w:rFonts w:ascii="Verdana" w:hAnsi="Verdana"/>
        <w:b w:val="0"/>
        <w:color w:val="auto"/>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paragraph" w:customStyle="1" w:styleId="JBANewTableText-Blue">
    <w:name w:val="JBA New Table Text - Blue"/>
    <w:basedOn w:val="JBANewTableText"/>
    <w:rsid w:val="00EF0E0A"/>
    <w:pPr>
      <w:spacing w:after="80"/>
      <w:ind w:left="57"/>
      <w:jc w:val="both"/>
    </w:pPr>
    <w:rPr>
      <w:i/>
      <w:color w:val="064E6D" w:themeColor="accent2" w:themeShade="80"/>
      <w:sz w:val="21"/>
    </w:rPr>
  </w:style>
  <w:style w:type="paragraph" w:customStyle="1" w:styleId="JBAParaText-Bold">
    <w:name w:val="JBA Para Text - Bold"/>
    <w:basedOn w:val="JBAParaText"/>
    <w:rsid w:val="00EF0E0A"/>
    <w:rPr>
      <w:b/>
    </w:rPr>
  </w:style>
  <w:style w:type="table" w:customStyle="1" w:styleId="JBATable2">
    <w:name w:val="JBA Table 2"/>
    <w:basedOn w:val="JBATable1"/>
    <w:uiPriority w:val="99"/>
    <w:rsid w:val="00EF0E0A"/>
    <w:tblPr>
      <w:tblInd w:w="714" w:type="dxa"/>
    </w:tblPr>
    <w:tblStylePr w:type="firstRow">
      <w:rPr>
        <w:rFonts w:ascii="Verdana" w:hAnsi="Verdana"/>
        <w:b/>
        <w:color w:val="FFFFFF" w:themeColor="background1"/>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153B55"/>
      </w:tcPr>
    </w:tblStylePr>
    <w:tblStylePr w:type="firstCol">
      <w:rPr>
        <w:rFonts w:ascii="Verdana" w:hAnsi="Verdana"/>
        <w:b w:val="0"/>
        <w:color w:val="auto"/>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paragraph" w:customStyle="1" w:styleId="JBANewTableText-Centre">
    <w:name w:val="JBA New Table Text - Centre"/>
    <w:basedOn w:val="JBANewTableText"/>
    <w:rsid w:val="00EF0E0A"/>
    <w:pPr>
      <w:spacing w:after="80"/>
      <w:ind w:left="57"/>
      <w:jc w:val="center"/>
    </w:pPr>
  </w:style>
  <w:style w:type="paragraph" w:customStyle="1" w:styleId="JBANewTableText-BoldCentre">
    <w:name w:val="JBA New Table Text - Bold Centre"/>
    <w:basedOn w:val="JBANewTableText-Bold"/>
    <w:rsid w:val="00EF0E0A"/>
    <w:pPr>
      <w:jc w:val="center"/>
    </w:pPr>
  </w:style>
  <w:style w:type="paragraph" w:customStyle="1" w:styleId="JBAHighlighted">
    <w:name w:val="JBA Highlighted"/>
    <w:basedOn w:val="JBAParaText"/>
    <w:next w:val="JBAParaText"/>
    <w:rsid w:val="00EF0E0A"/>
    <w:rPr>
      <w:rFonts w:eastAsia="Times New Roman"/>
      <w:shd w:val="clear" w:color="auto" w:fill="FFFF00"/>
    </w:rPr>
  </w:style>
  <w:style w:type="paragraph" w:customStyle="1" w:styleId="JBANewTableTopRow-Small">
    <w:name w:val="JBA New Table Top Row - Small"/>
    <w:basedOn w:val="Normal"/>
    <w:rsid w:val="00EF0E0A"/>
    <w:pPr>
      <w:spacing w:after="80"/>
      <w:ind w:left="57" w:right="57"/>
      <w:jc w:val="center"/>
    </w:pPr>
    <w:rPr>
      <w:b/>
      <w:color w:val="FFFFFF" w:themeColor="background1"/>
      <w:sz w:val="18"/>
    </w:rPr>
  </w:style>
  <w:style w:type="paragraph" w:customStyle="1" w:styleId="JBANewTableText-Small">
    <w:name w:val="JBA New Table Text - Small"/>
    <w:basedOn w:val="JBANewTableText"/>
    <w:rsid w:val="00EF0E0A"/>
    <w:pPr>
      <w:spacing w:after="80"/>
      <w:ind w:right="0"/>
      <w:jc w:val="both"/>
    </w:pPr>
    <w:rPr>
      <w:sz w:val="18"/>
    </w:rPr>
  </w:style>
  <w:style w:type="paragraph" w:customStyle="1" w:styleId="JBANewText-Bold">
    <w:name w:val="JBA New Text - Bold"/>
    <w:basedOn w:val="JBANewText"/>
    <w:rsid w:val="00EF0E0A"/>
    <w:rPr>
      <w:b/>
    </w:rPr>
  </w:style>
  <w:style w:type="table" w:customStyle="1" w:styleId="Style1">
    <w:name w:val="Style1"/>
    <w:basedOn w:val="TableGrid1"/>
    <w:uiPriority w:val="99"/>
    <w:rsid w:val="00EF0E0A"/>
    <w:pPr>
      <w:spacing w:after="0"/>
      <w:ind w:left="1588"/>
    </w:pPr>
    <w:tblPr>
      <w:tblBorders>
        <w:top w:val="single" w:sz="4" w:space="0" w:color="064E6D" w:themeColor="accent2" w:themeShade="80"/>
        <w:left w:val="single" w:sz="4" w:space="0" w:color="064E6D" w:themeColor="accent2" w:themeShade="80"/>
        <w:bottom w:val="single" w:sz="4" w:space="0" w:color="064E6D" w:themeColor="accent2" w:themeShade="80"/>
        <w:right w:val="single" w:sz="4" w:space="0" w:color="064E6D" w:themeColor="accent2" w:themeShade="80"/>
        <w:insideH w:val="single" w:sz="4" w:space="0" w:color="064E6D" w:themeColor="accent2" w:themeShade="80"/>
        <w:insideV w:val="single" w:sz="4" w:space="0" w:color="064E6D" w:themeColor="accent2" w:themeShade="8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JBANewTableText-Left">
    <w:name w:val="JBA New Table Text - Left"/>
    <w:basedOn w:val="JBANewTableText"/>
    <w:rsid w:val="00EF0E0A"/>
    <w:pPr>
      <w:spacing w:after="80"/>
      <w:ind w:left="57"/>
    </w:pPr>
  </w:style>
  <w:style w:type="table" w:styleId="TableGrid1">
    <w:name w:val="Table Grid 1"/>
    <w:basedOn w:val="TableNormal"/>
    <w:uiPriority w:val="99"/>
    <w:semiHidden/>
    <w:unhideWhenUsed/>
    <w:rsid w:val="00EF0E0A"/>
    <w:pPr>
      <w:ind w:left="720" w:right="72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StyleJBABulletsBold">
    <w:name w:val="Style JBA Bullets + Bold"/>
    <w:basedOn w:val="JBABullets"/>
    <w:rsid w:val="00EF0E0A"/>
    <w:pPr>
      <w:numPr>
        <w:numId w:val="2"/>
      </w:numPr>
    </w:pPr>
    <w:rPr>
      <w:b/>
      <w:bCs/>
    </w:rPr>
  </w:style>
  <w:style w:type="paragraph" w:customStyle="1" w:styleId="JBABullets-Bold">
    <w:name w:val="JBA Bullets - Bold"/>
    <w:basedOn w:val="JBABullets"/>
    <w:next w:val="JBABullets"/>
    <w:link w:val="JBABullets-BoldChar"/>
    <w:rsid w:val="00EF0E0A"/>
    <w:pPr>
      <w:numPr>
        <w:numId w:val="0"/>
      </w:numPr>
      <w:ind w:left="720" w:hanging="720"/>
    </w:pPr>
    <w:rPr>
      <w:b/>
    </w:rPr>
  </w:style>
  <w:style w:type="character" w:customStyle="1" w:styleId="JBABulletsChar">
    <w:name w:val="JBA Bullets Char"/>
    <w:basedOn w:val="JBAParaTextChar"/>
    <w:link w:val="JBABullets"/>
    <w:rsid w:val="00F16A3F"/>
    <w:rPr>
      <w:rFonts w:ascii="Verdana" w:hAnsi="Verdana"/>
      <w:sz w:val="24"/>
    </w:rPr>
  </w:style>
  <w:style w:type="character" w:customStyle="1" w:styleId="JBABullets-BoldChar">
    <w:name w:val="JBA Bullets - Bold Char"/>
    <w:basedOn w:val="JBABulletsChar"/>
    <w:link w:val="JBABullets-Bold"/>
    <w:rsid w:val="00EF0E0A"/>
    <w:rPr>
      <w:rFonts w:ascii="Verdana" w:hAnsi="Verdana"/>
      <w:b/>
      <w:sz w:val="24"/>
    </w:rPr>
  </w:style>
  <w:style w:type="paragraph" w:styleId="TOC5">
    <w:name w:val="toc 5"/>
    <w:basedOn w:val="Normal"/>
    <w:next w:val="Normal"/>
    <w:autoRedefine/>
    <w:uiPriority w:val="39"/>
    <w:locked/>
    <w:rsid w:val="00EF0E0A"/>
    <w:pPr>
      <w:spacing w:after="100"/>
      <w:ind w:left="800"/>
      <w:jc w:val="both"/>
    </w:pPr>
    <w:rPr>
      <w:rFonts w:ascii="Arial" w:hAnsi="Arial"/>
    </w:rPr>
  </w:style>
  <w:style w:type="paragraph" w:styleId="TOC6">
    <w:name w:val="toc 6"/>
    <w:basedOn w:val="Normal"/>
    <w:next w:val="Normal"/>
    <w:autoRedefine/>
    <w:uiPriority w:val="39"/>
    <w:locked/>
    <w:rsid w:val="004F2671"/>
    <w:pPr>
      <w:spacing w:after="100"/>
      <w:ind w:left="1000"/>
      <w:jc w:val="both"/>
    </w:pPr>
    <w:rPr>
      <w:sz w:val="24"/>
    </w:rPr>
  </w:style>
  <w:style w:type="paragraph" w:styleId="TOC8">
    <w:name w:val="toc 8"/>
    <w:basedOn w:val="Normal"/>
    <w:next w:val="Normal"/>
    <w:autoRedefine/>
    <w:uiPriority w:val="39"/>
    <w:locked/>
    <w:rsid w:val="00EF0E0A"/>
    <w:pPr>
      <w:spacing w:after="100"/>
      <w:ind w:left="1400"/>
      <w:jc w:val="both"/>
    </w:pPr>
    <w:rPr>
      <w:rFonts w:ascii="Arial" w:hAnsi="Arial"/>
    </w:rPr>
  </w:style>
  <w:style w:type="paragraph" w:styleId="TOC9">
    <w:name w:val="toc 9"/>
    <w:basedOn w:val="Normal"/>
    <w:next w:val="Normal"/>
    <w:autoRedefine/>
    <w:uiPriority w:val="39"/>
    <w:locked/>
    <w:rsid w:val="00EF0E0A"/>
    <w:pPr>
      <w:spacing w:after="100"/>
      <w:ind w:left="1600"/>
      <w:jc w:val="both"/>
    </w:pPr>
    <w:rPr>
      <w:rFonts w:ascii="Arial" w:hAnsi="Arial"/>
    </w:rPr>
  </w:style>
  <w:style w:type="paragraph" w:customStyle="1" w:styleId="JBABullets-Indent">
    <w:name w:val="JBA Bullets - Indent"/>
    <w:basedOn w:val="JBABullets"/>
    <w:rsid w:val="00EF0E0A"/>
    <w:pPr>
      <w:numPr>
        <w:numId w:val="0"/>
      </w:numPr>
      <w:ind w:left="3028" w:hanging="360"/>
    </w:pPr>
  </w:style>
  <w:style w:type="paragraph" w:customStyle="1" w:styleId="JBANewTableTopRow-SmallBold">
    <w:name w:val="JBA New Table Top Row - Small Bold"/>
    <w:basedOn w:val="JBANewTableTopBold"/>
    <w:rsid w:val="00EF0E0A"/>
    <w:pPr>
      <w:ind w:left="6" w:right="6"/>
    </w:pPr>
    <w:rPr>
      <w:sz w:val="18"/>
    </w:rPr>
  </w:style>
  <w:style w:type="paragraph" w:customStyle="1" w:styleId="StyleJBATableText10pt">
    <w:name w:val="Style JBA Table Text + 10 pt"/>
    <w:basedOn w:val="Normal"/>
    <w:rsid w:val="00EF0E0A"/>
    <w:pPr>
      <w:spacing w:after="0" w:line="264" w:lineRule="auto"/>
      <w:ind w:left="0" w:right="0"/>
    </w:pPr>
    <w:rPr>
      <w:color w:val="153B55"/>
    </w:rPr>
  </w:style>
  <w:style w:type="paragraph" w:customStyle="1" w:styleId="JBABulletsIndent">
    <w:name w:val="JBA Bullets Indent"/>
    <w:basedOn w:val="JBABullets"/>
    <w:rsid w:val="00EF0E0A"/>
    <w:pPr>
      <w:numPr>
        <w:numId w:val="0"/>
      </w:numPr>
      <w:tabs>
        <w:tab w:val="left" w:pos="2835"/>
      </w:tabs>
      <w:ind w:left="2874" w:hanging="360"/>
    </w:pPr>
    <w:rPr>
      <w:sz w:val="21"/>
    </w:rPr>
  </w:style>
  <w:style w:type="table" w:customStyle="1" w:styleId="JBATable113">
    <w:name w:val="JBA Table 113"/>
    <w:basedOn w:val="JBATable"/>
    <w:uiPriority w:val="99"/>
    <w:rsid w:val="00EF0E0A"/>
    <w:pPr>
      <w:spacing w:after="0"/>
    </w:pPr>
    <w:tblPr/>
    <w:tblStylePr w:type="firstRow">
      <w:rPr>
        <w:rFonts w:ascii="Verdana" w:hAnsi="Verdana"/>
        <w:b/>
        <w:color w:val="FFFFFF" w:themeColor="background1"/>
      </w:rPr>
      <w:tblPr/>
      <w:trPr>
        <w:tblHeader/>
      </w:tr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153B55"/>
      </w:tcPr>
    </w:tblStylePr>
    <w:tblStylePr w:type="firstCol">
      <w:rPr>
        <w:rFonts w:ascii="Verdana" w:hAnsi="Verdana"/>
        <w:b w:val="0"/>
        <w:color w:val="auto"/>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paragraph" w:styleId="NormalWeb">
    <w:name w:val="Normal (Web)"/>
    <w:basedOn w:val="Normal"/>
    <w:uiPriority w:val="99"/>
    <w:unhideWhenUsed/>
    <w:rsid w:val="00EF0E0A"/>
    <w:pPr>
      <w:spacing w:after="0"/>
      <w:ind w:left="0" w:right="0"/>
    </w:pPr>
    <w:rPr>
      <w:rFonts w:ascii="Calibri" w:eastAsiaTheme="minorHAnsi" w:hAnsi="Calibri" w:cs="Calibri"/>
      <w:sz w:val="22"/>
      <w:szCs w:val="22"/>
    </w:rPr>
  </w:style>
  <w:style w:type="character" w:customStyle="1" w:styleId="spelle">
    <w:name w:val="spelle"/>
    <w:basedOn w:val="DefaultParagraphFont"/>
    <w:rsid w:val="00EF0E0A"/>
  </w:style>
  <w:style w:type="table" w:customStyle="1" w:styleId="JBATable13">
    <w:name w:val="JBA Table 13"/>
    <w:basedOn w:val="JBATable"/>
    <w:uiPriority w:val="99"/>
    <w:rsid w:val="00CD24F8"/>
    <w:pPr>
      <w:spacing w:after="0"/>
      <w:ind w:left="57" w:right="57"/>
    </w:pPr>
    <w:tblPr>
      <w:tblInd w:w="1588" w:type="dxa"/>
    </w:tblPr>
    <w:tblStylePr w:type="firstRow">
      <w:rPr>
        <w:rFonts w:ascii="Verdana" w:hAnsi="Verdana"/>
        <w:b/>
        <w:color w:val="FFFFFF" w:themeColor="background1"/>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153B55"/>
      </w:tcPr>
    </w:tblStylePr>
    <w:tblStylePr w:type="firstCol">
      <w:rPr>
        <w:rFonts w:ascii="Verdana" w:hAnsi="Verdana"/>
        <w:b w:val="0"/>
        <w:color w:val="auto"/>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character" w:customStyle="1" w:styleId="UnresolvedMention2">
    <w:name w:val="Unresolved Mention2"/>
    <w:basedOn w:val="DefaultParagraphFont"/>
    <w:uiPriority w:val="99"/>
    <w:semiHidden/>
    <w:unhideWhenUsed/>
    <w:rsid w:val="00155CEC"/>
    <w:rPr>
      <w:color w:val="605E5C"/>
      <w:shd w:val="clear" w:color="auto" w:fill="E1DFDD"/>
    </w:rPr>
  </w:style>
  <w:style w:type="character" w:customStyle="1" w:styleId="UnresolvedMention3">
    <w:name w:val="Unresolved Mention3"/>
    <w:basedOn w:val="DefaultParagraphFont"/>
    <w:uiPriority w:val="99"/>
    <w:semiHidden/>
    <w:unhideWhenUsed/>
    <w:rsid w:val="00073A8C"/>
    <w:rPr>
      <w:color w:val="605E5C"/>
      <w:shd w:val="clear" w:color="auto" w:fill="E1DFDD"/>
    </w:rPr>
  </w:style>
  <w:style w:type="character" w:customStyle="1" w:styleId="UnresolvedMention4">
    <w:name w:val="Unresolved Mention4"/>
    <w:basedOn w:val="DefaultParagraphFont"/>
    <w:uiPriority w:val="99"/>
    <w:semiHidden/>
    <w:unhideWhenUsed/>
    <w:rsid w:val="005F0E82"/>
    <w:rPr>
      <w:color w:val="605E5C"/>
      <w:shd w:val="clear" w:color="auto" w:fill="E1DFDD"/>
    </w:rPr>
  </w:style>
  <w:style w:type="paragraph" w:customStyle="1" w:styleId="Default">
    <w:name w:val="Default"/>
    <w:rsid w:val="00A37A98"/>
    <w:pPr>
      <w:autoSpaceDE w:val="0"/>
      <w:autoSpaceDN w:val="0"/>
      <w:adjustRightInd w:val="0"/>
      <w:spacing w:after="0"/>
    </w:pPr>
    <w:rPr>
      <w:rFonts w:cs="Arial"/>
      <w:color w:val="000000"/>
      <w:sz w:val="24"/>
      <w:szCs w:val="24"/>
    </w:rPr>
  </w:style>
  <w:style w:type="character" w:customStyle="1" w:styleId="UnresolvedMention5">
    <w:name w:val="Unresolved Mention5"/>
    <w:basedOn w:val="DefaultParagraphFont"/>
    <w:uiPriority w:val="99"/>
    <w:semiHidden/>
    <w:unhideWhenUsed/>
    <w:rsid w:val="00686908"/>
    <w:rPr>
      <w:color w:val="605E5C"/>
      <w:shd w:val="clear" w:color="auto" w:fill="E1DFDD"/>
    </w:rPr>
  </w:style>
  <w:style w:type="paragraph" w:customStyle="1" w:styleId="StyleJustified">
    <w:name w:val="Style Justified"/>
    <w:basedOn w:val="Normal"/>
    <w:rsid w:val="00F16A3F"/>
    <w:rPr>
      <w:rFonts w:eastAsia="Times New Roman"/>
      <w:sz w:val="24"/>
    </w:rPr>
  </w:style>
  <w:style w:type="paragraph" w:customStyle="1" w:styleId="StyleBoldItalicJustified">
    <w:name w:val="Style Bold Italic Justified"/>
    <w:basedOn w:val="Normal"/>
    <w:rsid w:val="00F16A3F"/>
    <w:rPr>
      <w:rFonts w:eastAsia="Times New Roman"/>
      <w:b/>
      <w:bCs/>
      <w:i/>
      <w:iCs/>
      <w:sz w:val="24"/>
    </w:rPr>
  </w:style>
  <w:style w:type="paragraph" w:customStyle="1" w:styleId="StyleListParagraphJustifiedRight12cm">
    <w:name w:val="Style List Paragraph + Justified Right:  1.2 cm"/>
    <w:basedOn w:val="ListParagraph"/>
    <w:rsid w:val="00F16A3F"/>
    <w:pPr>
      <w:ind w:right="680"/>
      <w:jc w:val="both"/>
    </w:pPr>
    <w:rPr>
      <w:rFonts w:eastAsia="Times New Roman"/>
      <w:sz w:val="24"/>
    </w:rPr>
  </w:style>
  <w:style w:type="character" w:styleId="UnresolvedMention">
    <w:name w:val="Unresolved Mention"/>
    <w:basedOn w:val="DefaultParagraphFont"/>
    <w:uiPriority w:val="99"/>
    <w:semiHidden/>
    <w:unhideWhenUsed/>
    <w:rsid w:val="004F267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914874">
      <w:bodyDiv w:val="1"/>
      <w:marLeft w:val="0"/>
      <w:marRight w:val="0"/>
      <w:marTop w:val="0"/>
      <w:marBottom w:val="0"/>
      <w:divBdr>
        <w:top w:val="none" w:sz="0" w:space="0" w:color="auto"/>
        <w:left w:val="none" w:sz="0" w:space="0" w:color="auto"/>
        <w:bottom w:val="none" w:sz="0" w:space="0" w:color="auto"/>
        <w:right w:val="none" w:sz="0" w:space="0" w:color="auto"/>
      </w:divBdr>
    </w:div>
    <w:div w:id="66655622">
      <w:bodyDiv w:val="1"/>
      <w:marLeft w:val="0"/>
      <w:marRight w:val="0"/>
      <w:marTop w:val="0"/>
      <w:marBottom w:val="0"/>
      <w:divBdr>
        <w:top w:val="none" w:sz="0" w:space="0" w:color="auto"/>
        <w:left w:val="none" w:sz="0" w:space="0" w:color="auto"/>
        <w:bottom w:val="none" w:sz="0" w:space="0" w:color="auto"/>
        <w:right w:val="none" w:sz="0" w:space="0" w:color="auto"/>
      </w:divBdr>
    </w:div>
    <w:div w:id="272054231">
      <w:bodyDiv w:val="1"/>
      <w:marLeft w:val="0"/>
      <w:marRight w:val="0"/>
      <w:marTop w:val="0"/>
      <w:marBottom w:val="0"/>
      <w:divBdr>
        <w:top w:val="none" w:sz="0" w:space="0" w:color="auto"/>
        <w:left w:val="none" w:sz="0" w:space="0" w:color="auto"/>
        <w:bottom w:val="none" w:sz="0" w:space="0" w:color="auto"/>
        <w:right w:val="none" w:sz="0" w:space="0" w:color="auto"/>
      </w:divBdr>
    </w:div>
    <w:div w:id="424307724">
      <w:bodyDiv w:val="1"/>
      <w:marLeft w:val="0"/>
      <w:marRight w:val="0"/>
      <w:marTop w:val="0"/>
      <w:marBottom w:val="0"/>
      <w:divBdr>
        <w:top w:val="none" w:sz="0" w:space="0" w:color="auto"/>
        <w:left w:val="none" w:sz="0" w:space="0" w:color="auto"/>
        <w:bottom w:val="none" w:sz="0" w:space="0" w:color="auto"/>
        <w:right w:val="none" w:sz="0" w:space="0" w:color="auto"/>
      </w:divBdr>
    </w:div>
    <w:div w:id="525556057">
      <w:bodyDiv w:val="1"/>
      <w:marLeft w:val="0"/>
      <w:marRight w:val="0"/>
      <w:marTop w:val="0"/>
      <w:marBottom w:val="0"/>
      <w:divBdr>
        <w:top w:val="none" w:sz="0" w:space="0" w:color="auto"/>
        <w:left w:val="none" w:sz="0" w:space="0" w:color="auto"/>
        <w:bottom w:val="none" w:sz="0" w:space="0" w:color="auto"/>
        <w:right w:val="none" w:sz="0" w:space="0" w:color="auto"/>
      </w:divBdr>
    </w:div>
    <w:div w:id="527566560">
      <w:bodyDiv w:val="1"/>
      <w:marLeft w:val="0"/>
      <w:marRight w:val="0"/>
      <w:marTop w:val="0"/>
      <w:marBottom w:val="0"/>
      <w:divBdr>
        <w:top w:val="none" w:sz="0" w:space="0" w:color="auto"/>
        <w:left w:val="none" w:sz="0" w:space="0" w:color="auto"/>
        <w:bottom w:val="none" w:sz="0" w:space="0" w:color="auto"/>
        <w:right w:val="none" w:sz="0" w:space="0" w:color="auto"/>
      </w:divBdr>
    </w:div>
    <w:div w:id="634027332">
      <w:bodyDiv w:val="1"/>
      <w:marLeft w:val="0"/>
      <w:marRight w:val="0"/>
      <w:marTop w:val="0"/>
      <w:marBottom w:val="0"/>
      <w:divBdr>
        <w:top w:val="none" w:sz="0" w:space="0" w:color="auto"/>
        <w:left w:val="none" w:sz="0" w:space="0" w:color="auto"/>
        <w:bottom w:val="none" w:sz="0" w:space="0" w:color="auto"/>
        <w:right w:val="none" w:sz="0" w:space="0" w:color="auto"/>
      </w:divBdr>
    </w:div>
    <w:div w:id="738213492">
      <w:bodyDiv w:val="1"/>
      <w:marLeft w:val="0"/>
      <w:marRight w:val="0"/>
      <w:marTop w:val="0"/>
      <w:marBottom w:val="0"/>
      <w:divBdr>
        <w:top w:val="none" w:sz="0" w:space="0" w:color="auto"/>
        <w:left w:val="none" w:sz="0" w:space="0" w:color="auto"/>
        <w:bottom w:val="none" w:sz="0" w:space="0" w:color="auto"/>
        <w:right w:val="none" w:sz="0" w:space="0" w:color="auto"/>
      </w:divBdr>
    </w:div>
    <w:div w:id="783578789">
      <w:bodyDiv w:val="1"/>
      <w:marLeft w:val="0"/>
      <w:marRight w:val="0"/>
      <w:marTop w:val="0"/>
      <w:marBottom w:val="0"/>
      <w:divBdr>
        <w:top w:val="none" w:sz="0" w:space="0" w:color="auto"/>
        <w:left w:val="none" w:sz="0" w:space="0" w:color="auto"/>
        <w:bottom w:val="none" w:sz="0" w:space="0" w:color="auto"/>
        <w:right w:val="none" w:sz="0" w:space="0" w:color="auto"/>
      </w:divBdr>
    </w:div>
    <w:div w:id="847985150">
      <w:bodyDiv w:val="1"/>
      <w:marLeft w:val="0"/>
      <w:marRight w:val="0"/>
      <w:marTop w:val="0"/>
      <w:marBottom w:val="0"/>
      <w:divBdr>
        <w:top w:val="none" w:sz="0" w:space="0" w:color="auto"/>
        <w:left w:val="none" w:sz="0" w:space="0" w:color="auto"/>
        <w:bottom w:val="none" w:sz="0" w:space="0" w:color="auto"/>
        <w:right w:val="none" w:sz="0" w:space="0" w:color="auto"/>
      </w:divBdr>
    </w:div>
    <w:div w:id="882132783">
      <w:bodyDiv w:val="1"/>
      <w:marLeft w:val="0"/>
      <w:marRight w:val="0"/>
      <w:marTop w:val="0"/>
      <w:marBottom w:val="0"/>
      <w:divBdr>
        <w:top w:val="none" w:sz="0" w:space="0" w:color="auto"/>
        <w:left w:val="none" w:sz="0" w:space="0" w:color="auto"/>
        <w:bottom w:val="none" w:sz="0" w:space="0" w:color="auto"/>
        <w:right w:val="none" w:sz="0" w:space="0" w:color="auto"/>
      </w:divBdr>
    </w:div>
    <w:div w:id="974145871">
      <w:bodyDiv w:val="1"/>
      <w:marLeft w:val="0"/>
      <w:marRight w:val="0"/>
      <w:marTop w:val="0"/>
      <w:marBottom w:val="0"/>
      <w:divBdr>
        <w:top w:val="none" w:sz="0" w:space="0" w:color="auto"/>
        <w:left w:val="none" w:sz="0" w:space="0" w:color="auto"/>
        <w:bottom w:val="none" w:sz="0" w:space="0" w:color="auto"/>
        <w:right w:val="none" w:sz="0" w:space="0" w:color="auto"/>
      </w:divBdr>
    </w:div>
    <w:div w:id="1040284095">
      <w:bodyDiv w:val="1"/>
      <w:marLeft w:val="0"/>
      <w:marRight w:val="0"/>
      <w:marTop w:val="0"/>
      <w:marBottom w:val="0"/>
      <w:divBdr>
        <w:top w:val="none" w:sz="0" w:space="0" w:color="auto"/>
        <w:left w:val="none" w:sz="0" w:space="0" w:color="auto"/>
        <w:bottom w:val="none" w:sz="0" w:space="0" w:color="auto"/>
        <w:right w:val="none" w:sz="0" w:space="0" w:color="auto"/>
      </w:divBdr>
    </w:div>
    <w:div w:id="1159662676">
      <w:bodyDiv w:val="1"/>
      <w:marLeft w:val="0"/>
      <w:marRight w:val="0"/>
      <w:marTop w:val="0"/>
      <w:marBottom w:val="0"/>
      <w:divBdr>
        <w:top w:val="none" w:sz="0" w:space="0" w:color="auto"/>
        <w:left w:val="none" w:sz="0" w:space="0" w:color="auto"/>
        <w:bottom w:val="none" w:sz="0" w:space="0" w:color="auto"/>
        <w:right w:val="none" w:sz="0" w:space="0" w:color="auto"/>
      </w:divBdr>
    </w:div>
    <w:div w:id="1245797916">
      <w:bodyDiv w:val="1"/>
      <w:marLeft w:val="0"/>
      <w:marRight w:val="0"/>
      <w:marTop w:val="0"/>
      <w:marBottom w:val="0"/>
      <w:divBdr>
        <w:top w:val="none" w:sz="0" w:space="0" w:color="auto"/>
        <w:left w:val="none" w:sz="0" w:space="0" w:color="auto"/>
        <w:bottom w:val="none" w:sz="0" w:space="0" w:color="auto"/>
        <w:right w:val="none" w:sz="0" w:space="0" w:color="auto"/>
      </w:divBdr>
    </w:div>
    <w:div w:id="1376613483">
      <w:bodyDiv w:val="1"/>
      <w:marLeft w:val="0"/>
      <w:marRight w:val="0"/>
      <w:marTop w:val="0"/>
      <w:marBottom w:val="0"/>
      <w:divBdr>
        <w:top w:val="none" w:sz="0" w:space="0" w:color="auto"/>
        <w:left w:val="none" w:sz="0" w:space="0" w:color="auto"/>
        <w:bottom w:val="none" w:sz="0" w:space="0" w:color="auto"/>
        <w:right w:val="none" w:sz="0" w:space="0" w:color="auto"/>
      </w:divBdr>
    </w:div>
    <w:div w:id="1397700854">
      <w:bodyDiv w:val="1"/>
      <w:marLeft w:val="0"/>
      <w:marRight w:val="0"/>
      <w:marTop w:val="0"/>
      <w:marBottom w:val="0"/>
      <w:divBdr>
        <w:top w:val="none" w:sz="0" w:space="0" w:color="auto"/>
        <w:left w:val="none" w:sz="0" w:space="0" w:color="auto"/>
        <w:bottom w:val="none" w:sz="0" w:space="0" w:color="auto"/>
        <w:right w:val="none" w:sz="0" w:space="0" w:color="auto"/>
      </w:divBdr>
    </w:div>
    <w:div w:id="1500074608">
      <w:bodyDiv w:val="1"/>
      <w:marLeft w:val="0"/>
      <w:marRight w:val="0"/>
      <w:marTop w:val="0"/>
      <w:marBottom w:val="0"/>
      <w:divBdr>
        <w:top w:val="none" w:sz="0" w:space="0" w:color="auto"/>
        <w:left w:val="none" w:sz="0" w:space="0" w:color="auto"/>
        <w:bottom w:val="none" w:sz="0" w:space="0" w:color="auto"/>
        <w:right w:val="none" w:sz="0" w:space="0" w:color="auto"/>
      </w:divBdr>
    </w:div>
    <w:div w:id="1585727257">
      <w:bodyDiv w:val="1"/>
      <w:marLeft w:val="0"/>
      <w:marRight w:val="0"/>
      <w:marTop w:val="0"/>
      <w:marBottom w:val="0"/>
      <w:divBdr>
        <w:top w:val="none" w:sz="0" w:space="0" w:color="auto"/>
        <w:left w:val="none" w:sz="0" w:space="0" w:color="auto"/>
        <w:bottom w:val="none" w:sz="0" w:space="0" w:color="auto"/>
        <w:right w:val="none" w:sz="0" w:space="0" w:color="auto"/>
      </w:divBdr>
    </w:div>
    <w:div w:id="1589343418">
      <w:bodyDiv w:val="1"/>
      <w:marLeft w:val="0"/>
      <w:marRight w:val="0"/>
      <w:marTop w:val="0"/>
      <w:marBottom w:val="0"/>
      <w:divBdr>
        <w:top w:val="none" w:sz="0" w:space="0" w:color="auto"/>
        <w:left w:val="none" w:sz="0" w:space="0" w:color="auto"/>
        <w:bottom w:val="none" w:sz="0" w:space="0" w:color="auto"/>
        <w:right w:val="none" w:sz="0" w:space="0" w:color="auto"/>
      </w:divBdr>
    </w:div>
    <w:div w:id="1643466433">
      <w:bodyDiv w:val="1"/>
      <w:marLeft w:val="0"/>
      <w:marRight w:val="0"/>
      <w:marTop w:val="0"/>
      <w:marBottom w:val="0"/>
      <w:divBdr>
        <w:top w:val="none" w:sz="0" w:space="0" w:color="auto"/>
        <w:left w:val="none" w:sz="0" w:space="0" w:color="auto"/>
        <w:bottom w:val="none" w:sz="0" w:space="0" w:color="auto"/>
        <w:right w:val="none" w:sz="0" w:space="0" w:color="auto"/>
      </w:divBdr>
    </w:div>
    <w:div w:id="1711539596">
      <w:bodyDiv w:val="1"/>
      <w:marLeft w:val="0"/>
      <w:marRight w:val="0"/>
      <w:marTop w:val="0"/>
      <w:marBottom w:val="0"/>
      <w:divBdr>
        <w:top w:val="none" w:sz="0" w:space="0" w:color="auto"/>
        <w:left w:val="none" w:sz="0" w:space="0" w:color="auto"/>
        <w:bottom w:val="none" w:sz="0" w:space="0" w:color="auto"/>
        <w:right w:val="none" w:sz="0" w:space="0" w:color="auto"/>
      </w:divBdr>
    </w:div>
    <w:div w:id="1961495410">
      <w:bodyDiv w:val="1"/>
      <w:marLeft w:val="0"/>
      <w:marRight w:val="0"/>
      <w:marTop w:val="0"/>
      <w:marBottom w:val="0"/>
      <w:divBdr>
        <w:top w:val="none" w:sz="0" w:space="0" w:color="auto"/>
        <w:left w:val="none" w:sz="0" w:space="0" w:color="auto"/>
        <w:bottom w:val="none" w:sz="0" w:space="0" w:color="auto"/>
        <w:right w:val="none" w:sz="0" w:space="0" w:color="auto"/>
      </w:divBdr>
    </w:div>
    <w:div w:id="2058242488">
      <w:bodyDiv w:val="1"/>
      <w:marLeft w:val="0"/>
      <w:marRight w:val="0"/>
      <w:marTop w:val="0"/>
      <w:marBottom w:val="0"/>
      <w:divBdr>
        <w:top w:val="none" w:sz="0" w:space="0" w:color="auto"/>
        <w:left w:val="none" w:sz="0" w:space="0" w:color="auto"/>
        <w:bottom w:val="none" w:sz="0" w:space="0" w:color="auto"/>
        <w:right w:val="none" w:sz="0" w:space="0" w:color="auto"/>
      </w:divBdr>
    </w:div>
    <w:div w:id="210090123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18" Type="http://schemas.openxmlformats.org/officeDocument/2006/relationships/image" Target="media/image6.png"/><Relationship Id="rId26"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header" Target="header4.xml"/><Relationship Id="rId34" Type="http://schemas.openxmlformats.org/officeDocument/2006/relationships/header" Target="header10.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5.jpeg"/><Relationship Id="rId25" Type="http://schemas.openxmlformats.org/officeDocument/2006/relationships/hyperlink" Target="https://twitter.com/JBAConsulting" TargetMode="External"/><Relationship Id="rId33"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8.png"/><Relationship Id="rId29"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yperlink" Target="mailto:info@jbaconsulting.com" TargetMode="External"/><Relationship Id="rId32" Type="http://schemas.openxmlformats.org/officeDocument/2006/relationships/header" Target="header9.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header" Target="header6.xml"/><Relationship Id="rId28" Type="http://schemas.openxmlformats.org/officeDocument/2006/relationships/hyperlink" Target="http://www.jbaconsulting.com" TargetMode="External"/><Relationship Id="rId36" Type="http://schemas.openxmlformats.org/officeDocument/2006/relationships/glossaryDocument" Target="glossary/document.xml"/><Relationship Id="rId10" Type="http://schemas.openxmlformats.org/officeDocument/2006/relationships/hyperlink" Target="http://www.jbaconsulting.com" TargetMode="External"/><Relationship Id="rId19" Type="http://schemas.openxmlformats.org/officeDocument/2006/relationships/image" Target="media/image7.png"/><Relationship Id="rId31" Type="http://schemas.openxmlformats.org/officeDocument/2006/relationships/header" Target="header8.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footer" Target="footer2.xml"/><Relationship Id="rId22" Type="http://schemas.openxmlformats.org/officeDocument/2006/relationships/header" Target="header5.xml"/><Relationship Id="rId27" Type="http://schemas.openxmlformats.org/officeDocument/2006/relationships/hyperlink" Target="https://www.linkedin.com/company/jba-consulting-ltd-jeremy-benn-/" TargetMode="External"/><Relationship Id="rId30" Type="http://schemas.openxmlformats.org/officeDocument/2006/relationships/footer" Target="footer4.xml"/><Relationship Id="rId35" Type="http://schemas.openxmlformats.org/officeDocument/2006/relationships/fontTable" Target="fontTable.xml"/></Relationships>
</file>

<file path=word/_rels/footer5.xml.rels><?xml version="1.0" encoding="UTF-8" standalone="yes"?>
<Relationships xmlns="http://schemas.openxmlformats.org/package/2006/relationships"><Relationship Id="rId1" Type="http://schemas.openxmlformats.org/officeDocument/2006/relationships/image" Target="media/image4.png"/></Relationships>
</file>

<file path=word/_rels/footnotes.xml.rels><?xml version="1.0" encoding="UTF-8" standalone="yes"?>
<Relationships xmlns="http://schemas.openxmlformats.org/package/2006/relationships"><Relationship Id="rId8" Type="http://schemas.openxmlformats.org/officeDocument/2006/relationships/hyperlink" Target="https://assets.publishing.service.gov.uk/government/uploads/system/uploads/attachment_data/file/353387/021c_Cost_Report_11th_Sept_2014_FINAL.pdf" TargetMode="External"/><Relationship Id="rId3" Type="http://schemas.openxmlformats.org/officeDocument/2006/relationships/hyperlink" Target="https://www.manchester.ac.uk/discover/news/coronavirus-lockdown-caused-dramatic-changes-in-water-consumption/" TargetMode="External"/><Relationship Id="rId7" Type="http://schemas.openxmlformats.org/officeDocument/2006/relationships/hyperlink" Target="https://waterwise.org.uk/wp-content/uploads/2020/09/Ricardo_Independent-review-of-costs-and-benefits-of-RWH-and-GWR_Appendices-A1-A2-1.pdf" TargetMode="External"/><Relationship Id="rId12" Type="http://schemas.openxmlformats.org/officeDocument/2006/relationships/hyperlink" Target="https://waterwise.org.uk/wp-content/uploads/2020/09/Ricardo_Independent-review-of-costs-and-benefits-of-RWH-and-GWR-Final-Report.pdf" TargetMode="External"/><Relationship Id="rId2" Type="http://schemas.openxmlformats.org/officeDocument/2006/relationships/hyperlink" Target="https://www.waterwise.org.uk/knowledge-base/est-welsh-government-water-labelling-report-2020/" TargetMode="External"/><Relationship Id="rId1" Type="http://schemas.openxmlformats.org/officeDocument/2006/relationships/hyperlink" Target="https://www.ofwat.gov.uk/wp-content/uploads/2018/05/The-long-term-potential-for-deep-reductions-in-household-water-demand-report-by-Artesia-Consulting.pdf" TargetMode="External"/><Relationship Id="rId6" Type="http://schemas.openxmlformats.org/officeDocument/2006/relationships/hyperlink" Target="https://www.statista.com/statistics/690159/work-canteen-for-lunch-united-kingdom-uk/" TargetMode="External"/><Relationship Id="rId11" Type="http://schemas.openxmlformats.org/officeDocument/2006/relationships/hyperlink" Target="https://assets.publishing.service.gov.uk/government/uploads/system/uploads/attachment_data/file/353387/021c_Cost_Report_11th_Sept_2014_FINAL.pdf" TargetMode="External"/><Relationship Id="rId5" Type="http://schemas.openxmlformats.org/officeDocument/2006/relationships/hyperlink" Target="https://www.lrdpublications.org.uk/printarticle.php?pub=WR&amp;iss=1758&amp;id=idp10120192" TargetMode="External"/><Relationship Id="rId10" Type="http://schemas.openxmlformats.org/officeDocument/2006/relationships/hyperlink" Target="https://greaterbrighton.com/wp-content/uploads/2020/09/Greater-Brighton-Water-Plan.pdf" TargetMode="External"/><Relationship Id="rId4" Type="http://schemas.openxmlformats.org/officeDocument/2006/relationships/hyperlink" Target="https://www.britishwater.co.uk/code-of-practise-flows-and-loads-4-on-sizing-criteria-treatm.aspx" TargetMode="External"/><Relationship Id="rId9" Type="http://schemas.openxmlformats.org/officeDocument/2006/relationships/hyperlink" Target="https://www.southernwater.co.uk/media/3671/wrmp19-annex6-options-appraisal.pd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4.xml.rels><?xml version="1.0" encoding="UTF-8" standalone="yes"?>
<Relationships xmlns="http://schemas.openxmlformats.org/package/2006/relationships"><Relationship Id="rId1" Type="http://schemas.openxmlformats.org/officeDocument/2006/relationships/image" Target="media/image4.png"/></Relationships>
</file>

<file path=word/_rels/header7.xml.rels><?xml version="1.0" encoding="UTF-8" standalone="yes"?>
<Relationships xmlns="http://schemas.openxmlformats.org/package/2006/relationships"><Relationship Id="rId1" Type="http://schemas.openxmlformats.org/officeDocument/2006/relationships/image" Target="media/image10.jpg"/></Relationships>
</file>

<file path=word/_rels/header9.xml.rels><?xml version="1.0" encoding="UTF-8" standalone="yes"?>
<Relationships xmlns="http://schemas.openxmlformats.org/package/2006/relationships"><Relationship Id="rId1" Type="http://schemas.openxmlformats.org/officeDocument/2006/relationships/image" Target="media/image11.jp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Y:\Templates\JBA%20Reports\Report%20(V6.27%20-%20July%2019).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045A4E970C2A491E8B6AD6C21FA5660E"/>
        <w:category>
          <w:name w:val="General"/>
          <w:gallery w:val="placeholder"/>
        </w:category>
        <w:types>
          <w:type w:val="bbPlcHdr"/>
        </w:types>
        <w:behaviors>
          <w:behavior w:val="content"/>
        </w:behaviors>
        <w:guid w:val="{3E3DACAE-D955-40F3-93EC-8BBCB3572BBD}"/>
      </w:docPartPr>
      <w:docPartBody>
        <w:p w:rsidR="00AC3149" w:rsidRDefault="00AC3149">
          <w:pPr>
            <w:pStyle w:val="045A4E970C2A491E8B6AD6C21FA5660E"/>
          </w:pPr>
          <w:r w:rsidRPr="00153626">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old">
    <w:panose1 w:val="020B0704020202020204"/>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C3149"/>
    <w:rsid w:val="00040CAF"/>
    <w:rsid w:val="00042EBF"/>
    <w:rsid w:val="00134320"/>
    <w:rsid w:val="001B4BF6"/>
    <w:rsid w:val="001C3C19"/>
    <w:rsid w:val="001D7D34"/>
    <w:rsid w:val="001F171E"/>
    <w:rsid w:val="00265053"/>
    <w:rsid w:val="002F483C"/>
    <w:rsid w:val="003222ED"/>
    <w:rsid w:val="00360848"/>
    <w:rsid w:val="00367732"/>
    <w:rsid w:val="003848F5"/>
    <w:rsid w:val="00387F0E"/>
    <w:rsid w:val="003A2EC4"/>
    <w:rsid w:val="00436B53"/>
    <w:rsid w:val="00441C9F"/>
    <w:rsid w:val="004C37E1"/>
    <w:rsid w:val="00504A2B"/>
    <w:rsid w:val="00545E99"/>
    <w:rsid w:val="0054768D"/>
    <w:rsid w:val="00587631"/>
    <w:rsid w:val="005C085A"/>
    <w:rsid w:val="005C3DED"/>
    <w:rsid w:val="00605289"/>
    <w:rsid w:val="0065785D"/>
    <w:rsid w:val="00747D8B"/>
    <w:rsid w:val="00780BFD"/>
    <w:rsid w:val="007837F9"/>
    <w:rsid w:val="007B1A42"/>
    <w:rsid w:val="00803FED"/>
    <w:rsid w:val="008504E3"/>
    <w:rsid w:val="008B75CD"/>
    <w:rsid w:val="008C3F3E"/>
    <w:rsid w:val="008C6269"/>
    <w:rsid w:val="008C7207"/>
    <w:rsid w:val="008F7A0B"/>
    <w:rsid w:val="00986139"/>
    <w:rsid w:val="009D3B19"/>
    <w:rsid w:val="009E4182"/>
    <w:rsid w:val="009E5DDF"/>
    <w:rsid w:val="009F243A"/>
    <w:rsid w:val="00A210B5"/>
    <w:rsid w:val="00A60447"/>
    <w:rsid w:val="00AC3149"/>
    <w:rsid w:val="00AE0C89"/>
    <w:rsid w:val="00AF64E9"/>
    <w:rsid w:val="00B54D3B"/>
    <w:rsid w:val="00B81D8D"/>
    <w:rsid w:val="00BB074F"/>
    <w:rsid w:val="00BD0550"/>
    <w:rsid w:val="00BF5691"/>
    <w:rsid w:val="00C03340"/>
    <w:rsid w:val="00CC3283"/>
    <w:rsid w:val="00D3209E"/>
    <w:rsid w:val="00D41F42"/>
    <w:rsid w:val="00D46213"/>
    <w:rsid w:val="00D46250"/>
    <w:rsid w:val="00D75969"/>
    <w:rsid w:val="00DA359D"/>
    <w:rsid w:val="00DA38AE"/>
    <w:rsid w:val="00DA7036"/>
    <w:rsid w:val="00DC387E"/>
    <w:rsid w:val="00DD6E6B"/>
    <w:rsid w:val="00DE000F"/>
    <w:rsid w:val="00DE4E15"/>
    <w:rsid w:val="00DF1634"/>
    <w:rsid w:val="00DF3CB2"/>
    <w:rsid w:val="00E0099E"/>
    <w:rsid w:val="00E02FAC"/>
    <w:rsid w:val="00E1045C"/>
    <w:rsid w:val="00E21AB0"/>
    <w:rsid w:val="00E7725D"/>
    <w:rsid w:val="00EB3B0C"/>
    <w:rsid w:val="00ED5863"/>
    <w:rsid w:val="00EE466E"/>
    <w:rsid w:val="00F95391"/>
    <w:rsid w:val="00FB5304"/>
    <w:rsid w:val="00FD2414"/>
    <w:rsid w:val="00FE73C1"/>
    <w:rsid w:val="00FF610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045A4E970C2A491E8B6AD6C21FA5660E">
    <w:name w:val="045A4E970C2A491E8B6AD6C21FA5660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JBA Consulting">
      <a:dk1>
        <a:sysClr val="windowText" lastClr="000000"/>
      </a:dk1>
      <a:lt1>
        <a:sysClr val="window" lastClr="FFFFFF"/>
      </a:lt1>
      <a:dk2>
        <a:srgbClr val="44546A"/>
      </a:dk2>
      <a:lt2>
        <a:srgbClr val="E7E6E6"/>
      </a:lt2>
      <a:accent1>
        <a:srgbClr val="74C4D7"/>
      </a:accent1>
      <a:accent2>
        <a:srgbClr val="0D9DDB"/>
      </a:accent2>
      <a:accent3>
        <a:srgbClr val="A9A19C"/>
      </a:accent3>
      <a:accent4>
        <a:srgbClr val="BDDC04"/>
      </a:accent4>
      <a:accent5>
        <a:srgbClr val="007FA3"/>
      </a:accent5>
      <a:accent6>
        <a:srgbClr val="5A5A5A"/>
      </a:accent6>
      <a:hlink>
        <a:srgbClr val="0563C1"/>
      </a:hlink>
      <a:folHlink>
        <a:srgbClr val="954F7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CEE2DA-F6B2-4788-8419-D5D78163C5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 (V6.27 - July 19)</Template>
  <TotalTime>0</TotalTime>
  <Pages>3</Pages>
  <Words>14741</Words>
  <Characters>84030</Characters>
  <Application>Microsoft Office Word</Application>
  <DocSecurity>4</DocSecurity>
  <Lines>700</Lines>
  <Paragraphs>197</Paragraphs>
  <ScaleCrop>false</ScaleCrop>
  <HeadingPairs>
    <vt:vector size="2" baseType="variant">
      <vt:variant>
        <vt:lpstr>Title</vt:lpstr>
      </vt:variant>
      <vt:variant>
        <vt:i4>1</vt:i4>
      </vt:variant>
    </vt:vector>
  </HeadingPairs>
  <TitlesOfParts>
    <vt:vector size="1" baseType="lpstr">
      <vt:lpstr>JBA Consulting Report Template 2015</vt:lpstr>
    </vt:vector>
  </TitlesOfParts>
  <Company>JBA Consulting</Company>
  <LinksUpToDate>false</LinksUpToDate>
  <CharactersWithSpaces>98574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Water Neutrality Assessment Part B</dc:title>
  <dc:subject/>
  <dc:creator>Richard Pardoe</dc:creator>
  <cp:keywords/>
  <dc:description/>
  <cp:lastModifiedBy>Valerie Dobson</cp:lastModifiedBy>
  <cp:revision>2</cp:revision>
  <cp:lastPrinted>2022-04-26T08:32:00Z</cp:lastPrinted>
  <dcterms:created xsi:type="dcterms:W3CDTF">2022-04-27T07:35:00Z</dcterms:created>
  <dcterms:modified xsi:type="dcterms:W3CDTF">2022-04-27T07:35:00Z</dcterms:modified>
</cp:coreProperties>
</file>