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A1A4" w14:textId="0C24AE36" w:rsidR="00A32A32" w:rsidRPr="00314188" w:rsidRDefault="0015272F" w:rsidP="00394DF6">
      <w:pPr>
        <w:pStyle w:val="Heading1"/>
      </w:pPr>
      <w:r w:rsidRPr="00314188">
        <w:t>C</w:t>
      </w:r>
      <w:r w:rsidR="00A32A32" w:rsidRPr="00314188">
        <w:t xml:space="preserve">hichester District </w:t>
      </w:r>
      <w:r w:rsidRPr="00314188">
        <w:t>Greenhouse Gas E</w:t>
      </w:r>
      <w:r w:rsidR="00A32A32" w:rsidRPr="00314188">
        <w:t>missions</w:t>
      </w:r>
      <w:r w:rsidR="00713853">
        <w:t xml:space="preserve"> in 202</w:t>
      </w:r>
      <w:r w:rsidR="00B26F28">
        <w:t>1</w:t>
      </w:r>
      <w:r w:rsidR="00A32A32" w:rsidRPr="00314188">
        <w:t xml:space="preserve"> </w:t>
      </w:r>
    </w:p>
    <w:p w14:paraId="21387D82" w14:textId="06476535" w:rsidR="00794DDF" w:rsidRPr="00314188" w:rsidRDefault="00D62F03" w:rsidP="0015272F">
      <w:pPr>
        <w:keepNext/>
        <w:spacing w:after="0" w:line="240" w:lineRule="auto"/>
        <w:outlineLvl w:val="0"/>
        <w:rPr>
          <w:rFonts w:ascii="Arial" w:hAnsi="Arial" w:cs="Arial"/>
          <w:sz w:val="24"/>
          <w:szCs w:val="24"/>
        </w:rPr>
      </w:pPr>
      <w:r w:rsidRPr="00314188">
        <w:rPr>
          <w:rFonts w:ascii="Arial" w:hAnsi="Arial" w:cs="Arial"/>
          <w:sz w:val="24"/>
          <w:szCs w:val="24"/>
        </w:rPr>
        <w:t xml:space="preserve">In 2019 Chichester District Council declared a climate </w:t>
      </w:r>
      <w:r w:rsidR="00235458" w:rsidRPr="00314188">
        <w:rPr>
          <w:rFonts w:ascii="Arial" w:hAnsi="Arial" w:cs="Arial"/>
          <w:sz w:val="24"/>
          <w:szCs w:val="24"/>
        </w:rPr>
        <w:t xml:space="preserve">emergency and set a challenging target of a 10% reduction in greenhouse gas emissions </w:t>
      </w:r>
      <w:r w:rsidR="009D21C4" w:rsidRPr="00314188">
        <w:rPr>
          <w:rFonts w:ascii="Arial" w:hAnsi="Arial" w:cs="Arial"/>
          <w:sz w:val="24"/>
          <w:szCs w:val="24"/>
        </w:rPr>
        <w:t xml:space="preserve">every year </w:t>
      </w:r>
      <w:r w:rsidR="00235458" w:rsidRPr="00314188">
        <w:rPr>
          <w:rFonts w:ascii="Arial" w:hAnsi="Arial" w:cs="Arial"/>
          <w:sz w:val="24"/>
          <w:szCs w:val="24"/>
        </w:rPr>
        <w:t>until 2025</w:t>
      </w:r>
      <w:r w:rsidR="00B032A4" w:rsidRPr="00314188">
        <w:rPr>
          <w:rFonts w:ascii="Arial" w:hAnsi="Arial" w:cs="Arial"/>
          <w:sz w:val="24"/>
          <w:szCs w:val="24"/>
        </w:rPr>
        <w:t xml:space="preserve"> for the whole of the Chichester </w:t>
      </w:r>
      <w:r w:rsidR="002C101D" w:rsidRPr="00314188">
        <w:rPr>
          <w:rFonts w:ascii="Arial" w:hAnsi="Arial" w:cs="Arial"/>
          <w:sz w:val="24"/>
          <w:szCs w:val="24"/>
        </w:rPr>
        <w:t>d</w:t>
      </w:r>
      <w:r w:rsidR="00B032A4" w:rsidRPr="00314188">
        <w:rPr>
          <w:rFonts w:ascii="Arial" w:hAnsi="Arial" w:cs="Arial"/>
          <w:sz w:val="24"/>
          <w:szCs w:val="24"/>
        </w:rPr>
        <w:t>istrict</w:t>
      </w:r>
      <w:r w:rsidR="00235458" w:rsidRPr="00314188">
        <w:rPr>
          <w:rFonts w:ascii="Arial" w:hAnsi="Arial" w:cs="Arial"/>
          <w:sz w:val="24"/>
          <w:szCs w:val="24"/>
        </w:rPr>
        <w:t>.</w:t>
      </w:r>
      <w:r w:rsidR="00E44897" w:rsidRPr="00314188">
        <w:rPr>
          <w:rFonts w:ascii="Arial" w:hAnsi="Arial" w:cs="Arial"/>
          <w:sz w:val="24"/>
          <w:szCs w:val="24"/>
        </w:rPr>
        <w:t xml:space="preserve"> </w:t>
      </w:r>
      <w:r w:rsidR="00235458" w:rsidRPr="00314188">
        <w:rPr>
          <w:rFonts w:ascii="Arial" w:hAnsi="Arial" w:cs="Arial"/>
          <w:sz w:val="24"/>
          <w:szCs w:val="24"/>
        </w:rPr>
        <w:t>The target was chosen to reflect the emission reductions that need to be made to reduce the disastrous effects of climate change, rather than what was easily achievable.</w:t>
      </w:r>
      <w:r w:rsidR="00B032A4" w:rsidRPr="00314188">
        <w:rPr>
          <w:rFonts w:ascii="Arial" w:hAnsi="Arial" w:cs="Arial"/>
          <w:sz w:val="24"/>
          <w:szCs w:val="24"/>
        </w:rPr>
        <w:t xml:space="preserve"> </w:t>
      </w:r>
    </w:p>
    <w:p w14:paraId="0EA07F79" w14:textId="77777777" w:rsidR="00BA60B2" w:rsidRPr="00314188" w:rsidRDefault="00BA60B2" w:rsidP="0015272F">
      <w:pPr>
        <w:keepNext/>
        <w:spacing w:after="0" w:line="240" w:lineRule="auto"/>
        <w:outlineLvl w:val="0"/>
        <w:rPr>
          <w:rFonts w:ascii="Arial" w:hAnsi="Arial" w:cs="Arial"/>
          <w:sz w:val="24"/>
          <w:szCs w:val="24"/>
        </w:rPr>
      </w:pPr>
    </w:p>
    <w:p w14:paraId="07932FD0" w14:textId="1BFB4E19" w:rsidR="002C101D" w:rsidRPr="00314188" w:rsidRDefault="00235458" w:rsidP="00235458">
      <w:pPr>
        <w:keepNext/>
        <w:spacing w:after="0" w:line="240" w:lineRule="auto"/>
        <w:outlineLvl w:val="0"/>
        <w:rPr>
          <w:rFonts w:ascii="Arial" w:hAnsi="Arial" w:cs="Arial"/>
          <w:sz w:val="24"/>
          <w:szCs w:val="24"/>
        </w:rPr>
      </w:pPr>
      <w:r w:rsidRPr="00314188">
        <w:rPr>
          <w:rFonts w:ascii="Arial" w:hAnsi="Arial" w:cs="Arial"/>
          <w:sz w:val="24"/>
          <w:szCs w:val="24"/>
        </w:rPr>
        <w:t>In the first year of the target</w:t>
      </w:r>
      <w:r w:rsidR="00DE7A48" w:rsidRPr="00314188">
        <w:rPr>
          <w:rFonts w:ascii="Arial" w:hAnsi="Arial" w:cs="Arial"/>
          <w:sz w:val="24"/>
          <w:szCs w:val="24"/>
        </w:rPr>
        <w:t xml:space="preserve"> </w:t>
      </w:r>
      <w:r w:rsidR="007274EA" w:rsidRPr="00314188">
        <w:rPr>
          <w:rFonts w:ascii="Arial" w:hAnsi="Arial" w:cs="Arial"/>
          <w:sz w:val="24"/>
          <w:szCs w:val="24"/>
        </w:rPr>
        <w:t>—</w:t>
      </w:r>
      <w:r w:rsidR="00DE7A48" w:rsidRPr="00314188">
        <w:rPr>
          <w:rFonts w:ascii="Arial" w:hAnsi="Arial" w:cs="Arial"/>
          <w:sz w:val="24"/>
          <w:szCs w:val="24"/>
        </w:rPr>
        <w:t xml:space="preserve"> 2020 </w:t>
      </w:r>
      <w:r w:rsidR="007274EA" w:rsidRPr="00B26F28">
        <w:rPr>
          <w:rFonts w:ascii="Arial" w:hAnsi="Arial" w:cs="Arial"/>
          <w:sz w:val="24"/>
          <w:szCs w:val="24"/>
        </w:rPr>
        <w:t>—</w:t>
      </w:r>
      <w:r w:rsidR="00B26F28" w:rsidRPr="00B26F28">
        <w:rPr>
          <w:rFonts w:ascii="Arial" w:hAnsi="Arial" w:cs="Arial"/>
          <w:sz w:val="24"/>
          <w:szCs w:val="24"/>
        </w:rPr>
        <w:t xml:space="preserve"> 8.7</w:t>
      </w:r>
      <w:r w:rsidRPr="00B26F28">
        <w:rPr>
          <w:rFonts w:ascii="Arial" w:hAnsi="Arial" w:cs="Arial"/>
          <w:sz w:val="24"/>
          <w:szCs w:val="24"/>
        </w:rPr>
        <w:t>% reduction</w:t>
      </w:r>
      <w:r w:rsidR="007274EA" w:rsidRPr="00B26F28">
        <w:rPr>
          <w:rFonts w:ascii="Arial" w:hAnsi="Arial" w:cs="Arial"/>
          <w:sz w:val="24"/>
          <w:szCs w:val="24"/>
        </w:rPr>
        <w:t xml:space="preserve"> was reached</w:t>
      </w:r>
      <w:r w:rsidRPr="00B26F28">
        <w:rPr>
          <w:rFonts w:ascii="Arial" w:hAnsi="Arial" w:cs="Arial"/>
          <w:sz w:val="24"/>
          <w:szCs w:val="24"/>
        </w:rPr>
        <w:t>.</w:t>
      </w:r>
      <w:r w:rsidRPr="00314188">
        <w:rPr>
          <w:rFonts w:ascii="Arial" w:hAnsi="Arial" w:cs="Arial"/>
          <w:sz w:val="24"/>
          <w:szCs w:val="24"/>
        </w:rPr>
        <w:t xml:space="preserve"> </w:t>
      </w:r>
      <w:r w:rsidR="006466A9">
        <w:rPr>
          <w:rFonts w:ascii="Arial" w:hAnsi="Arial" w:cs="Arial"/>
          <w:sz w:val="24"/>
          <w:szCs w:val="24"/>
        </w:rPr>
        <w:t xml:space="preserve">This figure is based on data published annually for all local authorities by the Government. Each year the Government improves its methods for estimating emissions and then uses the new methods to re-calculate previously published figure. This </w:t>
      </w:r>
      <w:r w:rsidR="00B26F28">
        <w:rPr>
          <w:rFonts w:ascii="Arial" w:hAnsi="Arial" w:cs="Arial"/>
          <w:sz w:val="24"/>
          <w:szCs w:val="24"/>
        </w:rPr>
        <w:t xml:space="preserve">reduction was updated to </w:t>
      </w:r>
      <w:r w:rsidR="006466A9">
        <w:rPr>
          <w:rFonts w:ascii="Arial" w:hAnsi="Arial" w:cs="Arial"/>
          <w:sz w:val="24"/>
          <w:szCs w:val="24"/>
        </w:rPr>
        <w:t xml:space="preserve">10.6% reduction when the Government issued the latest data in June 2023.  The Government also published the figures for 2021. This is the most recent data available as there </w:t>
      </w:r>
      <w:r w:rsidR="006466A9" w:rsidRPr="006466A9">
        <w:rPr>
          <w:rFonts w:ascii="Arial" w:hAnsi="Arial" w:cs="Arial"/>
          <w:sz w:val="24"/>
          <w:szCs w:val="24"/>
        </w:rPr>
        <w:t xml:space="preserve">is always a two-year time lag in the information received from the Government due to the amount of data to be processed. </w:t>
      </w:r>
      <w:r w:rsidR="006466A9">
        <w:rPr>
          <w:rFonts w:ascii="Arial" w:hAnsi="Arial" w:cs="Arial"/>
          <w:sz w:val="24"/>
          <w:szCs w:val="24"/>
        </w:rPr>
        <w:t xml:space="preserve">This publication showed an increase of </w:t>
      </w:r>
      <w:r w:rsidR="001B3D90">
        <w:rPr>
          <w:rFonts w:ascii="Arial" w:hAnsi="Arial" w:cs="Arial"/>
          <w:sz w:val="24"/>
          <w:szCs w:val="24"/>
        </w:rPr>
        <w:t>just under 1</w:t>
      </w:r>
      <w:r w:rsidR="006466A9">
        <w:rPr>
          <w:rFonts w:ascii="Arial" w:hAnsi="Arial" w:cs="Arial"/>
          <w:sz w:val="24"/>
          <w:szCs w:val="24"/>
        </w:rPr>
        <w:t xml:space="preserve">% in emissions between 2020 and 2021. </w:t>
      </w:r>
    </w:p>
    <w:p w14:paraId="29782586" w14:textId="77777777" w:rsidR="002C101D" w:rsidRPr="00314188" w:rsidRDefault="002C101D" w:rsidP="00235458">
      <w:pPr>
        <w:keepNext/>
        <w:spacing w:after="0" w:line="240" w:lineRule="auto"/>
        <w:outlineLvl w:val="0"/>
        <w:rPr>
          <w:rFonts w:ascii="Arial" w:hAnsi="Arial" w:cs="Arial"/>
          <w:sz w:val="24"/>
          <w:szCs w:val="24"/>
        </w:rPr>
      </w:pPr>
    </w:p>
    <w:p w14:paraId="65D862B2" w14:textId="67197795" w:rsidR="006B7FE5" w:rsidRPr="00314188" w:rsidRDefault="00DE7A48" w:rsidP="006B7FE5">
      <w:pPr>
        <w:keepNext/>
        <w:spacing w:after="0" w:line="240" w:lineRule="auto"/>
        <w:outlineLvl w:val="0"/>
        <w:rPr>
          <w:rFonts w:ascii="Arial" w:hAnsi="Arial" w:cs="Arial"/>
          <w:sz w:val="24"/>
          <w:szCs w:val="24"/>
        </w:rPr>
      </w:pPr>
      <w:r w:rsidRPr="00314188">
        <w:rPr>
          <w:rFonts w:ascii="Arial" w:hAnsi="Arial" w:cs="Arial"/>
          <w:sz w:val="24"/>
          <w:szCs w:val="24"/>
        </w:rPr>
        <w:t xml:space="preserve">In </w:t>
      </w:r>
      <w:r w:rsidR="00235458" w:rsidRPr="00314188">
        <w:rPr>
          <w:rFonts w:ascii="Arial" w:hAnsi="Arial" w:cs="Arial"/>
          <w:sz w:val="24"/>
          <w:szCs w:val="24"/>
        </w:rPr>
        <w:t xml:space="preserve">2020 </w:t>
      </w:r>
      <w:r w:rsidR="006466A9">
        <w:rPr>
          <w:rFonts w:ascii="Arial" w:hAnsi="Arial" w:cs="Arial"/>
          <w:sz w:val="24"/>
          <w:szCs w:val="24"/>
        </w:rPr>
        <w:t xml:space="preserve">and </w:t>
      </w:r>
      <w:r w:rsidR="000D4607">
        <w:rPr>
          <w:rFonts w:ascii="Arial" w:hAnsi="Arial" w:cs="Arial"/>
          <w:sz w:val="24"/>
          <w:szCs w:val="24"/>
        </w:rPr>
        <w:t xml:space="preserve">2021 </w:t>
      </w:r>
      <w:r w:rsidR="00235458" w:rsidRPr="00314188">
        <w:rPr>
          <w:rFonts w:ascii="Arial" w:hAnsi="Arial" w:cs="Arial"/>
          <w:sz w:val="24"/>
          <w:szCs w:val="24"/>
        </w:rPr>
        <w:t>the UK went through the Covid pandemic</w:t>
      </w:r>
      <w:r w:rsidR="007274EA" w:rsidRPr="00314188">
        <w:rPr>
          <w:rFonts w:ascii="Arial" w:hAnsi="Arial" w:cs="Arial"/>
          <w:sz w:val="24"/>
          <w:szCs w:val="24"/>
        </w:rPr>
        <w:t>,</w:t>
      </w:r>
      <w:r w:rsidR="00235458" w:rsidRPr="00314188">
        <w:rPr>
          <w:rFonts w:ascii="Arial" w:hAnsi="Arial" w:cs="Arial"/>
          <w:sz w:val="24"/>
          <w:szCs w:val="24"/>
        </w:rPr>
        <w:t xml:space="preserve"> </w:t>
      </w:r>
      <w:r w:rsidRPr="00314188">
        <w:rPr>
          <w:rFonts w:ascii="Arial" w:hAnsi="Arial" w:cs="Arial"/>
          <w:sz w:val="24"/>
          <w:szCs w:val="24"/>
        </w:rPr>
        <w:t>leading to</w:t>
      </w:r>
      <w:r w:rsidR="00235458" w:rsidRPr="00314188">
        <w:rPr>
          <w:rFonts w:ascii="Arial" w:hAnsi="Arial" w:cs="Arial"/>
          <w:sz w:val="24"/>
          <w:szCs w:val="24"/>
        </w:rPr>
        <w:t xml:space="preserve"> </w:t>
      </w:r>
      <w:r w:rsidRPr="00314188">
        <w:rPr>
          <w:rFonts w:ascii="Arial" w:hAnsi="Arial" w:cs="Arial"/>
          <w:sz w:val="24"/>
          <w:szCs w:val="24"/>
        </w:rPr>
        <w:t xml:space="preserve">some of </w:t>
      </w:r>
      <w:r w:rsidR="00235458" w:rsidRPr="00314188">
        <w:rPr>
          <w:rFonts w:ascii="Arial" w:hAnsi="Arial" w:cs="Arial"/>
          <w:sz w:val="24"/>
          <w:szCs w:val="24"/>
        </w:rPr>
        <w:t xml:space="preserve">the biggest changes </w:t>
      </w:r>
      <w:r w:rsidRPr="00314188">
        <w:rPr>
          <w:rFonts w:ascii="Arial" w:hAnsi="Arial" w:cs="Arial"/>
          <w:sz w:val="24"/>
          <w:szCs w:val="24"/>
        </w:rPr>
        <w:t xml:space="preserve">to </w:t>
      </w:r>
      <w:r w:rsidR="00235458" w:rsidRPr="00314188">
        <w:rPr>
          <w:rFonts w:ascii="Arial" w:hAnsi="Arial" w:cs="Arial"/>
          <w:sz w:val="24"/>
          <w:szCs w:val="24"/>
        </w:rPr>
        <w:t>our way of life in living memory. Th</w:t>
      </w:r>
      <w:r w:rsidR="00C16AC9" w:rsidRPr="00314188">
        <w:rPr>
          <w:rFonts w:ascii="Arial" w:hAnsi="Arial" w:cs="Arial"/>
          <w:sz w:val="24"/>
          <w:szCs w:val="24"/>
        </w:rPr>
        <w:t>e fact th</w:t>
      </w:r>
      <w:r w:rsidR="00235458" w:rsidRPr="00314188">
        <w:rPr>
          <w:rFonts w:ascii="Arial" w:hAnsi="Arial" w:cs="Arial"/>
          <w:sz w:val="24"/>
          <w:szCs w:val="24"/>
        </w:rPr>
        <w:t xml:space="preserve">at emissions </w:t>
      </w:r>
      <w:r w:rsidR="006B7FE5" w:rsidRPr="00314188">
        <w:rPr>
          <w:rFonts w:ascii="Arial" w:hAnsi="Arial" w:cs="Arial"/>
          <w:sz w:val="24"/>
          <w:szCs w:val="24"/>
        </w:rPr>
        <w:t xml:space="preserve">in the district </w:t>
      </w:r>
      <w:r w:rsidR="00235458" w:rsidRPr="00314188">
        <w:rPr>
          <w:rFonts w:ascii="Arial" w:hAnsi="Arial" w:cs="Arial"/>
          <w:sz w:val="24"/>
          <w:szCs w:val="24"/>
        </w:rPr>
        <w:t xml:space="preserve">did not reduce </w:t>
      </w:r>
      <w:r w:rsidR="00C16AC9" w:rsidRPr="00314188">
        <w:rPr>
          <w:rFonts w:ascii="Arial" w:hAnsi="Arial" w:cs="Arial"/>
          <w:sz w:val="24"/>
          <w:szCs w:val="24"/>
        </w:rPr>
        <w:t>further,</w:t>
      </w:r>
      <w:r w:rsidR="007274EA" w:rsidRPr="00314188">
        <w:rPr>
          <w:rFonts w:ascii="Arial" w:hAnsi="Arial" w:cs="Arial"/>
          <w:sz w:val="24"/>
          <w:szCs w:val="24"/>
        </w:rPr>
        <w:t xml:space="preserve"> </w:t>
      </w:r>
      <w:r w:rsidR="00235458" w:rsidRPr="00314188">
        <w:rPr>
          <w:rFonts w:ascii="Arial" w:hAnsi="Arial" w:cs="Arial"/>
          <w:sz w:val="24"/>
          <w:szCs w:val="24"/>
        </w:rPr>
        <w:t>despite lockdowns</w:t>
      </w:r>
      <w:r w:rsidR="007274EA" w:rsidRPr="00314188">
        <w:rPr>
          <w:rFonts w:ascii="Arial" w:hAnsi="Arial" w:cs="Arial"/>
          <w:sz w:val="24"/>
          <w:szCs w:val="24"/>
        </w:rPr>
        <w:t>,</w:t>
      </w:r>
      <w:r w:rsidR="00235458" w:rsidRPr="00314188">
        <w:rPr>
          <w:rFonts w:ascii="Arial" w:hAnsi="Arial" w:cs="Arial"/>
          <w:sz w:val="24"/>
          <w:szCs w:val="24"/>
        </w:rPr>
        <w:t xml:space="preserve"> shows the scale of the challenge we face in averting climate disaster.</w:t>
      </w:r>
      <w:r w:rsidR="00BA60B2" w:rsidRPr="00314188">
        <w:rPr>
          <w:rFonts w:ascii="Arial" w:hAnsi="Arial" w:cs="Arial"/>
          <w:sz w:val="24"/>
          <w:szCs w:val="24"/>
        </w:rPr>
        <w:t xml:space="preserve"> </w:t>
      </w:r>
      <w:r w:rsidR="00DA3706" w:rsidRPr="00314188">
        <w:rPr>
          <w:rFonts w:ascii="Arial" w:hAnsi="Arial" w:cs="Arial"/>
          <w:sz w:val="24"/>
          <w:szCs w:val="24"/>
        </w:rPr>
        <w:t>Meeting th</w:t>
      </w:r>
      <w:r w:rsidR="007274EA" w:rsidRPr="00314188">
        <w:rPr>
          <w:rFonts w:ascii="Arial" w:hAnsi="Arial" w:cs="Arial"/>
          <w:sz w:val="24"/>
          <w:szCs w:val="24"/>
        </w:rPr>
        <w:t xml:space="preserve">e </w:t>
      </w:r>
      <w:r w:rsidR="00DA3706" w:rsidRPr="00314188">
        <w:rPr>
          <w:rFonts w:ascii="Arial" w:hAnsi="Arial" w:cs="Arial"/>
          <w:sz w:val="24"/>
          <w:szCs w:val="24"/>
        </w:rPr>
        <w:t>10% year-on-year reduction requires action f</w:t>
      </w:r>
      <w:r w:rsidR="002C101D" w:rsidRPr="00314188">
        <w:rPr>
          <w:rFonts w:ascii="Arial" w:hAnsi="Arial" w:cs="Arial"/>
          <w:sz w:val="24"/>
          <w:szCs w:val="24"/>
        </w:rPr>
        <w:t>rom</w:t>
      </w:r>
      <w:r w:rsidR="00DA3706" w:rsidRPr="00314188">
        <w:rPr>
          <w:rFonts w:ascii="Arial" w:hAnsi="Arial" w:cs="Arial"/>
          <w:sz w:val="24"/>
          <w:szCs w:val="24"/>
        </w:rPr>
        <w:t xml:space="preserve"> us all. </w:t>
      </w:r>
      <w:r w:rsidR="008F66EE">
        <w:rPr>
          <w:rFonts w:ascii="Arial" w:hAnsi="Arial" w:cs="Arial"/>
          <w:sz w:val="24"/>
          <w:szCs w:val="24"/>
        </w:rPr>
        <w:t xml:space="preserve">Although </w:t>
      </w:r>
      <w:r w:rsidR="008F66EE" w:rsidRPr="00314188">
        <w:rPr>
          <w:rFonts w:ascii="Arial" w:hAnsi="Arial" w:cs="Arial"/>
          <w:sz w:val="24"/>
          <w:szCs w:val="24"/>
        </w:rPr>
        <w:t>few emissions in the district are under the council’s direct control</w:t>
      </w:r>
      <w:r w:rsidR="008F66EE">
        <w:rPr>
          <w:rFonts w:ascii="Arial" w:hAnsi="Arial" w:cs="Arial"/>
          <w:sz w:val="24"/>
          <w:szCs w:val="24"/>
        </w:rPr>
        <w:t>, we are working to help others reduce their emissions.</w:t>
      </w:r>
      <w:r w:rsidR="000C1510">
        <w:rPr>
          <w:rFonts w:ascii="Arial" w:hAnsi="Arial" w:cs="Arial"/>
          <w:sz w:val="24"/>
          <w:szCs w:val="24"/>
        </w:rPr>
        <w:t xml:space="preserve"> See some examples below.</w:t>
      </w:r>
      <w:r w:rsidR="008F66EE">
        <w:rPr>
          <w:rFonts w:ascii="Arial" w:hAnsi="Arial" w:cs="Arial"/>
          <w:sz w:val="24"/>
          <w:szCs w:val="24"/>
        </w:rPr>
        <w:t xml:space="preserve">  W</w:t>
      </w:r>
      <w:r w:rsidR="00C16AC9" w:rsidRPr="00314188">
        <w:rPr>
          <w:rFonts w:ascii="Arial" w:hAnsi="Arial" w:cs="Arial"/>
          <w:sz w:val="24"/>
          <w:szCs w:val="24"/>
        </w:rPr>
        <w:t xml:space="preserve">e also </w:t>
      </w:r>
      <w:r w:rsidR="00DA3706" w:rsidRPr="00314188">
        <w:rPr>
          <w:rFonts w:ascii="Arial" w:hAnsi="Arial" w:cs="Arial"/>
          <w:sz w:val="24"/>
          <w:szCs w:val="24"/>
        </w:rPr>
        <w:t xml:space="preserve">apply the same target to </w:t>
      </w:r>
      <w:r w:rsidR="00C16AC9" w:rsidRPr="00314188">
        <w:rPr>
          <w:rFonts w:ascii="Arial" w:hAnsi="Arial" w:cs="Arial"/>
          <w:sz w:val="24"/>
          <w:szCs w:val="24"/>
        </w:rPr>
        <w:t xml:space="preserve">our </w:t>
      </w:r>
      <w:r w:rsidR="00DA3706" w:rsidRPr="00314188">
        <w:rPr>
          <w:rFonts w:ascii="Arial" w:hAnsi="Arial" w:cs="Arial"/>
          <w:sz w:val="24"/>
          <w:szCs w:val="24"/>
        </w:rPr>
        <w:t>own greenhouse gas emissions</w:t>
      </w:r>
      <w:r w:rsidR="0044189E">
        <w:rPr>
          <w:rFonts w:ascii="Arial" w:hAnsi="Arial" w:cs="Arial"/>
          <w:sz w:val="24"/>
          <w:szCs w:val="24"/>
        </w:rPr>
        <w:t xml:space="preserve">, which are less than a 0.5% of the emissions of the </w:t>
      </w:r>
      <w:proofErr w:type="gramStart"/>
      <w:r w:rsidR="0044189E">
        <w:rPr>
          <w:rFonts w:ascii="Arial" w:hAnsi="Arial" w:cs="Arial"/>
          <w:sz w:val="24"/>
          <w:szCs w:val="24"/>
        </w:rPr>
        <w:t>district as a whole</w:t>
      </w:r>
      <w:proofErr w:type="gramEnd"/>
      <w:r w:rsidR="00BA60B2" w:rsidRPr="00314188">
        <w:rPr>
          <w:rFonts w:ascii="Arial" w:hAnsi="Arial" w:cs="Arial"/>
          <w:sz w:val="24"/>
          <w:szCs w:val="24"/>
        </w:rPr>
        <w:t>.</w:t>
      </w:r>
      <w:r w:rsidR="006B7FE5" w:rsidRPr="00314188">
        <w:rPr>
          <w:rFonts w:ascii="Arial" w:hAnsi="Arial" w:cs="Arial"/>
          <w:sz w:val="24"/>
          <w:szCs w:val="24"/>
        </w:rPr>
        <w:t xml:space="preserve"> You can find out about all our actions within our six-monthly updates on our Climate Emergency Action Plan and we have created a video </w:t>
      </w:r>
      <w:r w:rsidR="000C1510">
        <w:rPr>
          <w:rFonts w:ascii="Arial" w:hAnsi="Arial" w:cs="Arial"/>
          <w:sz w:val="24"/>
          <w:szCs w:val="24"/>
        </w:rPr>
        <w:t xml:space="preserve">(on the page that you downloaded this report from) </w:t>
      </w:r>
      <w:r w:rsidR="006B7FE5" w:rsidRPr="00314188">
        <w:rPr>
          <w:rFonts w:ascii="Arial" w:hAnsi="Arial" w:cs="Arial"/>
          <w:sz w:val="24"/>
          <w:szCs w:val="24"/>
        </w:rPr>
        <w:t>explaining the many actions we have taken.</w:t>
      </w:r>
    </w:p>
    <w:p w14:paraId="088F9697" w14:textId="71EB4802" w:rsidR="00BA0257" w:rsidRDefault="00BA0257" w:rsidP="00235458">
      <w:pPr>
        <w:keepNext/>
        <w:spacing w:after="0" w:line="240" w:lineRule="auto"/>
        <w:outlineLvl w:val="0"/>
        <w:rPr>
          <w:rFonts w:ascii="Arial" w:hAnsi="Arial" w:cs="Arial"/>
          <w:sz w:val="24"/>
          <w:szCs w:val="24"/>
        </w:rPr>
      </w:pPr>
    </w:p>
    <w:p w14:paraId="6A365CE0" w14:textId="4F2A5AE5" w:rsidR="00A01E3D" w:rsidRDefault="00A01E3D" w:rsidP="00235458">
      <w:pPr>
        <w:keepNext/>
        <w:spacing w:after="0" w:line="240" w:lineRule="auto"/>
        <w:outlineLvl w:val="0"/>
        <w:rPr>
          <w:rFonts w:ascii="Arial" w:hAnsi="Arial" w:cs="Arial"/>
          <w:sz w:val="24"/>
          <w:szCs w:val="24"/>
        </w:rPr>
      </w:pPr>
      <w:r>
        <w:rPr>
          <w:rFonts w:ascii="Arial" w:hAnsi="Arial" w:cs="Arial"/>
          <w:sz w:val="24"/>
          <w:szCs w:val="24"/>
        </w:rPr>
        <w:t xml:space="preserve">The climate emergency is a very complex problem, with impacts that are cultural, social, </w:t>
      </w:r>
      <w:proofErr w:type="gramStart"/>
      <w:r>
        <w:rPr>
          <w:rFonts w:ascii="Arial" w:hAnsi="Arial" w:cs="Arial"/>
          <w:sz w:val="24"/>
          <w:szCs w:val="24"/>
        </w:rPr>
        <w:t>political</w:t>
      </w:r>
      <w:proofErr w:type="gramEnd"/>
      <w:r>
        <w:rPr>
          <w:rFonts w:ascii="Arial" w:hAnsi="Arial" w:cs="Arial"/>
          <w:sz w:val="24"/>
          <w:szCs w:val="24"/>
        </w:rPr>
        <w:t xml:space="preserve"> and environmental and there is no single solution.  However, the technology is available and many of the solutions solve multiple problems such as reducing inequality and resolving social issues, reducing household bills, creating jobs and reskilling for a future low carbon future.  The co</w:t>
      </w:r>
      <w:r w:rsidR="000C1510">
        <w:rPr>
          <w:rFonts w:ascii="Arial" w:hAnsi="Arial" w:cs="Arial"/>
          <w:sz w:val="24"/>
          <w:szCs w:val="24"/>
        </w:rPr>
        <w:t>-</w:t>
      </w:r>
      <w:r>
        <w:rPr>
          <w:rFonts w:ascii="Arial" w:hAnsi="Arial" w:cs="Arial"/>
          <w:sz w:val="24"/>
          <w:szCs w:val="24"/>
        </w:rPr>
        <w:t>benefits go way beyond carbon saving.  By having a district wide target, the climate emergency issues can be addressed together.</w:t>
      </w:r>
    </w:p>
    <w:p w14:paraId="1F395949" w14:textId="77777777" w:rsidR="00A01E3D" w:rsidRPr="00314188" w:rsidRDefault="00A01E3D" w:rsidP="00235458">
      <w:pPr>
        <w:keepNext/>
        <w:spacing w:after="0" w:line="240" w:lineRule="auto"/>
        <w:outlineLvl w:val="0"/>
        <w:rPr>
          <w:rFonts w:ascii="Arial" w:hAnsi="Arial" w:cs="Arial"/>
          <w:sz w:val="24"/>
          <w:szCs w:val="24"/>
        </w:rPr>
      </w:pPr>
    </w:p>
    <w:p w14:paraId="2CDF9D5B" w14:textId="404A196D" w:rsidR="00675669" w:rsidRPr="00314188" w:rsidRDefault="000C1510" w:rsidP="0015272F">
      <w:pPr>
        <w:keepNext/>
        <w:spacing w:after="0" w:line="240" w:lineRule="auto"/>
        <w:outlineLvl w:val="0"/>
        <w:rPr>
          <w:rFonts w:ascii="Arial" w:hAnsi="Arial" w:cs="Arial"/>
          <w:sz w:val="24"/>
          <w:szCs w:val="24"/>
        </w:rPr>
      </w:pPr>
      <w:r>
        <w:rPr>
          <w:rFonts w:ascii="Arial" w:hAnsi="Arial" w:cs="Arial"/>
          <w:sz w:val="24"/>
          <w:szCs w:val="24"/>
        </w:rPr>
        <w:t xml:space="preserve">Looking more closely at the </w:t>
      </w:r>
      <w:r w:rsidR="00DF4AC7">
        <w:rPr>
          <w:rFonts w:ascii="Arial" w:hAnsi="Arial" w:cs="Arial"/>
          <w:sz w:val="24"/>
          <w:szCs w:val="24"/>
        </w:rPr>
        <w:t xml:space="preserve">district </w:t>
      </w:r>
      <w:r>
        <w:rPr>
          <w:rFonts w:ascii="Arial" w:hAnsi="Arial" w:cs="Arial"/>
          <w:sz w:val="24"/>
          <w:szCs w:val="24"/>
        </w:rPr>
        <w:t>emissions, r</w:t>
      </w:r>
      <w:r w:rsidR="00675669" w:rsidRPr="00314188">
        <w:rPr>
          <w:rFonts w:ascii="Arial" w:hAnsi="Arial" w:cs="Arial"/>
          <w:sz w:val="24"/>
          <w:szCs w:val="24"/>
        </w:rPr>
        <w:t xml:space="preserve">oad transport is the biggest source of emissions within the district. </w:t>
      </w:r>
      <w:r w:rsidR="00BA60B2" w:rsidRPr="00314188">
        <w:rPr>
          <w:rFonts w:ascii="Arial" w:hAnsi="Arial" w:cs="Arial"/>
          <w:sz w:val="24"/>
          <w:szCs w:val="24"/>
        </w:rPr>
        <w:t xml:space="preserve">You can see that in a graph of the area’s emissions below. </w:t>
      </w:r>
      <w:r w:rsidR="00DE7A48" w:rsidRPr="00314188">
        <w:rPr>
          <w:rFonts w:ascii="Arial" w:hAnsi="Arial" w:cs="Arial"/>
          <w:sz w:val="24"/>
          <w:szCs w:val="24"/>
        </w:rPr>
        <w:t>The road network is the responsibility of West Sussex County Council</w:t>
      </w:r>
      <w:r w:rsidR="00A96AB4" w:rsidRPr="00314188">
        <w:rPr>
          <w:rFonts w:ascii="Arial" w:hAnsi="Arial" w:cs="Arial"/>
          <w:sz w:val="24"/>
          <w:szCs w:val="24"/>
        </w:rPr>
        <w:t xml:space="preserve"> (WSCC) except for the A27 which is the responsibility of National Highways</w:t>
      </w:r>
      <w:r w:rsidR="00DE7A48" w:rsidRPr="00314188">
        <w:rPr>
          <w:rFonts w:ascii="Arial" w:hAnsi="Arial" w:cs="Arial"/>
          <w:sz w:val="24"/>
          <w:szCs w:val="24"/>
        </w:rPr>
        <w:t>.</w:t>
      </w:r>
      <w:r w:rsidR="00A96AB4" w:rsidRPr="00314188">
        <w:rPr>
          <w:rFonts w:ascii="Arial" w:hAnsi="Arial" w:cs="Arial"/>
          <w:sz w:val="24"/>
          <w:szCs w:val="24"/>
        </w:rPr>
        <w:t xml:space="preserve"> However</w:t>
      </w:r>
      <w:r w:rsidR="002B22DA" w:rsidRPr="00314188">
        <w:rPr>
          <w:rFonts w:ascii="Arial" w:hAnsi="Arial" w:cs="Arial"/>
          <w:sz w:val="24"/>
          <w:szCs w:val="24"/>
        </w:rPr>
        <w:t xml:space="preserve">, </w:t>
      </w:r>
      <w:r w:rsidR="00A96AB4" w:rsidRPr="00314188">
        <w:rPr>
          <w:rFonts w:ascii="Arial" w:hAnsi="Arial" w:cs="Arial"/>
          <w:sz w:val="24"/>
          <w:szCs w:val="24"/>
        </w:rPr>
        <w:t xml:space="preserve">Chichester District Council works with WSCC on walking and cycling schemes and you can read about that in Section </w:t>
      </w:r>
      <w:r w:rsidR="002B22DA" w:rsidRPr="00314188">
        <w:rPr>
          <w:rFonts w:ascii="Arial" w:hAnsi="Arial" w:cs="Arial"/>
          <w:sz w:val="24"/>
          <w:szCs w:val="24"/>
        </w:rPr>
        <w:t>12.3</w:t>
      </w:r>
      <w:r w:rsidR="00A96AB4" w:rsidRPr="00314188">
        <w:rPr>
          <w:rFonts w:ascii="Arial" w:hAnsi="Arial" w:cs="Arial"/>
          <w:sz w:val="24"/>
          <w:szCs w:val="24"/>
        </w:rPr>
        <w:t xml:space="preserve"> of the Climate Emergency Action Plan. </w:t>
      </w:r>
    </w:p>
    <w:p w14:paraId="7852C439" w14:textId="1A3EB625" w:rsidR="00A96AB4" w:rsidRPr="00314188" w:rsidRDefault="00A96AB4" w:rsidP="0015272F">
      <w:pPr>
        <w:keepNext/>
        <w:spacing w:after="0" w:line="240" w:lineRule="auto"/>
        <w:outlineLvl w:val="0"/>
        <w:rPr>
          <w:rFonts w:ascii="Arial" w:hAnsi="Arial" w:cs="Arial"/>
          <w:sz w:val="24"/>
          <w:szCs w:val="24"/>
        </w:rPr>
      </w:pPr>
    </w:p>
    <w:p w14:paraId="72DE7198" w14:textId="4D38A8B6" w:rsidR="00A96AB4" w:rsidRPr="00314188" w:rsidRDefault="00A96AB4" w:rsidP="0015272F">
      <w:pPr>
        <w:keepNext/>
        <w:spacing w:after="0" w:line="240" w:lineRule="auto"/>
        <w:outlineLvl w:val="0"/>
        <w:rPr>
          <w:rFonts w:ascii="Arial" w:hAnsi="Arial" w:cs="Arial"/>
          <w:sz w:val="24"/>
          <w:szCs w:val="24"/>
        </w:rPr>
      </w:pPr>
      <w:r w:rsidRPr="00314188">
        <w:rPr>
          <w:rFonts w:ascii="Arial" w:hAnsi="Arial" w:cs="Arial"/>
          <w:sz w:val="24"/>
          <w:szCs w:val="24"/>
        </w:rPr>
        <w:t xml:space="preserve">Households are another big source of greenhouse gas emissions. Chichester District Council </w:t>
      </w:r>
      <w:r w:rsidR="002B22DA" w:rsidRPr="00314188">
        <w:rPr>
          <w:rFonts w:ascii="Arial" w:hAnsi="Arial" w:cs="Arial"/>
          <w:sz w:val="24"/>
          <w:szCs w:val="24"/>
        </w:rPr>
        <w:t xml:space="preserve">has successfully applied for Government funding to improve the energy efficiency of homes and install renewable energy generation. See Section 9.1 </w:t>
      </w:r>
      <w:r w:rsidR="00BA60B2" w:rsidRPr="00314188">
        <w:rPr>
          <w:rFonts w:ascii="Arial" w:hAnsi="Arial" w:cs="Arial"/>
          <w:sz w:val="24"/>
          <w:szCs w:val="24"/>
        </w:rPr>
        <w:t xml:space="preserve">of the </w:t>
      </w:r>
      <w:r w:rsidR="00BA60B2" w:rsidRPr="00314188">
        <w:rPr>
          <w:rFonts w:ascii="Arial" w:hAnsi="Arial" w:cs="Arial"/>
          <w:sz w:val="24"/>
          <w:szCs w:val="24"/>
        </w:rPr>
        <w:lastRenderedPageBreak/>
        <w:t xml:space="preserve">plan </w:t>
      </w:r>
      <w:r w:rsidR="002B22DA" w:rsidRPr="00314188">
        <w:rPr>
          <w:rFonts w:ascii="Arial" w:hAnsi="Arial" w:cs="Arial"/>
          <w:sz w:val="24"/>
          <w:szCs w:val="24"/>
        </w:rPr>
        <w:t xml:space="preserve">for the latest numbers. </w:t>
      </w:r>
      <w:r w:rsidR="00BA60B2" w:rsidRPr="00314188">
        <w:rPr>
          <w:rFonts w:ascii="Arial" w:hAnsi="Arial" w:cs="Arial"/>
          <w:sz w:val="24"/>
          <w:szCs w:val="24"/>
        </w:rPr>
        <w:t>We need householders and landlords to sign up for these schemes.</w:t>
      </w:r>
    </w:p>
    <w:p w14:paraId="3D8548E2" w14:textId="133ABB37" w:rsidR="00235458" w:rsidRPr="00314188" w:rsidRDefault="00235458" w:rsidP="0015272F">
      <w:pPr>
        <w:keepNext/>
        <w:spacing w:after="0" w:line="240" w:lineRule="auto"/>
        <w:outlineLvl w:val="0"/>
        <w:rPr>
          <w:rFonts w:ascii="Arial" w:hAnsi="Arial" w:cs="Arial"/>
          <w:sz w:val="24"/>
          <w:szCs w:val="24"/>
        </w:rPr>
      </w:pPr>
    </w:p>
    <w:p w14:paraId="69FCD121" w14:textId="0397C41F" w:rsidR="002B22DA" w:rsidRPr="00314188" w:rsidRDefault="002B22DA" w:rsidP="0015272F">
      <w:pPr>
        <w:keepNext/>
        <w:spacing w:after="0" w:line="240" w:lineRule="auto"/>
        <w:outlineLvl w:val="0"/>
        <w:rPr>
          <w:rFonts w:ascii="Arial" w:hAnsi="Arial" w:cs="Arial"/>
          <w:sz w:val="24"/>
          <w:szCs w:val="24"/>
        </w:rPr>
      </w:pPr>
      <w:r w:rsidRPr="00314188">
        <w:rPr>
          <w:rFonts w:ascii="Arial" w:hAnsi="Arial" w:cs="Arial"/>
          <w:sz w:val="24"/>
          <w:szCs w:val="24"/>
        </w:rPr>
        <w:t xml:space="preserve">Forests and other ecosystems such as grassland can be carbon dioxide “sinks”. This means that on balance </w:t>
      </w:r>
      <w:r w:rsidR="000D4607">
        <w:rPr>
          <w:rFonts w:ascii="Arial" w:hAnsi="Arial" w:cs="Arial"/>
          <w:sz w:val="24"/>
          <w:szCs w:val="24"/>
        </w:rPr>
        <w:t xml:space="preserve">(net) </w:t>
      </w:r>
      <w:r w:rsidRPr="00314188">
        <w:rPr>
          <w:rFonts w:ascii="Arial" w:hAnsi="Arial" w:cs="Arial"/>
          <w:sz w:val="24"/>
          <w:szCs w:val="24"/>
        </w:rPr>
        <w:t>they take in and store more carbon dioxide than they give out. That is why there are two negative bars in the graph below. Mindful of this</w:t>
      </w:r>
      <w:r w:rsidR="005F02A0" w:rsidRPr="00314188">
        <w:rPr>
          <w:rFonts w:ascii="Arial" w:hAnsi="Arial" w:cs="Arial"/>
          <w:sz w:val="24"/>
          <w:szCs w:val="24"/>
        </w:rPr>
        <w:t>,</w:t>
      </w:r>
      <w:r w:rsidRPr="00314188">
        <w:rPr>
          <w:rFonts w:ascii="Arial" w:hAnsi="Arial" w:cs="Arial"/>
          <w:sz w:val="24"/>
          <w:szCs w:val="24"/>
        </w:rPr>
        <w:t xml:space="preserve"> and the need to protect wildlife and biodiversity in the district, the council is taking part in </w:t>
      </w:r>
      <w:r w:rsidR="000D4607">
        <w:rPr>
          <w:rFonts w:ascii="Arial" w:hAnsi="Arial" w:cs="Arial"/>
          <w:sz w:val="24"/>
          <w:szCs w:val="24"/>
        </w:rPr>
        <w:t xml:space="preserve">a major </w:t>
      </w:r>
      <w:r w:rsidRPr="00314188">
        <w:rPr>
          <w:rFonts w:ascii="Arial" w:hAnsi="Arial" w:cs="Arial"/>
          <w:sz w:val="24"/>
          <w:szCs w:val="24"/>
        </w:rPr>
        <w:t>tree planting p</w:t>
      </w:r>
      <w:r w:rsidR="000D4607">
        <w:rPr>
          <w:rFonts w:ascii="Arial" w:hAnsi="Arial" w:cs="Arial"/>
          <w:sz w:val="24"/>
          <w:szCs w:val="24"/>
        </w:rPr>
        <w:t>roject</w:t>
      </w:r>
      <w:r w:rsidR="00745051" w:rsidRPr="00314188">
        <w:rPr>
          <w:rFonts w:ascii="Arial" w:hAnsi="Arial" w:cs="Arial"/>
          <w:sz w:val="24"/>
          <w:szCs w:val="24"/>
        </w:rPr>
        <w:t>, funded by HM Treasury in partnership with Defra</w:t>
      </w:r>
      <w:r w:rsidR="0089040B" w:rsidRPr="00314188">
        <w:rPr>
          <w:rFonts w:ascii="Arial" w:hAnsi="Arial" w:cs="Arial"/>
          <w:sz w:val="24"/>
          <w:szCs w:val="24"/>
        </w:rPr>
        <w:t xml:space="preserve">. </w:t>
      </w:r>
      <w:r w:rsidR="000D577C">
        <w:rPr>
          <w:rFonts w:ascii="Arial" w:hAnsi="Arial" w:cs="Arial"/>
          <w:sz w:val="24"/>
          <w:szCs w:val="24"/>
        </w:rPr>
        <w:t>About 25,000 trees have been</w:t>
      </w:r>
      <w:r w:rsidR="00BA60B2" w:rsidRPr="00314188">
        <w:rPr>
          <w:rFonts w:ascii="Arial" w:hAnsi="Arial" w:cs="Arial"/>
          <w:sz w:val="24"/>
          <w:szCs w:val="24"/>
        </w:rPr>
        <w:t xml:space="preserve"> planted in partnership with landowners</w:t>
      </w:r>
      <w:r w:rsidR="00745051" w:rsidRPr="00314188">
        <w:rPr>
          <w:rFonts w:ascii="Arial" w:hAnsi="Arial" w:cs="Arial"/>
          <w:sz w:val="24"/>
          <w:szCs w:val="24"/>
        </w:rPr>
        <w:t xml:space="preserve">, farmers, community groups, parish councils, schools, </w:t>
      </w:r>
      <w:proofErr w:type="gramStart"/>
      <w:r w:rsidR="00745051" w:rsidRPr="00314188">
        <w:rPr>
          <w:rFonts w:ascii="Arial" w:hAnsi="Arial" w:cs="Arial"/>
          <w:sz w:val="24"/>
          <w:szCs w:val="24"/>
        </w:rPr>
        <w:t>charities</w:t>
      </w:r>
      <w:proofErr w:type="gramEnd"/>
      <w:r w:rsidR="00745051" w:rsidRPr="00314188">
        <w:rPr>
          <w:rFonts w:ascii="Arial" w:hAnsi="Arial" w:cs="Arial"/>
          <w:sz w:val="24"/>
          <w:szCs w:val="24"/>
        </w:rPr>
        <w:t xml:space="preserve"> and businesses</w:t>
      </w:r>
      <w:r w:rsidR="000D577C">
        <w:rPr>
          <w:rFonts w:ascii="Arial" w:hAnsi="Arial" w:cs="Arial"/>
          <w:sz w:val="24"/>
          <w:szCs w:val="24"/>
        </w:rPr>
        <w:t xml:space="preserve"> and on </w:t>
      </w:r>
      <w:r w:rsidR="00BA60B2" w:rsidRPr="00314188">
        <w:rPr>
          <w:rFonts w:ascii="Arial" w:hAnsi="Arial" w:cs="Arial"/>
          <w:sz w:val="24"/>
          <w:szCs w:val="24"/>
        </w:rPr>
        <w:t>the council’s own land.</w:t>
      </w:r>
      <w:r w:rsidR="00DF4AC7">
        <w:rPr>
          <w:rFonts w:ascii="Arial" w:hAnsi="Arial" w:cs="Arial"/>
          <w:sz w:val="24"/>
          <w:szCs w:val="24"/>
        </w:rPr>
        <w:t xml:space="preserve"> See section 13.1 of the progress report for the details.</w:t>
      </w:r>
    </w:p>
    <w:p w14:paraId="63E02D8B" w14:textId="77777777" w:rsidR="00BA60B2" w:rsidRPr="00314188" w:rsidRDefault="00BA60B2" w:rsidP="0015272F">
      <w:pPr>
        <w:keepNext/>
        <w:spacing w:after="0" w:line="240" w:lineRule="auto"/>
        <w:outlineLvl w:val="0"/>
        <w:rPr>
          <w:rFonts w:ascii="Arial" w:hAnsi="Arial" w:cs="Arial"/>
          <w:sz w:val="24"/>
          <w:szCs w:val="24"/>
        </w:rPr>
      </w:pPr>
    </w:p>
    <w:p w14:paraId="42D9EDD2" w14:textId="3D855925" w:rsidR="00B8266C" w:rsidRDefault="00B8266C" w:rsidP="0015272F">
      <w:pPr>
        <w:keepNext/>
        <w:spacing w:after="0" w:line="240" w:lineRule="auto"/>
        <w:outlineLvl w:val="0"/>
        <w:rPr>
          <w:rFonts w:ascii="Arial" w:hAnsi="Arial" w:cs="Arial"/>
          <w:sz w:val="26"/>
          <w:szCs w:val="26"/>
        </w:rPr>
      </w:pPr>
    </w:p>
    <w:p w14:paraId="3FB9C1B3" w14:textId="77777777" w:rsidR="00B8266C" w:rsidRDefault="00B8266C" w:rsidP="0015272F">
      <w:pPr>
        <w:keepNext/>
        <w:spacing w:after="0" w:line="240" w:lineRule="auto"/>
        <w:outlineLvl w:val="0"/>
        <w:rPr>
          <w:rFonts w:ascii="Arial" w:hAnsi="Arial" w:cs="Arial"/>
          <w:sz w:val="26"/>
          <w:szCs w:val="26"/>
        </w:rPr>
      </w:pPr>
    </w:p>
    <w:p w14:paraId="59115CE0" w14:textId="77777777" w:rsidR="00C75A02" w:rsidRDefault="00C75A02" w:rsidP="0015272F">
      <w:pPr>
        <w:keepNext/>
        <w:spacing w:after="0" w:line="240" w:lineRule="auto"/>
        <w:outlineLvl w:val="0"/>
        <w:rPr>
          <w:rFonts w:ascii="Arial" w:hAnsi="Arial" w:cs="Arial"/>
          <w:sz w:val="26"/>
          <w:szCs w:val="26"/>
        </w:rPr>
      </w:pPr>
    </w:p>
    <w:p w14:paraId="3549ADA5" w14:textId="1E345799" w:rsidR="00713853" w:rsidRDefault="00713853" w:rsidP="0015272F">
      <w:pPr>
        <w:keepNext/>
        <w:spacing w:after="0" w:line="240" w:lineRule="auto"/>
        <w:outlineLvl w:val="0"/>
        <w:rPr>
          <w:rFonts w:ascii="Arial" w:hAnsi="Arial" w:cs="Arial"/>
          <w:sz w:val="26"/>
          <w:szCs w:val="26"/>
        </w:rPr>
        <w:sectPr w:rsidR="00713853">
          <w:pgSz w:w="11906" w:h="16838"/>
          <w:pgMar w:top="1440" w:right="1440" w:bottom="1440" w:left="1440" w:header="708" w:footer="708" w:gutter="0"/>
          <w:cols w:space="708"/>
          <w:docGrid w:linePitch="360"/>
        </w:sectPr>
      </w:pPr>
    </w:p>
    <w:p w14:paraId="56DD8255" w14:textId="39C43C69" w:rsidR="005304BB" w:rsidRDefault="00A32A32" w:rsidP="00394DF6">
      <w:pPr>
        <w:pStyle w:val="Heading3"/>
      </w:pPr>
      <w:r>
        <w:lastRenderedPageBreak/>
        <w:t xml:space="preserve">Graph: </w:t>
      </w:r>
      <w:r w:rsidR="005304BB">
        <w:t xml:space="preserve">Chichester </w:t>
      </w:r>
      <w:r w:rsidR="0015272F">
        <w:t>D</w:t>
      </w:r>
      <w:r w:rsidR="005304BB">
        <w:t xml:space="preserve">istrict </w:t>
      </w:r>
      <w:r w:rsidR="0015272F">
        <w:t>Greenhouse Gas E</w:t>
      </w:r>
      <w:r w:rsidR="005304BB">
        <w:t>missions</w:t>
      </w:r>
      <w:r w:rsidR="00394DF6">
        <w:t xml:space="preserve"> for 2019, 2020 and 2021</w:t>
      </w:r>
      <w:r w:rsidR="005304BB">
        <w:t xml:space="preserve"> </w:t>
      </w:r>
    </w:p>
    <w:p w14:paraId="4475EA5F" w14:textId="11206930" w:rsidR="005304BB" w:rsidRDefault="007F395B" w:rsidP="005304BB">
      <w:pPr>
        <w:rPr>
          <w:lang w:eastAsia="ar-SA"/>
        </w:rPr>
      </w:pPr>
      <w:r>
        <w:rPr>
          <w:noProof/>
        </w:rPr>
        <w:drawing>
          <wp:inline distT="0" distB="0" distL="0" distR="0" wp14:anchorId="34EABCDD" wp14:editId="41FAB28E">
            <wp:extent cx="7620000" cy="3740150"/>
            <wp:effectExtent l="0" t="0" r="0" b="12700"/>
            <wp:docPr id="1" name="Chart 1" descr="Bar chart showing Chichester district emissions 2019-2021">
              <a:extLst xmlns:a="http://schemas.openxmlformats.org/drawingml/2006/main">
                <a:ext uri="{FF2B5EF4-FFF2-40B4-BE49-F238E27FC236}">
                  <a16:creationId xmlns:a16="http://schemas.microsoft.com/office/drawing/2014/main" id="{10786EAD-69D5-881C-DDB1-7BAA3A9F6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700D5D" w14:textId="3E456FA7" w:rsidR="007F395B" w:rsidRDefault="007F395B" w:rsidP="00394DF6">
      <w:pPr>
        <w:pStyle w:val="Heading3"/>
        <w:rPr>
          <w:lang w:eastAsia="ar-SA"/>
        </w:rPr>
      </w:pPr>
      <w:r>
        <w:rPr>
          <w:lang w:eastAsia="ar-SA"/>
        </w:rPr>
        <w:t>Table of data used for the graph: Chichester district emissions in ktCO2e</w:t>
      </w:r>
      <w:r w:rsidR="00394DF6">
        <w:rPr>
          <w:lang w:eastAsia="ar-SA"/>
        </w:rPr>
        <w:t xml:space="preserve"> for 2019, 2020 and 2021</w:t>
      </w:r>
    </w:p>
    <w:tbl>
      <w:tblPr>
        <w:tblStyle w:val="TableGrid"/>
        <w:tblW w:w="0" w:type="auto"/>
        <w:tblLook w:val="04A0" w:firstRow="1" w:lastRow="0" w:firstColumn="1" w:lastColumn="0" w:noHBand="0" w:noVBand="1"/>
      </w:tblPr>
      <w:tblGrid>
        <w:gridCol w:w="2466"/>
        <w:gridCol w:w="960"/>
        <w:gridCol w:w="960"/>
        <w:gridCol w:w="960"/>
      </w:tblGrid>
      <w:tr w:rsidR="007F395B" w:rsidRPr="007F395B" w14:paraId="608E160F" w14:textId="77777777" w:rsidTr="007F395B">
        <w:trPr>
          <w:trHeight w:val="300"/>
        </w:trPr>
        <w:tc>
          <w:tcPr>
            <w:tcW w:w="2466" w:type="dxa"/>
            <w:noWrap/>
            <w:hideMark/>
          </w:tcPr>
          <w:p w14:paraId="4C2FBB71" w14:textId="216A9752" w:rsidR="007F395B" w:rsidRPr="00DF4AC7" w:rsidRDefault="00DF4AC7" w:rsidP="007F395B">
            <w:pPr>
              <w:rPr>
                <w:b/>
                <w:bCs/>
                <w:lang w:eastAsia="ar-SA"/>
              </w:rPr>
            </w:pPr>
            <w:r w:rsidRPr="00DF4AC7">
              <w:rPr>
                <w:b/>
                <w:bCs/>
                <w:lang w:eastAsia="ar-SA"/>
              </w:rPr>
              <w:t>Emission sources</w:t>
            </w:r>
          </w:p>
        </w:tc>
        <w:tc>
          <w:tcPr>
            <w:tcW w:w="960" w:type="dxa"/>
            <w:noWrap/>
            <w:hideMark/>
          </w:tcPr>
          <w:p w14:paraId="5E36BEDB" w14:textId="77777777" w:rsidR="007F395B" w:rsidRPr="00DF4AC7" w:rsidRDefault="007F395B" w:rsidP="007F395B">
            <w:pPr>
              <w:rPr>
                <w:b/>
                <w:bCs/>
                <w:lang w:eastAsia="ar-SA"/>
              </w:rPr>
            </w:pPr>
            <w:r w:rsidRPr="00DF4AC7">
              <w:rPr>
                <w:b/>
                <w:bCs/>
                <w:lang w:eastAsia="ar-SA"/>
              </w:rPr>
              <w:t>2019</w:t>
            </w:r>
          </w:p>
        </w:tc>
        <w:tc>
          <w:tcPr>
            <w:tcW w:w="960" w:type="dxa"/>
            <w:noWrap/>
            <w:hideMark/>
          </w:tcPr>
          <w:p w14:paraId="7544CB78" w14:textId="77777777" w:rsidR="007F395B" w:rsidRPr="00DF4AC7" w:rsidRDefault="007F395B" w:rsidP="007F395B">
            <w:pPr>
              <w:rPr>
                <w:b/>
                <w:bCs/>
                <w:lang w:eastAsia="ar-SA"/>
              </w:rPr>
            </w:pPr>
            <w:r w:rsidRPr="00DF4AC7">
              <w:rPr>
                <w:b/>
                <w:bCs/>
                <w:lang w:eastAsia="ar-SA"/>
              </w:rPr>
              <w:t>2020</w:t>
            </w:r>
          </w:p>
        </w:tc>
        <w:tc>
          <w:tcPr>
            <w:tcW w:w="960" w:type="dxa"/>
            <w:noWrap/>
            <w:hideMark/>
          </w:tcPr>
          <w:p w14:paraId="6B3EBAB8" w14:textId="77777777" w:rsidR="007F395B" w:rsidRPr="00DF4AC7" w:rsidRDefault="007F395B" w:rsidP="007F395B">
            <w:pPr>
              <w:rPr>
                <w:b/>
                <w:bCs/>
                <w:lang w:eastAsia="ar-SA"/>
              </w:rPr>
            </w:pPr>
            <w:r w:rsidRPr="00DF4AC7">
              <w:rPr>
                <w:b/>
                <w:bCs/>
                <w:lang w:eastAsia="ar-SA"/>
              </w:rPr>
              <w:t>2021</w:t>
            </w:r>
          </w:p>
        </w:tc>
      </w:tr>
      <w:tr w:rsidR="007F395B" w:rsidRPr="007F395B" w14:paraId="550DA332" w14:textId="77777777" w:rsidTr="007F395B">
        <w:trPr>
          <w:trHeight w:val="300"/>
        </w:trPr>
        <w:tc>
          <w:tcPr>
            <w:tcW w:w="2466" w:type="dxa"/>
            <w:noWrap/>
            <w:hideMark/>
          </w:tcPr>
          <w:p w14:paraId="45F128F9" w14:textId="77777777" w:rsidR="007F395B" w:rsidRPr="007F395B" w:rsidRDefault="007F395B">
            <w:pPr>
              <w:rPr>
                <w:lang w:eastAsia="ar-SA"/>
              </w:rPr>
            </w:pPr>
            <w:r w:rsidRPr="007F395B">
              <w:rPr>
                <w:lang w:eastAsia="ar-SA"/>
              </w:rPr>
              <w:t>Road transport total</w:t>
            </w:r>
          </w:p>
        </w:tc>
        <w:tc>
          <w:tcPr>
            <w:tcW w:w="960" w:type="dxa"/>
            <w:noWrap/>
            <w:hideMark/>
          </w:tcPr>
          <w:p w14:paraId="4FBDA508" w14:textId="77777777" w:rsidR="007F395B" w:rsidRPr="007F395B" w:rsidRDefault="007F395B" w:rsidP="007F395B">
            <w:pPr>
              <w:rPr>
                <w:lang w:eastAsia="ar-SA"/>
              </w:rPr>
            </w:pPr>
            <w:r w:rsidRPr="007F395B">
              <w:rPr>
                <w:lang w:eastAsia="ar-SA"/>
              </w:rPr>
              <w:t>304</w:t>
            </w:r>
          </w:p>
        </w:tc>
        <w:tc>
          <w:tcPr>
            <w:tcW w:w="960" w:type="dxa"/>
            <w:noWrap/>
            <w:hideMark/>
          </w:tcPr>
          <w:p w14:paraId="3971162C" w14:textId="77777777" w:rsidR="007F395B" w:rsidRPr="007F395B" w:rsidRDefault="007F395B" w:rsidP="007F395B">
            <w:pPr>
              <w:rPr>
                <w:lang w:eastAsia="ar-SA"/>
              </w:rPr>
            </w:pPr>
            <w:r w:rsidRPr="007F395B">
              <w:rPr>
                <w:lang w:eastAsia="ar-SA"/>
              </w:rPr>
              <w:t>249</w:t>
            </w:r>
          </w:p>
        </w:tc>
        <w:tc>
          <w:tcPr>
            <w:tcW w:w="960" w:type="dxa"/>
            <w:noWrap/>
            <w:hideMark/>
          </w:tcPr>
          <w:p w14:paraId="426C6FE6" w14:textId="77777777" w:rsidR="007F395B" w:rsidRPr="007F395B" w:rsidRDefault="007F395B" w:rsidP="007F395B">
            <w:pPr>
              <w:rPr>
                <w:lang w:eastAsia="ar-SA"/>
              </w:rPr>
            </w:pPr>
            <w:r w:rsidRPr="007F395B">
              <w:rPr>
                <w:lang w:eastAsia="ar-SA"/>
              </w:rPr>
              <w:t>256</w:t>
            </w:r>
          </w:p>
        </w:tc>
      </w:tr>
      <w:tr w:rsidR="007F395B" w:rsidRPr="007F395B" w14:paraId="7AF92401" w14:textId="77777777" w:rsidTr="007F395B">
        <w:trPr>
          <w:trHeight w:val="300"/>
        </w:trPr>
        <w:tc>
          <w:tcPr>
            <w:tcW w:w="2466" w:type="dxa"/>
            <w:noWrap/>
            <w:hideMark/>
          </w:tcPr>
          <w:p w14:paraId="073A8A70" w14:textId="77777777" w:rsidR="007F395B" w:rsidRPr="007F395B" w:rsidRDefault="007F395B">
            <w:pPr>
              <w:rPr>
                <w:lang w:eastAsia="ar-SA"/>
              </w:rPr>
            </w:pPr>
            <w:r w:rsidRPr="007F395B">
              <w:rPr>
                <w:lang w:eastAsia="ar-SA"/>
              </w:rPr>
              <w:t>Domestic Total</w:t>
            </w:r>
          </w:p>
        </w:tc>
        <w:tc>
          <w:tcPr>
            <w:tcW w:w="960" w:type="dxa"/>
            <w:noWrap/>
            <w:hideMark/>
          </w:tcPr>
          <w:p w14:paraId="6BDD92EC" w14:textId="77777777" w:rsidR="007F395B" w:rsidRPr="007F395B" w:rsidRDefault="007F395B" w:rsidP="007F395B">
            <w:pPr>
              <w:rPr>
                <w:lang w:eastAsia="ar-SA"/>
              </w:rPr>
            </w:pPr>
            <w:r w:rsidRPr="007F395B">
              <w:rPr>
                <w:lang w:eastAsia="ar-SA"/>
              </w:rPr>
              <w:t>204</w:t>
            </w:r>
          </w:p>
        </w:tc>
        <w:tc>
          <w:tcPr>
            <w:tcW w:w="960" w:type="dxa"/>
            <w:noWrap/>
            <w:hideMark/>
          </w:tcPr>
          <w:p w14:paraId="2E5A5654" w14:textId="77777777" w:rsidR="007F395B" w:rsidRPr="007F395B" w:rsidRDefault="007F395B" w:rsidP="007F395B">
            <w:pPr>
              <w:rPr>
                <w:lang w:eastAsia="ar-SA"/>
              </w:rPr>
            </w:pPr>
            <w:r w:rsidRPr="007F395B">
              <w:rPr>
                <w:lang w:eastAsia="ar-SA"/>
              </w:rPr>
              <w:t>201</w:t>
            </w:r>
          </w:p>
        </w:tc>
        <w:tc>
          <w:tcPr>
            <w:tcW w:w="960" w:type="dxa"/>
            <w:noWrap/>
            <w:hideMark/>
          </w:tcPr>
          <w:p w14:paraId="5AAEB240" w14:textId="77777777" w:rsidR="007F395B" w:rsidRPr="007F395B" w:rsidRDefault="007F395B" w:rsidP="007F395B">
            <w:pPr>
              <w:rPr>
                <w:lang w:eastAsia="ar-SA"/>
              </w:rPr>
            </w:pPr>
            <w:r w:rsidRPr="007F395B">
              <w:rPr>
                <w:lang w:eastAsia="ar-SA"/>
              </w:rPr>
              <w:t>208</w:t>
            </w:r>
          </w:p>
        </w:tc>
      </w:tr>
      <w:tr w:rsidR="007F395B" w:rsidRPr="007F395B" w14:paraId="1156575F" w14:textId="77777777" w:rsidTr="007F395B">
        <w:trPr>
          <w:trHeight w:val="300"/>
        </w:trPr>
        <w:tc>
          <w:tcPr>
            <w:tcW w:w="2466" w:type="dxa"/>
            <w:noWrap/>
            <w:hideMark/>
          </w:tcPr>
          <w:p w14:paraId="42E723A3" w14:textId="77777777" w:rsidR="007F395B" w:rsidRPr="007F395B" w:rsidRDefault="007F395B">
            <w:pPr>
              <w:rPr>
                <w:lang w:eastAsia="ar-SA"/>
              </w:rPr>
            </w:pPr>
            <w:r w:rsidRPr="007F395B">
              <w:rPr>
                <w:lang w:eastAsia="ar-SA"/>
              </w:rPr>
              <w:t>Agriculture Total</w:t>
            </w:r>
          </w:p>
        </w:tc>
        <w:tc>
          <w:tcPr>
            <w:tcW w:w="960" w:type="dxa"/>
            <w:noWrap/>
            <w:hideMark/>
          </w:tcPr>
          <w:p w14:paraId="384F05FF" w14:textId="77777777" w:rsidR="007F395B" w:rsidRPr="007F395B" w:rsidRDefault="007F395B" w:rsidP="007F395B">
            <w:pPr>
              <w:rPr>
                <w:lang w:eastAsia="ar-SA"/>
              </w:rPr>
            </w:pPr>
            <w:r w:rsidRPr="007F395B">
              <w:rPr>
                <w:lang w:eastAsia="ar-SA"/>
              </w:rPr>
              <w:t>150</w:t>
            </w:r>
          </w:p>
        </w:tc>
        <w:tc>
          <w:tcPr>
            <w:tcW w:w="960" w:type="dxa"/>
            <w:noWrap/>
            <w:hideMark/>
          </w:tcPr>
          <w:p w14:paraId="4AA5E30D" w14:textId="77777777" w:rsidR="007F395B" w:rsidRPr="007F395B" w:rsidRDefault="007F395B" w:rsidP="007F395B">
            <w:pPr>
              <w:rPr>
                <w:lang w:eastAsia="ar-SA"/>
              </w:rPr>
            </w:pPr>
            <w:r w:rsidRPr="007F395B">
              <w:rPr>
                <w:lang w:eastAsia="ar-SA"/>
              </w:rPr>
              <w:t>144</w:t>
            </w:r>
          </w:p>
        </w:tc>
        <w:tc>
          <w:tcPr>
            <w:tcW w:w="960" w:type="dxa"/>
            <w:noWrap/>
            <w:hideMark/>
          </w:tcPr>
          <w:p w14:paraId="59043446" w14:textId="77777777" w:rsidR="007F395B" w:rsidRPr="007F395B" w:rsidRDefault="007F395B" w:rsidP="007F395B">
            <w:pPr>
              <w:rPr>
                <w:lang w:eastAsia="ar-SA"/>
              </w:rPr>
            </w:pPr>
            <w:r w:rsidRPr="007F395B">
              <w:rPr>
                <w:lang w:eastAsia="ar-SA"/>
              </w:rPr>
              <w:t>146</w:t>
            </w:r>
          </w:p>
        </w:tc>
      </w:tr>
      <w:tr w:rsidR="007F395B" w:rsidRPr="007F395B" w14:paraId="196981F4" w14:textId="77777777" w:rsidTr="007F395B">
        <w:trPr>
          <w:trHeight w:val="300"/>
        </w:trPr>
        <w:tc>
          <w:tcPr>
            <w:tcW w:w="2466" w:type="dxa"/>
            <w:noWrap/>
            <w:hideMark/>
          </w:tcPr>
          <w:p w14:paraId="3862873E" w14:textId="77777777" w:rsidR="007F395B" w:rsidRPr="007F395B" w:rsidRDefault="007F395B">
            <w:pPr>
              <w:rPr>
                <w:lang w:eastAsia="ar-SA"/>
              </w:rPr>
            </w:pPr>
            <w:r w:rsidRPr="007F395B">
              <w:rPr>
                <w:lang w:eastAsia="ar-SA"/>
              </w:rPr>
              <w:lastRenderedPageBreak/>
              <w:t>Industry Total</w:t>
            </w:r>
          </w:p>
        </w:tc>
        <w:tc>
          <w:tcPr>
            <w:tcW w:w="960" w:type="dxa"/>
            <w:noWrap/>
            <w:hideMark/>
          </w:tcPr>
          <w:p w14:paraId="36EB240D" w14:textId="77777777" w:rsidR="007F395B" w:rsidRPr="007F395B" w:rsidRDefault="007F395B" w:rsidP="007F395B">
            <w:pPr>
              <w:rPr>
                <w:lang w:eastAsia="ar-SA"/>
              </w:rPr>
            </w:pPr>
            <w:r w:rsidRPr="007F395B">
              <w:rPr>
                <w:lang w:eastAsia="ar-SA"/>
              </w:rPr>
              <w:t>155</w:t>
            </w:r>
          </w:p>
        </w:tc>
        <w:tc>
          <w:tcPr>
            <w:tcW w:w="960" w:type="dxa"/>
            <w:noWrap/>
            <w:hideMark/>
          </w:tcPr>
          <w:p w14:paraId="75D2C7FB" w14:textId="77777777" w:rsidR="007F395B" w:rsidRPr="007F395B" w:rsidRDefault="007F395B" w:rsidP="007F395B">
            <w:pPr>
              <w:rPr>
                <w:lang w:eastAsia="ar-SA"/>
              </w:rPr>
            </w:pPr>
            <w:r w:rsidRPr="007F395B">
              <w:rPr>
                <w:lang w:eastAsia="ar-SA"/>
              </w:rPr>
              <w:t>148</w:t>
            </w:r>
          </w:p>
        </w:tc>
        <w:tc>
          <w:tcPr>
            <w:tcW w:w="960" w:type="dxa"/>
            <w:noWrap/>
            <w:hideMark/>
          </w:tcPr>
          <w:p w14:paraId="324EF068" w14:textId="77777777" w:rsidR="007F395B" w:rsidRPr="007F395B" w:rsidRDefault="007F395B" w:rsidP="007F395B">
            <w:pPr>
              <w:rPr>
                <w:lang w:eastAsia="ar-SA"/>
              </w:rPr>
            </w:pPr>
            <w:r w:rsidRPr="007F395B">
              <w:rPr>
                <w:lang w:eastAsia="ar-SA"/>
              </w:rPr>
              <w:t>136</w:t>
            </w:r>
          </w:p>
        </w:tc>
      </w:tr>
      <w:tr w:rsidR="007F395B" w:rsidRPr="007F395B" w14:paraId="42866A25" w14:textId="77777777" w:rsidTr="007F395B">
        <w:trPr>
          <w:trHeight w:val="300"/>
        </w:trPr>
        <w:tc>
          <w:tcPr>
            <w:tcW w:w="2466" w:type="dxa"/>
            <w:noWrap/>
            <w:hideMark/>
          </w:tcPr>
          <w:p w14:paraId="7FAB1BA5" w14:textId="77777777" w:rsidR="007F395B" w:rsidRPr="007F395B" w:rsidRDefault="007F395B">
            <w:pPr>
              <w:rPr>
                <w:lang w:eastAsia="ar-SA"/>
              </w:rPr>
            </w:pPr>
            <w:r w:rsidRPr="007F395B">
              <w:rPr>
                <w:lang w:eastAsia="ar-SA"/>
              </w:rPr>
              <w:t>Public Sector Total</w:t>
            </w:r>
          </w:p>
        </w:tc>
        <w:tc>
          <w:tcPr>
            <w:tcW w:w="960" w:type="dxa"/>
            <w:noWrap/>
            <w:hideMark/>
          </w:tcPr>
          <w:p w14:paraId="62507702" w14:textId="77777777" w:rsidR="007F395B" w:rsidRPr="007F395B" w:rsidRDefault="007F395B" w:rsidP="007F395B">
            <w:pPr>
              <w:rPr>
                <w:lang w:eastAsia="ar-SA"/>
              </w:rPr>
            </w:pPr>
            <w:r w:rsidRPr="007F395B">
              <w:rPr>
                <w:lang w:eastAsia="ar-SA"/>
              </w:rPr>
              <w:t>44</w:t>
            </w:r>
          </w:p>
        </w:tc>
        <w:tc>
          <w:tcPr>
            <w:tcW w:w="960" w:type="dxa"/>
            <w:noWrap/>
            <w:hideMark/>
          </w:tcPr>
          <w:p w14:paraId="43F2817C" w14:textId="77777777" w:rsidR="007F395B" w:rsidRPr="007F395B" w:rsidRDefault="007F395B" w:rsidP="007F395B">
            <w:pPr>
              <w:rPr>
                <w:lang w:eastAsia="ar-SA"/>
              </w:rPr>
            </w:pPr>
            <w:r w:rsidRPr="007F395B">
              <w:rPr>
                <w:lang w:eastAsia="ar-SA"/>
              </w:rPr>
              <w:t>40</w:t>
            </w:r>
          </w:p>
        </w:tc>
        <w:tc>
          <w:tcPr>
            <w:tcW w:w="960" w:type="dxa"/>
            <w:noWrap/>
            <w:hideMark/>
          </w:tcPr>
          <w:p w14:paraId="495E5241" w14:textId="77777777" w:rsidR="007F395B" w:rsidRPr="007F395B" w:rsidRDefault="007F395B" w:rsidP="007F395B">
            <w:pPr>
              <w:rPr>
                <w:lang w:eastAsia="ar-SA"/>
              </w:rPr>
            </w:pPr>
            <w:r w:rsidRPr="007F395B">
              <w:rPr>
                <w:lang w:eastAsia="ar-SA"/>
              </w:rPr>
              <w:t>41</w:t>
            </w:r>
          </w:p>
        </w:tc>
      </w:tr>
      <w:tr w:rsidR="007F395B" w:rsidRPr="007F395B" w14:paraId="2283AE8B" w14:textId="77777777" w:rsidTr="007F395B">
        <w:trPr>
          <w:trHeight w:val="300"/>
        </w:trPr>
        <w:tc>
          <w:tcPr>
            <w:tcW w:w="2466" w:type="dxa"/>
            <w:noWrap/>
            <w:hideMark/>
          </w:tcPr>
          <w:p w14:paraId="39A2E1D0" w14:textId="77777777" w:rsidR="007F395B" w:rsidRPr="007F395B" w:rsidRDefault="007F395B">
            <w:pPr>
              <w:rPr>
                <w:lang w:eastAsia="ar-SA"/>
              </w:rPr>
            </w:pPr>
            <w:r w:rsidRPr="007F395B">
              <w:rPr>
                <w:lang w:eastAsia="ar-SA"/>
              </w:rPr>
              <w:t>Waste Management Total</w:t>
            </w:r>
          </w:p>
        </w:tc>
        <w:tc>
          <w:tcPr>
            <w:tcW w:w="960" w:type="dxa"/>
            <w:noWrap/>
            <w:hideMark/>
          </w:tcPr>
          <w:p w14:paraId="38BDB045" w14:textId="77777777" w:rsidR="007F395B" w:rsidRPr="007F395B" w:rsidRDefault="007F395B" w:rsidP="007F395B">
            <w:pPr>
              <w:rPr>
                <w:lang w:eastAsia="ar-SA"/>
              </w:rPr>
            </w:pPr>
            <w:r w:rsidRPr="007F395B">
              <w:rPr>
                <w:lang w:eastAsia="ar-SA"/>
              </w:rPr>
              <w:t>32</w:t>
            </w:r>
          </w:p>
        </w:tc>
        <w:tc>
          <w:tcPr>
            <w:tcW w:w="960" w:type="dxa"/>
            <w:noWrap/>
            <w:hideMark/>
          </w:tcPr>
          <w:p w14:paraId="60201A63" w14:textId="77777777" w:rsidR="007F395B" w:rsidRPr="007F395B" w:rsidRDefault="007F395B" w:rsidP="007F395B">
            <w:pPr>
              <w:rPr>
                <w:lang w:eastAsia="ar-SA"/>
              </w:rPr>
            </w:pPr>
            <w:r w:rsidRPr="007F395B">
              <w:rPr>
                <w:lang w:eastAsia="ar-SA"/>
              </w:rPr>
              <w:t>31</w:t>
            </w:r>
          </w:p>
        </w:tc>
        <w:tc>
          <w:tcPr>
            <w:tcW w:w="960" w:type="dxa"/>
            <w:noWrap/>
            <w:hideMark/>
          </w:tcPr>
          <w:p w14:paraId="4AA12134" w14:textId="77777777" w:rsidR="007F395B" w:rsidRPr="007F395B" w:rsidRDefault="007F395B" w:rsidP="007F395B">
            <w:pPr>
              <w:rPr>
                <w:lang w:eastAsia="ar-SA"/>
              </w:rPr>
            </w:pPr>
            <w:r w:rsidRPr="007F395B">
              <w:rPr>
                <w:lang w:eastAsia="ar-SA"/>
              </w:rPr>
              <w:t>26</w:t>
            </w:r>
          </w:p>
        </w:tc>
      </w:tr>
      <w:tr w:rsidR="007F395B" w:rsidRPr="007F395B" w14:paraId="4066B421" w14:textId="77777777" w:rsidTr="007F395B">
        <w:trPr>
          <w:trHeight w:val="300"/>
        </w:trPr>
        <w:tc>
          <w:tcPr>
            <w:tcW w:w="2466" w:type="dxa"/>
            <w:noWrap/>
            <w:hideMark/>
          </w:tcPr>
          <w:p w14:paraId="30CBDE7E" w14:textId="77777777" w:rsidR="007F395B" w:rsidRPr="007F395B" w:rsidRDefault="007F395B">
            <w:pPr>
              <w:rPr>
                <w:lang w:eastAsia="ar-SA"/>
              </w:rPr>
            </w:pPr>
            <w:r w:rsidRPr="007F395B">
              <w:rPr>
                <w:lang w:eastAsia="ar-SA"/>
              </w:rPr>
              <w:t>Commercial Total</w:t>
            </w:r>
          </w:p>
        </w:tc>
        <w:tc>
          <w:tcPr>
            <w:tcW w:w="960" w:type="dxa"/>
            <w:noWrap/>
            <w:hideMark/>
          </w:tcPr>
          <w:p w14:paraId="18235301" w14:textId="77777777" w:rsidR="007F395B" w:rsidRPr="007F395B" w:rsidRDefault="007F395B" w:rsidP="007F395B">
            <w:pPr>
              <w:rPr>
                <w:lang w:eastAsia="ar-SA"/>
              </w:rPr>
            </w:pPr>
            <w:r w:rsidRPr="007F395B">
              <w:rPr>
                <w:lang w:eastAsia="ar-SA"/>
              </w:rPr>
              <w:t>22</w:t>
            </w:r>
          </w:p>
        </w:tc>
        <w:tc>
          <w:tcPr>
            <w:tcW w:w="960" w:type="dxa"/>
            <w:noWrap/>
            <w:hideMark/>
          </w:tcPr>
          <w:p w14:paraId="1E340EEE" w14:textId="77777777" w:rsidR="007F395B" w:rsidRPr="007F395B" w:rsidRDefault="007F395B" w:rsidP="007F395B">
            <w:pPr>
              <w:rPr>
                <w:lang w:eastAsia="ar-SA"/>
              </w:rPr>
            </w:pPr>
            <w:r w:rsidRPr="007F395B">
              <w:rPr>
                <w:lang w:eastAsia="ar-SA"/>
              </w:rPr>
              <w:t>17</w:t>
            </w:r>
          </w:p>
        </w:tc>
        <w:tc>
          <w:tcPr>
            <w:tcW w:w="960" w:type="dxa"/>
            <w:noWrap/>
            <w:hideMark/>
          </w:tcPr>
          <w:p w14:paraId="4E2D7177" w14:textId="77777777" w:rsidR="007F395B" w:rsidRPr="007F395B" w:rsidRDefault="007F395B" w:rsidP="007F395B">
            <w:pPr>
              <w:rPr>
                <w:lang w:eastAsia="ar-SA"/>
              </w:rPr>
            </w:pPr>
            <w:r w:rsidRPr="007F395B">
              <w:rPr>
                <w:lang w:eastAsia="ar-SA"/>
              </w:rPr>
              <w:t>22</w:t>
            </w:r>
          </w:p>
        </w:tc>
      </w:tr>
      <w:tr w:rsidR="007F395B" w:rsidRPr="007F395B" w14:paraId="5A799596" w14:textId="77777777" w:rsidTr="007F395B">
        <w:trPr>
          <w:trHeight w:val="300"/>
        </w:trPr>
        <w:tc>
          <w:tcPr>
            <w:tcW w:w="2466" w:type="dxa"/>
            <w:noWrap/>
            <w:hideMark/>
          </w:tcPr>
          <w:p w14:paraId="3F191DEB" w14:textId="77777777" w:rsidR="007F395B" w:rsidRPr="007F395B" w:rsidRDefault="007F395B">
            <w:pPr>
              <w:rPr>
                <w:lang w:eastAsia="ar-SA"/>
              </w:rPr>
            </w:pPr>
            <w:r w:rsidRPr="007F395B">
              <w:rPr>
                <w:lang w:eastAsia="ar-SA"/>
              </w:rPr>
              <w:t>Net Emissions: Cropland</w:t>
            </w:r>
          </w:p>
        </w:tc>
        <w:tc>
          <w:tcPr>
            <w:tcW w:w="960" w:type="dxa"/>
            <w:noWrap/>
            <w:hideMark/>
          </w:tcPr>
          <w:p w14:paraId="419DA899" w14:textId="77777777" w:rsidR="007F395B" w:rsidRPr="007F395B" w:rsidRDefault="007F395B" w:rsidP="007F395B">
            <w:pPr>
              <w:rPr>
                <w:lang w:eastAsia="ar-SA"/>
              </w:rPr>
            </w:pPr>
            <w:r w:rsidRPr="007F395B">
              <w:rPr>
                <w:lang w:eastAsia="ar-SA"/>
              </w:rPr>
              <w:t>16</w:t>
            </w:r>
          </w:p>
        </w:tc>
        <w:tc>
          <w:tcPr>
            <w:tcW w:w="960" w:type="dxa"/>
            <w:noWrap/>
            <w:hideMark/>
          </w:tcPr>
          <w:p w14:paraId="5859C275" w14:textId="77777777" w:rsidR="007F395B" w:rsidRPr="007F395B" w:rsidRDefault="007F395B" w:rsidP="007F395B">
            <w:pPr>
              <w:rPr>
                <w:lang w:eastAsia="ar-SA"/>
              </w:rPr>
            </w:pPr>
            <w:r w:rsidRPr="007F395B">
              <w:rPr>
                <w:lang w:eastAsia="ar-SA"/>
              </w:rPr>
              <w:t>16</w:t>
            </w:r>
          </w:p>
        </w:tc>
        <w:tc>
          <w:tcPr>
            <w:tcW w:w="960" w:type="dxa"/>
            <w:noWrap/>
            <w:hideMark/>
          </w:tcPr>
          <w:p w14:paraId="0685EA49" w14:textId="77777777" w:rsidR="007F395B" w:rsidRPr="007F395B" w:rsidRDefault="007F395B" w:rsidP="007F395B">
            <w:pPr>
              <w:rPr>
                <w:lang w:eastAsia="ar-SA"/>
              </w:rPr>
            </w:pPr>
            <w:r w:rsidRPr="007F395B">
              <w:rPr>
                <w:lang w:eastAsia="ar-SA"/>
              </w:rPr>
              <w:t>16</w:t>
            </w:r>
          </w:p>
        </w:tc>
      </w:tr>
      <w:tr w:rsidR="007F395B" w:rsidRPr="007F395B" w14:paraId="18B8A992" w14:textId="77777777" w:rsidTr="007F395B">
        <w:trPr>
          <w:trHeight w:val="300"/>
        </w:trPr>
        <w:tc>
          <w:tcPr>
            <w:tcW w:w="2466" w:type="dxa"/>
            <w:noWrap/>
            <w:hideMark/>
          </w:tcPr>
          <w:p w14:paraId="056C75A3" w14:textId="77777777" w:rsidR="007F395B" w:rsidRPr="007F395B" w:rsidRDefault="007F395B">
            <w:pPr>
              <w:rPr>
                <w:lang w:eastAsia="ar-SA"/>
              </w:rPr>
            </w:pPr>
            <w:r w:rsidRPr="007F395B">
              <w:rPr>
                <w:lang w:eastAsia="ar-SA"/>
              </w:rPr>
              <w:t>Net Emissions: Settlements</w:t>
            </w:r>
          </w:p>
        </w:tc>
        <w:tc>
          <w:tcPr>
            <w:tcW w:w="960" w:type="dxa"/>
            <w:noWrap/>
            <w:hideMark/>
          </w:tcPr>
          <w:p w14:paraId="2CE98F09" w14:textId="77777777" w:rsidR="007F395B" w:rsidRPr="007F395B" w:rsidRDefault="007F395B" w:rsidP="007F395B">
            <w:pPr>
              <w:rPr>
                <w:lang w:eastAsia="ar-SA"/>
              </w:rPr>
            </w:pPr>
            <w:r w:rsidRPr="007F395B">
              <w:rPr>
                <w:lang w:eastAsia="ar-SA"/>
              </w:rPr>
              <w:t>8</w:t>
            </w:r>
          </w:p>
        </w:tc>
        <w:tc>
          <w:tcPr>
            <w:tcW w:w="960" w:type="dxa"/>
            <w:noWrap/>
            <w:hideMark/>
          </w:tcPr>
          <w:p w14:paraId="1721152D" w14:textId="77777777" w:rsidR="007F395B" w:rsidRPr="007F395B" w:rsidRDefault="007F395B" w:rsidP="007F395B">
            <w:pPr>
              <w:rPr>
                <w:lang w:eastAsia="ar-SA"/>
              </w:rPr>
            </w:pPr>
            <w:r w:rsidRPr="007F395B">
              <w:rPr>
                <w:lang w:eastAsia="ar-SA"/>
              </w:rPr>
              <w:t>6</w:t>
            </w:r>
          </w:p>
        </w:tc>
        <w:tc>
          <w:tcPr>
            <w:tcW w:w="960" w:type="dxa"/>
            <w:noWrap/>
            <w:hideMark/>
          </w:tcPr>
          <w:p w14:paraId="6B362F12" w14:textId="77777777" w:rsidR="007F395B" w:rsidRPr="007F395B" w:rsidRDefault="007F395B" w:rsidP="007F395B">
            <w:pPr>
              <w:rPr>
                <w:lang w:eastAsia="ar-SA"/>
              </w:rPr>
            </w:pPr>
            <w:r w:rsidRPr="007F395B">
              <w:rPr>
                <w:lang w:eastAsia="ar-SA"/>
              </w:rPr>
              <w:t>6</w:t>
            </w:r>
          </w:p>
        </w:tc>
      </w:tr>
      <w:tr w:rsidR="007F395B" w:rsidRPr="007F395B" w14:paraId="23C4D41B" w14:textId="77777777" w:rsidTr="007F395B">
        <w:trPr>
          <w:trHeight w:val="300"/>
        </w:trPr>
        <w:tc>
          <w:tcPr>
            <w:tcW w:w="2466" w:type="dxa"/>
            <w:noWrap/>
            <w:hideMark/>
          </w:tcPr>
          <w:p w14:paraId="7F4E0C65" w14:textId="77777777" w:rsidR="007F395B" w:rsidRPr="007F395B" w:rsidRDefault="007F395B">
            <w:pPr>
              <w:rPr>
                <w:lang w:eastAsia="ar-SA"/>
              </w:rPr>
            </w:pPr>
            <w:r w:rsidRPr="007F395B">
              <w:rPr>
                <w:lang w:eastAsia="ar-SA"/>
              </w:rPr>
              <w:t>Diesel Railways</w:t>
            </w:r>
          </w:p>
        </w:tc>
        <w:tc>
          <w:tcPr>
            <w:tcW w:w="960" w:type="dxa"/>
            <w:noWrap/>
            <w:hideMark/>
          </w:tcPr>
          <w:p w14:paraId="703E6E08" w14:textId="77777777" w:rsidR="007F395B" w:rsidRPr="007F395B" w:rsidRDefault="007F395B" w:rsidP="007F395B">
            <w:pPr>
              <w:rPr>
                <w:lang w:eastAsia="ar-SA"/>
              </w:rPr>
            </w:pPr>
            <w:r w:rsidRPr="007F395B">
              <w:rPr>
                <w:lang w:eastAsia="ar-SA"/>
              </w:rPr>
              <w:t>0</w:t>
            </w:r>
          </w:p>
        </w:tc>
        <w:tc>
          <w:tcPr>
            <w:tcW w:w="960" w:type="dxa"/>
            <w:noWrap/>
            <w:hideMark/>
          </w:tcPr>
          <w:p w14:paraId="2610261D" w14:textId="77777777" w:rsidR="007F395B" w:rsidRPr="007F395B" w:rsidRDefault="007F395B" w:rsidP="007F395B">
            <w:pPr>
              <w:rPr>
                <w:lang w:eastAsia="ar-SA"/>
              </w:rPr>
            </w:pPr>
            <w:r w:rsidRPr="007F395B">
              <w:rPr>
                <w:lang w:eastAsia="ar-SA"/>
              </w:rPr>
              <w:t>0</w:t>
            </w:r>
          </w:p>
        </w:tc>
        <w:tc>
          <w:tcPr>
            <w:tcW w:w="960" w:type="dxa"/>
            <w:noWrap/>
            <w:hideMark/>
          </w:tcPr>
          <w:p w14:paraId="5492EE17" w14:textId="77777777" w:rsidR="007F395B" w:rsidRPr="007F395B" w:rsidRDefault="007F395B" w:rsidP="007F395B">
            <w:pPr>
              <w:rPr>
                <w:lang w:eastAsia="ar-SA"/>
              </w:rPr>
            </w:pPr>
            <w:r w:rsidRPr="007F395B">
              <w:rPr>
                <w:lang w:eastAsia="ar-SA"/>
              </w:rPr>
              <w:t>0</w:t>
            </w:r>
          </w:p>
        </w:tc>
      </w:tr>
      <w:tr w:rsidR="007F395B" w:rsidRPr="007F395B" w14:paraId="4097CBCE" w14:textId="77777777" w:rsidTr="007F395B">
        <w:trPr>
          <w:trHeight w:val="300"/>
        </w:trPr>
        <w:tc>
          <w:tcPr>
            <w:tcW w:w="2466" w:type="dxa"/>
            <w:noWrap/>
            <w:hideMark/>
          </w:tcPr>
          <w:p w14:paraId="5109CAED" w14:textId="77777777" w:rsidR="007F395B" w:rsidRPr="007F395B" w:rsidRDefault="007F395B">
            <w:pPr>
              <w:rPr>
                <w:lang w:eastAsia="ar-SA"/>
              </w:rPr>
            </w:pPr>
            <w:r w:rsidRPr="007F395B">
              <w:rPr>
                <w:lang w:eastAsia="ar-SA"/>
              </w:rPr>
              <w:t>Net Emissions: Grassland</w:t>
            </w:r>
          </w:p>
        </w:tc>
        <w:tc>
          <w:tcPr>
            <w:tcW w:w="960" w:type="dxa"/>
            <w:noWrap/>
            <w:hideMark/>
          </w:tcPr>
          <w:p w14:paraId="7FBACBFF" w14:textId="77777777" w:rsidR="007F395B" w:rsidRPr="007F395B" w:rsidRDefault="007F395B" w:rsidP="007F395B">
            <w:pPr>
              <w:rPr>
                <w:lang w:eastAsia="ar-SA"/>
              </w:rPr>
            </w:pPr>
            <w:r w:rsidRPr="007F395B">
              <w:rPr>
                <w:lang w:eastAsia="ar-SA"/>
              </w:rPr>
              <w:t>-17</w:t>
            </w:r>
          </w:p>
        </w:tc>
        <w:tc>
          <w:tcPr>
            <w:tcW w:w="960" w:type="dxa"/>
            <w:noWrap/>
            <w:hideMark/>
          </w:tcPr>
          <w:p w14:paraId="3C30F70A" w14:textId="77777777" w:rsidR="007F395B" w:rsidRPr="007F395B" w:rsidRDefault="007F395B" w:rsidP="007F395B">
            <w:pPr>
              <w:rPr>
                <w:lang w:eastAsia="ar-SA"/>
              </w:rPr>
            </w:pPr>
            <w:r w:rsidRPr="007F395B">
              <w:rPr>
                <w:lang w:eastAsia="ar-SA"/>
              </w:rPr>
              <w:t>-18</w:t>
            </w:r>
          </w:p>
        </w:tc>
        <w:tc>
          <w:tcPr>
            <w:tcW w:w="960" w:type="dxa"/>
            <w:noWrap/>
            <w:hideMark/>
          </w:tcPr>
          <w:p w14:paraId="3D8208C9" w14:textId="77777777" w:rsidR="007F395B" w:rsidRPr="007F395B" w:rsidRDefault="007F395B" w:rsidP="007F395B">
            <w:pPr>
              <w:rPr>
                <w:lang w:eastAsia="ar-SA"/>
              </w:rPr>
            </w:pPr>
            <w:r w:rsidRPr="007F395B">
              <w:rPr>
                <w:lang w:eastAsia="ar-SA"/>
              </w:rPr>
              <w:t>-18</w:t>
            </w:r>
          </w:p>
        </w:tc>
      </w:tr>
      <w:tr w:rsidR="007F395B" w:rsidRPr="007F395B" w14:paraId="6C613FF7" w14:textId="77777777" w:rsidTr="007F395B">
        <w:trPr>
          <w:trHeight w:val="300"/>
        </w:trPr>
        <w:tc>
          <w:tcPr>
            <w:tcW w:w="2466" w:type="dxa"/>
            <w:noWrap/>
            <w:hideMark/>
          </w:tcPr>
          <w:p w14:paraId="1A726DF0" w14:textId="77777777" w:rsidR="007F395B" w:rsidRPr="007F395B" w:rsidRDefault="007F395B">
            <w:pPr>
              <w:rPr>
                <w:lang w:eastAsia="ar-SA"/>
              </w:rPr>
            </w:pPr>
            <w:r w:rsidRPr="007F395B">
              <w:rPr>
                <w:lang w:eastAsia="ar-SA"/>
              </w:rPr>
              <w:t>Net Emissions: Forest land</w:t>
            </w:r>
          </w:p>
        </w:tc>
        <w:tc>
          <w:tcPr>
            <w:tcW w:w="960" w:type="dxa"/>
            <w:noWrap/>
            <w:hideMark/>
          </w:tcPr>
          <w:p w14:paraId="32F04A55" w14:textId="77777777" w:rsidR="007F395B" w:rsidRPr="007F395B" w:rsidRDefault="007F395B" w:rsidP="007F395B">
            <w:pPr>
              <w:rPr>
                <w:lang w:eastAsia="ar-SA"/>
              </w:rPr>
            </w:pPr>
            <w:r w:rsidRPr="007F395B">
              <w:rPr>
                <w:lang w:eastAsia="ar-SA"/>
              </w:rPr>
              <w:t>-139</w:t>
            </w:r>
          </w:p>
        </w:tc>
        <w:tc>
          <w:tcPr>
            <w:tcW w:w="960" w:type="dxa"/>
            <w:noWrap/>
            <w:hideMark/>
          </w:tcPr>
          <w:p w14:paraId="476076EB" w14:textId="77777777" w:rsidR="007F395B" w:rsidRPr="007F395B" w:rsidRDefault="007F395B" w:rsidP="007F395B">
            <w:pPr>
              <w:rPr>
                <w:lang w:eastAsia="ar-SA"/>
              </w:rPr>
            </w:pPr>
            <w:r w:rsidRPr="007F395B">
              <w:rPr>
                <w:lang w:eastAsia="ar-SA"/>
              </w:rPr>
              <w:t>-138</w:t>
            </w:r>
          </w:p>
        </w:tc>
        <w:tc>
          <w:tcPr>
            <w:tcW w:w="960" w:type="dxa"/>
            <w:noWrap/>
            <w:hideMark/>
          </w:tcPr>
          <w:p w14:paraId="5ABEFF9E" w14:textId="77777777" w:rsidR="007F395B" w:rsidRPr="007F395B" w:rsidRDefault="007F395B" w:rsidP="007F395B">
            <w:pPr>
              <w:rPr>
                <w:lang w:eastAsia="ar-SA"/>
              </w:rPr>
            </w:pPr>
            <w:r w:rsidRPr="007F395B">
              <w:rPr>
                <w:lang w:eastAsia="ar-SA"/>
              </w:rPr>
              <w:t>-137</w:t>
            </w:r>
          </w:p>
        </w:tc>
      </w:tr>
      <w:tr w:rsidR="007F395B" w:rsidRPr="007F395B" w14:paraId="44A2A658" w14:textId="77777777" w:rsidTr="007F395B">
        <w:trPr>
          <w:trHeight w:val="300"/>
        </w:trPr>
        <w:tc>
          <w:tcPr>
            <w:tcW w:w="2466" w:type="dxa"/>
            <w:noWrap/>
            <w:hideMark/>
          </w:tcPr>
          <w:p w14:paraId="69DFD253" w14:textId="77777777" w:rsidR="007F395B" w:rsidRPr="00DF4AC7" w:rsidRDefault="007F395B">
            <w:pPr>
              <w:rPr>
                <w:b/>
                <w:bCs/>
                <w:lang w:eastAsia="ar-SA"/>
              </w:rPr>
            </w:pPr>
            <w:r w:rsidRPr="00DF4AC7">
              <w:rPr>
                <w:b/>
                <w:bCs/>
                <w:lang w:eastAsia="ar-SA"/>
              </w:rPr>
              <w:t>Grand total</w:t>
            </w:r>
          </w:p>
        </w:tc>
        <w:tc>
          <w:tcPr>
            <w:tcW w:w="960" w:type="dxa"/>
            <w:noWrap/>
            <w:hideMark/>
          </w:tcPr>
          <w:p w14:paraId="4A94B40F" w14:textId="77777777" w:rsidR="007F395B" w:rsidRPr="007F395B" w:rsidRDefault="007F395B" w:rsidP="007F395B">
            <w:pPr>
              <w:rPr>
                <w:lang w:eastAsia="ar-SA"/>
              </w:rPr>
            </w:pPr>
            <w:r w:rsidRPr="007F395B">
              <w:rPr>
                <w:lang w:eastAsia="ar-SA"/>
              </w:rPr>
              <w:t>781</w:t>
            </w:r>
          </w:p>
        </w:tc>
        <w:tc>
          <w:tcPr>
            <w:tcW w:w="960" w:type="dxa"/>
            <w:noWrap/>
            <w:hideMark/>
          </w:tcPr>
          <w:p w14:paraId="45CC9198" w14:textId="77777777" w:rsidR="007F395B" w:rsidRPr="007F395B" w:rsidRDefault="007F395B" w:rsidP="007F395B">
            <w:pPr>
              <w:rPr>
                <w:lang w:eastAsia="ar-SA"/>
              </w:rPr>
            </w:pPr>
            <w:r w:rsidRPr="007F395B">
              <w:rPr>
                <w:lang w:eastAsia="ar-SA"/>
              </w:rPr>
              <w:t>698</w:t>
            </w:r>
          </w:p>
        </w:tc>
        <w:tc>
          <w:tcPr>
            <w:tcW w:w="960" w:type="dxa"/>
            <w:noWrap/>
            <w:hideMark/>
          </w:tcPr>
          <w:p w14:paraId="53FA4E82" w14:textId="77777777" w:rsidR="007F395B" w:rsidRPr="007F395B" w:rsidRDefault="007F395B" w:rsidP="007F395B">
            <w:pPr>
              <w:rPr>
                <w:lang w:eastAsia="ar-SA"/>
              </w:rPr>
            </w:pPr>
            <w:r w:rsidRPr="007F395B">
              <w:rPr>
                <w:lang w:eastAsia="ar-SA"/>
              </w:rPr>
              <w:t>705</w:t>
            </w:r>
          </w:p>
        </w:tc>
      </w:tr>
    </w:tbl>
    <w:p w14:paraId="6A006644" w14:textId="77777777" w:rsidR="007F395B" w:rsidRDefault="007F395B" w:rsidP="005304BB">
      <w:pPr>
        <w:rPr>
          <w:lang w:eastAsia="ar-SA"/>
        </w:rPr>
      </w:pPr>
    </w:p>
    <w:p w14:paraId="363A9C9E" w14:textId="77777777" w:rsidR="007F395B" w:rsidRPr="005304BB" w:rsidRDefault="007F395B" w:rsidP="005304BB">
      <w:pPr>
        <w:rPr>
          <w:lang w:eastAsia="ar-SA"/>
        </w:rPr>
      </w:pPr>
    </w:p>
    <w:sectPr w:rsidR="007F395B" w:rsidRPr="005304BB" w:rsidSect="00C75A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C809" w14:textId="77777777" w:rsidR="00E9773C" w:rsidRDefault="00E9773C" w:rsidP="00B26F28">
      <w:pPr>
        <w:spacing w:after="0" w:line="240" w:lineRule="auto"/>
      </w:pPr>
      <w:r>
        <w:separator/>
      </w:r>
    </w:p>
  </w:endnote>
  <w:endnote w:type="continuationSeparator" w:id="0">
    <w:p w14:paraId="6E074945" w14:textId="77777777" w:rsidR="00E9773C" w:rsidRDefault="00E9773C" w:rsidP="00B2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9D09" w14:textId="77777777" w:rsidR="00E9773C" w:rsidRDefault="00E9773C" w:rsidP="00B26F28">
      <w:pPr>
        <w:spacing w:after="0" w:line="240" w:lineRule="auto"/>
      </w:pPr>
      <w:r>
        <w:separator/>
      </w:r>
    </w:p>
  </w:footnote>
  <w:footnote w:type="continuationSeparator" w:id="0">
    <w:p w14:paraId="662B4D24" w14:textId="77777777" w:rsidR="00E9773C" w:rsidRDefault="00E9773C" w:rsidP="00B26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81A537-9C10-434F-A971-06357FC47172}"/>
    <w:docVar w:name="dgnword-eventsink" w:val="411499848"/>
  </w:docVars>
  <w:rsids>
    <w:rsidRoot w:val="00D601CB"/>
    <w:rsid w:val="000C1510"/>
    <w:rsid w:val="000D4607"/>
    <w:rsid w:val="000D577C"/>
    <w:rsid w:val="000D7E0A"/>
    <w:rsid w:val="000F0743"/>
    <w:rsid w:val="0015272F"/>
    <w:rsid w:val="001B3D90"/>
    <w:rsid w:val="001B3DFA"/>
    <w:rsid w:val="00235458"/>
    <w:rsid w:val="002B22DA"/>
    <w:rsid w:val="002C101D"/>
    <w:rsid w:val="00314188"/>
    <w:rsid w:val="00317720"/>
    <w:rsid w:val="00394DF6"/>
    <w:rsid w:val="0042316D"/>
    <w:rsid w:val="0044189E"/>
    <w:rsid w:val="005304BB"/>
    <w:rsid w:val="005F02A0"/>
    <w:rsid w:val="006466A9"/>
    <w:rsid w:val="00675669"/>
    <w:rsid w:val="006B7FE5"/>
    <w:rsid w:val="00713853"/>
    <w:rsid w:val="007274EA"/>
    <w:rsid w:val="00745051"/>
    <w:rsid w:val="00794DDF"/>
    <w:rsid w:val="007F395B"/>
    <w:rsid w:val="00827B7F"/>
    <w:rsid w:val="0089040B"/>
    <w:rsid w:val="008F66EE"/>
    <w:rsid w:val="00950CBE"/>
    <w:rsid w:val="009A106A"/>
    <w:rsid w:val="009D21C4"/>
    <w:rsid w:val="009F12BD"/>
    <w:rsid w:val="00A01E3D"/>
    <w:rsid w:val="00A32A32"/>
    <w:rsid w:val="00A96AB4"/>
    <w:rsid w:val="00B032A4"/>
    <w:rsid w:val="00B26F28"/>
    <w:rsid w:val="00B7162E"/>
    <w:rsid w:val="00B8266C"/>
    <w:rsid w:val="00BA0257"/>
    <w:rsid w:val="00BA60B2"/>
    <w:rsid w:val="00C16AC9"/>
    <w:rsid w:val="00C75A02"/>
    <w:rsid w:val="00CA6E85"/>
    <w:rsid w:val="00CE102D"/>
    <w:rsid w:val="00D601CB"/>
    <w:rsid w:val="00D62F03"/>
    <w:rsid w:val="00DA3706"/>
    <w:rsid w:val="00DE7A48"/>
    <w:rsid w:val="00DF4AC7"/>
    <w:rsid w:val="00E44897"/>
    <w:rsid w:val="00E9773C"/>
    <w:rsid w:val="00F3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FB32"/>
  <w15:chartTrackingRefBased/>
  <w15:docId w15:val="{74503A21-B949-4F8E-9120-894CFD64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BB"/>
    <w:pPr>
      <w:spacing w:after="200" w:line="276" w:lineRule="auto"/>
    </w:pPr>
  </w:style>
  <w:style w:type="paragraph" w:styleId="Heading1">
    <w:name w:val="heading 1"/>
    <w:basedOn w:val="Normal"/>
    <w:next w:val="Normal"/>
    <w:link w:val="Heading1Char"/>
    <w:uiPriority w:val="9"/>
    <w:qFormat/>
    <w:rsid w:val="009A10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14188"/>
    <w:pPr>
      <w:keepNext/>
      <w:keepLines/>
      <w:spacing w:before="240" w:after="120" w:line="240" w:lineRule="auto"/>
      <w:jc w:val="center"/>
      <w:outlineLvl w:val="1"/>
    </w:pPr>
    <w:rPr>
      <w:rFonts w:ascii="Arial" w:eastAsia="Times New Roman" w:hAnsi="Arial" w:cs="Arial"/>
      <w:b/>
      <w:bCs/>
      <w:sz w:val="40"/>
      <w:szCs w:val="40"/>
      <w:lang w:eastAsia="ar-SA"/>
    </w:rPr>
  </w:style>
  <w:style w:type="paragraph" w:styleId="Heading3">
    <w:name w:val="heading 3"/>
    <w:basedOn w:val="Normal"/>
    <w:next w:val="Normal"/>
    <w:link w:val="Heading3Char"/>
    <w:uiPriority w:val="9"/>
    <w:unhideWhenUsed/>
    <w:qFormat/>
    <w:rsid w:val="00394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188"/>
    <w:rPr>
      <w:rFonts w:ascii="Arial" w:eastAsia="Times New Roman" w:hAnsi="Arial" w:cs="Arial"/>
      <w:b/>
      <w:bCs/>
      <w:sz w:val="40"/>
      <w:szCs w:val="40"/>
      <w:lang w:eastAsia="ar-SA"/>
    </w:rPr>
  </w:style>
  <w:style w:type="character" w:customStyle="1" w:styleId="Heading1Char">
    <w:name w:val="Heading 1 Char"/>
    <w:basedOn w:val="DefaultParagraphFont"/>
    <w:link w:val="Heading1"/>
    <w:uiPriority w:val="9"/>
    <w:rsid w:val="009A106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75669"/>
    <w:rPr>
      <w:sz w:val="16"/>
      <w:szCs w:val="16"/>
    </w:rPr>
  </w:style>
  <w:style w:type="paragraph" w:styleId="CommentText">
    <w:name w:val="annotation text"/>
    <w:basedOn w:val="Normal"/>
    <w:link w:val="CommentTextChar"/>
    <w:uiPriority w:val="99"/>
    <w:semiHidden/>
    <w:unhideWhenUsed/>
    <w:rsid w:val="00675669"/>
    <w:pPr>
      <w:spacing w:line="240" w:lineRule="auto"/>
    </w:pPr>
    <w:rPr>
      <w:sz w:val="20"/>
      <w:szCs w:val="20"/>
    </w:rPr>
  </w:style>
  <w:style w:type="character" w:customStyle="1" w:styleId="CommentTextChar">
    <w:name w:val="Comment Text Char"/>
    <w:basedOn w:val="DefaultParagraphFont"/>
    <w:link w:val="CommentText"/>
    <w:uiPriority w:val="99"/>
    <w:semiHidden/>
    <w:rsid w:val="00675669"/>
    <w:rPr>
      <w:sz w:val="20"/>
      <w:szCs w:val="20"/>
    </w:rPr>
  </w:style>
  <w:style w:type="paragraph" w:styleId="CommentSubject">
    <w:name w:val="annotation subject"/>
    <w:basedOn w:val="CommentText"/>
    <w:next w:val="CommentText"/>
    <w:link w:val="CommentSubjectChar"/>
    <w:uiPriority w:val="99"/>
    <w:semiHidden/>
    <w:unhideWhenUsed/>
    <w:rsid w:val="00675669"/>
    <w:rPr>
      <w:b/>
      <w:bCs/>
    </w:rPr>
  </w:style>
  <w:style w:type="character" w:customStyle="1" w:styleId="CommentSubjectChar">
    <w:name w:val="Comment Subject Char"/>
    <w:basedOn w:val="CommentTextChar"/>
    <w:link w:val="CommentSubject"/>
    <w:uiPriority w:val="99"/>
    <w:semiHidden/>
    <w:rsid w:val="00675669"/>
    <w:rPr>
      <w:b/>
      <w:bCs/>
      <w:sz w:val="20"/>
      <w:szCs w:val="20"/>
    </w:rPr>
  </w:style>
  <w:style w:type="paragraph" w:styleId="Revision">
    <w:name w:val="Revision"/>
    <w:hidden/>
    <w:uiPriority w:val="99"/>
    <w:semiHidden/>
    <w:rsid w:val="009F12BD"/>
    <w:pPr>
      <w:spacing w:after="0" w:line="240" w:lineRule="auto"/>
    </w:pPr>
  </w:style>
  <w:style w:type="paragraph" w:styleId="FootnoteText">
    <w:name w:val="footnote text"/>
    <w:basedOn w:val="Normal"/>
    <w:link w:val="FootnoteTextChar"/>
    <w:uiPriority w:val="99"/>
    <w:semiHidden/>
    <w:unhideWhenUsed/>
    <w:rsid w:val="00B26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F28"/>
    <w:rPr>
      <w:sz w:val="20"/>
      <w:szCs w:val="20"/>
    </w:rPr>
  </w:style>
  <w:style w:type="character" w:styleId="FootnoteReference">
    <w:name w:val="footnote reference"/>
    <w:basedOn w:val="DefaultParagraphFont"/>
    <w:uiPriority w:val="99"/>
    <w:semiHidden/>
    <w:unhideWhenUsed/>
    <w:rsid w:val="00B26F28"/>
    <w:rPr>
      <w:vertAlign w:val="superscript"/>
    </w:rPr>
  </w:style>
  <w:style w:type="table" w:styleId="TableGrid">
    <w:name w:val="Table Grid"/>
    <w:basedOn w:val="TableNormal"/>
    <w:uiPriority w:val="39"/>
    <w:rsid w:val="007F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4D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266">
      <w:bodyDiv w:val="1"/>
      <w:marLeft w:val="0"/>
      <w:marRight w:val="0"/>
      <w:marTop w:val="0"/>
      <w:marBottom w:val="0"/>
      <w:divBdr>
        <w:top w:val="none" w:sz="0" w:space="0" w:color="auto"/>
        <w:left w:val="none" w:sz="0" w:space="0" w:color="auto"/>
        <w:bottom w:val="none" w:sz="0" w:space="0" w:color="auto"/>
        <w:right w:val="none" w:sz="0" w:space="0" w:color="auto"/>
      </w:divBdr>
    </w:div>
    <w:div w:id="12813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userhome$\asmith\My%20Documents\Action%204%20CDC%20target\district%20emissions%20data\2023%20publications\2005-21-uk-local-authority-ghg-emiss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Chichester</a:t>
            </a:r>
            <a:r>
              <a:rPr lang="en-GB" baseline="0"/>
              <a:t> district emissions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graph!$A$13</c:f>
              <c:strCache>
                <c:ptCount val="1"/>
                <c:pt idx="0">
                  <c:v>2019</c:v>
                </c:pt>
              </c:strCache>
            </c:strRef>
          </c:tx>
          <c:spPr>
            <a:pattFill prst="pct40">
              <a:fgClr>
                <a:schemeClr val="accent1"/>
              </a:fgClr>
              <a:bgClr>
                <a:schemeClr val="bg1"/>
              </a:bgClr>
            </a:pattFill>
            <a:ln w="12700">
              <a:solidFill>
                <a:sysClr val="windowText" lastClr="000000"/>
              </a:solidFill>
            </a:ln>
            <a:effectLst/>
          </c:spPr>
          <c:invertIfNegative val="0"/>
          <c:cat>
            <c:strRef>
              <c:f>graph!$B$12:$N$12</c:f>
              <c:strCache>
                <c:ptCount val="13"/>
                <c:pt idx="0">
                  <c:v>Road transport total</c:v>
                </c:pt>
                <c:pt idx="1">
                  <c:v>Domestic Total</c:v>
                </c:pt>
                <c:pt idx="2">
                  <c:v>Agriculture Total</c:v>
                </c:pt>
                <c:pt idx="3">
                  <c:v>Industry Total</c:v>
                </c:pt>
                <c:pt idx="4">
                  <c:v>Public Sector Total</c:v>
                </c:pt>
                <c:pt idx="5">
                  <c:v>Waste Management Total</c:v>
                </c:pt>
                <c:pt idx="6">
                  <c:v>Commercial Total</c:v>
                </c:pt>
                <c:pt idx="7">
                  <c:v>Net Emissions: Cropland</c:v>
                </c:pt>
                <c:pt idx="8">
                  <c:v>Net Emissions: Settlements</c:v>
                </c:pt>
                <c:pt idx="9">
                  <c:v>Diesel Railways</c:v>
                </c:pt>
                <c:pt idx="10">
                  <c:v>Net Emissions: Grassland</c:v>
                </c:pt>
                <c:pt idx="11">
                  <c:v>Net Emissions: Forest land</c:v>
                </c:pt>
                <c:pt idx="12">
                  <c:v>Grand total</c:v>
                </c:pt>
              </c:strCache>
            </c:strRef>
          </c:cat>
          <c:val>
            <c:numRef>
              <c:f>graph!$B$13:$N$13</c:f>
              <c:numCache>
                <c:formatCode>0.00</c:formatCode>
                <c:ptCount val="13"/>
                <c:pt idx="0">
                  <c:v>304.35583390494855</c:v>
                </c:pt>
                <c:pt idx="1">
                  <c:v>204.32393988489619</c:v>
                </c:pt>
                <c:pt idx="2">
                  <c:v>150.06022152615037</c:v>
                </c:pt>
                <c:pt idx="3">
                  <c:v>154.69775879134798</c:v>
                </c:pt>
                <c:pt idx="4">
                  <c:v>43.914900474510603</c:v>
                </c:pt>
                <c:pt idx="5">
                  <c:v>32.070552432806927</c:v>
                </c:pt>
                <c:pt idx="6">
                  <c:v>21.752001747362122</c:v>
                </c:pt>
                <c:pt idx="7">
                  <c:v>16.045211614228101</c:v>
                </c:pt>
                <c:pt idx="8">
                  <c:v>7.7340008263906821</c:v>
                </c:pt>
                <c:pt idx="9">
                  <c:v>0.15083199185974108</c:v>
                </c:pt>
                <c:pt idx="10">
                  <c:v>-17.008486634738897</c:v>
                </c:pt>
                <c:pt idx="11">
                  <c:v>-139.00915387783999</c:v>
                </c:pt>
                <c:pt idx="12">
                  <c:v>781.14725677229228</c:v>
                </c:pt>
              </c:numCache>
            </c:numRef>
          </c:val>
          <c:extLst>
            <c:ext xmlns:c16="http://schemas.microsoft.com/office/drawing/2014/chart" uri="{C3380CC4-5D6E-409C-BE32-E72D297353CC}">
              <c16:uniqueId val="{00000000-F4D6-487B-89CD-C9FFEA29D3F4}"/>
            </c:ext>
          </c:extLst>
        </c:ser>
        <c:ser>
          <c:idx val="1"/>
          <c:order val="1"/>
          <c:tx>
            <c:strRef>
              <c:f>graph!$A$14</c:f>
              <c:strCache>
                <c:ptCount val="1"/>
                <c:pt idx="0">
                  <c:v>2020</c:v>
                </c:pt>
              </c:strCache>
            </c:strRef>
          </c:tx>
          <c:spPr>
            <a:pattFill prst="wdUpDiag">
              <a:fgClr>
                <a:schemeClr val="accent1"/>
              </a:fgClr>
              <a:bgClr>
                <a:schemeClr val="bg1"/>
              </a:bgClr>
            </a:pattFill>
            <a:ln w="12700">
              <a:solidFill>
                <a:sysClr val="windowText" lastClr="000000"/>
              </a:solidFill>
            </a:ln>
            <a:effectLst/>
          </c:spPr>
          <c:invertIfNegative val="0"/>
          <c:cat>
            <c:strRef>
              <c:f>graph!$B$12:$N$12</c:f>
              <c:strCache>
                <c:ptCount val="13"/>
                <c:pt idx="0">
                  <c:v>Road transport total</c:v>
                </c:pt>
                <c:pt idx="1">
                  <c:v>Domestic Total</c:v>
                </c:pt>
                <c:pt idx="2">
                  <c:v>Agriculture Total</c:v>
                </c:pt>
                <c:pt idx="3">
                  <c:v>Industry Total</c:v>
                </c:pt>
                <c:pt idx="4">
                  <c:v>Public Sector Total</c:v>
                </c:pt>
                <c:pt idx="5">
                  <c:v>Waste Management Total</c:v>
                </c:pt>
                <c:pt idx="6">
                  <c:v>Commercial Total</c:v>
                </c:pt>
                <c:pt idx="7">
                  <c:v>Net Emissions: Cropland</c:v>
                </c:pt>
                <c:pt idx="8">
                  <c:v>Net Emissions: Settlements</c:v>
                </c:pt>
                <c:pt idx="9">
                  <c:v>Diesel Railways</c:v>
                </c:pt>
                <c:pt idx="10">
                  <c:v>Net Emissions: Grassland</c:v>
                </c:pt>
                <c:pt idx="11">
                  <c:v>Net Emissions: Forest land</c:v>
                </c:pt>
                <c:pt idx="12">
                  <c:v>Grand total</c:v>
                </c:pt>
              </c:strCache>
            </c:strRef>
          </c:cat>
          <c:val>
            <c:numRef>
              <c:f>graph!$B$14:$N$14</c:f>
              <c:numCache>
                <c:formatCode>0.00</c:formatCode>
                <c:ptCount val="13"/>
                <c:pt idx="0">
                  <c:v>248.72882441828099</c:v>
                </c:pt>
                <c:pt idx="1">
                  <c:v>201.33690119955523</c:v>
                </c:pt>
                <c:pt idx="2">
                  <c:v>144.22348143947477</c:v>
                </c:pt>
                <c:pt idx="3">
                  <c:v>148.44856828863414</c:v>
                </c:pt>
                <c:pt idx="4">
                  <c:v>40.053454680321749</c:v>
                </c:pt>
                <c:pt idx="5">
                  <c:v>30.7747705240971</c:v>
                </c:pt>
                <c:pt idx="6">
                  <c:v>16.587670776315129</c:v>
                </c:pt>
                <c:pt idx="7">
                  <c:v>16.184951370717343</c:v>
                </c:pt>
                <c:pt idx="8">
                  <c:v>5.6930883991744503</c:v>
                </c:pt>
                <c:pt idx="9">
                  <c:v>0.12351914009034419</c:v>
                </c:pt>
                <c:pt idx="10">
                  <c:v>-17.856865160958357</c:v>
                </c:pt>
                <c:pt idx="11">
                  <c:v>-138.14978263556705</c:v>
                </c:pt>
                <c:pt idx="12">
                  <c:v>698.19056887021964</c:v>
                </c:pt>
              </c:numCache>
            </c:numRef>
          </c:val>
          <c:extLst>
            <c:ext xmlns:c16="http://schemas.microsoft.com/office/drawing/2014/chart" uri="{C3380CC4-5D6E-409C-BE32-E72D297353CC}">
              <c16:uniqueId val="{00000001-F4D6-487B-89CD-C9FFEA29D3F4}"/>
            </c:ext>
          </c:extLst>
        </c:ser>
        <c:ser>
          <c:idx val="2"/>
          <c:order val="2"/>
          <c:tx>
            <c:strRef>
              <c:f>graph!$A$15</c:f>
              <c:strCache>
                <c:ptCount val="1"/>
                <c:pt idx="0">
                  <c:v>2021</c:v>
                </c:pt>
              </c:strCache>
            </c:strRef>
          </c:tx>
          <c:spPr>
            <a:pattFill prst="horzBrick">
              <a:fgClr>
                <a:schemeClr val="accent1"/>
              </a:fgClr>
              <a:bgClr>
                <a:schemeClr val="bg1"/>
              </a:bgClr>
            </a:pattFill>
            <a:ln>
              <a:solidFill>
                <a:sysClr val="windowText" lastClr="000000"/>
              </a:solidFill>
            </a:ln>
            <a:effectLst/>
          </c:spPr>
          <c:invertIfNegative val="0"/>
          <c:cat>
            <c:strRef>
              <c:f>graph!$B$12:$N$12</c:f>
              <c:strCache>
                <c:ptCount val="13"/>
                <c:pt idx="0">
                  <c:v>Road transport total</c:v>
                </c:pt>
                <c:pt idx="1">
                  <c:v>Domestic Total</c:v>
                </c:pt>
                <c:pt idx="2">
                  <c:v>Agriculture Total</c:v>
                </c:pt>
                <c:pt idx="3">
                  <c:v>Industry Total</c:v>
                </c:pt>
                <c:pt idx="4">
                  <c:v>Public Sector Total</c:v>
                </c:pt>
                <c:pt idx="5">
                  <c:v>Waste Management Total</c:v>
                </c:pt>
                <c:pt idx="6">
                  <c:v>Commercial Total</c:v>
                </c:pt>
                <c:pt idx="7">
                  <c:v>Net Emissions: Cropland</c:v>
                </c:pt>
                <c:pt idx="8">
                  <c:v>Net Emissions: Settlements</c:v>
                </c:pt>
                <c:pt idx="9">
                  <c:v>Diesel Railways</c:v>
                </c:pt>
                <c:pt idx="10">
                  <c:v>Net Emissions: Grassland</c:v>
                </c:pt>
                <c:pt idx="11">
                  <c:v>Net Emissions: Forest land</c:v>
                </c:pt>
                <c:pt idx="12">
                  <c:v>Grand total</c:v>
                </c:pt>
              </c:strCache>
            </c:strRef>
          </c:cat>
          <c:val>
            <c:numRef>
              <c:f>graph!$B$15:$N$15</c:f>
              <c:numCache>
                <c:formatCode>0.00</c:formatCode>
                <c:ptCount val="13"/>
                <c:pt idx="0">
                  <c:v>256.47560381882209</c:v>
                </c:pt>
                <c:pt idx="1">
                  <c:v>207.96187977980256</c:v>
                </c:pt>
                <c:pt idx="2">
                  <c:v>146.27054689996214</c:v>
                </c:pt>
                <c:pt idx="3">
                  <c:v>136.44626071507761</c:v>
                </c:pt>
                <c:pt idx="4">
                  <c:v>41.252689355086304</c:v>
                </c:pt>
                <c:pt idx="5">
                  <c:v>25.712415768685364</c:v>
                </c:pt>
                <c:pt idx="6">
                  <c:v>21.672104331335866</c:v>
                </c:pt>
                <c:pt idx="7">
                  <c:v>16.341623297207676</c:v>
                </c:pt>
                <c:pt idx="8">
                  <c:v>5.7041491368837702</c:v>
                </c:pt>
                <c:pt idx="9">
                  <c:v>0.13125378231803644</c:v>
                </c:pt>
                <c:pt idx="10">
                  <c:v>-18.058619936173034</c:v>
                </c:pt>
                <c:pt idx="11">
                  <c:v>-137.30804737647179</c:v>
                </c:pt>
                <c:pt idx="12">
                  <c:v>704.67367340281385</c:v>
                </c:pt>
              </c:numCache>
            </c:numRef>
          </c:val>
          <c:extLst>
            <c:ext xmlns:c16="http://schemas.microsoft.com/office/drawing/2014/chart" uri="{C3380CC4-5D6E-409C-BE32-E72D297353CC}">
              <c16:uniqueId val="{00000002-F4D6-487B-89CD-C9FFEA29D3F4}"/>
            </c:ext>
          </c:extLst>
        </c:ser>
        <c:dLbls>
          <c:showLegendKey val="0"/>
          <c:showVal val="0"/>
          <c:showCatName val="0"/>
          <c:showSerName val="0"/>
          <c:showPercent val="0"/>
          <c:showBubbleSize val="0"/>
        </c:dLbls>
        <c:gapWidth val="219"/>
        <c:overlap val="-27"/>
        <c:axId val="118071888"/>
        <c:axId val="118069592"/>
      </c:barChart>
      <c:catAx>
        <c:axId val="118071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a:t>
                </a:r>
                <a:r>
                  <a:rPr lang="en-GB" baseline="0"/>
                  <a:t> sources</a:t>
                </a:r>
                <a:endParaRPr lang="en-GB"/>
              </a:p>
            </c:rich>
          </c:tx>
          <c:layout>
            <c:manualLayout>
              <c:xMode val="edge"/>
              <c:yMode val="edge"/>
              <c:x val="0.34810071622403138"/>
              <c:y val="0.83428512225445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69592"/>
        <c:crosses val="autoZero"/>
        <c:auto val="1"/>
        <c:lblAlgn val="ctr"/>
        <c:lblOffset val="100"/>
        <c:noMultiLvlLbl val="0"/>
      </c:catAx>
      <c:valAx>
        <c:axId val="11806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Emissions</a:t>
                </a:r>
                <a:r>
                  <a:rPr lang="en-GB" baseline="0"/>
                  <a:t> ktCO2</a:t>
                </a:r>
                <a:r>
                  <a:rPr lang="en-GB"/>
                  <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7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1689-85BD-494A-8BD8-26446EED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GHG emissions 2021</dc:title>
  <dc:subject/>
  <dc:creator>Andrea Smith</dc:creator>
  <cp:keywords/>
  <dc:description/>
  <cp:lastModifiedBy>Barry Knight</cp:lastModifiedBy>
  <cp:revision>2</cp:revision>
  <dcterms:created xsi:type="dcterms:W3CDTF">2023-07-24T13:33:00Z</dcterms:created>
  <dcterms:modified xsi:type="dcterms:W3CDTF">2023-07-24T13:33:00Z</dcterms:modified>
</cp:coreProperties>
</file>