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4F71DE5D" w:rsidR="00D10522" w:rsidRPr="006B392C" w:rsidRDefault="00235452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 xml:space="preserve">Westhampnett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235452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235452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4743A4A" w14:textId="77777777" w:rsidR="00235452" w:rsidRPr="00235452" w:rsidRDefault="00235452" w:rsidP="0023545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235452">
              <w:rPr>
                <w:sz w:val="24"/>
              </w:rPr>
              <w:t>0.00</w:t>
            </w:r>
          </w:p>
          <w:p w14:paraId="49ECEF04" w14:textId="77777777" w:rsidR="00235452" w:rsidRPr="00235452" w:rsidRDefault="00235452" w:rsidP="0023545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235452">
              <w:rPr>
                <w:sz w:val="24"/>
              </w:rPr>
              <w:t>47,409.99</w:t>
            </w:r>
          </w:p>
          <w:p w14:paraId="219A46E5" w14:textId="77777777" w:rsidR="00235452" w:rsidRPr="00235452" w:rsidRDefault="00235452" w:rsidP="0023545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235452">
              <w:rPr>
                <w:sz w:val="24"/>
              </w:rPr>
              <w:t>103,685.27</w:t>
            </w:r>
          </w:p>
          <w:p w14:paraId="369E7BE2" w14:textId="77777777" w:rsidR="00235452" w:rsidRPr="00235452" w:rsidRDefault="00235452" w:rsidP="0023545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235452">
              <w:rPr>
                <w:sz w:val="24"/>
              </w:rPr>
              <w:t>1,829.40</w:t>
            </w:r>
          </w:p>
          <w:p w14:paraId="79036BE2" w14:textId="77777777" w:rsidR="00235452" w:rsidRPr="00235452" w:rsidRDefault="00235452" w:rsidP="0023545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235452">
              <w:rPr>
                <w:sz w:val="24"/>
              </w:rPr>
              <w:t>0.00</w:t>
            </w:r>
          </w:p>
          <w:p w14:paraId="6E54F656" w14:textId="3F86931A" w:rsidR="00D064B7" w:rsidRPr="00420CB4" w:rsidRDefault="00235452" w:rsidP="0023545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235452">
              <w:rPr>
                <w:sz w:val="24"/>
              </w:rPr>
              <w:t>0.00</w:t>
            </w:r>
            <w:r>
              <w:rPr>
                <w:sz w:val="24"/>
              </w:rPr>
              <w:t xml:space="preserve"> </w:t>
            </w:r>
          </w:p>
          <w:p w14:paraId="2FE0C048" w14:textId="3B14391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  <w:tr w:rsidR="00DD3C90" w14:paraId="5617D3EB" w14:textId="77777777" w:rsidTr="00235452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F21C" w14:textId="34566350" w:rsidR="00DD3C90" w:rsidRPr="000556E4" w:rsidRDefault="00235452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 w:rsidRPr="00235452">
              <w:rPr>
                <w:sz w:val="24"/>
              </w:rPr>
              <w:t>152,924.66</w:t>
            </w:r>
          </w:p>
        </w:tc>
      </w:tr>
      <w:tr w:rsidR="00FA5FCF" w14:paraId="43BE8833" w14:textId="77777777" w:rsidTr="00235452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5C827F88" w14:textId="77777777" w:rsidR="00235452" w:rsidRDefault="00235452" w:rsidP="00235452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right="233"/>
              <w:rPr>
                <w:sz w:val="24"/>
              </w:rPr>
            </w:pPr>
          </w:p>
          <w:p w14:paraId="74CEF1B9" w14:textId="77777777" w:rsidR="00235452" w:rsidRDefault="00235452" w:rsidP="00235452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right="233"/>
              <w:rPr>
                <w:sz w:val="24"/>
              </w:rPr>
            </w:pPr>
          </w:p>
          <w:p w14:paraId="4EF75C39" w14:textId="77777777" w:rsidR="00235452" w:rsidRDefault="00235452" w:rsidP="00235452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right="233"/>
              <w:rPr>
                <w:sz w:val="24"/>
              </w:rPr>
            </w:pPr>
          </w:p>
          <w:p w14:paraId="6207BAD9" w14:textId="77777777" w:rsidR="00235452" w:rsidRDefault="00235452" w:rsidP="00235452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right="233"/>
              <w:rPr>
                <w:sz w:val="24"/>
              </w:rPr>
            </w:pP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057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1134"/>
        <w:gridCol w:w="1559"/>
        <w:gridCol w:w="1701"/>
        <w:gridCol w:w="1134"/>
        <w:gridCol w:w="1276"/>
      </w:tblGrid>
      <w:tr w:rsidR="00AC5BB8" w:rsidRPr="00AC5BB8" w14:paraId="4BD3DBE3" w14:textId="77777777" w:rsidTr="00235452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lastRenderedPageBreak/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235452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67CA5B69" w14:textId="2E7CDEFD" w:rsidR="00AC5BB8" w:rsidRDefault="00235452" w:rsidP="00AC5BB8">
            <w:r>
              <w:t>A &amp; B</w:t>
            </w:r>
          </w:p>
          <w:p w14:paraId="48274EDA" w14:textId="3952A7C6" w:rsidR="00235452" w:rsidRPr="00AC5BB8" w:rsidRDefault="00235452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427A01B3" w:rsidR="00AC5BB8" w:rsidRPr="00AC5BB8" w:rsidRDefault="00235452" w:rsidP="00AC5BB8">
            <w:r w:rsidRPr="00235452">
              <w:t>Pledge of £2,500 to The March School for Decking Project – to be provided when their project has sufficient funds and is completed as per Westhampnett Parish Council Meeting held on 8th November 2021 Minute 260/21.</w:t>
            </w:r>
          </w:p>
        </w:tc>
        <w:tc>
          <w:tcPr>
            <w:tcW w:w="1134" w:type="dxa"/>
          </w:tcPr>
          <w:p w14:paraId="7ECE020F" w14:textId="6D07308C" w:rsidR="00AC5BB8" w:rsidRPr="00AC5BB8" w:rsidRDefault="00235452" w:rsidP="00AC5BB8">
            <w:r w:rsidRPr="00235452">
              <w:t>Circa £14,000</w:t>
            </w:r>
          </w:p>
        </w:tc>
        <w:tc>
          <w:tcPr>
            <w:tcW w:w="1559" w:type="dxa"/>
          </w:tcPr>
          <w:p w14:paraId="154C9A12" w14:textId="77777777" w:rsidR="00235452" w:rsidRDefault="00235452" w:rsidP="00235452">
            <w:r>
              <w:t>£2,500</w:t>
            </w:r>
          </w:p>
          <w:p w14:paraId="4031FF6C" w14:textId="36BF6581" w:rsidR="00AC5BB8" w:rsidRPr="00AC5BB8" w:rsidRDefault="00235452" w:rsidP="00235452">
            <w:r>
              <w:t xml:space="preserve">Allocated from April 2018-March 2019, and some from April 2019- March 2020  </w:t>
            </w:r>
          </w:p>
        </w:tc>
        <w:tc>
          <w:tcPr>
            <w:tcW w:w="1701" w:type="dxa"/>
          </w:tcPr>
          <w:p w14:paraId="5920A361" w14:textId="33D8F3B4" w:rsidR="00AC5BB8" w:rsidRPr="00AC5BB8" w:rsidRDefault="00235452" w:rsidP="00AC5BB8">
            <w:r w:rsidRPr="00235452">
              <w:t>The March School to action</w:t>
            </w:r>
          </w:p>
        </w:tc>
        <w:tc>
          <w:tcPr>
            <w:tcW w:w="1134" w:type="dxa"/>
          </w:tcPr>
          <w:p w14:paraId="5428B593" w14:textId="6A92E685" w:rsidR="00AC5BB8" w:rsidRPr="00AC5BB8" w:rsidRDefault="00235452" w:rsidP="00AC5BB8">
            <w:r w:rsidRPr="00235452">
              <w:t>Not known at this time</w:t>
            </w:r>
          </w:p>
        </w:tc>
        <w:tc>
          <w:tcPr>
            <w:tcW w:w="1276" w:type="dxa"/>
          </w:tcPr>
          <w:p w14:paraId="38CAB37A" w14:textId="7BE68E8C" w:rsidR="00AC5BB8" w:rsidRPr="00AC5BB8" w:rsidRDefault="00235452" w:rsidP="00235452">
            <w:pPr>
              <w:jc w:val="center"/>
            </w:pPr>
            <w:r w:rsidRPr="00235452">
              <w:t>No</w:t>
            </w:r>
          </w:p>
        </w:tc>
      </w:tr>
      <w:tr w:rsidR="00AC5BB8" w:rsidRPr="00AC5BB8" w14:paraId="06D78F4A" w14:textId="77777777" w:rsidTr="00235452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1134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701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276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235452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1134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701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276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235452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1134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701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276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0E8FDC52" w14:textId="77777777" w:rsidR="00235452" w:rsidRDefault="00235452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</w:p>
    <w:p w14:paraId="72775798" w14:textId="77777777" w:rsidR="00235452" w:rsidRDefault="00235452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</w:p>
    <w:p w14:paraId="29E822BE" w14:textId="77777777" w:rsidR="00235452" w:rsidRDefault="00235452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</w:p>
    <w:p w14:paraId="3F83256F" w14:textId="77777777" w:rsidR="00235452" w:rsidRDefault="00235452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</w:p>
    <w:p w14:paraId="21578BF9" w14:textId="77777777" w:rsidR="00235452" w:rsidRDefault="00235452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</w:p>
    <w:p w14:paraId="4BB90406" w14:textId="253FF2EF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35452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B2CF0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Westhampnett Parish Council Lanham</cp:lastModifiedBy>
  <cp:revision>2</cp:revision>
  <cp:lastPrinted>2022-10-04T13:30:00Z</cp:lastPrinted>
  <dcterms:created xsi:type="dcterms:W3CDTF">2023-05-10T12:02:00Z</dcterms:created>
  <dcterms:modified xsi:type="dcterms:W3CDTF">2023-05-10T12:02:00Z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