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EAFA" w14:textId="77777777" w:rsidR="00447D1B" w:rsidRDefault="00447D1B">
      <w:pPr>
        <w:pStyle w:val="Heading1"/>
        <w:kinsoku w:val="0"/>
        <w:overflowPunct w:val="0"/>
        <w:spacing w:before="2"/>
      </w:pPr>
    </w:p>
    <w:p w14:paraId="033CCE76" w14:textId="29B95416" w:rsidR="00DF2FF2" w:rsidRDefault="00DF2FF2">
      <w:pPr>
        <w:pStyle w:val="Heading1"/>
        <w:kinsoku w:val="0"/>
        <w:overflowPunct w:val="0"/>
        <w:spacing w:before="2"/>
      </w:pPr>
      <w:r>
        <w:t>Damage Deposit Fee</w:t>
      </w:r>
    </w:p>
    <w:p w14:paraId="4EC927E5" w14:textId="77777777" w:rsidR="00DF2FF2" w:rsidRDefault="00DF2FF2">
      <w:pPr>
        <w:pStyle w:val="BodyText"/>
        <w:kinsoku w:val="0"/>
        <w:overflowPunct w:val="0"/>
        <w:spacing w:before="263" w:line="278" w:lineRule="auto"/>
        <w:ind w:right="211"/>
      </w:pPr>
      <w:r>
        <w:t>All events are charged a refundable deposit fee. This is returned in full if no damage has occurred to the land (or any of its fixings) during the event.</w:t>
      </w:r>
    </w:p>
    <w:p w14:paraId="160C6608" w14:textId="77777777" w:rsidR="00DF2FF2" w:rsidRDefault="00DF2FF2">
      <w:pPr>
        <w:pStyle w:val="BodyText"/>
        <w:kinsoku w:val="0"/>
        <w:overflowPunct w:val="0"/>
        <w:spacing w:before="195" w:line="276" w:lineRule="auto"/>
        <w:ind w:right="224"/>
      </w:pPr>
      <w:r>
        <w:t>The level of vehicle risk is depend</w:t>
      </w:r>
      <w:r w:rsidR="004F6228">
        <w:t>e</w:t>
      </w:r>
      <w:r>
        <w:t>nt on how many and what type of vehicles will be present on site or used for the event. The greater the size/weight and amount of vehicles increase the risk of damage.</w:t>
      </w:r>
    </w:p>
    <w:p w14:paraId="74B30DEE" w14:textId="77777777" w:rsidR="00DF2FF2" w:rsidRDefault="00DF2FF2">
      <w:pPr>
        <w:pStyle w:val="BodyText"/>
        <w:kinsoku w:val="0"/>
        <w:overflowPunct w:val="0"/>
        <w:spacing w:before="4"/>
        <w:ind w:left="0"/>
        <w:rPr>
          <w:sz w:val="16"/>
          <w:szCs w:val="16"/>
        </w:rPr>
      </w:pPr>
    </w:p>
    <w:p w14:paraId="142A592D" w14:textId="5D069C59" w:rsidR="00DF2FF2" w:rsidRDefault="00DF2FF2">
      <w:pPr>
        <w:pStyle w:val="BodyText"/>
        <w:kinsoku w:val="0"/>
        <w:overflowPunct w:val="0"/>
      </w:pPr>
      <w:r>
        <w:t>Please note, the prices below will apply to events taking place from 1 April 20</w:t>
      </w:r>
      <w:r w:rsidR="00412E61">
        <w:t>2</w:t>
      </w:r>
      <w:r w:rsidR="001632C8">
        <w:t xml:space="preserve">5 </w:t>
      </w:r>
      <w:r w:rsidR="00877BDD">
        <w:t>to 31 March 202</w:t>
      </w:r>
      <w:r w:rsidR="001632C8">
        <w:t>6</w:t>
      </w:r>
      <w:r w:rsidR="00877BDD">
        <w:t>.</w:t>
      </w:r>
    </w:p>
    <w:p w14:paraId="37ABD49C" w14:textId="77777777" w:rsidR="00DF2FF2" w:rsidRDefault="00DF2FF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2036"/>
        <w:gridCol w:w="2426"/>
        <w:gridCol w:w="2318"/>
      </w:tblGrid>
      <w:tr w:rsidR="00DF2FF2" w14:paraId="16868B6D" w14:textId="77777777">
        <w:trPr>
          <w:trHeight w:hRule="exact" w:val="408"/>
        </w:trPr>
        <w:tc>
          <w:tcPr>
            <w:tcW w:w="9028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56084687" w14:textId="77777777" w:rsidR="00DF2FF2" w:rsidRPr="004F6228" w:rsidRDefault="00DF2FF2">
            <w:pPr>
              <w:pStyle w:val="TableParagraph"/>
              <w:kinsoku w:val="0"/>
              <w:overflowPunct w:val="0"/>
              <w:spacing w:before="0" w:line="268" w:lineRule="exact"/>
              <w:rPr>
                <w:rFonts w:ascii="Times New Roman" w:hAnsi="Times New Roman" w:cs="Times New Roman"/>
                <w:b/>
              </w:rPr>
            </w:pPr>
            <w:r w:rsidRPr="004F6228">
              <w:rPr>
                <w:b/>
                <w:sz w:val="22"/>
                <w:szCs w:val="22"/>
              </w:rPr>
              <w:t>Deposit fees for hiring land</w:t>
            </w:r>
          </w:p>
        </w:tc>
      </w:tr>
      <w:tr w:rsidR="00DF2FF2" w14:paraId="1526F135" w14:textId="77777777">
        <w:trPr>
          <w:trHeight w:hRule="exact" w:val="610"/>
        </w:trPr>
        <w:tc>
          <w:tcPr>
            <w:tcW w:w="224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429F9B08" w14:textId="77777777" w:rsidR="00DF2FF2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Expected Attendance</w:t>
            </w:r>
          </w:p>
        </w:tc>
        <w:tc>
          <w:tcPr>
            <w:tcW w:w="20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000B51DC" w14:textId="77777777" w:rsidR="00DF2FF2" w:rsidRDefault="00DF2FF2">
            <w:pPr>
              <w:pStyle w:val="TableParagraph"/>
              <w:kinsoku w:val="0"/>
              <w:overflowPunct w:val="0"/>
              <w:ind w:left="291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Low Vehicle Risk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4D501121" w14:textId="77777777" w:rsidR="00DF2FF2" w:rsidRDefault="00DF2FF2">
            <w:pPr>
              <w:pStyle w:val="TableParagraph"/>
              <w:kinsoku w:val="0"/>
              <w:overflowPunct w:val="0"/>
              <w:ind w:left="226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Medium Vehicle Risk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  <w:shd w:val="clear" w:color="auto" w:fill="EDEDED"/>
          </w:tcPr>
          <w:p w14:paraId="13ADFF47" w14:textId="77777777" w:rsidR="00DF2FF2" w:rsidRDefault="00DF2FF2">
            <w:pPr>
              <w:pStyle w:val="TableParagraph"/>
              <w:kinsoku w:val="0"/>
              <w:overflowPunct w:val="0"/>
              <w:ind w:left="284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High Vehicle Risk</w:t>
            </w:r>
          </w:p>
        </w:tc>
      </w:tr>
      <w:tr w:rsidR="00DF2FF2" w:rsidRPr="000F0E8A" w14:paraId="79CCB333" w14:textId="77777777">
        <w:trPr>
          <w:trHeight w:hRule="exact" w:val="409"/>
        </w:trPr>
        <w:tc>
          <w:tcPr>
            <w:tcW w:w="224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</w:tcPr>
          <w:p w14:paraId="12002A64" w14:textId="77777777" w:rsidR="00DF2FF2" w:rsidRPr="000F0E8A" w:rsidRDefault="00DF2FF2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1-500</w:t>
            </w:r>
          </w:p>
        </w:tc>
        <w:tc>
          <w:tcPr>
            <w:tcW w:w="20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6F148" w14:textId="2C162BFA" w:rsidR="00DF2FF2" w:rsidRPr="000F0E8A" w:rsidRDefault="00DF2FF2">
            <w:pPr>
              <w:pStyle w:val="TableParagraph"/>
              <w:kinsoku w:val="0"/>
              <w:overflowPunct w:val="0"/>
              <w:spacing w:before="0"/>
              <w:ind w:left="29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9D2A2A" w:rsidRPr="000F0E8A">
              <w:rPr>
                <w:sz w:val="22"/>
                <w:szCs w:val="22"/>
              </w:rPr>
              <w:t>11</w:t>
            </w:r>
            <w:r w:rsidR="00534277" w:rsidRPr="000F0E8A">
              <w:rPr>
                <w:sz w:val="22"/>
                <w:szCs w:val="22"/>
              </w:rPr>
              <w:t>5</w:t>
            </w:r>
            <w:r w:rsidR="00412E61"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431E6A" w14:textId="7C05677B" w:rsidR="00DF2FF2" w:rsidRPr="000F0E8A" w:rsidRDefault="00DF2FF2">
            <w:pPr>
              <w:pStyle w:val="TableParagraph"/>
              <w:kinsoku w:val="0"/>
              <w:overflowPunct w:val="0"/>
              <w:spacing w:before="0"/>
              <w:ind w:left="226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9D2A2A" w:rsidRPr="000F0E8A">
              <w:rPr>
                <w:sz w:val="22"/>
                <w:szCs w:val="22"/>
              </w:rPr>
              <w:t>4</w:t>
            </w:r>
            <w:r w:rsidR="00534277" w:rsidRPr="000F0E8A">
              <w:rPr>
                <w:sz w:val="22"/>
                <w:szCs w:val="22"/>
              </w:rPr>
              <w:t>10</w:t>
            </w:r>
            <w:r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</w:tcPr>
          <w:p w14:paraId="54F29861" w14:textId="14C7CB39" w:rsidR="00DF2FF2" w:rsidRPr="000F0E8A" w:rsidRDefault="00DF2FF2">
            <w:pPr>
              <w:pStyle w:val="TableParagraph"/>
              <w:kinsoku w:val="0"/>
              <w:overflowPunct w:val="0"/>
              <w:spacing w:before="0"/>
              <w:ind w:left="284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534277" w:rsidRPr="000F0E8A">
              <w:rPr>
                <w:sz w:val="22"/>
                <w:szCs w:val="22"/>
              </w:rPr>
              <w:t>700</w:t>
            </w:r>
            <w:r w:rsidRPr="000F0E8A">
              <w:rPr>
                <w:sz w:val="22"/>
                <w:szCs w:val="22"/>
              </w:rPr>
              <w:t>.00</w:t>
            </w:r>
          </w:p>
        </w:tc>
      </w:tr>
      <w:tr w:rsidR="00DF2FF2" w:rsidRPr="000F0E8A" w14:paraId="6DE25E77" w14:textId="77777777">
        <w:trPr>
          <w:trHeight w:hRule="exact" w:val="509"/>
        </w:trPr>
        <w:tc>
          <w:tcPr>
            <w:tcW w:w="224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</w:tcPr>
          <w:p w14:paraId="3D03B64C" w14:textId="77777777" w:rsidR="00DF2FF2" w:rsidRPr="000F0E8A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501-1000</w:t>
            </w:r>
          </w:p>
        </w:tc>
        <w:tc>
          <w:tcPr>
            <w:tcW w:w="203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75445F" w14:textId="292CB606" w:rsidR="00DF2FF2" w:rsidRPr="000F0E8A" w:rsidRDefault="00DF2FF2">
            <w:pPr>
              <w:pStyle w:val="TableParagraph"/>
              <w:kinsoku w:val="0"/>
              <w:overflowPunct w:val="0"/>
              <w:ind w:left="29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9D2A2A" w:rsidRPr="000F0E8A">
              <w:rPr>
                <w:sz w:val="22"/>
                <w:szCs w:val="22"/>
              </w:rPr>
              <w:t>4</w:t>
            </w:r>
            <w:r w:rsidR="00534277" w:rsidRPr="000F0E8A">
              <w:rPr>
                <w:sz w:val="22"/>
                <w:szCs w:val="22"/>
              </w:rPr>
              <w:t>10</w:t>
            </w:r>
            <w:r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CCC447" w14:textId="58CBE089" w:rsidR="00DF2FF2" w:rsidRPr="000F0E8A" w:rsidRDefault="00DF2FF2">
            <w:pPr>
              <w:pStyle w:val="TableParagraph"/>
              <w:kinsoku w:val="0"/>
              <w:overflowPunct w:val="0"/>
              <w:ind w:left="226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534277" w:rsidRPr="000F0E8A">
              <w:rPr>
                <w:sz w:val="22"/>
                <w:szCs w:val="22"/>
              </w:rPr>
              <w:t>700</w:t>
            </w:r>
            <w:r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</w:tcPr>
          <w:p w14:paraId="0592DAD9" w14:textId="4E286761" w:rsidR="00DF2FF2" w:rsidRPr="000F0E8A" w:rsidRDefault="00DF2FF2">
            <w:pPr>
              <w:pStyle w:val="TableParagraph"/>
              <w:kinsoku w:val="0"/>
              <w:overflowPunct w:val="0"/>
              <w:ind w:left="284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9D2A2A" w:rsidRPr="000F0E8A">
              <w:rPr>
                <w:sz w:val="22"/>
                <w:szCs w:val="22"/>
              </w:rPr>
              <w:t>12</w:t>
            </w:r>
            <w:r w:rsidR="00534277" w:rsidRPr="000F0E8A">
              <w:rPr>
                <w:sz w:val="22"/>
                <w:szCs w:val="22"/>
              </w:rPr>
              <w:t>25</w:t>
            </w:r>
            <w:r w:rsidRPr="000F0E8A">
              <w:rPr>
                <w:sz w:val="22"/>
                <w:szCs w:val="22"/>
              </w:rPr>
              <w:t>.00</w:t>
            </w:r>
          </w:p>
        </w:tc>
      </w:tr>
      <w:tr w:rsidR="00DF2FF2" w:rsidRPr="000F0E8A" w14:paraId="7F9F18EC" w14:textId="77777777">
        <w:trPr>
          <w:trHeight w:hRule="exact" w:val="617"/>
        </w:trPr>
        <w:tc>
          <w:tcPr>
            <w:tcW w:w="2248" w:type="dxa"/>
            <w:tcBorders>
              <w:top w:val="none" w:sz="6" w:space="0" w:color="auto"/>
              <w:left w:val="single" w:sz="4" w:space="0" w:color="DDDDDD"/>
              <w:bottom w:val="single" w:sz="4" w:space="0" w:color="DDDDDD"/>
              <w:right w:val="none" w:sz="6" w:space="0" w:color="auto"/>
            </w:tcBorders>
          </w:tcPr>
          <w:p w14:paraId="204EFECF" w14:textId="77777777" w:rsidR="00DF2FF2" w:rsidRPr="000F0E8A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1001+</w:t>
            </w:r>
          </w:p>
        </w:tc>
        <w:tc>
          <w:tcPr>
            <w:tcW w:w="2036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none" w:sz="6" w:space="0" w:color="auto"/>
            </w:tcBorders>
          </w:tcPr>
          <w:p w14:paraId="1191FD2E" w14:textId="086485A5" w:rsidR="00DF2FF2" w:rsidRPr="000F0E8A" w:rsidRDefault="00DF2FF2">
            <w:pPr>
              <w:pStyle w:val="TableParagraph"/>
              <w:kinsoku w:val="0"/>
              <w:overflowPunct w:val="0"/>
              <w:ind w:left="29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534277" w:rsidRPr="000F0E8A">
              <w:rPr>
                <w:sz w:val="22"/>
                <w:szCs w:val="22"/>
              </w:rPr>
              <w:t>700</w:t>
            </w:r>
            <w:r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426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none" w:sz="6" w:space="0" w:color="auto"/>
            </w:tcBorders>
          </w:tcPr>
          <w:p w14:paraId="28AA871C" w14:textId="47F93500" w:rsidR="00DF2FF2" w:rsidRPr="000F0E8A" w:rsidRDefault="00DF2FF2">
            <w:pPr>
              <w:pStyle w:val="TableParagraph"/>
              <w:kinsoku w:val="0"/>
              <w:overflowPunct w:val="0"/>
              <w:ind w:left="226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534277" w:rsidRPr="000F0E8A">
              <w:rPr>
                <w:sz w:val="22"/>
                <w:szCs w:val="22"/>
              </w:rPr>
              <w:t>1225.</w:t>
            </w:r>
            <w:r w:rsidRPr="000F0E8A">
              <w:rPr>
                <w:sz w:val="22"/>
                <w:szCs w:val="22"/>
              </w:rPr>
              <w:t>00</w:t>
            </w:r>
          </w:p>
        </w:tc>
        <w:tc>
          <w:tcPr>
            <w:tcW w:w="2318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single" w:sz="4" w:space="0" w:color="DDDDDD"/>
            </w:tcBorders>
          </w:tcPr>
          <w:p w14:paraId="310DF5E5" w14:textId="0C978A50" w:rsidR="00DF2FF2" w:rsidRPr="000F0E8A" w:rsidRDefault="00DF2FF2">
            <w:pPr>
              <w:pStyle w:val="TableParagraph"/>
              <w:kinsoku w:val="0"/>
              <w:overflowPunct w:val="0"/>
              <w:ind w:left="284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534277" w:rsidRPr="000F0E8A">
              <w:rPr>
                <w:sz w:val="22"/>
                <w:szCs w:val="22"/>
              </w:rPr>
              <w:t>1770</w:t>
            </w:r>
            <w:r w:rsidRPr="000F0E8A">
              <w:rPr>
                <w:sz w:val="22"/>
                <w:szCs w:val="22"/>
              </w:rPr>
              <w:t>.00</w:t>
            </w:r>
            <w:r w:rsidR="00742318" w:rsidRPr="000F0E8A">
              <w:rPr>
                <w:sz w:val="22"/>
                <w:szCs w:val="22"/>
              </w:rPr>
              <w:t>+</w:t>
            </w:r>
          </w:p>
        </w:tc>
      </w:tr>
    </w:tbl>
    <w:p w14:paraId="158C018F" w14:textId="0FED3F26" w:rsidR="00DF2FF2" w:rsidRPr="000F0E8A" w:rsidRDefault="00DF2FF2">
      <w:pPr>
        <w:pStyle w:val="BodyText"/>
        <w:kinsoku w:val="0"/>
        <w:overflowPunct w:val="0"/>
        <w:spacing w:line="278" w:lineRule="auto"/>
        <w:ind w:right="773"/>
      </w:pPr>
      <w:r w:rsidRPr="000F0E8A">
        <w:t>Note: Deposits of £</w:t>
      </w:r>
      <w:r w:rsidR="00302B0F" w:rsidRPr="000F0E8A">
        <w:t>1</w:t>
      </w:r>
      <w:r w:rsidR="005C3C24" w:rsidRPr="000F0E8A">
        <w:t>7</w:t>
      </w:r>
      <w:r w:rsidR="00534277" w:rsidRPr="000F0E8A">
        <w:t>7</w:t>
      </w:r>
      <w:r w:rsidR="005C3C24" w:rsidRPr="000F0E8A">
        <w:t>0</w:t>
      </w:r>
      <w:r w:rsidRPr="000F0E8A">
        <w:t>.00+ are negotiable dependent on event. Subject to no damage being caused to the site the deposit will be returned.</w:t>
      </w:r>
    </w:p>
    <w:p w14:paraId="37248D1D" w14:textId="77777777" w:rsidR="00DF2FF2" w:rsidRPr="000F0E8A" w:rsidRDefault="00DF2FF2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14:paraId="750E5C06" w14:textId="77777777" w:rsidR="004F6228" w:rsidRPr="000F0E8A" w:rsidRDefault="004F6228">
      <w:pPr>
        <w:pStyle w:val="BodyText"/>
        <w:kinsoku w:val="0"/>
        <w:overflowPunct w:val="0"/>
        <w:spacing w:before="3"/>
        <w:ind w:left="0"/>
        <w:rPr>
          <w:sz w:val="16"/>
          <w:szCs w:val="16"/>
        </w:rPr>
      </w:pPr>
    </w:p>
    <w:p w14:paraId="42ED4379" w14:textId="77777777" w:rsidR="00DF2FF2" w:rsidRPr="000F0E8A" w:rsidRDefault="00DF2FF2">
      <w:pPr>
        <w:pStyle w:val="Heading1"/>
        <w:kinsoku w:val="0"/>
        <w:overflowPunct w:val="0"/>
      </w:pPr>
      <w:r w:rsidRPr="000F0E8A">
        <w:t>Hire Charges</w:t>
      </w:r>
    </w:p>
    <w:p w14:paraId="23424503" w14:textId="4014E762" w:rsidR="00DF2FF2" w:rsidRPr="000F0E8A" w:rsidRDefault="00DF2FF2">
      <w:pPr>
        <w:pStyle w:val="BodyText"/>
        <w:kinsoku w:val="0"/>
        <w:overflowPunct w:val="0"/>
        <w:spacing w:before="265"/>
      </w:pPr>
      <w:r w:rsidRPr="000F0E8A">
        <w:t>There is a £</w:t>
      </w:r>
      <w:r w:rsidR="00534277" w:rsidRPr="000F0E8A">
        <w:t>60</w:t>
      </w:r>
      <w:r w:rsidR="0053576F" w:rsidRPr="000F0E8A">
        <w:t>.00</w:t>
      </w:r>
      <w:r w:rsidR="00412E61" w:rsidRPr="000F0E8A">
        <w:t xml:space="preserve"> </w:t>
      </w:r>
      <w:r w:rsidRPr="000F0E8A">
        <w:t>administration charge for all events.</w:t>
      </w:r>
    </w:p>
    <w:p w14:paraId="405E4594" w14:textId="77777777" w:rsidR="00DF2FF2" w:rsidRPr="000F0E8A" w:rsidRDefault="00DF2FF2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</w:p>
    <w:p w14:paraId="7BA00F29" w14:textId="77777777" w:rsidR="00DF2FF2" w:rsidRPr="000F0E8A" w:rsidRDefault="00DF2FF2">
      <w:pPr>
        <w:pStyle w:val="BodyText"/>
        <w:kinsoku w:val="0"/>
        <w:overflowPunct w:val="0"/>
        <w:spacing w:before="1" w:line="276" w:lineRule="auto"/>
        <w:ind w:right="326"/>
      </w:pPr>
      <w:r w:rsidRPr="000F0E8A">
        <w:t>Commercial and non-charity events will be charged a hire fee. There is no daily hire charge for fundraising events organised by registered charities. Organisers must provide their charity number to be eligible for this exemption.</w:t>
      </w:r>
    </w:p>
    <w:p w14:paraId="46729447" w14:textId="77777777" w:rsidR="00DF2FF2" w:rsidRPr="000F0E8A" w:rsidRDefault="00DF2FF2">
      <w:pPr>
        <w:pStyle w:val="BodyText"/>
        <w:kinsoku w:val="0"/>
        <w:overflowPunct w:val="0"/>
        <w:spacing w:before="197" w:line="278" w:lineRule="auto"/>
        <w:ind w:right="248"/>
      </w:pPr>
      <w:r w:rsidRPr="000F0E8A">
        <w:t>Space usage is relevant to how big the area to be used for an event is. This should be indicated on a site plan when organisers apply to hire land.</w:t>
      </w:r>
    </w:p>
    <w:p w14:paraId="34AF2F5A" w14:textId="361D07D3" w:rsidR="00DF2FF2" w:rsidRPr="000F0E8A" w:rsidRDefault="00DF2FF2">
      <w:pPr>
        <w:pStyle w:val="BodyText"/>
        <w:kinsoku w:val="0"/>
        <w:overflowPunct w:val="0"/>
        <w:spacing w:before="196"/>
      </w:pPr>
      <w:r w:rsidRPr="000F0E8A">
        <w:t xml:space="preserve">Please note, the prices below will apply to events taking place from 1 April </w:t>
      </w:r>
      <w:r w:rsidR="00302B0F" w:rsidRPr="000F0E8A">
        <w:t>202</w:t>
      </w:r>
      <w:r w:rsidR="001632C8" w:rsidRPr="000F0E8A">
        <w:t>5</w:t>
      </w:r>
      <w:r w:rsidR="00302B0F" w:rsidRPr="000F0E8A">
        <w:t xml:space="preserve"> </w:t>
      </w:r>
      <w:r w:rsidR="00877BDD" w:rsidRPr="000F0E8A">
        <w:t>to 31 March 202</w:t>
      </w:r>
      <w:r w:rsidR="001632C8" w:rsidRPr="000F0E8A">
        <w:t>6</w:t>
      </w:r>
      <w:r w:rsidRPr="000F0E8A">
        <w:t>.</w:t>
      </w:r>
    </w:p>
    <w:p w14:paraId="3FB85514" w14:textId="77777777" w:rsidR="00DF2FF2" w:rsidRPr="000F0E8A" w:rsidRDefault="00DF2FF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8"/>
        <w:gridCol w:w="2121"/>
        <w:gridCol w:w="2394"/>
        <w:gridCol w:w="2325"/>
      </w:tblGrid>
      <w:tr w:rsidR="00DF2FF2" w:rsidRPr="000F0E8A" w14:paraId="266AB4A4" w14:textId="77777777">
        <w:trPr>
          <w:trHeight w:hRule="exact" w:val="408"/>
        </w:trPr>
        <w:tc>
          <w:tcPr>
            <w:tcW w:w="21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1DA4C1C0" w14:textId="77777777" w:rsidR="00DF2FF2" w:rsidRPr="000F0E8A" w:rsidRDefault="00DF2FF2">
            <w:pPr>
              <w:pStyle w:val="TableParagraph"/>
              <w:kinsoku w:val="0"/>
              <w:overflowPunct w:val="0"/>
              <w:spacing w:before="0" w:line="268" w:lineRule="exact"/>
              <w:rPr>
                <w:rFonts w:ascii="Times New Roman" w:hAnsi="Times New Roman" w:cs="Times New Roman"/>
                <w:b/>
              </w:rPr>
            </w:pPr>
            <w:r w:rsidRPr="000F0E8A">
              <w:rPr>
                <w:b/>
                <w:sz w:val="22"/>
                <w:szCs w:val="22"/>
              </w:rPr>
              <w:t>Hiring land charges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54A9A24A" w14:textId="77777777" w:rsidR="00DF2FF2" w:rsidRPr="000F0E8A" w:rsidRDefault="00DF2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0AC3CBED" w14:textId="77777777" w:rsidR="00DF2FF2" w:rsidRPr="000F0E8A" w:rsidRDefault="00DF2F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1472EAD0" w14:textId="77777777" w:rsidR="00DF2FF2" w:rsidRPr="000F0E8A" w:rsidRDefault="00DF2FF2">
            <w:pPr>
              <w:rPr>
                <w:rFonts w:ascii="Times New Roman" w:hAnsi="Times New Roman" w:cs="Times New Roman"/>
              </w:rPr>
            </w:pPr>
          </w:p>
          <w:p w14:paraId="17A6EB62" w14:textId="77777777" w:rsidR="004F6228" w:rsidRPr="000F0E8A" w:rsidRDefault="004F6228">
            <w:pPr>
              <w:rPr>
                <w:rFonts w:ascii="Times New Roman" w:hAnsi="Times New Roman" w:cs="Times New Roman"/>
              </w:rPr>
            </w:pPr>
          </w:p>
          <w:p w14:paraId="79A0BC74" w14:textId="77777777" w:rsidR="004F6228" w:rsidRPr="000F0E8A" w:rsidRDefault="004F6228">
            <w:pPr>
              <w:rPr>
                <w:rFonts w:ascii="Times New Roman" w:hAnsi="Times New Roman" w:cs="Times New Roman"/>
              </w:rPr>
            </w:pPr>
          </w:p>
        </w:tc>
      </w:tr>
      <w:tr w:rsidR="00DF2FF2" w:rsidRPr="000F0E8A" w14:paraId="6626C7FB" w14:textId="77777777">
        <w:trPr>
          <w:trHeight w:hRule="exact" w:val="610"/>
        </w:trPr>
        <w:tc>
          <w:tcPr>
            <w:tcW w:w="218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66A0ACDA" w14:textId="77777777" w:rsidR="00DF2FF2" w:rsidRPr="000F0E8A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0F0E8A">
              <w:rPr>
                <w:b/>
                <w:bCs/>
                <w:sz w:val="22"/>
                <w:szCs w:val="22"/>
              </w:rPr>
              <w:t>Expected Attendance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3D1406A8" w14:textId="77777777" w:rsidR="00DF2FF2" w:rsidRPr="000F0E8A" w:rsidRDefault="00DF2FF2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 w:rsidRPr="000F0E8A">
              <w:rPr>
                <w:b/>
                <w:bCs/>
                <w:sz w:val="22"/>
                <w:szCs w:val="22"/>
              </w:rPr>
              <w:t>Small Space Usage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DEDED"/>
          </w:tcPr>
          <w:p w14:paraId="44501E3E" w14:textId="77777777" w:rsidR="00DF2FF2" w:rsidRPr="000F0E8A" w:rsidRDefault="00DF2FF2">
            <w:pPr>
              <w:pStyle w:val="TableParagraph"/>
              <w:kinsoku w:val="0"/>
              <w:overflowPunct w:val="0"/>
              <w:ind w:left="199"/>
              <w:rPr>
                <w:rFonts w:ascii="Times New Roman" w:hAnsi="Times New Roman" w:cs="Times New Roman"/>
              </w:rPr>
            </w:pPr>
            <w:r w:rsidRPr="000F0E8A">
              <w:rPr>
                <w:b/>
                <w:bCs/>
                <w:sz w:val="22"/>
                <w:szCs w:val="22"/>
              </w:rPr>
              <w:t>Medium Space Usage</w:t>
            </w: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  <w:shd w:val="clear" w:color="auto" w:fill="EDEDED"/>
          </w:tcPr>
          <w:p w14:paraId="50A507BD" w14:textId="77777777" w:rsidR="00DF2FF2" w:rsidRPr="000F0E8A" w:rsidRDefault="00DF2FF2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 w:rsidRPr="000F0E8A">
              <w:rPr>
                <w:b/>
                <w:bCs/>
                <w:sz w:val="22"/>
                <w:szCs w:val="22"/>
              </w:rPr>
              <w:t>Large Space Usage</w:t>
            </w:r>
          </w:p>
        </w:tc>
      </w:tr>
      <w:tr w:rsidR="00DF2FF2" w:rsidRPr="000F0E8A" w14:paraId="3D1DBFD0" w14:textId="77777777">
        <w:trPr>
          <w:trHeight w:hRule="exact" w:val="408"/>
        </w:trPr>
        <w:tc>
          <w:tcPr>
            <w:tcW w:w="218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</w:tcPr>
          <w:p w14:paraId="78D2DEB8" w14:textId="77777777" w:rsidR="00DF2FF2" w:rsidRPr="000F0E8A" w:rsidRDefault="00DF2FF2">
            <w:pPr>
              <w:pStyle w:val="TableParagraph"/>
              <w:kinsoku w:val="0"/>
              <w:overflowPunct w:val="0"/>
              <w:spacing w:before="0" w:line="268" w:lineRule="exact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1-500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B72052" w14:textId="2288834D" w:rsidR="00DF2FF2" w:rsidRPr="000F0E8A" w:rsidRDefault="00DF2FF2" w:rsidP="00877BDD">
            <w:pPr>
              <w:pStyle w:val="TableParagraph"/>
              <w:kinsoku w:val="0"/>
              <w:overflowPunct w:val="0"/>
              <w:spacing w:before="0" w:line="268" w:lineRule="exact"/>
              <w:ind w:left="23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27</w:t>
            </w:r>
            <w:r w:rsidR="00534277" w:rsidRPr="000F0E8A">
              <w:rPr>
                <w:sz w:val="22"/>
                <w:szCs w:val="22"/>
              </w:rPr>
              <w:t>5</w:t>
            </w:r>
            <w:r w:rsidR="00877BDD" w:rsidRPr="000F0E8A">
              <w:rPr>
                <w:sz w:val="22"/>
                <w:szCs w:val="22"/>
              </w:rPr>
              <w:t>.</w:t>
            </w:r>
            <w:r w:rsidR="00024F9E" w:rsidRPr="000F0E8A">
              <w:rPr>
                <w:sz w:val="22"/>
                <w:szCs w:val="22"/>
              </w:rPr>
              <w:t>00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5FBDC9" w14:textId="3AE980E7" w:rsidR="00DF2FF2" w:rsidRPr="000F0E8A" w:rsidRDefault="00877BDD" w:rsidP="00E8245C">
            <w:pPr>
              <w:pStyle w:val="TableParagraph"/>
              <w:kinsoku w:val="0"/>
              <w:overflowPunct w:val="0"/>
              <w:spacing w:before="0" w:line="268" w:lineRule="exact"/>
              <w:ind w:left="199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4</w:t>
            </w:r>
            <w:r w:rsidR="00534277" w:rsidRPr="000F0E8A">
              <w:rPr>
                <w:sz w:val="22"/>
                <w:szCs w:val="22"/>
              </w:rPr>
              <w:t>10</w:t>
            </w:r>
            <w:r w:rsidR="00DF2FF2"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</w:tcPr>
          <w:p w14:paraId="7C00933F" w14:textId="253C4ABD" w:rsidR="00DF2FF2" w:rsidRPr="000F0E8A" w:rsidRDefault="00DF2FF2" w:rsidP="00877BDD">
            <w:pPr>
              <w:pStyle w:val="TableParagraph"/>
              <w:kinsoku w:val="0"/>
              <w:overflowPunct w:val="0"/>
              <w:spacing w:before="0" w:line="268" w:lineRule="exact"/>
              <w:ind w:left="23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5</w:t>
            </w:r>
            <w:r w:rsidR="00534277" w:rsidRPr="000F0E8A">
              <w:rPr>
                <w:sz w:val="22"/>
                <w:szCs w:val="22"/>
              </w:rPr>
              <w:t>55</w:t>
            </w:r>
            <w:r w:rsidRPr="000F0E8A">
              <w:rPr>
                <w:sz w:val="22"/>
                <w:szCs w:val="22"/>
              </w:rPr>
              <w:t>.00</w:t>
            </w:r>
          </w:p>
        </w:tc>
      </w:tr>
      <w:tr w:rsidR="00DF2FF2" w:rsidRPr="000F0E8A" w14:paraId="7886EFD9" w14:textId="77777777">
        <w:trPr>
          <w:trHeight w:hRule="exact" w:val="509"/>
        </w:trPr>
        <w:tc>
          <w:tcPr>
            <w:tcW w:w="2188" w:type="dxa"/>
            <w:tcBorders>
              <w:top w:val="none" w:sz="6" w:space="0" w:color="auto"/>
              <w:left w:val="single" w:sz="4" w:space="0" w:color="DDDDDD"/>
              <w:bottom w:val="none" w:sz="6" w:space="0" w:color="auto"/>
              <w:right w:val="none" w:sz="6" w:space="0" w:color="auto"/>
            </w:tcBorders>
          </w:tcPr>
          <w:p w14:paraId="39546601" w14:textId="77777777" w:rsidR="00DF2FF2" w:rsidRPr="000F0E8A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501-1000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DA0D3A" w14:textId="67C9090C" w:rsidR="00DF2FF2" w:rsidRPr="000F0E8A" w:rsidRDefault="00DF2FF2" w:rsidP="00877BDD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4</w:t>
            </w:r>
            <w:r w:rsidR="00534277" w:rsidRPr="000F0E8A">
              <w:rPr>
                <w:sz w:val="22"/>
                <w:szCs w:val="22"/>
              </w:rPr>
              <w:t>10</w:t>
            </w:r>
            <w:r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3A543E" w14:textId="7422E251" w:rsidR="00DF2FF2" w:rsidRPr="000F0E8A" w:rsidRDefault="00DF2FF2" w:rsidP="00877BDD">
            <w:pPr>
              <w:pStyle w:val="TableParagraph"/>
              <w:kinsoku w:val="0"/>
              <w:overflowPunct w:val="0"/>
              <w:ind w:left="199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5</w:t>
            </w:r>
            <w:r w:rsidR="00534277" w:rsidRPr="000F0E8A">
              <w:rPr>
                <w:sz w:val="22"/>
                <w:szCs w:val="22"/>
              </w:rPr>
              <w:t>55</w:t>
            </w:r>
            <w:r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DDDDDD"/>
            </w:tcBorders>
          </w:tcPr>
          <w:p w14:paraId="5DBEB732" w14:textId="119A4924" w:rsidR="00DF2FF2" w:rsidRPr="000F0E8A" w:rsidRDefault="00DF2FF2" w:rsidP="00877BDD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8</w:t>
            </w:r>
            <w:r w:rsidR="00534277" w:rsidRPr="000F0E8A">
              <w:rPr>
                <w:sz w:val="22"/>
                <w:szCs w:val="22"/>
              </w:rPr>
              <w:t>20</w:t>
            </w:r>
            <w:r w:rsidRPr="000F0E8A">
              <w:rPr>
                <w:sz w:val="22"/>
                <w:szCs w:val="22"/>
              </w:rPr>
              <w:t>.00</w:t>
            </w:r>
          </w:p>
        </w:tc>
      </w:tr>
      <w:tr w:rsidR="00DF2FF2" w:rsidRPr="000F0E8A" w14:paraId="742D6227" w14:textId="77777777">
        <w:trPr>
          <w:trHeight w:hRule="exact" w:val="617"/>
        </w:trPr>
        <w:tc>
          <w:tcPr>
            <w:tcW w:w="2188" w:type="dxa"/>
            <w:tcBorders>
              <w:top w:val="none" w:sz="6" w:space="0" w:color="auto"/>
              <w:left w:val="single" w:sz="4" w:space="0" w:color="DDDDDD"/>
              <w:bottom w:val="single" w:sz="4" w:space="0" w:color="DDDDDD"/>
              <w:right w:val="none" w:sz="6" w:space="0" w:color="auto"/>
            </w:tcBorders>
          </w:tcPr>
          <w:p w14:paraId="6BAC4D3E" w14:textId="77777777" w:rsidR="00DF2FF2" w:rsidRPr="000F0E8A" w:rsidRDefault="00DF2FF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1001+</w:t>
            </w:r>
          </w:p>
        </w:tc>
        <w:tc>
          <w:tcPr>
            <w:tcW w:w="2121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none" w:sz="6" w:space="0" w:color="auto"/>
            </w:tcBorders>
          </w:tcPr>
          <w:p w14:paraId="4C1C35A4" w14:textId="12BEBDB5" w:rsidR="00DF2FF2" w:rsidRPr="000F0E8A" w:rsidRDefault="00DF2FF2" w:rsidP="00877BDD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5</w:t>
            </w:r>
            <w:r w:rsidR="00534277" w:rsidRPr="000F0E8A">
              <w:rPr>
                <w:sz w:val="22"/>
                <w:szCs w:val="22"/>
              </w:rPr>
              <w:t>55</w:t>
            </w:r>
            <w:r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394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none" w:sz="6" w:space="0" w:color="auto"/>
            </w:tcBorders>
          </w:tcPr>
          <w:p w14:paraId="7142A0A1" w14:textId="031A38CD" w:rsidR="00DF2FF2" w:rsidRPr="000F0E8A" w:rsidRDefault="00DF2FF2" w:rsidP="00877BDD">
            <w:pPr>
              <w:pStyle w:val="TableParagraph"/>
              <w:kinsoku w:val="0"/>
              <w:overflowPunct w:val="0"/>
              <w:ind w:left="199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8</w:t>
            </w:r>
            <w:r w:rsidR="00534277" w:rsidRPr="000F0E8A">
              <w:rPr>
                <w:sz w:val="22"/>
                <w:szCs w:val="22"/>
              </w:rPr>
              <w:t>20</w:t>
            </w:r>
            <w:r w:rsidRPr="000F0E8A">
              <w:rPr>
                <w:sz w:val="22"/>
                <w:szCs w:val="22"/>
              </w:rPr>
              <w:t>.00</w:t>
            </w:r>
          </w:p>
        </w:tc>
        <w:tc>
          <w:tcPr>
            <w:tcW w:w="2325" w:type="dxa"/>
            <w:tcBorders>
              <w:top w:val="none" w:sz="6" w:space="0" w:color="auto"/>
              <w:left w:val="none" w:sz="6" w:space="0" w:color="auto"/>
              <w:bottom w:val="single" w:sz="4" w:space="0" w:color="DDDDDD"/>
              <w:right w:val="single" w:sz="4" w:space="0" w:color="DDDDDD"/>
            </w:tcBorders>
          </w:tcPr>
          <w:p w14:paraId="24192857" w14:textId="0D45467A" w:rsidR="00DF2FF2" w:rsidRPr="000F0E8A" w:rsidRDefault="00DF2FF2" w:rsidP="00877BDD">
            <w:pPr>
              <w:pStyle w:val="TableParagraph"/>
              <w:kinsoku w:val="0"/>
              <w:overflowPunct w:val="0"/>
              <w:ind w:left="231"/>
              <w:rPr>
                <w:rFonts w:ascii="Times New Roman" w:hAnsi="Times New Roman" w:cs="Times New Roman"/>
              </w:rPr>
            </w:pPr>
            <w:r w:rsidRPr="000F0E8A">
              <w:rPr>
                <w:sz w:val="22"/>
                <w:szCs w:val="22"/>
              </w:rPr>
              <w:t>£</w:t>
            </w:r>
            <w:r w:rsidR="000C676D" w:rsidRPr="000F0E8A">
              <w:rPr>
                <w:sz w:val="22"/>
                <w:szCs w:val="22"/>
              </w:rPr>
              <w:t>1</w:t>
            </w:r>
            <w:r w:rsidR="00534277" w:rsidRPr="000F0E8A">
              <w:rPr>
                <w:sz w:val="22"/>
                <w:szCs w:val="22"/>
              </w:rPr>
              <w:t>10</w:t>
            </w:r>
            <w:r w:rsidR="000C676D" w:rsidRPr="000F0E8A">
              <w:rPr>
                <w:sz w:val="22"/>
                <w:szCs w:val="22"/>
              </w:rPr>
              <w:t>0</w:t>
            </w:r>
            <w:r w:rsidRPr="000F0E8A">
              <w:rPr>
                <w:sz w:val="22"/>
                <w:szCs w:val="22"/>
              </w:rPr>
              <w:t>.00+</w:t>
            </w:r>
          </w:p>
        </w:tc>
      </w:tr>
    </w:tbl>
    <w:p w14:paraId="0C1B5620" w14:textId="0A3C0FC5" w:rsidR="00DF2FF2" w:rsidRPr="000F0E8A" w:rsidRDefault="00DF2FF2">
      <w:pPr>
        <w:pStyle w:val="BodyText"/>
        <w:kinsoku w:val="0"/>
        <w:overflowPunct w:val="0"/>
      </w:pPr>
      <w:r w:rsidRPr="000F0E8A">
        <w:t>Set up and take down days are also £</w:t>
      </w:r>
      <w:r w:rsidR="00534277" w:rsidRPr="000F0E8A">
        <w:t>265.</w:t>
      </w:r>
      <w:r w:rsidR="000C676D" w:rsidRPr="000F0E8A">
        <w:t>00</w:t>
      </w:r>
      <w:r w:rsidRPr="000F0E8A">
        <w:t xml:space="preserve"> per day.</w:t>
      </w:r>
    </w:p>
    <w:p w14:paraId="0FC3C918" w14:textId="77777777" w:rsidR="00DF2FF2" w:rsidRPr="000F0E8A" w:rsidRDefault="00DF2FF2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65064B6C" w14:textId="60100351" w:rsidR="00DF2FF2" w:rsidRDefault="00877BDD">
      <w:pPr>
        <w:pStyle w:val="BodyText"/>
        <w:kinsoku w:val="0"/>
        <w:overflowPunct w:val="0"/>
      </w:pPr>
      <w:r w:rsidRPr="000F0E8A">
        <w:t>Note: Daily rates of £</w:t>
      </w:r>
      <w:r w:rsidR="005C3C24" w:rsidRPr="000F0E8A">
        <w:t>1</w:t>
      </w:r>
      <w:r w:rsidR="00534277" w:rsidRPr="000F0E8A">
        <w:t>100</w:t>
      </w:r>
      <w:r w:rsidR="005C3C24" w:rsidRPr="000F0E8A">
        <w:t>.</w:t>
      </w:r>
      <w:r w:rsidRPr="000F0E8A">
        <w:t>0</w:t>
      </w:r>
      <w:r w:rsidR="00DF2FF2" w:rsidRPr="000F0E8A">
        <w:t>0+ are negotiable dependent on event.</w:t>
      </w:r>
    </w:p>
    <w:sectPr w:rsidR="00DF2FF2" w:rsidSect="00720E16">
      <w:headerReference w:type="default" r:id="rId6"/>
      <w:type w:val="continuous"/>
      <w:pgSz w:w="11910" w:h="16840"/>
      <w:pgMar w:top="851" w:right="1320" w:bottom="280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169E" w14:textId="77777777" w:rsidR="00720E16" w:rsidRDefault="00720E16" w:rsidP="00720E16">
      <w:r>
        <w:separator/>
      </w:r>
    </w:p>
  </w:endnote>
  <w:endnote w:type="continuationSeparator" w:id="0">
    <w:p w14:paraId="20B616E2" w14:textId="77777777" w:rsidR="00720E16" w:rsidRDefault="00720E16" w:rsidP="0072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DC8D" w14:textId="77777777" w:rsidR="00720E16" w:rsidRDefault="00720E16" w:rsidP="00720E16">
      <w:r>
        <w:separator/>
      </w:r>
    </w:p>
  </w:footnote>
  <w:footnote w:type="continuationSeparator" w:id="0">
    <w:p w14:paraId="4E4F1666" w14:textId="77777777" w:rsidR="00720E16" w:rsidRDefault="00720E16" w:rsidP="0072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9A19" w14:textId="3FAB6C29" w:rsidR="00720E16" w:rsidRDefault="00855164">
    <w:pPr>
      <w:pStyle w:val="Header"/>
    </w:pPr>
    <w:r>
      <w:rPr>
        <w:noProof/>
      </w:rPr>
      <w:drawing>
        <wp:inline distT="0" distB="0" distL="0" distR="0" wp14:anchorId="3ED2ED6E" wp14:editId="618D41AF">
          <wp:extent cx="6576060" cy="1302385"/>
          <wp:effectExtent l="0" t="0" r="0" b="0"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60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CA"/>
    <w:rsid w:val="00024F9E"/>
    <w:rsid w:val="000C676D"/>
    <w:rsid w:val="000F0E8A"/>
    <w:rsid w:val="001632C8"/>
    <w:rsid w:val="002514F3"/>
    <w:rsid w:val="00302B0F"/>
    <w:rsid w:val="00412E61"/>
    <w:rsid w:val="00447D1B"/>
    <w:rsid w:val="004F6228"/>
    <w:rsid w:val="004F7835"/>
    <w:rsid w:val="00501426"/>
    <w:rsid w:val="00534277"/>
    <w:rsid w:val="0053576F"/>
    <w:rsid w:val="00567F22"/>
    <w:rsid w:val="005C3C24"/>
    <w:rsid w:val="00720E16"/>
    <w:rsid w:val="00742318"/>
    <w:rsid w:val="00780C6B"/>
    <w:rsid w:val="007D2792"/>
    <w:rsid w:val="008204AC"/>
    <w:rsid w:val="00824527"/>
    <w:rsid w:val="00855164"/>
    <w:rsid w:val="00877BDD"/>
    <w:rsid w:val="00902869"/>
    <w:rsid w:val="009D2A2A"/>
    <w:rsid w:val="00A95CCA"/>
    <w:rsid w:val="00B265C8"/>
    <w:rsid w:val="00B45A2D"/>
    <w:rsid w:val="00D958E6"/>
    <w:rsid w:val="00DF2FF2"/>
    <w:rsid w:val="00E8245C"/>
    <w:rsid w:val="00F9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4DC5D8D"/>
  <w14:defaultImageDpi w14:val="0"/>
  <w15:docId w15:val="{EDEE0916-2D72-43C5-9C2A-9C382678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20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  <w:style w:type="paragraph" w:styleId="Header">
    <w:name w:val="header"/>
    <w:basedOn w:val="Normal"/>
    <w:link w:val="HeaderChar"/>
    <w:uiPriority w:val="99"/>
    <w:rsid w:val="00720E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E16"/>
    <w:rPr>
      <w:rFonts w:ascii="Calibri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0E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E16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1413</Characters>
  <Application>Microsoft Office Word</Application>
  <DocSecurity>0</DocSecurity>
  <Lines>11</Lines>
  <Paragraphs>3</Paragraphs>
  <ScaleCrop>false</ScaleCrop>
  <Company>Chichester District Council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Baker</dc:creator>
  <cp:keywords/>
  <dc:description/>
  <cp:lastModifiedBy>Barbara Brooks-Smith</cp:lastModifiedBy>
  <cp:revision>7</cp:revision>
  <cp:lastPrinted>2016-12-07T13:31:00Z</cp:lastPrinted>
  <dcterms:created xsi:type="dcterms:W3CDTF">2024-02-01T10:32:00Z</dcterms:created>
  <dcterms:modified xsi:type="dcterms:W3CDTF">2025-01-28T11:35:00Z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