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4C5EEDF5" w:rsidR="00D10522" w:rsidRPr="006B392C" w:rsidRDefault="00A46D61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Wisborough Green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25C9550F" w:rsidR="00D064B7" w:rsidRPr="00420CB4" w:rsidRDefault="00A46D61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21,972.03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46699753" w:rsidR="009A13B5" w:rsidRPr="000556E4" w:rsidRDefault="00A46D61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10,000</w:t>
            </w:r>
            <w:r w:rsidR="008B04EE" w:rsidRPr="00A926B1">
              <w:rPr>
                <w:sz w:val="24"/>
              </w:rPr>
              <w:t>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1304"/>
        <w:gridCol w:w="1247"/>
        <w:gridCol w:w="1843"/>
        <w:gridCol w:w="1134"/>
        <w:gridCol w:w="1418"/>
      </w:tblGrid>
      <w:tr w:rsidR="00AC5BB8" w:rsidRPr="00AC5BB8" w14:paraId="4BD3DBE3" w14:textId="77777777" w:rsidTr="00312FBC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312FBC">
        <w:trPr>
          <w:trHeight w:val="454"/>
        </w:trPr>
        <w:tc>
          <w:tcPr>
            <w:tcW w:w="993" w:type="dxa"/>
          </w:tcPr>
          <w:p w14:paraId="19A7745A" w14:textId="77777777" w:rsidR="00AC5BB8" w:rsidRPr="00312FBC" w:rsidRDefault="00AC5BB8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8" w:type="dxa"/>
          </w:tcPr>
          <w:p w14:paraId="48274EDA" w14:textId="37D0FA70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09" w:type="dxa"/>
          </w:tcPr>
          <w:p w14:paraId="2708D6D7" w14:textId="08B2E70A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IBP/1163</w:t>
            </w:r>
          </w:p>
        </w:tc>
        <w:tc>
          <w:tcPr>
            <w:tcW w:w="1843" w:type="dxa"/>
          </w:tcPr>
          <w:p w14:paraId="1926C130" w14:textId="4AA68472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Cricket net area extended to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improve the provision of 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lastRenderedPageBreak/>
              <w:t xml:space="preserve">informal 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>activities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for younger residents on the village </w:t>
            </w:r>
            <w:r w:rsidR="00312FBC"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>green. Provision of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new junior football goal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>/basketball</w:t>
            </w:r>
            <w:r w:rsidR="00312FBC"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net</w:t>
            </w:r>
            <w:r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combination</w:t>
            </w:r>
            <w:r w:rsidR="00312FBC" w:rsidRPr="00312FB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&amp; relocation of existing basketball net to create a mini court</w:t>
            </w:r>
          </w:p>
        </w:tc>
        <w:tc>
          <w:tcPr>
            <w:tcW w:w="1304" w:type="dxa"/>
          </w:tcPr>
          <w:p w14:paraId="7ECE020F" w14:textId="240C5152" w:rsidR="00AC5BB8" w:rsidRPr="00312FBC" w:rsidRDefault="00312FBC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lastRenderedPageBreak/>
              <w:t>14,703.61</w:t>
            </w:r>
          </w:p>
        </w:tc>
        <w:tc>
          <w:tcPr>
            <w:tcW w:w="1247" w:type="dxa"/>
          </w:tcPr>
          <w:p w14:paraId="4031FF6C" w14:textId="0922028A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10,000.00</w:t>
            </w:r>
          </w:p>
        </w:tc>
        <w:tc>
          <w:tcPr>
            <w:tcW w:w="1843" w:type="dxa"/>
          </w:tcPr>
          <w:p w14:paraId="28F7A915" w14:textId="0141B015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Precept</w:t>
            </w:r>
          </w:p>
          <w:p w14:paraId="5920A361" w14:textId="500CB8C5" w:rsidR="00A46D61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 xml:space="preserve">CDC Grant </w:t>
            </w:r>
          </w:p>
        </w:tc>
        <w:tc>
          <w:tcPr>
            <w:tcW w:w="1134" w:type="dxa"/>
          </w:tcPr>
          <w:p w14:paraId="5428B593" w14:textId="07451BA1" w:rsidR="00AC5BB8" w:rsidRPr="00312FBC" w:rsidRDefault="00312FBC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4,703.61</w:t>
            </w:r>
          </w:p>
        </w:tc>
        <w:tc>
          <w:tcPr>
            <w:tcW w:w="1418" w:type="dxa"/>
          </w:tcPr>
          <w:p w14:paraId="38CAB37A" w14:textId="2825B061" w:rsidR="00AC5BB8" w:rsidRPr="00312FBC" w:rsidRDefault="00A46D61" w:rsidP="00AC5BB8">
            <w:pPr>
              <w:rPr>
                <w:rFonts w:asciiTheme="minorHAnsi" w:hAnsiTheme="minorHAnsi" w:cstheme="minorHAnsi"/>
              </w:rPr>
            </w:pPr>
            <w:r w:rsidRPr="00312FBC">
              <w:rPr>
                <w:rFonts w:asciiTheme="minorHAnsi" w:hAnsiTheme="minorHAnsi" w:cstheme="minorHAnsi"/>
              </w:rPr>
              <w:t>YES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a notice served in accordance with regulation 59E in any year that </w:t>
      </w:r>
      <w:r w:rsidRPr="00CA6571">
        <w:rPr>
          <w:sz w:val="20"/>
        </w:rPr>
        <w:lastRenderedPageBreak/>
        <w:t>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4A6808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12FBC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A6808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46D61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Louise Davies</cp:lastModifiedBy>
  <cp:revision>4</cp:revision>
  <cp:lastPrinted>2022-10-04T13:30:00Z</cp:lastPrinted>
  <dcterms:created xsi:type="dcterms:W3CDTF">2024-03-07T12:02:00Z</dcterms:created>
  <dcterms:modified xsi:type="dcterms:W3CDTF">2024-04-04T11:22:00Z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