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501DF" w14:textId="77777777" w:rsidR="00286548" w:rsidRDefault="0028654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492"/>
      </w:tblGrid>
      <w:tr w:rsidR="00286548" w14:paraId="5830C309" w14:textId="77777777" w:rsidTr="00DB6C32">
        <w:trPr>
          <w:trHeight w:val="5093"/>
        </w:trPr>
        <w:tc>
          <w:tcPr>
            <w:tcW w:w="5524" w:type="dxa"/>
          </w:tcPr>
          <w:p w14:paraId="3F3A4510" w14:textId="77777777" w:rsidR="00286548" w:rsidRDefault="00286548" w:rsidP="00286548">
            <w:pPr>
              <w:ind w:left="-829"/>
              <w:jc w:val="right"/>
            </w:pPr>
          </w:p>
        </w:tc>
        <w:tc>
          <w:tcPr>
            <w:tcW w:w="3492" w:type="dxa"/>
          </w:tcPr>
          <w:p w14:paraId="397853B9" w14:textId="0536E066" w:rsidR="00286548" w:rsidRDefault="00286548" w:rsidP="00113DAB">
            <w:pPr>
              <w:jc w:val="right"/>
            </w:pPr>
            <w:r>
              <w:rPr>
                <w:noProof/>
              </w:rPr>
              <w:drawing>
                <wp:inline distT="0" distB="0" distL="0" distR="0" wp14:anchorId="254B4B4D" wp14:editId="118BBBD9">
                  <wp:extent cx="2049780" cy="705108"/>
                  <wp:effectExtent l="0" t="0" r="7620" b="0"/>
                  <wp:docPr id="2" name="Picture 2" descr="Ricardo 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icardo company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60799" cy="708898"/>
                          </a:xfrm>
                          <a:prstGeom prst="rect">
                            <a:avLst/>
                          </a:prstGeom>
                        </pic:spPr>
                      </pic:pic>
                    </a:graphicData>
                  </a:graphic>
                </wp:inline>
              </w:drawing>
            </w:r>
          </w:p>
        </w:tc>
      </w:tr>
      <w:tr w:rsidR="00286548" w14:paraId="49B505F4" w14:textId="77777777" w:rsidTr="00DB6C32">
        <w:trPr>
          <w:trHeight w:val="186"/>
        </w:trPr>
        <w:tc>
          <w:tcPr>
            <w:tcW w:w="9016" w:type="dxa"/>
            <w:gridSpan w:val="2"/>
          </w:tcPr>
          <w:p w14:paraId="3B305EE3" w14:textId="57D23E78" w:rsidR="00286548" w:rsidRDefault="00286548" w:rsidP="00286548">
            <w:r>
              <w:rPr>
                <w:noProof/>
              </w:rPr>
              <mc:AlternateContent>
                <mc:Choice Requires="wps">
                  <w:drawing>
                    <wp:anchor distT="0" distB="0" distL="114300" distR="114300" simplePos="0" relativeHeight="251660293" behindDoc="0" locked="0" layoutInCell="1" allowOverlap="1" wp14:anchorId="473CEC08" wp14:editId="70A06847">
                      <wp:simplePos x="0" y="0"/>
                      <wp:positionH relativeFrom="column">
                        <wp:posOffset>-6350</wp:posOffset>
                      </wp:positionH>
                      <wp:positionV relativeFrom="paragraph">
                        <wp:posOffset>5715</wp:posOffset>
                      </wp:positionV>
                      <wp:extent cx="4312285" cy="167005"/>
                      <wp:effectExtent l="0" t="0" r="0" b="0"/>
                      <wp:wrapNone/>
                      <wp:docPr id="13" name="Rectangl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2285" cy="167005"/>
                              </a:xfrm>
                              <a:prstGeom prst="rect">
                                <a:avLst/>
                              </a:prstGeom>
                              <a:solidFill>
                                <a:srgbClr val="006BB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CC443DA" id="Rectangle 13" o:spid="_x0000_s1026" alt="&quot;&quot;" style="position:absolute;margin-left:-.5pt;margin-top:.45pt;width:339.55pt;height:13.15pt;z-index:251660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7l1iwIAAHgFAAAOAAAAZHJzL2Uyb0RvYy54bWysVEtP3DAQvlfqf7B8L0m2u0AjsmgBUVVa&#10;ASpUnL2OvYnqeFzb++qvZ2wnYUVRD1VzsDyeb755ZGYuLvedIlthXQu6osVJTonQHOpWryv64+n2&#10;0zklzjNdMwVaVPQgHL2cf/xwsTOlmEADqhaWIIl25c5UtPHelFnmeCM65k7ACI1KCbZjHkW7zmrL&#10;dsjeqWyS56fZDmxtLHDhHL7eJCWdR34pBff3UjrhiaooxubjaeO5Cmc2v2Dl2jLTtLwPg/1DFB1r&#10;NTodqW6YZ2Rj2z+oupZbcCD9CYcuAylbLmIOmE2Rv8nmsWFGxFywOM6MZXL/j5bfbR/Ngw2hO7ME&#10;/tNhRbKdceWoCYLrMXtpu4DFwMk+VvEwVlHsPeH4OP1cTCbnM0o46orTszyfhTJnrBysjXX+q4CO&#10;hEtFLf6lWDy2XTqfoAMkBgaqrW9bpaJg16trZcmWhT+an15dnfXs7himdABrCGaJMbzExFIuMSt/&#10;UCLglP4uJGlrjH4SI4n9J0Y/jHOhfZFUDatFcj/L8Ru8h44NFjHTSBiYJfofuXuCAZlIBu4UZY8P&#10;piK272ic/y2wZDxaRM+g/WjctRrsewQKs+o9J/xQpFSaUKUV1IcHSyyk4XGG37b435bM+QdmcVpw&#10;rnAD+Hs8pIJdRaG/UdKA/f3ee8BjE6OWkh1OX0Xdrw2zghL1TWN7fymm0zCuUZjOziYo2GPN6lij&#10;N901YDsUuGsMj9eA92q4SgvdMy6KRfCKKqY5+q4o93YQrn3aCrhquFgsIgxH1DC/1I+GB/JQ1dCX&#10;T/tnZk3fvB7b/g6GSWXlmx5O2GCpYbHxINvY4K917euN4x0bp19FYX8cyxH1ujDnLwAAAP//AwBQ&#10;SwMEFAAGAAgAAAAhAIy6m8PdAAAABgEAAA8AAABkcnMvZG93bnJldi54bWxMjzFPwzAUhHck/oP1&#10;kNhax0G0achLhSoVli6UDowvsZtEjZ+j2G0Dvx4z0fF0p7vvivVke3Exo+8cI6h5AsJw7XTHDcLh&#10;czvLQPhArKl3bBC+jYd1eX9XUK7dlT/MZR8aEUvY54TQhjDkUvq6NZb83A2Go3d0o6UQ5dhIPdI1&#10;lttepkmykJY6jgstDWbTmvq0P1uE3TNP6vDzVL2fst3bcfWlxg1tER8fptcXEMFM4T8Mf/gRHcrI&#10;VLkzay96hJmKVwLCCkR0F8tMgagQ0mUKsizkLX75CwAA//8DAFBLAQItABQABgAIAAAAIQC2gziS&#10;/gAAAOEBAAATAAAAAAAAAAAAAAAAAAAAAABbQ29udGVudF9UeXBlc10ueG1sUEsBAi0AFAAGAAgA&#10;AAAhADj9If/WAAAAlAEAAAsAAAAAAAAAAAAAAAAALwEAAF9yZWxzLy5yZWxzUEsBAi0AFAAGAAgA&#10;AAAhAParuXWLAgAAeAUAAA4AAAAAAAAAAAAAAAAALgIAAGRycy9lMm9Eb2MueG1sUEsBAi0AFAAG&#10;AAgAAAAhAIy6m8PdAAAABgEAAA8AAAAAAAAAAAAAAAAA5QQAAGRycy9kb3ducmV2LnhtbFBLBQYA&#10;AAAABAAEAPMAAADvBQAAAAA=&#10;" fillcolor="#006bb7" stroked="f" strokeweight="1pt"/>
                  </w:pict>
                </mc:Fallback>
              </mc:AlternateContent>
            </w:r>
          </w:p>
        </w:tc>
      </w:tr>
      <w:tr w:rsidR="00286548" w14:paraId="2EEC2596" w14:textId="77777777" w:rsidTr="00DB6C32">
        <w:tc>
          <w:tcPr>
            <w:tcW w:w="9016" w:type="dxa"/>
            <w:gridSpan w:val="2"/>
          </w:tcPr>
          <w:p w14:paraId="4D6E3C06" w14:textId="0AE2E3CF" w:rsidR="00286548" w:rsidRDefault="00286548" w:rsidP="00286548">
            <w:pPr>
              <w:ind w:right="-445"/>
              <w:rPr>
                <w:color w:val="006BB7"/>
                <w:sz w:val="36"/>
              </w:rPr>
            </w:pPr>
            <w:bookmarkStart w:id="0" w:name="_Hlk148086280"/>
            <w:r>
              <w:rPr>
                <w:color w:val="006BB7"/>
                <w:sz w:val="36"/>
              </w:rPr>
              <w:t>R</w:t>
            </w:r>
            <w:r w:rsidRPr="003D53EC">
              <w:rPr>
                <w:color w:val="006BB7"/>
                <w:sz w:val="36"/>
              </w:rPr>
              <w:t>eview of</w:t>
            </w:r>
            <w:r>
              <w:rPr>
                <w:color w:val="006BB7"/>
                <w:sz w:val="36"/>
              </w:rPr>
              <w:t xml:space="preserve"> the</w:t>
            </w:r>
            <w:r w:rsidRPr="003D53EC">
              <w:rPr>
                <w:color w:val="006BB7"/>
                <w:sz w:val="36"/>
              </w:rPr>
              <w:t xml:space="preserve"> position statement for </w:t>
            </w:r>
            <w:r>
              <w:rPr>
                <w:color w:val="006BB7"/>
                <w:sz w:val="36"/>
              </w:rPr>
              <w:br/>
            </w:r>
            <w:proofErr w:type="spellStart"/>
            <w:r>
              <w:rPr>
                <w:color w:val="006BB7"/>
                <w:sz w:val="36"/>
              </w:rPr>
              <w:t>T</w:t>
            </w:r>
            <w:r w:rsidRPr="003D53EC">
              <w:rPr>
                <w:color w:val="006BB7"/>
                <w:sz w:val="36"/>
              </w:rPr>
              <w:t>hornham</w:t>
            </w:r>
            <w:proofErr w:type="spellEnd"/>
          </w:p>
          <w:bookmarkEnd w:id="0"/>
          <w:p w14:paraId="4851FD93" w14:textId="7295C7EE" w:rsidR="00DB6C32" w:rsidRDefault="00286548" w:rsidP="00286548">
            <w:r>
              <w:t>Final technical note</w:t>
            </w:r>
            <w:r w:rsidRPr="002C195F">
              <w:t xml:space="preserve"> for </w:t>
            </w:r>
            <w:r>
              <w:t>Havant Borough Council</w:t>
            </w:r>
            <w:r w:rsidRPr="0025560B">
              <w:t xml:space="preserve"> </w:t>
            </w:r>
            <w:r>
              <w:t>and Chichester District Council</w:t>
            </w:r>
          </w:p>
          <w:p w14:paraId="3510C07F" w14:textId="77777777" w:rsidR="00DB6C32" w:rsidRDefault="00DB6C32" w:rsidP="00DB6C32">
            <w:pPr>
              <w:spacing w:after="4120"/>
            </w:pPr>
          </w:p>
          <w:p w14:paraId="34E67A00" w14:textId="4AEC725F" w:rsidR="00DB6C32" w:rsidRPr="00DB6C32" w:rsidRDefault="00DB6C32" w:rsidP="00DB6C32">
            <w:pPr>
              <w:jc w:val="center"/>
              <w:rPr>
                <w:color w:val="006BB7"/>
              </w:rPr>
            </w:pPr>
            <w:r w:rsidRPr="002C195F">
              <w:rPr>
                <w:color w:val="006BB7"/>
              </w:rPr>
              <w:t>ED17</w:t>
            </w:r>
            <w:r>
              <w:rPr>
                <w:color w:val="006BB7"/>
              </w:rPr>
              <w:t>942</w:t>
            </w:r>
            <w:r w:rsidRPr="002C195F" w:rsidDel="002C195F">
              <w:rPr>
                <w:color w:val="006BB7"/>
              </w:rPr>
              <w:t xml:space="preserve"> </w:t>
            </w:r>
            <w:r w:rsidRPr="002C195F">
              <w:rPr>
                <w:color w:val="006BB7"/>
              </w:rPr>
              <w:t xml:space="preserve">| Issue number </w:t>
            </w:r>
            <w:r>
              <w:rPr>
                <w:color w:val="006BB7"/>
              </w:rPr>
              <w:t>1</w:t>
            </w:r>
            <w:r w:rsidRPr="002C195F">
              <w:rPr>
                <w:color w:val="006BB7"/>
              </w:rPr>
              <w:t xml:space="preserve"> | Date </w:t>
            </w:r>
            <w:r>
              <w:rPr>
                <w:color w:val="006BB7"/>
              </w:rPr>
              <w:t>04</w:t>
            </w:r>
            <w:r w:rsidRPr="00CC7C8B">
              <w:rPr>
                <w:color w:val="006BB7"/>
              </w:rPr>
              <w:t>/0</w:t>
            </w:r>
            <w:r>
              <w:rPr>
                <w:color w:val="006BB7"/>
              </w:rPr>
              <w:t>3</w:t>
            </w:r>
            <w:r w:rsidRPr="00CC7C8B">
              <w:rPr>
                <w:color w:val="006BB7"/>
              </w:rPr>
              <w:t>/2024</w:t>
            </w:r>
          </w:p>
          <w:p w14:paraId="0F619DB7" w14:textId="77777777" w:rsidR="00286548" w:rsidRDefault="00286548" w:rsidP="00113DAB">
            <w:pPr>
              <w:jc w:val="right"/>
            </w:pPr>
          </w:p>
        </w:tc>
      </w:tr>
    </w:tbl>
    <w:p w14:paraId="14D6889C" w14:textId="3328DD94" w:rsidR="005547FA" w:rsidRDefault="00126DCC" w:rsidP="00113DAB">
      <w:pPr>
        <w:jc w:val="right"/>
      </w:pPr>
      <w:r>
        <w:rPr>
          <w:noProof/>
        </w:rPr>
        <mc:AlternateContent>
          <mc:Choice Requires="wps">
            <w:drawing>
              <wp:anchor distT="45720" distB="45720" distL="114300" distR="114300" simplePos="0" relativeHeight="251658245" behindDoc="0" locked="0" layoutInCell="1" allowOverlap="1" wp14:anchorId="62AC6AD8" wp14:editId="366255EF">
                <wp:simplePos x="0" y="0"/>
                <wp:positionH relativeFrom="margin">
                  <wp:align>center</wp:align>
                </wp:positionH>
                <wp:positionV relativeFrom="paragraph">
                  <wp:posOffset>8379460</wp:posOffset>
                </wp:positionV>
                <wp:extent cx="3476625" cy="971550"/>
                <wp:effectExtent l="0" t="0" r="0" b="0"/>
                <wp:wrapNone/>
                <wp:docPr id="14" name="Text Box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971550"/>
                        </a:xfrm>
                        <a:prstGeom prst="rect">
                          <a:avLst/>
                        </a:prstGeom>
                        <a:solidFill>
                          <a:srgbClr val="FFFFFF"/>
                        </a:solidFill>
                        <a:ln w="9525">
                          <a:noFill/>
                          <a:miter lim="800000"/>
                          <a:headEnd/>
                          <a:tailEnd/>
                        </a:ln>
                      </wps:spPr>
                      <wps:txbx>
                        <w:txbxContent>
                          <w:p w14:paraId="552F0F18" w14:textId="77777777" w:rsidR="00EA787B" w:rsidRDefault="00EA787B" w:rsidP="009540FD">
                            <w:pPr>
                              <w:jc w:val="center"/>
                            </w:pPr>
                          </w:p>
                          <w:p w14:paraId="0962DDD8" w14:textId="616CA4CC" w:rsidR="00EA787B" w:rsidRPr="009540FD" w:rsidRDefault="002C195F" w:rsidP="009540FD">
                            <w:pPr>
                              <w:jc w:val="center"/>
                              <w:rPr>
                                <w:color w:val="006BB7"/>
                              </w:rPr>
                            </w:pPr>
                            <w:r w:rsidRPr="002C195F">
                              <w:rPr>
                                <w:color w:val="006BB7"/>
                              </w:rPr>
                              <w:t>ED17</w:t>
                            </w:r>
                            <w:r w:rsidR="00C2140D">
                              <w:rPr>
                                <w:color w:val="006BB7"/>
                              </w:rPr>
                              <w:t>942</w:t>
                            </w:r>
                            <w:r w:rsidRPr="002C195F" w:rsidDel="002C195F">
                              <w:rPr>
                                <w:color w:val="006BB7"/>
                              </w:rPr>
                              <w:t xml:space="preserve"> </w:t>
                            </w:r>
                            <w:r w:rsidR="00EA787B" w:rsidRPr="002C195F">
                              <w:rPr>
                                <w:color w:val="006BB7"/>
                              </w:rPr>
                              <w:t xml:space="preserve">| Issue number </w:t>
                            </w:r>
                            <w:r w:rsidR="00D81794">
                              <w:rPr>
                                <w:color w:val="006BB7"/>
                              </w:rPr>
                              <w:t>1</w:t>
                            </w:r>
                            <w:r w:rsidR="00C754F6" w:rsidRPr="002C195F">
                              <w:rPr>
                                <w:color w:val="006BB7"/>
                              </w:rPr>
                              <w:t xml:space="preserve"> </w:t>
                            </w:r>
                            <w:r w:rsidR="00EA787B" w:rsidRPr="002C195F">
                              <w:rPr>
                                <w:color w:val="006BB7"/>
                              </w:rPr>
                              <w:t>| Date</w:t>
                            </w:r>
                            <w:r w:rsidRPr="002C195F">
                              <w:rPr>
                                <w:color w:val="006BB7"/>
                              </w:rPr>
                              <w:t xml:space="preserve"> </w:t>
                            </w:r>
                            <w:r w:rsidR="00D81794">
                              <w:rPr>
                                <w:color w:val="006BB7"/>
                              </w:rPr>
                              <w:t>0</w:t>
                            </w:r>
                            <w:r w:rsidR="0036770F">
                              <w:rPr>
                                <w:color w:val="006BB7"/>
                              </w:rPr>
                              <w:t>4</w:t>
                            </w:r>
                            <w:r w:rsidR="00774BC6" w:rsidRPr="00CC7C8B">
                              <w:rPr>
                                <w:color w:val="006BB7"/>
                              </w:rPr>
                              <w:t>/</w:t>
                            </w:r>
                            <w:r w:rsidR="00CC7C8B" w:rsidRPr="00CC7C8B">
                              <w:rPr>
                                <w:color w:val="006BB7"/>
                              </w:rPr>
                              <w:t>0</w:t>
                            </w:r>
                            <w:r w:rsidR="0036770F">
                              <w:rPr>
                                <w:color w:val="006BB7"/>
                              </w:rPr>
                              <w:t>3</w:t>
                            </w:r>
                            <w:r w:rsidR="00774BC6" w:rsidRPr="00CC7C8B">
                              <w:rPr>
                                <w:color w:val="006BB7"/>
                              </w:rPr>
                              <w:t>/</w:t>
                            </w:r>
                            <w:r w:rsidR="00CC7C8B" w:rsidRPr="00CC7C8B">
                              <w:rPr>
                                <w:color w:val="006BB7"/>
                              </w:rPr>
                              <w:t>2024</w:t>
                            </w:r>
                          </w:p>
                          <w:p w14:paraId="30E55DF1" w14:textId="442C1184" w:rsidR="00EA787B" w:rsidRPr="00862BB0" w:rsidRDefault="00EA787B" w:rsidP="009540F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AC6AD8" id="_x0000_t202" coordsize="21600,21600" o:spt="202" path="m,l,21600r21600,l21600,xe">
                <v:stroke joinstyle="miter"/>
                <v:path gradientshapeok="t" o:connecttype="rect"/>
              </v:shapetype>
              <v:shape id="Text Box 14" o:spid="_x0000_s1026" type="#_x0000_t202" alt="&quot;&quot;" style="position:absolute;left:0;text-align:left;margin-left:0;margin-top:659.8pt;width:273.75pt;height:76.5pt;z-index:251658245;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fjnDAIAAPYDAAAOAAAAZHJzL2Uyb0RvYy54bWysU9tu2zAMfR+wfxD0vjjJcmmNOEWXLsOA&#10;7gK0+wBZlmNhsqhRSuzs60vJaRq0b8P0IIgieUQeHq1u+tawg0KvwRZ8MhpzpqyESttdwX89bj9c&#10;ceaDsJUwYFXBj8rzm/X7d6vO5WoKDZhKISMQ6/POFbwJweVZ5mWjWuFH4JQlZw3YikAm7rIKRUfo&#10;rcmm4/Ei6wArhyCV93R7Nzj5OuHXtZLhR117FZgpONUW0o5pL+OerVci36FwjZanMsQ/VNEKbenR&#10;M9SdCILtUb+BarVE8FCHkYQ2g7rWUqUeqJvJ+FU3D41wKvVC5Hh3psn/P1j5/fDgfiIL/SfoaYCp&#10;Ce/uQf72zMKmEXanbhGha5So6OFJpCzrnM9PqZFqn/sIUnbfoKIhi32ABNTX2EZWqE9G6DSA45l0&#10;1Qcm6fLjbLlYTOecSfJdLyfzeZpKJvLnbIc+fFHQsngoONJQE7o43PsQqxH5c0h8zIPR1VYbkwzc&#10;lRuD7CBIANu0UgOvwoxlHb0+pzpiloWYn7TR6kACNbot+NU4rkEykY3PtkohQWgznKkSY0/0REYG&#10;bkJf9hQYaSqhOhJRCIMQ6ePQoQH8y1lHIiy4/7MXqDgzXy2RfT2ZzaJqkzGbL6dk4KWnvPQIKwmq&#10;4IGz4bgJSelDR7c0lFonvl4qOdVK4ko0nj5CVO+lnaJevuv6CQAA//8DAFBLAwQUAAYACAAAACEA&#10;msc0Rt8AAAAKAQAADwAAAGRycy9kb3ducmV2LnhtbEyPzU7DMBCE70i8g7VIXBB1WvJD0zgVIIG4&#10;tvQBNrGbRI3XUew26duznOhxZ0az3xTb2fbiYkbfOVKwXEQgDNVOd9QoOPx8Pr+C8AFJY+/IKLga&#10;D9vy/q7AXLuJduayD43gEvI5KmhDGHIpfd0ai37hBkPsHd1oMfA5NlKPOHG57eUqilJpsSP+0OJg&#10;PlpTn/Znq+D4PT0l66n6CodsF6fv2GWVuyr1+DC/bUAEM4f/MPzhMzqUzFS5M2kvegU8JLD6slyn&#10;INhP4iwBUbEUZ6sUZFnI2wnlLwAAAP//AwBQSwECLQAUAAYACAAAACEAtoM4kv4AAADhAQAAEwAA&#10;AAAAAAAAAAAAAAAAAAAAW0NvbnRlbnRfVHlwZXNdLnhtbFBLAQItABQABgAIAAAAIQA4/SH/1gAA&#10;AJQBAAALAAAAAAAAAAAAAAAAAC8BAABfcmVscy8ucmVsc1BLAQItABQABgAIAAAAIQCJtfjnDAIA&#10;APYDAAAOAAAAAAAAAAAAAAAAAC4CAABkcnMvZTJvRG9jLnhtbFBLAQItABQABgAIAAAAIQCaxzRG&#10;3wAAAAoBAAAPAAAAAAAAAAAAAAAAAGYEAABkcnMvZG93bnJldi54bWxQSwUGAAAAAAQABADzAAAA&#10;cgUAAAAA&#10;" stroked="f">
                <v:textbox>
                  <w:txbxContent>
                    <w:p w14:paraId="552F0F18" w14:textId="77777777" w:rsidR="00EA787B" w:rsidRDefault="00EA787B" w:rsidP="009540FD">
                      <w:pPr>
                        <w:jc w:val="center"/>
                      </w:pPr>
                    </w:p>
                    <w:p w14:paraId="0962DDD8" w14:textId="616CA4CC" w:rsidR="00EA787B" w:rsidRPr="009540FD" w:rsidRDefault="002C195F" w:rsidP="009540FD">
                      <w:pPr>
                        <w:jc w:val="center"/>
                        <w:rPr>
                          <w:color w:val="006BB7"/>
                        </w:rPr>
                      </w:pPr>
                      <w:r w:rsidRPr="002C195F">
                        <w:rPr>
                          <w:color w:val="006BB7"/>
                        </w:rPr>
                        <w:t>ED17</w:t>
                      </w:r>
                      <w:r w:rsidR="00C2140D">
                        <w:rPr>
                          <w:color w:val="006BB7"/>
                        </w:rPr>
                        <w:t>942</w:t>
                      </w:r>
                      <w:r w:rsidRPr="002C195F" w:rsidDel="002C195F">
                        <w:rPr>
                          <w:color w:val="006BB7"/>
                        </w:rPr>
                        <w:t xml:space="preserve"> </w:t>
                      </w:r>
                      <w:r w:rsidR="00EA787B" w:rsidRPr="002C195F">
                        <w:rPr>
                          <w:color w:val="006BB7"/>
                        </w:rPr>
                        <w:t xml:space="preserve">| Issue number </w:t>
                      </w:r>
                      <w:r w:rsidR="00D81794">
                        <w:rPr>
                          <w:color w:val="006BB7"/>
                        </w:rPr>
                        <w:t>1</w:t>
                      </w:r>
                      <w:r w:rsidR="00C754F6" w:rsidRPr="002C195F">
                        <w:rPr>
                          <w:color w:val="006BB7"/>
                        </w:rPr>
                        <w:t xml:space="preserve"> </w:t>
                      </w:r>
                      <w:r w:rsidR="00EA787B" w:rsidRPr="002C195F">
                        <w:rPr>
                          <w:color w:val="006BB7"/>
                        </w:rPr>
                        <w:t>| Date</w:t>
                      </w:r>
                      <w:r w:rsidRPr="002C195F">
                        <w:rPr>
                          <w:color w:val="006BB7"/>
                        </w:rPr>
                        <w:t xml:space="preserve"> </w:t>
                      </w:r>
                      <w:r w:rsidR="00D81794">
                        <w:rPr>
                          <w:color w:val="006BB7"/>
                        </w:rPr>
                        <w:t>0</w:t>
                      </w:r>
                      <w:r w:rsidR="0036770F">
                        <w:rPr>
                          <w:color w:val="006BB7"/>
                        </w:rPr>
                        <w:t>4</w:t>
                      </w:r>
                      <w:r w:rsidR="00774BC6" w:rsidRPr="00CC7C8B">
                        <w:rPr>
                          <w:color w:val="006BB7"/>
                        </w:rPr>
                        <w:t>/</w:t>
                      </w:r>
                      <w:r w:rsidR="00CC7C8B" w:rsidRPr="00CC7C8B">
                        <w:rPr>
                          <w:color w:val="006BB7"/>
                        </w:rPr>
                        <w:t>0</w:t>
                      </w:r>
                      <w:r w:rsidR="0036770F">
                        <w:rPr>
                          <w:color w:val="006BB7"/>
                        </w:rPr>
                        <w:t>3</w:t>
                      </w:r>
                      <w:r w:rsidR="00774BC6" w:rsidRPr="00CC7C8B">
                        <w:rPr>
                          <w:color w:val="006BB7"/>
                        </w:rPr>
                        <w:t>/</w:t>
                      </w:r>
                      <w:r w:rsidR="00CC7C8B" w:rsidRPr="00CC7C8B">
                        <w:rPr>
                          <w:color w:val="006BB7"/>
                        </w:rPr>
                        <w:t>2024</w:t>
                      </w:r>
                    </w:p>
                    <w:p w14:paraId="30E55DF1" w14:textId="442C1184" w:rsidR="00EA787B" w:rsidRPr="00862BB0" w:rsidRDefault="00EA787B" w:rsidP="009540FD">
                      <w:pPr>
                        <w:jc w:val="center"/>
                      </w:pPr>
                    </w:p>
                  </w:txbxContent>
                </v:textbox>
                <w10:wrap anchorx="margin"/>
              </v:shape>
            </w:pict>
          </mc:Fallback>
        </mc:AlternateContent>
      </w:r>
      <w:r w:rsidR="005547FA">
        <w:br w:type="page"/>
      </w:r>
    </w:p>
    <w:tbl>
      <w:tblPr>
        <w:tblStyle w:val="TableGrid"/>
        <w:tblpPr w:leftFromText="180" w:rightFromText="180" w:vertAnchor="page" w:horzAnchor="margin" w:tblpY="4557"/>
        <w:tblW w:w="50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8"/>
        <w:gridCol w:w="284"/>
        <w:gridCol w:w="3354"/>
        <w:gridCol w:w="14"/>
      </w:tblGrid>
      <w:tr w:rsidR="00EE08B1" w:rsidRPr="00E052B2" w14:paraId="46ABC682" w14:textId="77777777" w:rsidTr="002B3053">
        <w:tc>
          <w:tcPr>
            <w:tcW w:w="2980" w:type="pct"/>
          </w:tcPr>
          <w:p w14:paraId="0543813F" w14:textId="77777777" w:rsidR="00EE08B1" w:rsidRPr="002C195F" w:rsidRDefault="00EE08B1" w:rsidP="00E84FCC">
            <w:pPr>
              <w:rPr>
                <w:color w:val="006BB7"/>
              </w:rPr>
            </w:pPr>
            <w:r w:rsidRPr="002C195F">
              <w:rPr>
                <w:color w:val="006BB7"/>
              </w:rPr>
              <w:lastRenderedPageBreak/>
              <w:t>Customer:</w:t>
            </w:r>
          </w:p>
          <w:p w14:paraId="09C206B0" w14:textId="4424F890" w:rsidR="00EE08B1" w:rsidRPr="002C195F" w:rsidRDefault="00C2140D" w:rsidP="00E84FCC">
            <w:r>
              <w:t>Havant Borough Council</w:t>
            </w:r>
          </w:p>
        </w:tc>
        <w:tc>
          <w:tcPr>
            <w:tcW w:w="157" w:type="pct"/>
          </w:tcPr>
          <w:p w14:paraId="73873546" w14:textId="77777777" w:rsidR="00EE08B1" w:rsidRPr="00EE08B1" w:rsidRDefault="00EE08B1" w:rsidP="00E84FCC"/>
        </w:tc>
        <w:tc>
          <w:tcPr>
            <w:tcW w:w="1864" w:type="pct"/>
            <w:gridSpan w:val="2"/>
            <w:vMerge w:val="restart"/>
          </w:tcPr>
          <w:p w14:paraId="2513A622" w14:textId="77777777" w:rsidR="00EE08B1" w:rsidRPr="00FB69D9" w:rsidRDefault="00EE08B1" w:rsidP="00E84FCC">
            <w:pPr>
              <w:rPr>
                <w:color w:val="006BB7"/>
              </w:rPr>
            </w:pPr>
            <w:r w:rsidRPr="00FB69D9">
              <w:rPr>
                <w:color w:val="006BB7"/>
              </w:rPr>
              <w:t>Contact:</w:t>
            </w:r>
          </w:p>
          <w:p w14:paraId="220E6F51" w14:textId="6A6203CC" w:rsidR="00B62026" w:rsidRPr="002B3053" w:rsidRDefault="000F232F" w:rsidP="002B3053">
            <w:pPr>
              <w:spacing w:after="0"/>
            </w:pPr>
            <w:r>
              <w:t>Federico Tromboni</w:t>
            </w:r>
          </w:p>
          <w:p w14:paraId="1ED144F4" w14:textId="77777777" w:rsidR="00B62026" w:rsidRPr="002B3053" w:rsidRDefault="00B62026" w:rsidP="002B3053">
            <w:pPr>
              <w:spacing w:after="0"/>
            </w:pPr>
            <w:r w:rsidRPr="002B3053">
              <w:t xml:space="preserve">Ricardo Energy &amp; Environment, </w:t>
            </w:r>
          </w:p>
          <w:p w14:paraId="5D4F05E7" w14:textId="77777777" w:rsidR="00B62026" w:rsidRPr="00B84663" w:rsidRDefault="00B62026" w:rsidP="002B3053">
            <w:pPr>
              <w:spacing w:after="0"/>
              <w:rPr>
                <w:lang w:val="it-IT"/>
              </w:rPr>
            </w:pPr>
            <w:r w:rsidRPr="00B84663">
              <w:rPr>
                <w:lang w:val="it-IT"/>
              </w:rPr>
              <w:t xml:space="preserve">30 Eastbourne Terrace, London </w:t>
            </w:r>
          </w:p>
          <w:p w14:paraId="0EFF91D3" w14:textId="3BA250C6" w:rsidR="00EE08B1" w:rsidRPr="00B84663" w:rsidRDefault="00B62026" w:rsidP="002B3053">
            <w:pPr>
              <w:spacing w:after="0"/>
              <w:rPr>
                <w:lang w:val="it-IT"/>
              </w:rPr>
            </w:pPr>
            <w:r w:rsidRPr="00B84663">
              <w:rPr>
                <w:lang w:val="it-IT"/>
              </w:rPr>
              <w:t>W2 6LA</w:t>
            </w:r>
          </w:p>
          <w:p w14:paraId="7D8A129B" w14:textId="309BCDCA" w:rsidR="00EE08B1" w:rsidRPr="00B84663" w:rsidRDefault="00EE08B1" w:rsidP="002B3053">
            <w:pPr>
              <w:spacing w:after="0"/>
              <w:rPr>
                <w:lang w:val="it-IT"/>
              </w:rPr>
            </w:pPr>
            <w:r w:rsidRPr="00B84663">
              <w:rPr>
                <w:color w:val="006BB7"/>
                <w:lang w:val="it-IT"/>
              </w:rPr>
              <w:t xml:space="preserve">T: </w:t>
            </w:r>
            <w:r w:rsidR="002B3053" w:rsidRPr="00B84663">
              <w:rPr>
                <w:lang w:val="it-IT"/>
              </w:rPr>
              <w:t xml:space="preserve"> +44 7849 311078</w:t>
            </w:r>
          </w:p>
          <w:p w14:paraId="34F8C509" w14:textId="4D389FCC" w:rsidR="00EE08B1" w:rsidRPr="00B84663" w:rsidRDefault="00EE08B1" w:rsidP="002B3053">
            <w:pPr>
              <w:spacing w:after="0"/>
              <w:rPr>
                <w:lang w:val="it-IT"/>
              </w:rPr>
            </w:pPr>
            <w:r w:rsidRPr="00B84663">
              <w:rPr>
                <w:color w:val="006BB7"/>
                <w:lang w:val="it-IT"/>
              </w:rPr>
              <w:t xml:space="preserve">E: </w:t>
            </w:r>
            <w:r w:rsidR="002B3053" w:rsidRPr="00B84663">
              <w:rPr>
                <w:lang w:val="it-IT"/>
              </w:rPr>
              <w:t xml:space="preserve"> </w:t>
            </w:r>
            <w:r w:rsidR="000F232F">
              <w:rPr>
                <w:lang w:val="it-IT"/>
              </w:rPr>
              <w:t>federico.tromboni</w:t>
            </w:r>
            <w:r w:rsidR="002B3053" w:rsidRPr="00B84663">
              <w:rPr>
                <w:lang w:val="it-IT"/>
              </w:rPr>
              <w:t>@ricardo.com</w:t>
            </w:r>
          </w:p>
        </w:tc>
      </w:tr>
      <w:tr w:rsidR="00EE08B1" w:rsidRPr="00B84663" w14:paraId="7411995D" w14:textId="77777777" w:rsidTr="002B3053">
        <w:tc>
          <w:tcPr>
            <w:tcW w:w="2980" w:type="pct"/>
          </w:tcPr>
          <w:p w14:paraId="46EB33B5" w14:textId="6C26E632" w:rsidR="00EE08B1" w:rsidRPr="00B84663" w:rsidRDefault="004C4568" w:rsidP="00E84FCC">
            <w:pPr>
              <w:rPr>
                <w:lang w:val="it-IT"/>
              </w:rPr>
            </w:pPr>
            <w:r>
              <w:rPr>
                <w:lang w:val="it-IT"/>
              </w:rPr>
              <w:t>Chichester District Council</w:t>
            </w:r>
          </w:p>
        </w:tc>
        <w:tc>
          <w:tcPr>
            <w:tcW w:w="157" w:type="pct"/>
          </w:tcPr>
          <w:p w14:paraId="482B6F5C" w14:textId="77777777" w:rsidR="00EE08B1" w:rsidRPr="00B84663" w:rsidRDefault="00EE08B1" w:rsidP="00E84FCC">
            <w:pPr>
              <w:rPr>
                <w:lang w:val="it-IT"/>
              </w:rPr>
            </w:pPr>
          </w:p>
        </w:tc>
        <w:tc>
          <w:tcPr>
            <w:tcW w:w="1864" w:type="pct"/>
            <w:gridSpan w:val="2"/>
            <w:vMerge/>
          </w:tcPr>
          <w:p w14:paraId="455BF6A3" w14:textId="77777777" w:rsidR="00EE08B1" w:rsidRPr="00B84663" w:rsidRDefault="00EE08B1" w:rsidP="00E84FCC">
            <w:pPr>
              <w:rPr>
                <w:lang w:val="it-IT"/>
              </w:rPr>
            </w:pPr>
          </w:p>
        </w:tc>
      </w:tr>
      <w:tr w:rsidR="00EE08B1" w:rsidRPr="00EE08B1" w14:paraId="6CB3E5F7" w14:textId="77777777" w:rsidTr="002B3053">
        <w:tc>
          <w:tcPr>
            <w:tcW w:w="2980" w:type="pct"/>
          </w:tcPr>
          <w:p w14:paraId="3713F413" w14:textId="3A71FBC5" w:rsidR="00EE08B1" w:rsidRPr="005A3726" w:rsidRDefault="00EE08B1" w:rsidP="00E84FCC">
            <w:pPr>
              <w:rPr>
                <w:color w:val="006BB7"/>
              </w:rPr>
            </w:pPr>
            <w:r w:rsidRPr="002C195F">
              <w:rPr>
                <w:color w:val="006BB7"/>
              </w:rPr>
              <w:t>Customer reference:</w:t>
            </w:r>
          </w:p>
        </w:tc>
        <w:tc>
          <w:tcPr>
            <w:tcW w:w="157" w:type="pct"/>
          </w:tcPr>
          <w:p w14:paraId="138744FD" w14:textId="77777777" w:rsidR="00EE08B1" w:rsidRPr="00EE08B1" w:rsidRDefault="00EE08B1" w:rsidP="00E84FCC"/>
        </w:tc>
        <w:tc>
          <w:tcPr>
            <w:tcW w:w="1864" w:type="pct"/>
            <w:gridSpan w:val="2"/>
            <w:vMerge/>
          </w:tcPr>
          <w:p w14:paraId="476E4758" w14:textId="77777777" w:rsidR="00EE08B1" w:rsidRPr="00FB69D9" w:rsidRDefault="00EE08B1" w:rsidP="00E84FCC"/>
        </w:tc>
      </w:tr>
      <w:tr w:rsidR="005547FA" w:rsidRPr="00EE08B1" w14:paraId="7F4B6615" w14:textId="77777777" w:rsidTr="002B3053">
        <w:trPr>
          <w:trHeight w:val="103"/>
        </w:trPr>
        <w:tc>
          <w:tcPr>
            <w:tcW w:w="2980" w:type="pct"/>
          </w:tcPr>
          <w:p w14:paraId="4C8A1D41" w14:textId="77777777" w:rsidR="005547FA" w:rsidRPr="00EE08B1" w:rsidRDefault="005547FA" w:rsidP="00E84FCC"/>
        </w:tc>
        <w:tc>
          <w:tcPr>
            <w:tcW w:w="157" w:type="pct"/>
          </w:tcPr>
          <w:p w14:paraId="69912F70" w14:textId="77777777" w:rsidR="005547FA" w:rsidRPr="002C195F" w:rsidRDefault="005547FA" w:rsidP="00E84FCC"/>
        </w:tc>
        <w:tc>
          <w:tcPr>
            <w:tcW w:w="1864" w:type="pct"/>
            <w:gridSpan w:val="2"/>
          </w:tcPr>
          <w:p w14:paraId="01D5B9F4" w14:textId="77777777" w:rsidR="005547FA" w:rsidRPr="00FB69D9" w:rsidRDefault="005547FA" w:rsidP="00E84FCC"/>
        </w:tc>
      </w:tr>
      <w:tr w:rsidR="005547FA" w:rsidRPr="00EE08B1" w14:paraId="54CCBD87" w14:textId="77777777" w:rsidTr="002B3053">
        <w:tc>
          <w:tcPr>
            <w:tcW w:w="2980" w:type="pct"/>
          </w:tcPr>
          <w:p w14:paraId="0A98266D" w14:textId="77777777" w:rsidR="005547FA" w:rsidRPr="009540FD" w:rsidRDefault="005547FA" w:rsidP="00E84FCC">
            <w:pPr>
              <w:rPr>
                <w:color w:val="006BB7"/>
              </w:rPr>
            </w:pPr>
            <w:r w:rsidRPr="009540FD">
              <w:rPr>
                <w:color w:val="006BB7"/>
              </w:rPr>
              <w:t>Confidentiality, copyright and reproduction:</w:t>
            </w:r>
          </w:p>
          <w:p w14:paraId="5C2A1EB2" w14:textId="4E295A61" w:rsidR="005A3726" w:rsidRPr="00113DAB" w:rsidRDefault="005A3726" w:rsidP="005A3726">
            <w:pPr>
              <w:spacing w:after="0"/>
              <w:rPr>
                <w:rFonts w:eastAsia="Times New Roman"/>
                <w:bCs/>
                <w:i/>
                <w:color w:val="000000" w:themeColor="text1"/>
                <w:sz w:val="16"/>
                <w:szCs w:val="32"/>
              </w:rPr>
            </w:pPr>
            <w:r w:rsidRPr="00113DAB">
              <w:rPr>
                <w:rFonts w:eastAsia="Times New Roman"/>
                <w:bCs/>
                <w:i/>
                <w:color w:val="000000" w:themeColor="text1"/>
                <w:sz w:val="16"/>
                <w:szCs w:val="32"/>
              </w:rPr>
              <w:t>This Report has been prepared solely for use by the party which commissioned it in connection with this project and should not be used for any other purpose.  Ricardo accepts no duty of care, responsibility or legal liability to any other recipient of this Report and no other person may rely on the contents.  This Report contains proprietary intellectual property.  Subject to applicable law, Ricardo disclaims all and any liability whether arising in tort or contract, statute, or under any duty of care, warranty or undertaking, express or implied, to any person other than the Client in respect of this Report.</w:t>
            </w:r>
          </w:p>
          <w:p w14:paraId="56E87904" w14:textId="77777777" w:rsidR="005A3726" w:rsidRPr="00113DAB" w:rsidRDefault="005A3726" w:rsidP="005A3726">
            <w:pPr>
              <w:spacing w:after="0"/>
              <w:rPr>
                <w:rFonts w:eastAsia="Times New Roman"/>
                <w:bCs/>
                <w:i/>
                <w:color w:val="000000" w:themeColor="text1"/>
                <w:sz w:val="16"/>
                <w:szCs w:val="32"/>
              </w:rPr>
            </w:pPr>
          </w:p>
          <w:p w14:paraId="2F776CF0" w14:textId="77777777" w:rsidR="005A3726" w:rsidRPr="00113DAB" w:rsidRDefault="005A3726" w:rsidP="005A3726">
            <w:pPr>
              <w:spacing w:after="0"/>
              <w:rPr>
                <w:rFonts w:eastAsia="Times New Roman"/>
                <w:bCs/>
                <w:i/>
                <w:color w:val="000000" w:themeColor="text1"/>
                <w:sz w:val="16"/>
                <w:szCs w:val="32"/>
              </w:rPr>
            </w:pPr>
            <w:r w:rsidRPr="00113DAB">
              <w:rPr>
                <w:rFonts w:eastAsia="Times New Roman"/>
                <w:bCs/>
                <w:i/>
                <w:color w:val="000000" w:themeColor="text1"/>
                <w:sz w:val="16"/>
                <w:szCs w:val="32"/>
              </w:rPr>
              <w:t>In preparing this Report Ricardo may have relied on data, information or statements (Data) supplied to us by the Client or third parties, in which case we have not independently verified this Data unless expressly stated in the Report.  Data is assumed to be accurate, complete, reliable and current as of the date of such information and no responsibility for any error or omission in the Report arising from errors or omissions in Data is accepted.</w:t>
            </w:r>
          </w:p>
          <w:p w14:paraId="139B0EE7" w14:textId="77777777" w:rsidR="005A3726" w:rsidRPr="00113DAB" w:rsidRDefault="005A3726" w:rsidP="005A3726">
            <w:pPr>
              <w:spacing w:after="0"/>
              <w:rPr>
                <w:rFonts w:eastAsia="Times New Roman"/>
                <w:bCs/>
                <w:i/>
                <w:color w:val="000000" w:themeColor="text1"/>
                <w:sz w:val="16"/>
                <w:szCs w:val="32"/>
              </w:rPr>
            </w:pPr>
          </w:p>
          <w:p w14:paraId="068EF8CB" w14:textId="3E9773FB" w:rsidR="005547FA" w:rsidRPr="00EE08B1" w:rsidRDefault="005A3726" w:rsidP="005A3726">
            <w:pPr>
              <w:spacing w:after="0"/>
            </w:pPr>
            <w:r w:rsidRPr="00113DAB">
              <w:rPr>
                <w:rFonts w:eastAsia="Times New Roman"/>
                <w:bCs/>
                <w:i/>
                <w:color w:val="000000" w:themeColor="text1"/>
                <w:sz w:val="16"/>
                <w:szCs w:val="32"/>
              </w:rPr>
              <w:t>Any forecasts presented in this Report were prepared using Data and the Report is dependent on it.  Some of the assumptions used to develop any forecasts may not be realised and unanticipated events and circumstances may occur.  Consequently, Ricardo does not warrant the conclusions contained in this Report as there may be material differences between forecasts and actual results.  Parties must rely on their own skill and judgement when making use of this Report.</w:t>
            </w:r>
          </w:p>
        </w:tc>
        <w:tc>
          <w:tcPr>
            <w:tcW w:w="157" w:type="pct"/>
          </w:tcPr>
          <w:p w14:paraId="35EB39FF" w14:textId="77777777" w:rsidR="005547FA" w:rsidRPr="002C195F" w:rsidRDefault="005547FA" w:rsidP="00E84FCC"/>
        </w:tc>
        <w:tc>
          <w:tcPr>
            <w:tcW w:w="1864" w:type="pct"/>
            <w:gridSpan w:val="2"/>
          </w:tcPr>
          <w:p w14:paraId="1C1CB299" w14:textId="77777777" w:rsidR="005547FA" w:rsidRPr="00B84663" w:rsidRDefault="00EE08B1" w:rsidP="00E84FCC">
            <w:pPr>
              <w:rPr>
                <w:color w:val="006BB7"/>
                <w:lang w:val="it-IT"/>
              </w:rPr>
            </w:pPr>
            <w:r w:rsidRPr="00B84663">
              <w:rPr>
                <w:color w:val="006BB7"/>
                <w:lang w:val="it-IT"/>
              </w:rPr>
              <w:t>Author:</w:t>
            </w:r>
          </w:p>
          <w:p w14:paraId="13FC4B96" w14:textId="5B8CD64C" w:rsidR="00EE08B1" w:rsidRPr="00B84663" w:rsidRDefault="002B3053" w:rsidP="00E84FCC">
            <w:pPr>
              <w:rPr>
                <w:lang w:val="it-IT"/>
              </w:rPr>
            </w:pPr>
            <w:r w:rsidRPr="00B84663">
              <w:rPr>
                <w:lang w:val="it-IT"/>
              </w:rPr>
              <w:t>Peggy Lloyd, Federico Tromboni, Rachel Ashmole</w:t>
            </w:r>
          </w:p>
          <w:p w14:paraId="50EC6F37" w14:textId="77777777" w:rsidR="00EE08B1" w:rsidRPr="00B84663" w:rsidRDefault="00EE08B1" w:rsidP="00E84FCC">
            <w:pPr>
              <w:rPr>
                <w:lang w:val="it-IT"/>
              </w:rPr>
            </w:pPr>
          </w:p>
          <w:p w14:paraId="197373E3" w14:textId="77777777" w:rsidR="00EE08B1" w:rsidRPr="00FB69D9" w:rsidRDefault="00EE08B1" w:rsidP="00E84FCC">
            <w:pPr>
              <w:rPr>
                <w:color w:val="006BB7"/>
              </w:rPr>
            </w:pPr>
            <w:r w:rsidRPr="00FB69D9">
              <w:rPr>
                <w:color w:val="006BB7"/>
              </w:rPr>
              <w:t>Approved by:</w:t>
            </w:r>
          </w:p>
          <w:p w14:paraId="7D319C4F" w14:textId="27E2921E" w:rsidR="00EE08B1" w:rsidRPr="00FB69D9" w:rsidRDefault="005C6EA8" w:rsidP="00E84FCC">
            <w:r>
              <w:t>Tim Darby</w:t>
            </w:r>
            <w:r w:rsidR="008D7D59">
              <w:t xml:space="preserve">; Dr Jenny Mant </w:t>
            </w:r>
          </w:p>
          <w:p w14:paraId="314964D4" w14:textId="10815130" w:rsidR="00EE08B1" w:rsidRPr="00FB69D9" w:rsidRDefault="00EE08B1" w:rsidP="00E84FCC">
            <w:pPr>
              <w:rPr>
                <w:color w:val="006BB7"/>
              </w:rPr>
            </w:pPr>
          </w:p>
          <w:p w14:paraId="67ADD3AF" w14:textId="77777777" w:rsidR="00EE08B1" w:rsidRPr="00FB69D9" w:rsidRDefault="00EE08B1" w:rsidP="00E84FCC"/>
          <w:p w14:paraId="129EC308" w14:textId="77777777" w:rsidR="00EE08B1" w:rsidRPr="00FB69D9" w:rsidRDefault="00EE08B1" w:rsidP="00E84FCC">
            <w:pPr>
              <w:rPr>
                <w:color w:val="006BB7"/>
              </w:rPr>
            </w:pPr>
            <w:r w:rsidRPr="00FB69D9">
              <w:rPr>
                <w:color w:val="006BB7"/>
              </w:rPr>
              <w:t>Date:</w:t>
            </w:r>
          </w:p>
          <w:p w14:paraId="6FACD74E" w14:textId="4FBD387D" w:rsidR="00EE08B1" w:rsidRPr="00FB69D9" w:rsidRDefault="00D81794" w:rsidP="00E84FCC">
            <w:r>
              <w:t>0</w:t>
            </w:r>
            <w:r w:rsidR="0036770F">
              <w:t>4</w:t>
            </w:r>
            <w:r w:rsidR="000F232F" w:rsidRPr="00B4557D">
              <w:t>/0</w:t>
            </w:r>
            <w:r w:rsidR="0036770F">
              <w:t>3</w:t>
            </w:r>
            <w:r w:rsidR="000F232F" w:rsidRPr="00B4557D">
              <w:t>/2024</w:t>
            </w:r>
          </w:p>
        </w:tc>
      </w:tr>
      <w:tr w:rsidR="005547FA" w:rsidRPr="00EE08B1" w14:paraId="102DAE5D" w14:textId="77777777" w:rsidTr="002B3053">
        <w:trPr>
          <w:trHeight w:val="178"/>
        </w:trPr>
        <w:tc>
          <w:tcPr>
            <w:tcW w:w="2980" w:type="pct"/>
          </w:tcPr>
          <w:p w14:paraId="4D8FB6FD" w14:textId="77777777" w:rsidR="005547FA" w:rsidRPr="00EE08B1" w:rsidRDefault="005547FA" w:rsidP="00E84FCC"/>
        </w:tc>
        <w:tc>
          <w:tcPr>
            <w:tcW w:w="157" w:type="pct"/>
          </w:tcPr>
          <w:p w14:paraId="1D6BE4AC" w14:textId="77777777" w:rsidR="005547FA" w:rsidRPr="00EE08B1" w:rsidRDefault="005547FA" w:rsidP="00E84FCC"/>
        </w:tc>
        <w:tc>
          <w:tcPr>
            <w:tcW w:w="1864" w:type="pct"/>
            <w:gridSpan w:val="2"/>
          </w:tcPr>
          <w:p w14:paraId="4F306F61" w14:textId="77777777" w:rsidR="005547FA" w:rsidRPr="00EE08B1" w:rsidRDefault="005547FA" w:rsidP="00E84FCC"/>
        </w:tc>
      </w:tr>
      <w:tr w:rsidR="00EE08B1" w:rsidRPr="00EE08B1" w14:paraId="6744C04A" w14:textId="77777777" w:rsidTr="002B3053">
        <w:trPr>
          <w:gridAfter w:val="1"/>
          <w:wAfter w:w="8" w:type="pct"/>
          <w:trHeight w:val="693"/>
        </w:trPr>
        <w:tc>
          <w:tcPr>
            <w:tcW w:w="4992" w:type="pct"/>
            <w:gridSpan w:val="3"/>
          </w:tcPr>
          <w:p w14:paraId="20CC959B" w14:textId="1BF48AE0" w:rsidR="00C2140D" w:rsidRPr="00EE08B1" w:rsidRDefault="00EE08B1" w:rsidP="00E84FCC">
            <w:r w:rsidRPr="00ED6F02">
              <w:rPr>
                <w:color w:val="006BB7"/>
              </w:rPr>
              <w:t xml:space="preserve">Ref: </w:t>
            </w:r>
            <w:r w:rsidR="00774BC6" w:rsidRPr="00A049E9">
              <w:t>E</w:t>
            </w:r>
            <w:r w:rsidR="00774BC6" w:rsidRPr="00F43686">
              <w:t xml:space="preserve">D </w:t>
            </w:r>
            <w:r w:rsidR="002C195F" w:rsidRPr="00A049E9">
              <w:t>17</w:t>
            </w:r>
            <w:r w:rsidR="00C2140D">
              <w:t>942100</w:t>
            </w:r>
          </w:p>
          <w:p w14:paraId="1DD74A29" w14:textId="6A9D07D9" w:rsidR="00EE08B1" w:rsidRPr="00EE08B1" w:rsidRDefault="00EE08B1" w:rsidP="002B3053">
            <w:r>
              <w:t>Ricardo is certified to ISO9001, ISO14001</w:t>
            </w:r>
            <w:r w:rsidR="008C4BBC">
              <w:t>, ISO27001</w:t>
            </w:r>
            <w:r>
              <w:t xml:space="preserve"> and </w:t>
            </w:r>
            <w:r w:rsidR="008C4BBC">
              <w:t>ISO45001</w:t>
            </w:r>
          </w:p>
        </w:tc>
      </w:tr>
    </w:tbl>
    <w:p w14:paraId="5391B5F7" w14:textId="77777777" w:rsidR="007F3E1C" w:rsidRDefault="007F3E1C" w:rsidP="00EE08B1"/>
    <w:p w14:paraId="41BF20C6" w14:textId="458E89B1" w:rsidR="005547FA" w:rsidRPr="00EE08B1" w:rsidRDefault="005547FA" w:rsidP="00E3209C">
      <w:r w:rsidRPr="00EE08B1">
        <w:br w:type="page"/>
      </w:r>
    </w:p>
    <w:bookmarkStart w:id="1" w:name="_Toc160434442" w:displacedByCustomXml="next"/>
    <w:sdt>
      <w:sdtPr>
        <w:rPr>
          <w:color w:val="auto"/>
          <w:sz w:val="20"/>
        </w:rPr>
        <w:id w:val="-674649160"/>
        <w:docPartObj>
          <w:docPartGallery w:val="Table of Contents"/>
          <w:docPartUnique/>
        </w:docPartObj>
      </w:sdtPr>
      <w:sdtEndPr>
        <w:rPr>
          <w:b/>
          <w:bCs/>
          <w:noProof/>
          <w:color w:val="006BB7"/>
          <w:sz w:val="40"/>
        </w:rPr>
      </w:sdtEndPr>
      <w:sdtContent>
        <w:p w14:paraId="5C592B76" w14:textId="6677FEB7" w:rsidR="00794E6A" w:rsidRPr="00B93F9A" w:rsidRDefault="00794E6A" w:rsidP="00524800">
          <w:pPr>
            <w:pStyle w:val="TOCHeading"/>
          </w:pPr>
          <w:r w:rsidRPr="00B93F9A">
            <w:t xml:space="preserve">Table of </w:t>
          </w:r>
          <w:r w:rsidR="00B51348" w:rsidRPr="00B93F9A">
            <w:t>c</w:t>
          </w:r>
          <w:r w:rsidRPr="00B93F9A">
            <w:t>ontents</w:t>
          </w:r>
          <w:bookmarkEnd w:id="1"/>
        </w:p>
        <w:p w14:paraId="1DF2B63C" w14:textId="3764F030" w:rsidR="00431F81" w:rsidRDefault="00524800">
          <w:pPr>
            <w:pStyle w:val="TOC1"/>
            <w:rPr>
              <w:rFonts w:asciiTheme="minorHAnsi" w:eastAsiaTheme="minorEastAsia" w:hAnsiTheme="minorHAnsi" w:cstheme="minorBidi"/>
              <w:b w:val="0"/>
              <w:color w:val="auto"/>
              <w:kern w:val="2"/>
              <w:sz w:val="22"/>
              <w:lang w:eastAsia="en-GB"/>
              <w14:ligatures w14:val="standardContextual"/>
            </w:rPr>
          </w:pPr>
          <w:r w:rsidRPr="00B93F9A">
            <w:fldChar w:fldCharType="begin"/>
          </w:r>
          <w:r w:rsidRPr="00B93F9A">
            <w:instrText xml:space="preserve"> TOC \o "1-3" \h \z \t "TOC Heading,1" </w:instrText>
          </w:r>
          <w:r w:rsidRPr="00B93F9A">
            <w:fldChar w:fldCharType="separate"/>
          </w:r>
          <w:hyperlink w:anchor="_Toc160434442" w:history="1">
            <w:r w:rsidR="00431F81" w:rsidRPr="00D87DAD">
              <w:rPr>
                <w:rStyle w:val="Hyperlink"/>
              </w:rPr>
              <w:t>Table of contents</w:t>
            </w:r>
            <w:r w:rsidR="00431F81">
              <w:rPr>
                <w:webHidden/>
              </w:rPr>
              <w:tab/>
            </w:r>
            <w:r w:rsidR="00431F81">
              <w:rPr>
                <w:webHidden/>
              </w:rPr>
              <w:fldChar w:fldCharType="begin"/>
            </w:r>
            <w:r w:rsidR="00431F81">
              <w:rPr>
                <w:webHidden/>
              </w:rPr>
              <w:instrText xml:space="preserve"> PAGEREF _Toc160434442 \h </w:instrText>
            </w:r>
            <w:r w:rsidR="00431F81">
              <w:rPr>
                <w:webHidden/>
              </w:rPr>
            </w:r>
            <w:r w:rsidR="00431F81">
              <w:rPr>
                <w:webHidden/>
              </w:rPr>
              <w:fldChar w:fldCharType="separate"/>
            </w:r>
            <w:r w:rsidR="008502A6">
              <w:rPr>
                <w:webHidden/>
              </w:rPr>
              <w:t>iii</w:t>
            </w:r>
            <w:r w:rsidR="00431F81">
              <w:rPr>
                <w:webHidden/>
              </w:rPr>
              <w:fldChar w:fldCharType="end"/>
            </w:r>
          </w:hyperlink>
        </w:p>
        <w:p w14:paraId="0345DE43" w14:textId="170BCE55" w:rsidR="00431F81" w:rsidRDefault="000B4DFF">
          <w:pPr>
            <w:pStyle w:val="TOC1"/>
            <w:rPr>
              <w:rFonts w:asciiTheme="minorHAnsi" w:eastAsiaTheme="minorEastAsia" w:hAnsiTheme="minorHAnsi" w:cstheme="minorBidi"/>
              <w:b w:val="0"/>
              <w:color w:val="auto"/>
              <w:kern w:val="2"/>
              <w:sz w:val="22"/>
              <w:lang w:eastAsia="en-GB"/>
              <w14:ligatures w14:val="standardContextual"/>
            </w:rPr>
          </w:pPr>
          <w:hyperlink w:anchor="_Toc160434443" w:history="1">
            <w:r w:rsidR="00431F81" w:rsidRPr="00D87DAD">
              <w:rPr>
                <w:rStyle w:val="Hyperlink"/>
              </w:rPr>
              <w:t>1</w:t>
            </w:r>
            <w:r w:rsidR="00431F81">
              <w:rPr>
                <w:rFonts w:asciiTheme="minorHAnsi" w:eastAsiaTheme="minorEastAsia" w:hAnsiTheme="minorHAnsi" w:cstheme="minorBidi"/>
                <w:b w:val="0"/>
                <w:color w:val="auto"/>
                <w:kern w:val="2"/>
                <w:sz w:val="22"/>
                <w:lang w:eastAsia="en-GB"/>
                <w14:ligatures w14:val="standardContextual"/>
              </w:rPr>
              <w:tab/>
            </w:r>
            <w:r w:rsidR="00431F81" w:rsidRPr="00D87DAD">
              <w:rPr>
                <w:rStyle w:val="Hyperlink"/>
              </w:rPr>
              <w:t>Introduction</w:t>
            </w:r>
            <w:r w:rsidR="00431F81">
              <w:rPr>
                <w:webHidden/>
              </w:rPr>
              <w:tab/>
            </w:r>
            <w:r w:rsidR="00431F81">
              <w:rPr>
                <w:webHidden/>
              </w:rPr>
              <w:fldChar w:fldCharType="begin"/>
            </w:r>
            <w:r w:rsidR="00431F81">
              <w:rPr>
                <w:webHidden/>
              </w:rPr>
              <w:instrText xml:space="preserve"> PAGEREF _Toc160434443 \h </w:instrText>
            </w:r>
            <w:r w:rsidR="00431F81">
              <w:rPr>
                <w:webHidden/>
              </w:rPr>
            </w:r>
            <w:r w:rsidR="00431F81">
              <w:rPr>
                <w:webHidden/>
              </w:rPr>
              <w:fldChar w:fldCharType="separate"/>
            </w:r>
            <w:r w:rsidR="008502A6">
              <w:rPr>
                <w:webHidden/>
              </w:rPr>
              <w:t>1</w:t>
            </w:r>
            <w:r w:rsidR="00431F81">
              <w:rPr>
                <w:webHidden/>
              </w:rPr>
              <w:fldChar w:fldCharType="end"/>
            </w:r>
          </w:hyperlink>
        </w:p>
        <w:p w14:paraId="2A6C683D" w14:textId="3E246245" w:rsidR="00431F81" w:rsidRDefault="000B4DFF">
          <w:pPr>
            <w:pStyle w:val="TOC2"/>
            <w:rPr>
              <w:rFonts w:asciiTheme="minorHAnsi" w:eastAsiaTheme="minorEastAsia" w:hAnsiTheme="minorHAnsi" w:cstheme="minorBidi"/>
              <w:noProof/>
              <w:kern w:val="2"/>
              <w:sz w:val="22"/>
              <w:lang w:eastAsia="en-GB"/>
              <w14:ligatures w14:val="standardContextual"/>
            </w:rPr>
          </w:pPr>
          <w:hyperlink w:anchor="_Toc160434444" w:history="1">
            <w:r w:rsidR="00431F81" w:rsidRPr="00D87DAD">
              <w:rPr>
                <w:rStyle w:val="Hyperlink"/>
                <w:noProof/>
              </w:rPr>
              <w:t>1.1</w:t>
            </w:r>
            <w:r w:rsidR="00431F81">
              <w:rPr>
                <w:rFonts w:asciiTheme="minorHAnsi" w:eastAsiaTheme="minorEastAsia" w:hAnsiTheme="minorHAnsi" w:cstheme="minorBidi"/>
                <w:noProof/>
                <w:kern w:val="2"/>
                <w:sz w:val="22"/>
                <w:lang w:eastAsia="en-GB"/>
                <w14:ligatures w14:val="standardContextual"/>
              </w:rPr>
              <w:tab/>
            </w:r>
            <w:r w:rsidR="00431F81" w:rsidRPr="00D87DAD">
              <w:rPr>
                <w:rStyle w:val="Hyperlink"/>
                <w:noProof/>
              </w:rPr>
              <w:t>Assumptions and limitations</w:t>
            </w:r>
            <w:r w:rsidR="00431F81">
              <w:rPr>
                <w:noProof/>
                <w:webHidden/>
              </w:rPr>
              <w:tab/>
            </w:r>
            <w:r w:rsidR="00431F81">
              <w:rPr>
                <w:noProof/>
                <w:webHidden/>
              </w:rPr>
              <w:fldChar w:fldCharType="begin"/>
            </w:r>
            <w:r w:rsidR="00431F81">
              <w:rPr>
                <w:noProof/>
                <w:webHidden/>
              </w:rPr>
              <w:instrText xml:space="preserve"> PAGEREF _Toc160434444 \h </w:instrText>
            </w:r>
            <w:r w:rsidR="00431F81">
              <w:rPr>
                <w:noProof/>
                <w:webHidden/>
              </w:rPr>
            </w:r>
            <w:r w:rsidR="00431F81">
              <w:rPr>
                <w:noProof/>
                <w:webHidden/>
              </w:rPr>
              <w:fldChar w:fldCharType="separate"/>
            </w:r>
            <w:r w:rsidR="008502A6">
              <w:rPr>
                <w:noProof/>
                <w:webHidden/>
              </w:rPr>
              <w:t>1</w:t>
            </w:r>
            <w:r w:rsidR="00431F81">
              <w:rPr>
                <w:noProof/>
                <w:webHidden/>
              </w:rPr>
              <w:fldChar w:fldCharType="end"/>
            </w:r>
          </w:hyperlink>
        </w:p>
        <w:p w14:paraId="1BE7B2F9" w14:textId="28CC5646" w:rsidR="00431F81" w:rsidRDefault="000B4DFF">
          <w:pPr>
            <w:pStyle w:val="TOC1"/>
            <w:rPr>
              <w:rFonts w:asciiTheme="minorHAnsi" w:eastAsiaTheme="minorEastAsia" w:hAnsiTheme="minorHAnsi" w:cstheme="minorBidi"/>
              <w:b w:val="0"/>
              <w:color w:val="auto"/>
              <w:kern w:val="2"/>
              <w:sz w:val="22"/>
              <w:lang w:eastAsia="en-GB"/>
              <w14:ligatures w14:val="standardContextual"/>
            </w:rPr>
          </w:pPr>
          <w:hyperlink w:anchor="_Toc160434445" w:history="1">
            <w:r w:rsidR="00431F81" w:rsidRPr="00D87DAD">
              <w:rPr>
                <w:rStyle w:val="Hyperlink"/>
              </w:rPr>
              <w:t>2</w:t>
            </w:r>
            <w:r w:rsidR="00431F81">
              <w:rPr>
                <w:rFonts w:asciiTheme="minorHAnsi" w:eastAsiaTheme="minorEastAsia" w:hAnsiTheme="minorHAnsi" w:cstheme="minorBidi"/>
                <w:b w:val="0"/>
                <w:color w:val="auto"/>
                <w:kern w:val="2"/>
                <w:sz w:val="22"/>
                <w:lang w:eastAsia="en-GB"/>
                <w14:ligatures w14:val="standardContextual"/>
              </w:rPr>
              <w:tab/>
            </w:r>
            <w:r w:rsidR="00431F81" w:rsidRPr="00D87DAD">
              <w:rPr>
                <w:rStyle w:val="Hyperlink"/>
              </w:rPr>
              <w:t>Review of technical documentations for Thornham WwTW</w:t>
            </w:r>
            <w:r w:rsidR="00431F81">
              <w:rPr>
                <w:webHidden/>
              </w:rPr>
              <w:tab/>
            </w:r>
            <w:r w:rsidR="00431F81">
              <w:rPr>
                <w:webHidden/>
              </w:rPr>
              <w:fldChar w:fldCharType="begin"/>
            </w:r>
            <w:r w:rsidR="00431F81">
              <w:rPr>
                <w:webHidden/>
              </w:rPr>
              <w:instrText xml:space="preserve"> PAGEREF _Toc160434445 \h </w:instrText>
            </w:r>
            <w:r w:rsidR="00431F81">
              <w:rPr>
                <w:webHidden/>
              </w:rPr>
            </w:r>
            <w:r w:rsidR="00431F81">
              <w:rPr>
                <w:webHidden/>
              </w:rPr>
              <w:fldChar w:fldCharType="separate"/>
            </w:r>
            <w:r w:rsidR="008502A6">
              <w:rPr>
                <w:webHidden/>
              </w:rPr>
              <w:t>2</w:t>
            </w:r>
            <w:r w:rsidR="00431F81">
              <w:rPr>
                <w:webHidden/>
              </w:rPr>
              <w:fldChar w:fldCharType="end"/>
            </w:r>
          </w:hyperlink>
        </w:p>
        <w:p w14:paraId="22C9B787" w14:textId="751084C4" w:rsidR="00431F81" w:rsidRDefault="000B4DFF">
          <w:pPr>
            <w:pStyle w:val="TOC2"/>
            <w:rPr>
              <w:rFonts w:asciiTheme="minorHAnsi" w:eastAsiaTheme="minorEastAsia" w:hAnsiTheme="minorHAnsi" w:cstheme="minorBidi"/>
              <w:noProof/>
              <w:kern w:val="2"/>
              <w:sz w:val="22"/>
              <w:lang w:eastAsia="en-GB"/>
              <w14:ligatures w14:val="standardContextual"/>
            </w:rPr>
          </w:pPr>
          <w:hyperlink w:anchor="_Toc160434446" w:history="1">
            <w:r w:rsidR="00431F81" w:rsidRPr="00D87DAD">
              <w:rPr>
                <w:rStyle w:val="Hyperlink"/>
                <w:noProof/>
              </w:rPr>
              <w:t>2.1</w:t>
            </w:r>
            <w:r w:rsidR="00431F81">
              <w:rPr>
                <w:rFonts w:asciiTheme="minorHAnsi" w:eastAsiaTheme="minorEastAsia" w:hAnsiTheme="minorHAnsi" w:cstheme="minorBidi"/>
                <w:noProof/>
                <w:kern w:val="2"/>
                <w:sz w:val="22"/>
                <w:lang w:eastAsia="en-GB"/>
                <w14:ligatures w14:val="standardContextual"/>
              </w:rPr>
              <w:tab/>
            </w:r>
            <w:r w:rsidR="00431F81" w:rsidRPr="00D87DAD">
              <w:rPr>
                <w:rStyle w:val="Hyperlink"/>
                <w:noProof/>
              </w:rPr>
              <w:t>Overview of documents reviewed and key assessments</w:t>
            </w:r>
            <w:r w:rsidR="00431F81">
              <w:rPr>
                <w:noProof/>
                <w:webHidden/>
              </w:rPr>
              <w:tab/>
            </w:r>
            <w:r w:rsidR="00431F81">
              <w:rPr>
                <w:noProof/>
                <w:webHidden/>
              </w:rPr>
              <w:fldChar w:fldCharType="begin"/>
            </w:r>
            <w:r w:rsidR="00431F81">
              <w:rPr>
                <w:noProof/>
                <w:webHidden/>
              </w:rPr>
              <w:instrText xml:space="preserve"> PAGEREF _Toc160434446 \h </w:instrText>
            </w:r>
            <w:r w:rsidR="00431F81">
              <w:rPr>
                <w:noProof/>
                <w:webHidden/>
              </w:rPr>
            </w:r>
            <w:r w:rsidR="00431F81">
              <w:rPr>
                <w:noProof/>
                <w:webHidden/>
              </w:rPr>
              <w:fldChar w:fldCharType="separate"/>
            </w:r>
            <w:r w:rsidR="008502A6">
              <w:rPr>
                <w:noProof/>
                <w:webHidden/>
              </w:rPr>
              <w:t>2</w:t>
            </w:r>
            <w:r w:rsidR="00431F81">
              <w:rPr>
                <w:noProof/>
                <w:webHidden/>
              </w:rPr>
              <w:fldChar w:fldCharType="end"/>
            </w:r>
          </w:hyperlink>
        </w:p>
        <w:p w14:paraId="2F926AF2" w14:textId="57CD9392" w:rsidR="00431F81" w:rsidRDefault="000B4DFF">
          <w:pPr>
            <w:pStyle w:val="TOC3"/>
            <w:rPr>
              <w:rFonts w:asciiTheme="minorHAnsi" w:eastAsiaTheme="minorEastAsia" w:hAnsiTheme="minorHAnsi" w:cstheme="minorBidi"/>
              <w:noProof/>
              <w:kern w:val="2"/>
              <w:sz w:val="22"/>
              <w:lang w:eastAsia="en-GB"/>
              <w14:ligatures w14:val="standardContextual"/>
            </w:rPr>
          </w:pPr>
          <w:hyperlink w:anchor="_Toc160434447" w:history="1">
            <w:r w:rsidR="00431F81" w:rsidRPr="00D87DAD">
              <w:rPr>
                <w:rStyle w:val="Hyperlink"/>
                <w:noProof/>
              </w:rPr>
              <w:t>2.1.1</w:t>
            </w:r>
            <w:r w:rsidR="00431F81">
              <w:rPr>
                <w:rFonts w:asciiTheme="minorHAnsi" w:eastAsiaTheme="minorEastAsia" w:hAnsiTheme="minorHAnsi" w:cstheme="minorBidi"/>
                <w:noProof/>
                <w:kern w:val="2"/>
                <w:sz w:val="22"/>
                <w:lang w:eastAsia="en-GB"/>
                <w14:ligatures w14:val="standardContextual"/>
              </w:rPr>
              <w:tab/>
            </w:r>
            <w:r w:rsidR="00431F81" w:rsidRPr="00D87DAD">
              <w:rPr>
                <w:rStyle w:val="Hyperlink"/>
                <w:noProof/>
              </w:rPr>
              <w:t>CDC Water Quality Assessment (Aug 18)</w:t>
            </w:r>
            <w:r w:rsidR="00431F81">
              <w:rPr>
                <w:noProof/>
                <w:webHidden/>
              </w:rPr>
              <w:tab/>
            </w:r>
            <w:r w:rsidR="00431F81">
              <w:rPr>
                <w:noProof/>
                <w:webHidden/>
              </w:rPr>
              <w:fldChar w:fldCharType="begin"/>
            </w:r>
            <w:r w:rsidR="00431F81">
              <w:rPr>
                <w:noProof/>
                <w:webHidden/>
              </w:rPr>
              <w:instrText xml:space="preserve"> PAGEREF _Toc160434447 \h </w:instrText>
            </w:r>
            <w:r w:rsidR="00431F81">
              <w:rPr>
                <w:noProof/>
                <w:webHidden/>
              </w:rPr>
            </w:r>
            <w:r w:rsidR="00431F81">
              <w:rPr>
                <w:noProof/>
                <w:webHidden/>
              </w:rPr>
              <w:fldChar w:fldCharType="separate"/>
            </w:r>
            <w:r w:rsidR="008502A6">
              <w:rPr>
                <w:noProof/>
                <w:webHidden/>
              </w:rPr>
              <w:t>2</w:t>
            </w:r>
            <w:r w:rsidR="00431F81">
              <w:rPr>
                <w:noProof/>
                <w:webHidden/>
              </w:rPr>
              <w:fldChar w:fldCharType="end"/>
            </w:r>
          </w:hyperlink>
        </w:p>
        <w:p w14:paraId="1F1D8289" w14:textId="004C3271" w:rsidR="00431F81" w:rsidRDefault="000B4DFF">
          <w:pPr>
            <w:pStyle w:val="TOC3"/>
            <w:rPr>
              <w:rFonts w:asciiTheme="minorHAnsi" w:eastAsiaTheme="minorEastAsia" w:hAnsiTheme="minorHAnsi" w:cstheme="minorBidi"/>
              <w:noProof/>
              <w:kern w:val="2"/>
              <w:sz w:val="22"/>
              <w:lang w:eastAsia="en-GB"/>
              <w14:ligatures w14:val="standardContextual"/>
            </w:rPr>
          </w:pPr>
          <w:hyperlink w:anchor="_Toc160434448" w:history="1">
            <w:r w:rsidR="00431F81" w:rsidRPr="00D87DAD">
              <w:rPr>
                <w:rStyle w:val="Hyperlink"/>
                <w:noProof/>
              </w:rPr>
              <w:t>2.1.2</w:t>
            </w:r>
            <w:r w:rsidR="00431F81">
              <w:rPr>
                <w:rFonts w:asciiTheme="minorHAnsi" w:eastAsiaTheme="minorEastAsia" w:hAnsiTheme="minorHAnsi" w:cstheme="minorBidi"/>
                <w:noProof/>
                <w:kern w:val="2"/>
                <w:sz w:val="22"/>
                <w:lang w:eastAsia="en-GB"/>
                <w14:ligatures w14:val="standardContextual"/>
              </w:rPr>
              <w:tab/>
            </w:r>
            <w:r w:rsidR="00431F81" w:rsidRPr="00D87DAD">
              <w:rPr>
                <w:rStyle w:val="Hyperlink"/>
                <w:noProof/>
              </w:rPr>
              <w:t>Integrated Water Management Study (IWMS) for the Partnership for South Hampshire (PfSH) – Technical Note update (Jul 20)</w:t>
            </w:r>
            <w:r w:rsidR="00431F81">
              <w:rPr>
                <w:noProof/>
                <w:webHidden/>
              </w:rPr>
              <w:tab/>
            </w:r>
            <w:r w:rsidR="00431F81">
              <w:rPr>
                <w:noProof/>
                <w:webHidden/>
              </w:rPr>
              <w:fldChar w:fldCharType="begin"/>
            </w:r>
            <w:r w:rsidR="00431F81">
              <w:rPr>
                <w:noProof/>
                <w:webHidden/>
              </w:rPr>
              <w:instrText xml:space="preserve"> PAGEREF _Toc160434448 \h </w:instrText>
            </w:r>
            <w:r w:rsidR="00431F81">
              <w:rPr>
                <w:noProof/>
                <w:webHidden/>
              </w:rPr>
            </w:r>
            <w:r w:rsidR="00431F81">
              <w:rPr>
                <w:noProof/>
                <w:webHidden/>
              </w:rPr>
              <w:fldChar w:fldCharType="separate"/>
            </w:r>
            <w:r w:rsidR="008502A6">
              <w:rPr>
                <w:noProof/>
                <w:webHidden/>
              </w:rPr>
              <w:t>2</w:t>
            </w:r>
            <w:r w:rsidR="00431F81">
              <w:rPr>
                <w:noProof/>
                <w:webHidden/>
              </w:rPr>
              <w:fldChar w:fldCharType="end"/>
            </w:r>
          </w:hyperlink>
        </w:p>
        <w:p w14:paraId="4A257339" w14:textId="258E8A24" w:rsidR="00431F81" w:rsidRDefault="000B4DFF">
          <w:pPr>
            <w:pStyle w:val="TOC3"/>
            <w:rPr>
              <w:rFonts w:asciiTheme="minorHAnsi" w:eastAsiaTheme="minorEastAsia" w:hAnsiTheme="minorHAnsi" w:cstheme="minorBidi"/>
              <w:noProof/>
              <w:kern w:val="2"/>
              <w:sz w:val="22"/>
              <w:lang w:eastAsia="en-GB"/>
              <w14:ligatures w14:val="standardContextual"/>
            </w:rPr>
          </w:pPr>
          <w:hyperlink w:anchor="_Toc160434449" w:history="1">
            <w:r w:rsidR="00431F81" w:rsidRPr="00D87DAD">
              <w:rPr>
                <w:rStyle w:val="Hyperlink"/>
                <w:noProof/>
              </w:rPr>
              <w:t>2.1.3</w:t>
            </w:r>
            <w:r w:rsidR="00431F81">
              <w:rPr>
                <w:rFonts w:asciiTheme="minorHAnsi" w:eastAsiaTheme="minorEastAsia" w:hAnsiTheme="minorHAnsi" w:cstheme="minorBidi"/>
                <w:noProof/>
                <w:kern w:val="2"/>
                <w:sz w:val="22"/>
                <w:lang w:eastAsia="en-GB"/>
                <w14:ligatures w14:val="standardContextual"/>
              </w:rPr>
              <w:tab/>
            </w:r>
            <w:r w:rsidR="00431F81" w:rsidRPr="00D87DAD">
              <w:rPr>
                <w:rStyle w:val="Hyperlink"/>
                <w:noProof/>
              </w:rPr>
              <w:t>CDC and HBC Statement of Common Ground (Feb 21)</w:t>
            </w:r>
            <w:r w:rsidR="00431F81">
              <w:rPr>
                <w:noProof/>
                <w:webHidden/>
              </w:rPr>
              <w:tab/>
            </w:r>
            <w:r w:rsidR="00431F81">
              <w:rPr>
                <w:noProof/>
                <w:webHidden/>
              </w:rPr>
              <w:fldChar w:fldCharType="begin"/>
            </w:r>
            <w:r w:rsidR="00431F81">
              <w:rPr>
                <w:noProof/>
                <w:webHidden/>
              </w:rPr>
              <w:instrText xml:space="preserve"> PAGEREF _Toc160434449 \h </w:instrText>
            </w:r>
            <w:r w:rsidR="00431F81">
              <w:rPr>
                <w:noProof/>
                <w:webHidden/>
              </w:rPr>
            </w:r>
            <w:r w:rsidR="00431F81">
              <w:rPr>
                <w:noProof/>
                <w:webHidden/>
              </w:rPr>
              <w:fldChar w:fldCharType="separate"/>
            </w:r>
            <w:r w:rsidR="008502A6">
              <w:rPr>
                <w:noProof/>
                <w:webHidden/>
              </w:rPr>
              <w:t>2</w:t>
            </w:r>
            <w:r w:rsidR="00431F81">
              <w:rPr>
                <w:noProof/>
                <w:webHidden/>
              </w:rPr>
              <w:fldChar w:fldCharType="end"/>
            </w:r>
          </w:hyperlink>
        </w:p>
        <w:p w14:paraId="19C2270E" w14:textId="52329D32" w:rsidR="00431F81" w:rsidRDefault="000B4DFF">
          <w:pPr>
            <w:pStyle w:val="TOC3"/>
            <w:rPr>
              <w:rFonts w:asciiTheme="minorHAnsi" w:eastAsiaTheme="minorEastAsia" w:hAnsiTheme="minorHAnsi" w:cstheme="minorBidi"/>
              <w:noProof/>
              <w:kern w:val="2"/>
              <w:sz w:val="22"/>
              <w:lang w:eastAsia="en-GB"/>
              <w14:ligatures w14:val="standardContextual"/>
            </w:rPr>
          </w:pPr>
          <w:hyperlink w:anchor="_Toc160434450" w:history="1">
            <w:r w:rsidR="00431F81" w:rsidRPr="00D87DAD">
              <w:rPr>
                <w:rStyle w:val="Hyperlink"/>
                <w:noProof/>
              </w:rPr>
              <w:t>2.1.4</w:t>
            </w:r>
            <w:r w:rsidR="00431F81">
              <w:rPr>
                <w:rFonts w:asciiTheme="minorHAnsi" w:eastAsiaTheme="minorEastAsia" w:hAnsiTheme="minorHAnsi" w:cstheme="minorBidi"/>
                <w:noProof/>
                <w:kern w:val="2"/>
                <w:sz w:val="22"/>
                <w:lang w:eastAsia="en-GB"/>
                <w14:ligatures w14:val="standardContextual"/>
              </w:rPr>
              <w:tab/>
            </w:r>
            <w:r w:rsidR="00431F81" w:rsidRPr="00D87DAD">
              <w:rPr>
                <w:rStyle w:val="Hyperlink"/>
                <w:noProof/>
              </w:rPr>
              <w:t>Joint Thornham WwTW Position Statement (Nov 21)</w:t>
            </w:r>
            <w:r w:rsidR="00431F81">
              <w:rPr>
                <w:noProof/>
                <w:webHidden/>
              </w:rPr>
              <w:tab/>
            </w:r>
            <w:r w:rsidR="00431F81">
              <w:rPr>
                <w:noProof/>
                <w:webHidden/>
              </w:rPr>
              <w:fldChar w:fldCharType="begin"/>
            </w:r>
            <w:r w:rsidR="00431F81">
              <w:rPr>
                <w:noProof/>
                <w:webHidden/>
              </w:rPr>
              <w:instrText xml:space="preserve"> PAGEREF _Toc160434450 \h </w:instrText>
            </w:r>
            <w:r w:rsidR="00431F81">
              <w:rPr>
                <w:noProof/>
                <w:webHidden/>
              </w:rPr>
            </w:r>
            <w:r w:rsidR="00431F81">
              <w:rPr>
                <w:noProof/>
                <w:webHidden/>
              </w:rPr>
              <w:fldChar w:fldCharType="separate"/>
            </w:r>
            <w:r w:rsidR="008502A6">
              <w:rPr>
                <w:noProof/>
                <w:webHidden/>
              </w:rPr>
              <w:t>2</w:t>
            </w:r>
            <w:r w:rsidR="00431F81">
              <w:rPr>
                <w:noProof/>
                <w:webHidden/>
              </w:rPr>
              <w:fldChar w:fldCharType="end"/>
            </w:r>
          </w:hyperlink>
        </w:p>
        <w:p w14:paraId="4860F34A" w14:textId="014C935C" w:rsidR="00431F81" w:rsidRDefault="000B4DFF">
          <w:pPr>
            <w:pStyle w:val="TOC3"/>
            <w:rPr>
              <w:rFonts w:asciiTheme="minorHAnsi" w:eastAsiaTheme="minorEastAsia" w:hAnsiTheme="minorHAnsi" w:cstheme="minorBidi"/>
              <w:noProof/>
              <w:kern w:val="2"/>
              <w:sz w:val="22"/>
              <w:lang w:eastAsia="en-GB"/>
              <w14:ligatures w14:val="standardContextual"/>
            </w:rPr>
          </w:pPr>
          <w:hyperlink w:anchor="_Toc160434451" w:history="1">
            <w:r w:rsidR="00431F81" w:rsidRPr="00D87DAD">
              <w:rPr>
                <w:rStyle w:val="Hyperlink"/>
                <w:noProof/>
              </w:rPr>
              <w:t>2.1.5</w:t>
            </w:r>
            <w:r w:rsidR="00431F81">
              <w:rPr>
                <w:rFonts w:asciiTheme="minorHAnsi" w:eastAsiaTheme="minorEastAsia" w:hAnsiTheme="minorHAnsi" w:cstheme="minorBidi"/>
                <w:noProof/>
                <w:kern w:val="2"/>
                <w:sz w:val="22"/>
                <w:lang w:eastAsia="en-GB"/>
                <w14:ligatures w14:val="standardContextual"/>
              </w:rPr>
              <w:tab/>
            </w:r>
            <w:r w:rsidR="00431F81" w:rsidRPr="00D87DAD">
              <w:rPr>
                <w:rStyle w:val="Hyperlink"/>
                <w:noProof/>
              </w:rPr>
              <w:t>Wastewater treatment and remaining Headroom calculations as at 1</w:t>
            </w:r>
            <w:r w:rsidR="00431F81" w:rsidRPr="00D87DAD">
              <w:rPr>
                <w:rStyle w:val="Hyperlink"/>
                <w:noProof/>
                <w:vertAlign w:val="superscript"/>
              </w:rPr>
              <w:t>st</w:t>
            </w:r>
            <w:r w:rsidR="00431F81" w:rsidRPr="00D87DAD">
              <w:rPr>
                <w:rStyle w:val="Hyperlink"/>
                <w:noProof/>
              </w:rPr>
              <w:t xml:space="preserve"> Jan 2023)</w:t>
            </w:r>
            <w:r w:rsidR="00431F81">
              <w:rPr>
                <w:noProof/>
                <w:webHidden/>
              </w:rPr>
              <w:tab/>
            </w:r>
            <w:r w:rsidR="00431F81">
              <w:rPr>
                <w:noProof/>
                <w:webHidden/>
              </w:rPr>
              <w:fldChar w:fldCharType="begin"/>
            </w:r>
            <w:r w:rsidR="00431F81">
              <w:rPr>
                <w:noProof/>
                <w:webHidden/>
              </w:rPr>
              <w:instrText xml:space="preserve"> PAGEREF _Toc160434451 \h </w:instrText>
            </w:r>
            <w:r w:rsidR="00431F81">
              <w:rPr>
                <w:noProof/>
                <w:webHidden/>
              </w:rPr>
            </w:r>
            <w:r w:rsidR="00431F81">
              <w:rPr>
                <w:noProof/>
                <w:webHidden/>
              </w:rPr>
              <w:fldChar w:fldCharType="separate"/>
            </w:r>
            <w:r w:rsidR="008502A6">
              <w:rPr>
                <w:noProof/>
                <w:webHidden/>
              </w:rPr>
              <w:t>3</w:t>
            </w:r>
            <w:r w:rsidR="00431F81">
              <w:rPr>
                <w:noProof/>
                <w:webHidden/>
              </w:rPr>
              <w:fldChar w:fldCharType="end"/>
            </w:r>
          </w:hyperlink>
        </w:p>
        <w:p w14:paraId="4A62485B" w14:textId="1A86DB21" w:rsidR="00431F81" w:rsidRDefault="000B4DFF">
          <w:pPr>
            <w:pStyle w:val="TOC3"/>
            <w:rPr>
              <w:rFonts w:asciiTheme="minorHAnsi" w:eastAsiaTheme="minorEastAsia" w:hAnsiTheme="minorHAnsi" w:cstheme="minorBidi"/>
              <w:noProof/>
              <w:kern w:val="2"/>
              <w:sz w:val="22"/>
              <w:lang w:eastAsia="en-GB"/>
              <w14:ligatures w14:val="standardContextual"/>
            </w:rPr>
          </w:pPr>
          <w:hyperlink w:anchor="_Toc160434452" w:history="1">
            <w:r w:rsidR="00431F81" w:rsidRPr="00D87DAD">
              <w:rPr>
                <w:rStyle w:val="Hyperlink"/>
                <w:noProof/>
              </w:rPr>
              <w:t>2.1.6</w:t>
            </w:r>
            <w:r w:rsidR="00431F81">
              <w:rPr>
                <w:rFonts w:asciiTheme="minorHAnsi" w:eastAsiaTheme="minorEastAsia" w:hAnsiTheme="minorHAnsi" w:cstheme="minorBidi"/>
                <w:noProof/>
                <w:kern w:val="2"/>
                <w:sz w:val="22"/>
                <w:lang w:eastAsia="en-GB"/>
                <w14:ligatures w14:val="standardContextual"/>
              </w:rPr>
              <w:tab/>
            </w:r>
            <w:r w:rsidR="00431F81" w:rsidRPr="00D87DAD">
              <w:rPr>
                <w:rStyle w:val="Hyperlink"/>
                <w:noProof/>
              </w:rPr>
              <w:t>Headroom Monitoring for Thornham WwTW</w:t>
            </w:r>
            <w:r w:rsidR="00431F81">
              <w:rPr>
                <w:noProof/>
                <w:webHidden/>
              </w:rPr>
              <w:tab/>
            </w:r>
            <w:r w:rsidR="00431F81">
              <w:rPr>
                <w:noProof/>
                <w:webHidden/>
              </w:rPr>
              <w:fldChar w:fldCharType="begin"/>
            </w:r>
            <w:r w:rsidR="00431F81">
              <w:rPr>
                <w:noProof/>
                <w:webHidden/>
              </w:rPr>
              <w:instrText xml:space="preserve"> PAGEREF _Toc160434452 \h </w:instrText>
            </w:r>
            <w:r w:rsidR="00431F81">
              <w:rPr>
                <w:noProof/>
                <w:webHidden/>
              </w:rPr>
            </w:r>
            <w:r w:rsidR="00431F81">
              <w:rPr>
                <w:noProof/>
                <w:webHidden/>
              </w:rPr>
              <w:fldChar w:fldCharType="separate"/>
            </w:r>
            <w:r w:rsidR="008502A6">
              <w:rPr>
                <w:noProof/>
                <w:webHidden/>
              </w:rPr>
              <w:t>3</w:t>
            </w:r>
            <w:r w:rsidR="00431F81">
              <w:rPr>
                <w:noProof/>
                <w:webHidden/>
              </w:rPr>
              <w:fldChar w:fldCharType="end"/>
            </w:r>
          </w:hyperlink>
        </w:p>
        <w:p w14:paraId="377EA92B" w14:textId="5B39E100" w:rsidR="00431F81" w:rsidRDefault="000B4DFF">
          <w:pPr>
            <w:pStyle w:val="TOC3"/>
            <w:rPr>
              <w:rFonts w:asciiTheme="minorHAnsi" w:eastAsiaTheme="minorEastAsia" w:hAnsiTheme="minorHAnsi" w:cstheme="minorBidi"/>
              <w:noProof/>
              <w:kern w:val="2"/>
              <w:sz w:val="22"/>
              <w:lang w:eastAsia="en-GB"/>
              <w14:ligatures w14:val="standardContextual"/>
            </w:rPr>
          </w:pPr>
          <w:hyperlink w:anchor="_Toc160434453" w:history="1">
            <w:r w:rsidR="00431F81" w:rsidRPr="00D87DAD">
              <w:rPr>
                <w:rStyle w:val="Hyperlink"/>
                <w:noProof/>
              </w:rPr>
              <w:t>2.1.7</w:t>
            </w:r>
            <w:r w:rsidR="00431F81">
              <w:rPr>
                <w:rFonts w:asciiTheme="minorHAnsi" w:eastAsiaTheme="minorEastAsia" w:hAnsiTheme="minorHAnsi" w:cstheme="minorBidi"/>
                <w:noProof/>
                <w:kern w:val="2"/>
                <w:sz w:val="22"/>
                <w:lang w:eastAsia="en-GB"/>
                <w14:ligatures w14:val="standardContextual"/>
              </w:rPr>
              <w:tab/>
            </w:r>
            <w:r w:rsidR="00431F81" w:rsidRPr="00D87DAD">
              <w:rPr>
                <w:rStyle w:val="Hyperlink"/>
                <w:noProof/>
              </w:rPr>
              <w:t>Statement of Common Ground between Chichester District Council, Environment Agency and Southern Water – Waste Water Treatment in the Chichester Plan Area 24</w:t>
            </w:r>
            <w:r w:rsidR="00431F81" w:rsidRPr="00D87DAD">
              <w:rPr>
                <w:rStyle w:val="Hyperlink"/>
                <w:noProof/>
                <w:vertAlign w:val="superscript"/>
              </w:rPr>
              <w:t>th</w:t>
            </w:r>
            <w:r w:rsidR="00431F81" w:rsidRPr="00D87DAD">
              <w:rPr>
                <w:rStyle w:val="Hyperlink"/>
                <w:noProof/>
              </w:rPr>
              <w:t xml:space="preserve"> November 2021</w:t>
            </w:r>
            <w:r w:rsidR="00431F81">
              <w:rPr>
                <w:noProof/>
                <w:webHidden/>
              </w:rPr>
              <w:tab/>
            </w:r>
            <w:r w:rsidR="00431F81">
              <w:rPr>
                <w:noProof/>
                <w:webHidden/>
              </w:rPr>
              <w:fldChar w:fldCharType="begin"/>
            </w:r>
            <w:r w:rsidR="00431F81">
              <w:rPr>
                <w:noProof/>
                <w:webHidden/>
              </w:rPr>
              <w:instrText xml:space="preserve"> PAGEREF _Toc160434453 \h </w:instrText>
            </w:r>
            <w:r w:rsidR="00431F81">
              <w:rPr>
                <w:noProof/>
                <w:webHidden/>
              </w:rPr>
            </w:r>
            <w:r w:rsidR="00431F81">
              <w:rPr>
                <w:noProof/>
                <w:webHidden/>
              </w:rPr>
              <w:fldChar w:fldCharType="separate"/>
            </w:r>
            <w:r w:rsidR="008502A6">
              <w:rPr>
                <w:noProof/>
                <w:webHidden/>
              </w:rPr>
              <w:t>3</w:t>
            </w:r>
            <w:r w:rsidR="00431F81">
              <w:rPr>
                <w:noProof/>
                <w:webHidden/>
              </w:rPr>
              <w:fldChar w:fldCharType="end"/>
            </w:r>
          </w:hyperlink>
        </w:p>
        <w:p w14:paraId="112CB5DC" w14:textId="12AABBA0" w:rsidR="00431F81" w:rsidRDefault="000B4DFF">
          <w:pPr>
            <w:pStyle w:val="TOC2"/>
            <w:rPr>
              <w:rFonts w:asciiTheme="minorHAnsi" w:eastAsiaTheme="minorEastAsia" w:hAnsiTheme="minorHAnsi" w:cstheme="minorBidi"/>
              <w:noProof/>
              <w:kern w:val="2"/>
              <w:sz w:val="22"/>
              <w:lang w:eastAsia="en-GB"/>
              <w14:ligatures w14:val="standardContextual"/>
            </w:rPr>
          </w:pPr>
          <w:hyperlink w:anchor="_Toc160434454" w:history="1">
            <w:r w:rsidR="00431F81" w:rsidRPr="00D87DAD">
              <w:rPr>
                <w:rStyle w:val="Hyperlink"/>
                <w:noProof/>
              </w:rPr>
              <w:t>2.2</w:t>
            </w:r>
            <w:r w:rsidR="00431F81">
              <w:rPr>
                <w:rFonts w:asciiTheme="minorHAnsi" w:eastAsiaTheme="minorEastAsia" w:hAnsiTheme="minorHAnsi" w:cstheme="minorBidi"/>
                <w:noProof/>
                <w:kern w:val="2"/>
                <w:sz w:val="22"/>
                <w:lang w:eastAsia="en-GB"/>
                <w14:ligatures w14:val="standardContextual"/>
              </w:rPr>
              <w:tab/>
            </w:r>
            <w:r w:rsidR="00431F81" w:rsidRPr="00D87DAD">
              <w:rPr>
                <w:rStyle w:val="Hyperlink"/>
                <w:noProof/>
              </w:rPr>
              <w:t>Thornham WwTW headroom calculations</w:t>
            </w:r>
            <w:r w:rsidR="00431F81">
              <w:rPr>
                <w:noProof/>
                <w:webHidden/>
              </w:rPr>
              <w:tab/>
            </w:r>
            <w:r w:rsidR="00431F81">
              <w:rPr>
                <w:noProof/>
                <w:webHidden/>
              </w:rPr>
              <w:fldChar w:fldCharType="begin"/>
            </w:r>
            <w:r w:rsidR="00431F81">
              <w:rPr>
                <w:noProof/>
                <w:webHidden/>
              </w:rPr>
              <w:instrText xml:space="preserve"> PAGEREF _Toc160434454 \h </w:instrText>
            </w:r>
            <w:r w:rsidR="00431F81">
              <w:rPr>
                <w:noProof/>
                <w:webHidden/>
              </w:rPr>
            </w:r>
            <w:r w:rsidR="00431F81">
              <w:rPr>
                <w:noProof/>
                <w:webHidden/>
              </w:rPr>
              <w:fldChar w:fldCharType="separate"/>
            </w:r>
            <w:r w:rsidR="008502A6">
              <w:rPr>
                <w:noProof/>
                <w:webHidden/>
              </w:rPr>
              <w:t>3</w:t>
            </w:r>
            <w:r w:rsidR="00431F81">
              <w:rPr>
                <w:noProof/>
                <w:webHidden/>
              </w:rPr>
              <w:fldChar w:fldCharType="end"/>
            </w:r>
          </w:hyperlink>
        </w:p>
        <w:p w14:paraId="7B496739" w14:textId="219F98DD" w:rsidR="00431F81" w:rsidRDefault="000B4DFF">
          <w:pPr>
            <w:pStyle w:val="TOC3"/>
            <w:rPr>
              <w:rFonts w:asciiTheme="minorHAnsi" w:eastAsiaTheme="minorEastAsia" w:hAnsiTheme="minorHAnsi" w:cstheme="minorBidi"/>
              <w:noProof/>
              <w:kern w:val="2"/>
              <w:sz w:val="22"/>
              <w:lang w:eastAsia="en-GB"/>
              <w14:ligatures w14:val="standardContextual"/>
            </w:rPr>
          </w:pPr>
          <w:hyperlink w:anchor="_Toc160434455" w:history="1">
            <w:r w:rsidR="00431F81" w:rsidRPr="00D87DAD">
              <w:rPr>
                <w:rStyle w:val="Hyperlink"/>
                <w:noProof/>
              </w:rPr>
              <w:t>2.2.1</w:t>
            </w:r>
            <w:r w:rsidR="00431F81">
              <w:rPr>
                <w:rFonts w:asciiTheme="minorHAnsi" w:eastAsiaTheme="minorEastAsia" w:hAnsiTheme="minorHAnsi" w:cstheme="minorBidi"/>
                <w:noProof/>
                <w:kern w:val="2"/>
                <w:sz w:val="22"/>
                <w:lang w:eastAsia="en-GB"/>
                <w14:ligatures w14:val="standardContextual"/>
              </w:rPr>
              <w:tab/>
            </w:r>
            <w:r w:rsidR="00431F81" w:rsidRPr="00D87DAD">
              <w:rPr>
                <w:rStyle w:val="Hyperlink"/>
                <w:noProof/>
              </w:rPr>
              <w:t>Environmental Permit</w:t>
            </w:r>
            <w:r w:rsidR="00431F81">
              <w:rPr>
                <w:noProof/>
                <w:webHidden/>
              </w:rPr>
              <w:tab/>
            </w:r>
            <w:r w:rsidR="00431F81">
              <w:rPr>
                <w:noProof/>
                <w:webHidden/>
              </w:rPr>
              <w:fldChar w:fldCharType="begin"/>
            </w:r>
            <w:r w:rsidR="00431F81">
              <w:rPr>
                <w:noProof/>
                <w:webHidden/>
              </w:rPr>
              <w:instrText xml:space="preserve"> PAGEREF _Toc160434455 \h </w:instrText>
            </w:r>
            <w:r w:rsidR="00431F81">
              <w:rPr>
                <w:noProof/>
                <w:webHidden/>
              </w:rPr>
            </w:r>
            <w:r w:rsidR="00431F81">
              <w:rPr>
                <w:noProof/>
                <w:webHidden/>
              </w:rPr>
              <w:fldChar w:fldCharType="separate"/>
            </w:r>
            <w:r w:rsidR="008502A6">
              <w:rPr>
                <w:noProof/>
                <w:webHidden/>
              </w:rPr>
              <w:t>3</w:t>
            </w:r>
            <w:r w:rsidR="00431F81">
              <w:rPr>
                <w:noProof/>
                <w:webHidden/>
              </w:rPr>
              <w:fldChar w:fldCharType="end"/>
            </w:r>
          </w:hyperlink>
        </w:p>
        <w:p w14:paraId="4A09FFA6" w14:textId="69610F40" w:rsidR="00431F81" w:rsidRDefault="000B4DFF">
          <w:pPr>
            <w:pStyle w:val="TOC3"/>
            <w:rPr>
              <w:rFonts w:asciiTheme="minorHAnsi" w:eastAsiaTheme="minorEastAsia" w:hAnsiTheme="minorHAnsi" w:cstheme="minorBidi"/>
              <w:noProof/>
              <w:kern w:val="2"/>
              <w:sz w:val="22"/>
              <w:lang w:eastAsia="en-GB"/>
              <w14:ligatures w14:val="standardContextual"/>
            </w:rPr>
          </w:pPr>
          <w:hyperlink w:anchor="_Toc160434456" w:history="1">
            <w:r w:rsidR="00431F81" w:rsidRPr="00D87DAD">
              <w:rPr>
                <w:rStyle w:val="Hyperlink"/>
                <w:noProof/>
              </w:rPr>
              <w:t>2.2.2</w:t>
            </w:r>
            <w:r w:rsidR="00431F81">
              <w:rPr>
                <w:rFonts w:asciiTheme="minorHAnsi" w:eastAsiaTheme="minorEastAsia" w:hAnsiTheme="minorHAnsi" w:cstheme="minorBidi"/>
                <w:noProof/>
                <w:kern w:val="2"/>
                <w:sz w:val="22"/>
                <w:lang w:eastAsia="en-GB"/>
                <w14:ligatures w14:val="standardContextual"/>
              </w:rPr>
              <w:tab/>
            </w:r>
            <w:r w:rsidR="00431F81" w:rsidRPr="00D87DAD">
              <w:rPr>
                <w:rStyle w:val="Hyperlink"/>
                <w:noProof/>
              </w:rPr>
              <w:t>Current DWF</w:t>
            </w:r>
            <w:r w:rsidR="00431F81">
              <w:rPr>
                <w:noProof/>
                <w:webHidden/>
              </w:rPr>
              <w:tab/>
            </w:r>
            <w:r w:rsidR="00431F81">
              <w:rPr>
                <w:noProof/>
                <w:webHidden/>
              </w:rPr>
              <w:fldChar w:fldCharType="begin"/>
            </w:r>
            <w:r w:rsidR="00431F81">
              <w:rPr>
                <w:noProof/>
                <w:webHidden/>
              </w:rPr>
              <w:instrText xml:space="preserve"> PAGEREF _Toc160434456 \h </w:instrText>
            </w:r>
            <w:r w:rsidR="00431F81">
              <w:rPr>
                <w:noProof/>
                <w:webHidden/>
              </w:rPr>
            </w:r>
            <w:r w:rsidR="00431F81">
              <w:rPr>
                <w:noProof/>
                <w:webHidden/>
              </w:rPr>
              <w:fldChar w:fldCharType="separate"/>
            </w:r>
            <w:r w:rsidR="008502A6">
              <w:rPr>
                <w:noProof/>
                <w:webHidden/>
              </w:rPr>
              <w:t>4</w:t>
            </w:r>
            <w:r w:rsidR="00431F81">
              <w:rPr>
                <w:noProof/>
                <w:webHidden/>
              </w:rPr>
              <w:fldChar w:fldCharType="end"/>
            </w:r>
          </w:hyperlink>
        </w:p>
        <w:p w14:paraId="7CA16C93" w14:textId="61B77BD1" w:rsidR="00431F81" w:rsidRDefault="000B4DFF">
          <w:pPr>
            <w:pStyle w:val="TOC3"/>
            <w:rPr>
              <w:rFonts w:asciiTheme="minorHAnsi" w:eastAsiaTheme="minorEastAsia" w:hAnsiTheme="minorHAnsi" w:cstheme="minorBidi"/>
              <w:noProof/>
              <w:kern w:val="2"/>
              <w:sz w:val="22"/>
              <w:lang w:eastAsia="en-GB"/>
              <w14:ligatures w14:val="standardContextual"/>
            </w:rPr>
          </w:pPr>
          <w:hyperlink w:anchor="_Toc160434457" w:history="1">
            <w:r w:rsidR="00431F81" w:rsidRPr="00D87DAD">
              <w:rPr>
                <w:rStyle w:val="Hyperlink"/>
                <w:noProof/>
              </w:rPr>
              <w:t>2.2.3</w:t>
            </w:r>
            <w:r w:rsidR="00431F81">
              <w:rPr>
                <w:rFonts w:asciiTheme="minorHAnsi" w:eastAsiaTheme="minorEastAsia" w:hAnsiTheme="minorHAnsi" w:cstheme="minorBidi"/>
                <w:noProof/>
                <w:kern w:val="2"/>
                <w:sz w:val="22"/>
                <w:lang w:eastAsia="en-GB"/>
                <w14:ligatures w14:val="standardContextual"/>
              </w:rPr>
              <w:tab/>
            </w:r>
            <w:r w:rsidR="00431F81" w:rsidRPr="00D87DAD">
              <w:rPr>
                <w:rStyle w:val="Hyperlink"/>
                <w:noProof/>
              </w:rPr>
              <w:t>Calculation Methods</w:t>
            </w:r>
            <w:r w:rsidR="00431F81">
              <w:rPr>
                <w:noProof/>
                <w:webHidden/>
              </w:rPr>
              <w:tab/>
            </w:r>
            <w:r w:rsidR="00431F81">
              <w:rPr>
                <w:noProof/>
                <w:webHidden/>
              </w:rPr>
              <w:fldChar w:fldCharType="begin"/>
            </w:r>
            <w:r w:rsidR="00431F81">
              <w:rPr>
                <w:noProof/>
                <w:webHidden/>
              </w:rPr>
              <w:instrText xml:space="preserve"> PAGEREF _Toc160434457 \h </w:instrText>
            </w:r>
            <w:r w:rsidR="00431F81">
              <w:rPr>
                <w:noProof/>
                <w:webHidden/>
              </w:rPr>
            </w:r>
            <w:r w:rsidR="00431F81">
              <w:rPr>
                <w:noProof/>
                <w:webHidden/>
              </w:rPr>
              <w:fldChar w:fldCharType="separate"/>
            </w:r>
            <w:r w:rsidR="008502A6">
              <w:rPr>
                <w:noProof/>
                <w:webHidden/>
              </w:rPr>
              <w:t>5</w:t>
            </w:r>
            <w:r w:rsidR="00431F81">
              <w:rPr>
                <w:noProof/>
                <w:webHidden/>
              </w:rPr>
              <w:fldChar w:fldCharType="end"/>
            </w:r>
          </w:hyperlink>
        </w:p>
        <w:p w14:paraId="57CF4B79" w14:textId="7DAFB4C6" w:rsidR="00431F81" w:rsidRDefault="000B4DFF">
          <w:pPr>
            <w:pStyle w:val="TOC3"/>
            <w:rPr>
              <w:rFonts w:asciiTheme="minorHAnsi" w:eastAsiaTheme="minorEastAsia" w:hAnsiTheme="minorHAnsi" w:cstheme="minorBidi"/>
              <w:noProof/>
              <w:kern w:val="2"/>
              <w:sz w:val="22"/>
              <w:lang w:eastAsia="en-GB"/>
              <w14:ligatures w14:val="standardContextual"/>
            </w:rPr>
          </w:pPr>
          <w:hyperlink w:anchor="_Toc160434458" w:history="1">
            <w:r w:rsidR="00431F81" w:rsidRPr="00D87DAD">
              <w:rPr>
                <w:rStyle w:val="Hyperlink"/>
                <w:noProof/>
              </w:rPr>
              <w:t>2.2.4</w:t>
            </w:r>
            <w:r w:rsidR="00431F81">
              <w:rPr>
                <w:rFonts w:asciiTheme="minorHAnsi" w:eastAsiaTheme="minorEastAsia" w:hAnsiTheme="minorHAnsi" w:cstheme="minorBidi"/>
                <w:noProof/>
                <w:kern w:val="2"/>
                <w:sz w:val="22"/>
                <w:lang w:eastAsia="en-GB"/>
                <w14:ligatures w14:val="standardContextual"/>
              </w:rPr>
              <w:tab/>
            </w:r>
            <w:r w:rsidR="00431F81" w:rsidRPr="00D87DAD">
              <w:rPr>
                <w:rStyle w:val="Hyperlink"/>
                <w:noProof/>
              </w:rPr>
              <w:t>Future growth projections</w:t>
            </w:r>
            <w:r w:rsidR="00431F81">
              <w:rPr>
                <w:noProof/>
                <w:webHidden/>
              </w:rPr>
              <w:tab/>
            </w:r>
            <w:r w:rsidR="00431F81">
              <w:rPr>
                <w:noProof/>
                <w:webHidden/>
              </w:rPr>
              <w:fldChar w:fldCharType="begin"/>
            </w:r>
            <w:r w:rsidR="00431F81">
              <w:rPr>
                <w:noProof/>
                <w:webHidden/>
              </w:rPr>
              <w:instrText xml:space="preserve"> PAGEREF _Toc160434458 \h </w:instrText>
            </w:r>
            <w:r w:rsidR="00431F81">
              <w:rPr>
                <w:noProof/>
                <w:webHidden/>
              </w:rPr>
            </w:r>
            <w:r w:rsidR="00431F81">
              <w:rPr>
                <w:noProof/>
                <w:webHidden/>
              </w:rPr>
              <w:fldChar w:fldCharType="separate"/>
            </w:r>
            <w:r w:rsidR="008502A6">
              <w:rPr>
                <w:noProof/>
                <w:webHidden/>
              </w:rPr>
              <w:t>6</w:t>
            </w:r>
            <w:r w:rsidR="00431F81">
              <w:rPr>
                <w:noProof/>
                <w:webHidden/>
              </w:rPr>
              <w:fldChar w:fldCharType="end"/>
            </w:r>
          </w:hyperlink>
        </w:p>
        <w:p w14:paraId="468F3567" w14:textId="038DC7AF" w:rsidR="00431F81" w:rsidRDefault="000B4DFF">
          <w:pPr>
            <w:pStyle w:val="TOC2"/>
            <w:rPr>
              <w:rFonts w:asciiTheme="minorHAnsi" w:eastAsiaTheme="minorEastAsia" w:hAnsiTheme="minorHAnsi" w:cstheme="minorBidi"/>
              <w:noProof/>
              <w:kern w:val="2"/>
              <w:sz w:val="22"/>
              <w:lang w:eastAsia="en-GB"/>
              <w14:ligatures w14:val="standardContextual"/>
            </w:rPr>
          </w:pPr>
          <w:hyperlink w:anchor="_Toc160434459" w:history="1">
            <w:r w:rsidR="00431F81" w:rsidRPr="00D87DAD">
              <w:rPr>
                <w:rStyle w:val="Hyperlink"/>
                <w:noProof/>
              </w:rPr>
              <w:t>2.3</w:t>
            </w:r>
            <w:r w:rsidR="00431F81">
              <w:rPr>
                <w:rFonts w:asciiTheme="minorHAnsi" w:eastAsiaTheme="minorEastAsia" w:hAnsiTheme="minorHAnsi" w:cstheme="minorBidi"/>
                <w:noProof/>
                <w:kern w:val="2"/>
                <w:sz w:val="22"/>
                <w:lang w:eastAsia="en-GB"/>
                <w14:ligatures w14:val="standardContextual"/>
              </w:rPr>
              <w:tab/>
            </w:r>
            <w:r w:rsidR="00431F81" w:rsidRPr="00D87DAD">
              <w:rPr>
                <w:rStyle w:val="Hyperlink"/>
                <w:noProof/>
              </w:rPr>
              <w:t>Nitrate Loading</w:t>
            </w:r>
            <w:r w:rsidR="00431F81">
              <w:rPr>
                <w:noProof/>
                <w:webHidden/>
              </w:rPr>
              <w:tab/>
            </w:r>
            <w:r w:rsidR="00431F81">
              <w:rPr>
                <w:noProof/>
                <w:webHidden/>
              </w:rPr>
              <w:fldChar w:fldCharType="begin"/>
            </w:r>
            <w:r w:rsidR="00431F81">
              <w:rPr>
                <w:noProof/>
                <w:webHidden/>
              </w:rPr>
              <w:instrText xml:space="preserve"> PAGEREF _Toc160434459 \h </w:instrText>
            </w:r>
            <w:r w:rsidR="00431F81">
              <w:rPr>
                <w:noProof/>
                <w:webHidden/>
              </w:rPr>
            </w:r>
            <w:r w:rsidR="00431F81">
              <w:rPr>
                <w:noProof/>
                <w:webHidden/>
              </w:rPr>
              <w:fldChar w:fldCharType="separate"/>
            </w:r>
            <w:r w:rsidR="008502A6">
              <w:rPr>
                <w:noProof/>
                <w:webHidden/>
              </w:rPr>
              <w:t>8</w:t>
            </w:r>
            <w:r w:rsidR="00431F81">
              <w:rPr>
                <w:noProof/>
                <w:webHidden/>
              </w:rPr>
              <w:fldChar w:fldCharType="end"/>
            </w:r>
          </w:hyperlink>
        </w:p>
        <w:p w14:paraId="7F007F17" w14:textId="2E8EBD0B" w:rsidR="00431F81" w:rsidRDefault="000B4DFF">
          <w:pPr>
            <w:pStyle w:val="TOC2"/>
            <w:rPr>
              <w:rFonts w:asciiTheme="minorHAnsi" w:eastAsiaTheme="minorEastAsia" w:hAnsiTheme="minorHAnsi" w:cstheme="minorBidi"/>
              <w:noProof/>
              <w:kern w:val="2"/>
              <w:sz w:val="22"/>
              <w:lang w:eastAsia="en-GB"/>
              <w14:ligatures w14:val="standardContextual"/>
            </w:rPr>
          </w:pPr>
          <w:hyperlink w:anchor="_Toc160434460" w:history="1">
            <w:r w:rsidR="00431F81" w:rsidRPr="00D87DAD">
              <w:rPr>
                <w:rStyle w:val="Hyperlink"/>
                <w:noProof/>
              </w:rPr>
              <w:t>2.4</w:t>
            </w:r>
            <w:r w:rsidR="00431F81">
              <w:rPr>
                <w:rFonts w:asciiTheme="minorHAnsi" w:eastAsiaTheme="minorEastAsia" w:hAnsiTheme="minorHAnsi" w:cstheme="minorBidi"/>
                <w:noProof/>
                <w:kern w:val="2"/>
                <w:sz w:val="22"/>
                <w:lang w:eastAsia="en-GB"/>
                <w14:ligatures w14:val="standardContextual"/>
              </w:rPr>
              <w:tab/>
            </w:r>
            <w:r w:rsidR="00431F81" w:rsidRPr="00D87DAD">
              <w:rPr>
                <w:rStyle w:val="Hyperlink"/>
                <w:noProof/>
              </w:rPr>
              <w:t>Summary</w:t>
            </w:r>
            <w:r w:rsidR="00431F81">
              <w:rPr>
                <w:noProof/>
                <w:webHidden/>
              </w:rPr>
              <w:tab/>
            </w:r>
            <w:r w:rsidR="00431F81">
              <w:rPr>
                <w:noProof/>
                <w:webHidden/>
              </w:rPr>
              <w:fldChar w:fldCharType="begin"/>
            </w:r>
            <w:r w:rsidR="00431F81">
              <w:rPr>
                <w:noProof/>
                <w:webHidden/>
              </w:rPr>
              <w:instrText xml:space="preserve"> PAGEREF _Toc160434460 \h </w:instrText>
            </w:r>
            <w:r w:rsidR="00431F81">
              <w:rPr>
                <w:noProof/>
                <w:webHidden/>
              </w:rPr>
            </w:r>
            <w:r w:rsidR="00431F81">
              <w:rPr>
                <w:noProof/>
                <w:webHidden/>
              </w:rPr>
              <w:fldChar w:fldCharType="separate"/>
            </w:r>
            <w:r w:rsidR="008502A6">
              <w:rPr>
                <w:noProof/>
                <w:webHidden/>
              </w:rPr>
              <w:t>8</w:t>
            </w:r>
            <w:r w:rsidR="00431F81">
              <w:rPr>
                <w:noProof/>
                <w:webHidden/>
              </w:rPr>
              <w:fldChar w:fldCharType="end"/>
            </w:r>
          </w:hyperlink>
        </w:p>
        <w:p w14:paraId="2766C1C0" w14:textId="51188AEB" w:rsidR="00794E6A" w:rsidRDefault="00524800" w:rsidP="00861670">
          <w:pPr>
            <w:pStyle w:val="TOCHeading"/>
          </w:pPr>
          <w:r w:rsidRPr="00B93F9A">
            <w:rPr>
              <w:b/>
              <w:sz w:val="24"/>
            </w:rPr>
            <w:fldChar w:fldCharType="end"/>
          </w:r>
        </w:p>
      </w:sdtContent>
    </w:sdt>
    <w:p w14:paraId="6F709613" w14:textId="0A688132" w:rsidR="00524800" w:rsidRPr="003A77B6" w:rsidRDefault="00524800" w:rsidP="00524800">
      <w:pPr>
        <w:spacing w:after="160"/>
        <w:sectPr w:rsidR="00524800" w:rsidRPr="003A77B6" w:rsidSect="00DB6C32">
          <w:headerReference w:type="default" r:id="rId14"/>
          <w:footerReference w:type="default" r:id="rId15"/>
          <w:pgSz w:w="11906" w:h="16838"/>
          <w:pgMar w:top="568" w:right="1440" w:bottom="1440" w:left="1440" w:header="708" w:footer="708" w:gutter="0"/>
          <w:pgNumType w:fmt="lowerRoman" w:start="1"/>
          <w:cols w:space="708"/>
          <w:titlePg/>
          <w:docGrid w:linePitch="360"/>
        </w:sectPr>
      </w:pPr>
    </w:p>
    <w:p w14:paraId="2FE2117E" w14:textId="77777777" w:rsidR="00B62026" w:rsidRDefault="00B62026" w:rsidP="00B62026">
      <w:pPr>
        <w:pStyle w:val="Heading1"/>
        <w:jc w:val="both"/>
      </w:pPr>
      <w:bookmarkStart w:id="2" w:name="_Toc83978898"/>
      <w:bookmarkStart w:id="3" w:name="_Ref146285158"/>
      <w:bookmarkStart w:id="4" w:name="_Toc160434443"/>
      <w:r>
        <w:lastRenderedPageBreak/>
        <w:t>Introduction</w:t>
      </w:r>
      <w:bookmarkEnd w:id="2"/>
      <w:bookmarkEnd w:id="3"/>
      <w:bookmarkEnd w:id="4"/>
      <w:r>
        <w:t xml:space="preserve"> </w:t>
      </w:r>
    </w:p>
    <w:p w14:paraId="53C5917C" w14:textId="775CB203" w:rsidR="00727F8A" w:rsidRPr="005A2C2C" w:rsidRDefault="00727F8A" w:rsidP="00727F8A">
      <w:pPr>
        <w:jc w:val="both"/>
      </w:pPr>
      <w:r w:rsidRPr="005A2C2C">
        <w:t xml:space="preserve">Havant </w:t>
      </w:r>
      <w:r w:rsidR="00356398">
        <w:t>B</w:t>
      </w:r>
      <w:r w:rsidRPr="005A2C2C">
        <w:t xml:space="preserve">orough </w:t>
      </w:r>
      <w:r w:rsidR="00356398">
        <w:t>C</w:t>
      </w:r>
      <w:r w:rsidRPr="005A2C2C">
        <w:t xml:space="preserve">ouncil </w:t>
      </w:r>
      <w:r w:rsidR="009E7E7E">
        <w:t xml:space="preserve">(HBC) </w:t>
      </w:r>
      <w:r w:rsidRPr="005A2C2C">
        <w:t xml:space="preserve">and Chichester District Council </w:t>
      </w:r>
      <w:r w:rsidR="009E7E7E">
        <w:t xml:space="preserve">(CDC) </w:t>
      </w:r>
      <w:r w:rsidRPr="005A2C2C">
        <w:t>are in the process of developing new local plans, which must be supported by wastewater treatment infrastructure, provided by Southern Water</w:t>
      </w:r>
      <w:r w:rsidR="001F1D20">
        <w:t xml:space="preserve"> (</w:t>
      </w:r>
      <w:r w:rsidR="00793462">
        <w:t>SWS</w:t>
      </w:r>
      <w:r w:rsidR="001F1D20">
        <w:t>)</w:t>
      </w:r>
      <w:r w:rsidRPr="005A2C2C">
        <w:t xml:space="preserve">. Each Council must formulate and publish an Infrastructure Delivery Plan (IDP) which outlines the infrastructure requirements of the planned housing. These plans are dependent upon the information provided by </w:t>
      </w:r>
      <w:r w:rsidR="00793462">
        <w:t>SWS</w:t>
      </w:r>
      <w:r w:rsidR="001F1D20">
        <w:t xml:space="preserve">. </w:t>
      </w:r>
      <w:r w:rsidRPr="005A2C2C">
        <w:t xml:space="preserve">This is predominantly with reference to the capacity of wastewater treatment works (WwTW) and their </w:t>
      </w:r>
      <w:r w:rsidR="000F232F">
        <w:t>capacity</w:t>
      </w:r>
      <w:r w:rsidR="000F232F" w:rsidRPr="005A2C2C">
        <w:t xml:space="preserve"> </w:t>
      </w:r>
      <w:r w:rsidRPr="005A2C2C">
        <w:t xml:space="preserve">to support new developments without </w:t>
      </w:r>
      <w:r w:rsidR="00251E2E" w:rsidRPr="005A2C2C">
        <w:t>flooding</w:t>
      </w:r>
      <w:r w:rsidR="00251E2E">
        <w:t>, causing</w:t>
      </w:r>
      <w:r w:rsidR="008D7D59">
        <w:t xml:space="preserve"> </w:t>
      </w:r>
      <w:r w:rsidR="00D260B2">
        <w:t xml:space="preserve">environmental </w:t>
      </w:r>
      <w:r w:rsidR="00AF71FE">
        <w:t xml:space="preserve">harm </w:t>
      </w:r>
      <w:r w:rsidR="00D260B2">
        <w:t xml:space="preserve">or </w:t>
      </w:r>
      <w:r w:rsidR="006A7C3E">
        <w:t>water quality</w:t>
      </w:r>
      <w:r w:rsidR="00B84B73">
        <w:t xml:space="preserve"> issues</w:t>
      </w:r>
      <w:r w:rsidRPr="005A2C2C">
        <w:t xml:space="preserve">. Although </w:t>
      </w:r>
      <w:r w:rsidR="00793462">
        <w:t>SWS</w:t>
      </w:r>
      <w:r w:rsidRPr="005A2C2C">
        <w:t xml:space="preserve"> employ professionals to undertake technical reviews with reference to capacity and stormwater discharges, </w:t>
      </w:r>
      <w:r w:rsidR="00023BB5">
        <w:t>HBC</w:t>
      </w:r>
      <w:r w:rsidRPr="005A2C2C">
        <w:t xml:space="preserve"> and </w:t>
      </w:r>
      <w:r w:rsidR="00023BB5">
        <w:t>CDC</w:t>
      </w:r>
      <w:r w:rsidRPr="005A2C2C">
        <w:t xml:space="preserve"> deem it necessary to carry out an </w:t>
      </w:r>
      <w:r w:rsidR="000F232F">
        <w:t xml:space="preserve">additional </w:t>
      </w:r>
      <w:r w:rsidRPr="005A2C2C">
        <w:t>independent review to increase the public’s confidenc</w:t>
      </w:r>
      <w:r w:rsidR="0047597D">
        <w:t>e in conclusions arrived at through the planning process</w:t>
      </w:r>
      <w:r w:rsidR="0091292C">
        <w:t xml:space="preserve"> for future development within the </w:t>
      </w:r>
      <w:proofErr w:type="spellStart"/>
      <w:r w:rsidR="0091292C">
        <w:t>Thornham</w:t>
      </w:r>
      <w:proofErr w:type="spellEnd"/>
      <w:r w:rsidR="0091292C">
        <w:t xml:space="preserve"> WwTW</w:t>
      </w:r>
      <w:r w:rsidR="000D4AE0">
        <w:t xml:space="preserve"> catchment</w:t>
      </w:r>
      <w:r w:rsidRPr="005A2C2C">
        <w:t xml:space="preserve">. </w:t>
      </w:r>
    </w:p>
    <w:p w14:paraId="260B3409" w14:textId="4F05186C" w:rsidR="00727F8A" w:rsidRDefault="00727F8A" w:rsidP="00727F8A">
      <w:pPr>
        <w:jc w:val="both"/>
      </w:pPr>
      <w:r w:rsidRPr="005A2C2C">
        <w:t xml:space="preserve">Ricardo </w:t>
      </w:r>
      <w:r w:rsidR="0047597D">
        <w:t>has been commissioned</w:t>
      </w:r>
      <w:r w:rsidRPr="005A2C2C">
        <w:t xml:space="preserve"> to </w:t>
      </w:r>
      <w:r w:rsidR="0080652B" w:rsidRPr="005A2C2C">
        <w:t xml:space="preserve">undertake a </w:t>
      </w:r>
      <w:r w:rsidRPr="005A2C2C">
        <w:t xml:space="preserve">review </w:t>
      </w:r>
      <w:r w:rsidR="0080652B" w:rsidRPr="005A2C2C">
        <w:t>of</w:t>
      </w:r>
      <w:r w:rsidRPr="005A2C2C">
        <w:t xml:space="preserve"> the</w:t>
      </w:r>
      <w:r w:rsidR="003D53EC" w:rsidRPr="003D53EC">
        <w:t xml:space="preserve"> position statement for </w:t>
      </w:r>
      <w:proofErr w:type="spellStart"/>
      <w:r w:rsidR="003D53EC" w:rsidRPr="003D53EC">
        <w:t>Thornham</w:t>
      </w:r>
      <w:proofErr w:type="spellEnd"/>
      <w:r w:rsidR="003D53EC">
        <w:t xml:space="preserve"> which considers</w:t>
      </w:r>
      <w:r w:rsidRPr="005A2C2C">
        <w:t xml:space="preserve"> </w:t>
      </w:r>
      <w:r w:rsidR="0091292C">
        <w:t>the available</w:t>
      </w:r>
      <w:r w:rsidRPr="005A2C2C">
        <w:t xml:space="preserve"> technical documentation </w:t>
      </w:r>
      <w:r w:rsidR="0091292C">
        <w:t>to</w:t>
      </w:r>
      <w:r w:rsidRPr="005A2C2C">
        <w:t xml:space="preserve"> provide an assessment of the approach to wastewater treatment within the area. This report outlines the results of the assessment of the documentation provided</w:t>
      </w:r>
      <w:r w:rsidR="0080652B" w:rsidRPr="005A2C2C">
        <w:t xml:space="preserve"> to us</w:t>
      </w:r>
      <w:r w:rsidR="001A1263">
        <w:t>.</w:t>
      </w:r>
    </w:p>
    <w:p w14:paraId="4CBDEB37" w14:textId="5AB9F37D" w:rsidR="005A2C2C" w:rsidRDefault="005A2C2C" w:rsidP="00727F8A">
      <w:pPr>
        <w:jc w:val="both"/>
      </w:pPr>
      <w:r>
        <w:t>As part of this technical note the following documents were reviewed:</w:t>
      </w:r>
    </w:p>
    <w:p w14:paraId="30D259DE" w14:textId="6847E16A" w:rsidR="00A91746" w:rsidRDefault="00C331A0" w:rsidP="00C10F16">
      <w:pPr>
        <w:pStyle w:val="ListParagraph"/>
        <w:numPr>
          <w:ilvl w:val="0"/>
          <w:numId w:val="31"/>
        </w:numPr>
        <w:ind w:left="714" w:hanging="357"/>
        <w:contextualSpacing w:val="0"/>
        <w:jc w:val="both"/>
      </w:pPr>
      <w:proofErr w:type="spellStart"/>
      <w:r>
        <w:t>Amec</w:t>
      </w:r>
      <w:proofErr w:type="spellEnd"/>
      <w:r>
        <w:t xml:space="preserve"> Foster Wheeler’s </w:t>
      </w:r>
      <w:r w:rsidR="00A91746" w:rsidRPr="005F1A1A">
        <w:rPr>
          <w:b/>
          <w:bCs/>
          <w:i/>
          <w:iCs/>
        </w:rPr>
        <w:t>Chichester District Water Quality</w:t>
      </w:r>
      <w:r w:rsidR="009E7E7E" w:rsidRPr="005F1A1A">
        <w:rPr>
          <w:b/>
          <w:bCs/>
          <w:i/>
          <w:iCs/>
        </w:rPr>
        <w:t xml:space="preserve"> </w:t>
      </w:r>
      <w:r w:rsidR="00A91746" w:rsidRPr="005F1A1A">
        <w:rPr>
          <w:b/>
          <w:bCs/>
          <w:i/>
          <w:iCs/>
        </w:rPr>
        <w:t>Assessment</w:t>
      </w:r>
      <w:r w:rsidR="00EB2107">
        <w:rPr>
          <w:rStyle w:val="FootnoteReference"/>
        </w:rPr>
        <w:footnoteReference w:id="2"/>
      </w:r>
      <w:r w:rsidR="001E5CA5">
        <w:t xml:space="preserve"> </w:t>
      </w:r>
      <w:r w:rsidR="006F5233">
        <w:t>(</w:t>
      </w:r>
      <w:r w:rsidR="00F852DC">
        <w:t xml:space="preserve">August </w:t>
      </w:r>
      <w:r w:rsidR="006F5233">
        <w:t>2018</w:t>
      </w:r>
      <w:proofErr w:type="gramStart"/>
      <w:r w:rsidR="006F5233">
        <w:t>)</w:t>
      </w:r>
      <w:r w:rsidR="000F743B">
        <w:t>;</w:t>
      </w:r>
      <w:proofErr w:type="gramEnd"/>
    </w:p>
    <w:p w14:paraId="43BC5284" w14:textId="56888306" w:rsidR="004277A5" w:rsidRDefault="004277A5" w:rsidP="00C10F16">
      <w:pPr>
        <w:pStyle w:val="ListParagraph"/>
        <w:numPr>
          <w:ilvl w:val="0"/>
          <w:numId w:val="31"/>
        </w:numPr>
        <w:ind w:left="714" w:hanging="357"/>
        <w:contextualSpacing w:val="0"/>
        <w:jc w:val="both"/>
      </w:pPr>
      <w:r>
        <w:t>Wood’s</w:t>
      </w:r>
      <w:r w:rsidRPr="008537F8">
        <w:t xml:space="preserve"> </w:t>
      </w:r>
      <w:r w:rsidRPr="0059425B">
        <w:rPr>
          <w:b/>
          <w:bCs/>
          <w:i/>
          <w:iCs/>
        </w:rPr>
        <w:t>Integrated W</w:t>
      </w:r>
      <w:r w:rsidRPr="005F1A1A">
        <w:rPr>
          <w:b/>
          <w:bCs/>
          <w:i/>
          <w:iCs/>
        </w:rPr>
        <w:t>ater Management Study addendum</w:t>
      </w:r>
      <w:r>
        <w:t xml:space="preserve"> on behalf of the Partnership for South Hampshire</w:t>
      </w:r>
      <w:r>
        <w:rPr>
          <w:rStyle w:val="FootnoteReference"/>
        </w:rPr>
        <w:footnoteReference w:id="3"/>
      </w:r>
      <w:r w:rsidR="006F5233">
        <w:t xml:space="preserve"> (</w:t>
      </w:r>
      <w:r w:rsidR="00F852DC">
        <w:t xml:space="preserve">July </w:t>
      </w:r>
      <w:r w:rsidR="006F5233">
        <w:t>2020</w:t>
      </w:r>
      <w:proofErr w:type="gramStart"/>
      <w:r w:rsidR="006F5233">
        <w:t>)</w:t>
      </w:r>
      <w:r>
        <w:t>;</w:t>
      </w:r>
      <w:proofErr w:type="gramEnd"/>
    </w:p>
    <w:p w14:paraId="2BBC2D68" w14:textId="59BDE439" w:rsidR="006F5233" w:rsidRDefault="00023BB5" w:rsidP="00C10F16">
      <w:pPr>
        <w:pStyle w:val="ListParagraph"/>
        <w:numPr>
          <w:ilvl w:val="0"/>
          <w:numId w:val="31"/>
        </w:numPr>
        <w:ind w:left="714" w:hanging="357"/>
        <w:contextualSpacing w:val="0"/>
        <w:jc w:val="both"/>
      </w:pPr>
      <w:r>
        <w:t>CDC</w:t>
      </w:r>
      <w:r w:rsidR="005F1A1A">
        <w:t xml:space="preserve"> </w:t>
      </w:r>
      <w:r w:rsidR="00C77A0E">
        <w:t xml:space="preserve">and </w:t>
      </w:r>
      <w:r>
        <w:t>HBC’s</w:t>
      </w:r>
      <w:r w:rsidR="005F1A1A">
        <w:t xml:space="preserve"> </w:t>
      </w:r>
      <w:r w:rsidR="00A91746" w:rsidRPr="005F1A1A">
        <w:rPr>
          <w:b/>
          <w:bCs/>
          <w:i/>
          <w:iCs/>
        </w:rPr>
        <w:t>Statement of Common Ground</w:t>
      </w:r>
      <w:r w:rsidR="00F15185">
        <w:rPr>
          <w:rStyle w:val="FootnoteReference"/>
        </w:rPr>
        <w:footnoteReference w:id="4"/>
      </w:r>
      <w:r w:rsidR="00F852DC">
        <w:rPr>
          <w:b/>
          <w:bCs/>
          <w:i/>
          <w:iCs/>
        </w:rPr>
        <w:t xml:space="preserve"> </w:t>
      </w:r>
      <w:r w:rsidR="00F852DC">
        <w:rPr>
          <w:i/>
          <w:iCs/>
        </w:rPr>
        <w:t>(Fe</w:t>
      </w:r>
      <w:r w:rsidR="0047597D">
        <w:rPr>
          <w:i/>
          <w:iCs/>
        </w:rPr>
        <w:t>b</w:t>
      </w:r>
      <w:r w:rsidR="00F852DC">
        <w:rPr>
          <w:i/>
          <w:iCs/>
        </w:rPr>
        <w:t>ruary 2021</w:t>
      </w:r>
      <w:proofErr w:type="gramStart"/>
      <w:r w:rsidR="00F852DC">
        <w:rPr>
          <w:i/>
          <w:iCs/>
        </w:rPr>
        <w:t>)</w:t>
      </w:r>
      <w:r w:rsidR="00B93F9A">
        <w:t>;</w:t>
      </w:r>
      <w:proofErr w:type="gramEnd"/>
    </w:p>
    <w:p w14:paraId="688AFA6A" w14:textId="68C18080" w:rsidR="00095B11" w:rsidRDefault="00023BB5" w:rsidP="00C10F16">
      <w:pPr>
        <w:pStyle w:val="ListParagraph"/>
        <w:numPr>
          <w:ilvl w:val="0"/>
          <w:numId w:val="31"/>
        </w:numPr>
        <w:ind w:left="714" w:hanging="357"/>
        <w:contextualSpacing w:val="0"/>
        <w:jc w:val="both"/>
      </w:pPr>
      <w:r>
        <w:t>CDC</w:t>
      </w:r>
      <w:r w:rsidR="006F5233" w:rsidRPr="006F5233">
        <w:t>, Environment Agency</w:t>
      </w:r>
      <w:r w:rsidR="001F1D20">
        <w:t xml:space="preserve"> (EA) and </w:t>
      </w:r>
      <w:r w:rsidR="00793462">
        <w:t>SWS</w:t>
      </w:r>
      <w:r>
        <w:t>’s</w:t>
      </w:r>
      <w:r w:rsidR="00C00187">
        <w:t xml:space="preserve"> </w:t>
      </w:r>
      <w:proofErr w:type="spellStart"/>
      <w:r w:rsidR="00C00187" w:rsidRPr="00C00187">
        <w:rPr>
          <w:b/>
          <w:bCs/>
          <w:i/>
          <w:iCs/>
        </w:rPr>
        <w:t>Thornham</w:t>
      </w:r>
      <w:proofErr w:type="spellEnd"/>
      <w:r w:rsidR="00C00187" w:rsidRPr="00C00187">
        <w:rPr>
          <w:b/>
          <w:bCs/>
          <w:i/>
          <w:iCs/>
        </w:rPr>
        <w:t xml:space="preserve"> WwTW Po</w:t>
      </w:r>
      <w:r w:rsidR="006F5233" w:rsidRPr="00C00187">
        <w:rPr>
          <w:b/>
          <w:bCs/>
          <w:i/>
          <w:iCs/>
        </w:rPr>
        <w:t xml:space="preserve">sition </w:t>
      </w:r>
      <w:r w:rsidR="009666C1">
        <w:rPr>
          <w:b/>
          <w:bCs/>
          <w:i/>
          <w:iCs/>
        </w:rPr>
        <w:t>S</w:t>
      </w:r>
      <w:r w:rsidR="006F5233" w:rsidRPr="00C00187">
        <w:rPr>
          <w:b/>
          <w:bCs/>
          <w:i/>
          <w:iCs/>
        </w:rPr>
        <w:t>tateme</w:t>
      </w:r>
      <w:r w:rsidR="006F5233" w:rsidRPr="00F852DC">
        <w:rPr>
          <w:b/>
          <w:bCs/>
          <w:i/>
          <w:iCs/>
        </w:rPr>
        <w:t>nt</w:t>
      </w:r>
      <w:r w:rsidR="006F5233" w:rsidRPr="00C00187">
        <w:rPr>
          <w:rStyle w:val="FootnoteReference"/>
        </w:rPr>
        <w:footnoteReference w:id="5"/>
      </w:r>
      <w:r w:rsidR="006F5233">
        <w:rPr>
          <w:b/>
          <w:bCs/>
        </w:rPr>
        <w:t xml:space="preserve"> (</w:t>
      </w:r>
      <w:r w:rsidR="006F5233" w:rsidRPr="006F5233">
        <w:rPr>
          <w:i/>
          <w:iCs/>
        </w:rPr>
        <w:t>November 2021</w:t>
      </w:r>
      <w:proofErr w:type="gramStart"/>
      <w:r w:rsidR="006F5233">
        <w:rPr>
          <w:b/>
          <w:bCs/>
        </w:rPr>
        <w:t>)</w:t>
      </w:r>
      <w:r w:rsidR="009215CB">
        <w:rPr>
          <w:b/>
          <w:bCs/>
        </w:rPr>
        <w:t>;</w:t>
      </w:r>
      <w:proofErr w:type="gramEnd"/>
    </w:p>
    <w:p w14:paraId="0B935B90" w14:textId="16751058" w:rsidR="00124245" w:rsidRDefault="00BA77FF" w:rsidP="00C10F16">
      <w:pPr>
        <w:pStyle w:val="ListParagraph"/>
        <w:numPr>
          <w:ilvl w:val="0"/>
          <w:numId w:val="31"/>
        </w:numPr>
        <w:ind w:left="714" w:hanging="357"/>
        <w:contextualSpacing w:val="0"/>
        <w:jc w:val="both"/>
      </w:pPr>
      <w:r>
        <w:t>CDC’s</w:t>
      </w:r>
      <w:r w:rsidR="005F1A1A" w:rsidRPr="005F1A1A">
        <w:t xml:space="preserve"> </w:t>
      </w:r>
      <w:r w:rsidR="00B93F9A" w:rsidRPr="00904EFC">
        <w:rPr>
          <w:b/>
          <w:bCs/>
          <w:i/>
          <w:iCs/>
        </w:rPr>
        <w:t>Waste</w:t>
      </w:r>
      <w:r w:rsidR="00B93F9A" w:rsidRPr="005F1A1A">
        <w:rPr>
          <w:b/>
          <w:bCs/>
          <w:i/>
          <w:iCs/>
        </w:rPr>
        <w:t xml:space="preserve"> Water Treatment and Remaining Headroom</w:t>
      </w:r>
      <w:r w:rsidR="00B93F9A">
        <w:rPr>
          <w:rStyle w:val="FootnoteReference"/>
        </w:rPr>
        <w:footnoteReference w:id="6"/>
      </w:r>
      <w:r w:rsidR="00C00187">
        <w:rPr>
          <w:b/>
          <w:bCs/>
          <w:i/>
          <w:iCs/>
        </w:rPr>
        <w:t xml:space="preserve"> </w:t>
      </w:r>
      <w:r w:rsidR="00C00187">
        <w:t>(January 2023</w:t>
      </w:r>
      <w:proofErr w:type="gramStart"/>
      <w:r w:rsidR="00C00187">
        <w:t>)</w:t>
      </w:r>
      <w:r w:rsidR="009215CB">
        <w:t>;</w:t>
      </w:r>
      <w:proofErr w:type="gramEnd"/>
      <w:r w:rsidR="009215CB">
        <w:t xml:space="preserve"> </w:t>
      </w:r>
    </w:p>
    <w:p w14:paraId="7A6DFB4D" w14:textId="7AAC2569" w:rsidR="00697FC8" w:rsidRDefault="00124245" w:rsidP="00C10F16">
      <w:pPr>
        <w:pStyle w:val="ListParagraph"/>
        <w:numPr>
          <w:ilvl w:val="0"/>
          <w:numId w:val="31"/>
        </w:numPr>
        <w:ind w:left="714" w:hanging="357"/>
        <w:contextualSpacing w:val="0"/>
        <w:jc w:val="both"/>
      </w:pPr>
      <w:r>
        <w:t xml:space="preserve">CDC’s </w:t>
      </w:r>
      <w:r w:rsidRPr="00263149">
        <w:rPr>
          <w:b/>
          <w:bCs/>
          <w:i/>
          <w:iCs/>
        </w:rPr>
        <w:t xml:space="preserve">Headroom Monitoring for </w:t>
      </w:r>
      <w:proofErr w:type="spellStart"/>
      <w:r w:rsidRPr="00263149">
        <w:rPr>
          <w:b/>
          <w:bCs/>
          <w:i/>
          <w:iCs/>
        </w:rPr>
        <w:t>Thornham</w:t>
      </w:r>
      <w:proofErr w:type="spellEnd"/>
      <w:r w:rsidRPr="00263149">
        <w:rPr>
          <w:b/>
          <w:bCs/>
          <w:i/>
          <w:iCs/>
        </w:rPr>
        <w:t xml:space="preserve"> WWTW</w:t>
      </w:r>
      <w:r w:rsidR="000274A9">
        <w:rPr>
          <w:rStyle w:val="FootnoteReference"/>
        </w:rPr>
        <w:footnoteReference w:id="7"/>
      </w:r>
      <w:r w:rsidR="00515123">
        <w:rPr>
          <w:b/>
          <w:bCs/>
        </w:rPr>
        <w:t xml:space="preserve"> </w:t>
      </w:r>
      <w:r w:rsidR="00107FB2">
        <w:t>; and</w:t>
      </w:r>
    </w:p>
    <w:p w14:paraId="54DB071B" w14:textId="3044EA07" w:rsidR="00097A21" w:rsidRDefault="00097A21" w:rsidP="00C10F16">
      <w:pPr>
        <w:pStyle w:val="ListParagraph"/>
        <w:numPr>
          <w:ilvl w:val="0"/>
          <w:numId w:val="31"/>
        </w:numPr>
        <w:ind w:left="714" w:hanging="357"/>
        <w:contextualSpacing w:val="0"/>
        <w:jc w:val="both"/>
      </w:pPr>
      <w:r>
        <w:t>CDC, EA</w:t>
      </w:r>
      <w:r w:rsidR="00107FB2">
        <w:t xml:space="preserve"> and</w:t>
      </w:r>
      <w:r>
        <w:t xml:space="preserve"> </w:t>
      </w:r>
      <w:r w:rsidR="00793462">
        <w:t>SWS</w:t>
      </w:r>
      <w:r w:rsidR="00107FB2">
        <w:t>,</w:t>
      </w:r>
      <w:r>
        <w:t xml:space="preserve"> </w:t>
      </w:r>
      <w:r w:rsidRPr="00263149">
        <w:rPr>
          <w:b/>
          <w:bCs/>
          <w:i/>
          <w:iCs/>
        </w:rPr>
        <w:t>Statement of Common Ground</w:t>
      </w:r>
      <w:r>
        <w:t xml:space="preserve"> </w:t>
      </w:r>
      <w:r w:rsidR="00107FB2">
        <w:t>(November 2021).</w:t>
      </w:r>
    </w:p>
    <w:p w14:paraId="6214E34C" w14:textId="77777777" w:rsidR="008B2790" w:rsidRDefault="008B2790" w:rsidP="008B2790">
      <w:pPr>
        <w:pStyle w:val="ListParagraph"/>
      </w:pPr>
    </w:p>
    <w:p w14:paraId="1892ED99" w14:textId="616B689C" w:rsidR="00444FED" w:rsidRDefault="00444FED" w:rsidP="00444FED">
      <w:pPr>
        <w:pStyle w:val="Heading2"/>
      </w:pPr>
      <w:bookmarkStart w:id="5" w:name="_Toc160434444"/>
      <w:r>
        <w:t>Assumptions and limitations</w:t>
      </w:r>
      <w:bookmarkEnd w:id="5"/>
    </w:p>
    <w:p w14:paraId="4A6D1D95" w14:textId="121716F7" w:rsidR="00444FED" w:rsidRPr="00B93F9A" w:rsidRDefault="00316C67" w:rsidP="00444FED">
      <w:r>
        <w:t xml:space="preserve">Our assessment has been based on the </w:t>
      </w:r>
      <w:r w:rsidR="00444FED" w:rsidRPr="00B93F9A">
        <w:t>following assumptions and limitations:</w:t>
      </w:r>
    </w:p>
    <w:p w14:paraId="367C56DE" w14:textId="58CB7012" w:rsidR="00C71010" w:rsidRPr="00C43F25" w:rsidRDefault="001A1263" w:rsidP="00C43F25">
      <w:pPr>
        <w:pStyle w:val="ListParagraph"/>
        <w:numPr>
          <w:ilvl w:val="0"/>
          <w:numId w:val="16"/>
        </w:numPr>
        <w:spacing w:after="0" w:line="240" w:lineRule="auto"/>
        <w:contextualSpacing w:val="0"/>
        <w:jc w:val="both"/>
      </w:pPr>
      <w:r>
        <w:t>O</w:t>
      </w:r>
      <w:r w:rsidR="005738E8" w:rsidRPr="00B93F9A">
        <w:t xml:space="preserve">ur review of the </w:t>
      </w:r>
      <w:r w:rsidR="00B93F9A" w:rsidRPr="00B93F9A">
        <w:t>technical documents</w:t>
      </w:r>
      <w:r w:rsidR="005738E8" w:rsidRPr="00B93F9A">
        <w:t xml:space="preserve"> </w:t>
      </w:r>
      <w:r>
        <w:t>is</w:t>
      </w:r>
      <w:r w:rsidR="005738E8" w:rsidRPr="00B93F9A">
        <w:t xml:space="preserve"> a </w:t>
      </w:r>
      <w:r w:rsidR="00B84663">
        <w:t>comparative</w:t>
      </w:r>
      <w:r w:rsidR="00B84663" w:rsidRPr="00B93F9A">
        <w:t xml:space="preserve"> </w:t>
      </w:r>
      <w:r w:rsidR="005738E8" w:rsidRPr="00B93F9A">
        <w:t>assessment</w:t>
      </w:r>
      <w:r>
        <w:t>,</w:t>
      </w:r>
      <w:r w:rsidR="00390427">
        <w:t xml:space="preserve"> with a </w:t>
      </w:r>
      <w:r w:rsidR="00B93F9A">
        <w:t xml:space="preserve">focus on </w:t>
      </w:r>
      <w:r w:rsidR="00B64620">
        <w:t>variations in</w:t>
      </w:r>
      <w:r w:rsidR="00B93F9A">
        <w:t xml:space="preserve"> methodologies and results</w:t>
      </w:r>
      <w:r w:rsidR="00B64620">
        <w:t>.</w:t>
      </w:r>
      <w:r w:rsidR="00B93F9A">
        <w:t xml:space="preserve"> </w:t>
      </w:r>
    </w:p>
    <w:p w14:paraId="659DA74B" w14:textId="0F9744A0" w:rsidR="00B93F9A" w:rsidRDefault="001E5CA5" w:rsidP="00C43F25">
      <w:pPr>
        <w:pStyle w:val="ListParagraph"/>
        <w:numPr>
          <w:ilvl w:val="0"/>
          <w:numId w:val="16"/>
        </w:numPr>
        <w:spacing w:after="0" w:line="240" w:lineRule="auto"/>
        <w:contextualSpacing w:val="0"/>
        <w:jc w:val="both"/>
      </w:pPr>
      <w:r>
        <w:t>W</w:t>
      </w:r>
      <w:r w:rsidR="00E304F6">
        <w:t xml:space="preserve">e have </w:t>
      </w:r>
      <w:r>
        <w:t>assumed that third parties</w:t>
      </w:r>
      <w:r w:rsidR="00E304F6">
        <w:t xml:space="preserve"> have applied the methodolog</w:t>
      </w:r>
      <w:r w:rsidR="00251E2E">
        <w:t>ies</w:t>
      </w:r>
      <w:r w:rsidR="00E304F6">
        <w:t xml:space="preserve"> and data sources</w:t>
      </w:r>
      <w:r>
        <w:t xml:space="preserve"> as stated in </w:t>
      </w:r>
      <w:r w:rsidR="00251E2E">
        <w:t xml:space="preserve">each of </w:t>
      </w:r>
      <w:r>
        <w:t xml:space="preserve">the </w:t>
      </w:r>
      <w:r w:rsidR="00251E2E">
        <w:t xml:space="preserve">associated </w:t>
      </w:r>
      <w:r>
        <w:t>report</w:t>
      </w:r>
      <w:r w:rsidR="00756960">
        <w:t xml:space="preserve"> listed above</w:t>
      </w:r>
      <w:r>
        <w:t xml:space="preserve"> </w:t>
      </w:r>
      <w:proofErr w:type="gramStart"/>
      <w:r>
        <w:t>i.e.</w:t>
      </w:r>
      <w:proofErr w:type="gramEnd"/>
      <w:r>
        <w:t xml:space="preserve"> there has been no detailed analysis or cross checking to confirm integrity</w:t>
      </w:r>
      <w:r w:rsidR="00756960">
        <w:t xml:space="preserve"> of the primary data in the reports</w:t>
      </w:r>
      <w:r>
        <w:t xml:space="preserve">. </w:t>
      </w:r>
    </w:p>
    <w:p w14:paraId="4E0C0482" w14:textId="47E65247" w:rsidR="00E304F6" w:rsidRDefault="004D1C7F" w:rsidP="00C43F25">
      <w:pPr>
        <w:pStyle w:val="ListParagraph"/>
        <w:numPr>
          <w:ilvl w:val="0"/>
          <w:numId w:val="16"/>
        </w:numPr>
        <w:spacing w:after="0" w:line="240" w:lineRule="auto"/>
        <w:contextualSpacing w:val="0"/>
        <w:jc w:val="both"/>
      </w:pPr>
      <w:r>
        <w:t>Where possible, a</w:t>
      </w:r>
      <w:r w:rsidR="00B93F9A">
        <w:t xml:space="preserve">s part of this review, </w:t>
      </w:r>
      <w:r>
        <w:t xml:space="preserve">we have checked </w:t>
      </w:r>
      <w:r w:rsidR="00B84663">
        <w:t xml:space="preserve">and compared </w:t>
      </w:r>
      <w:r>
        <w:t xml:space="preserve">the calculations </w:t>
      </w:r>
      <w:r w:rsidR="00DA73D5">
        <w:t xml:space="preserve">included in the environmental and headroom assessment reports by </w:t>
      </w:r>
      <w:r>
        <w:t>following the methodolog</w:t>
      </w:r>
      <w:r w:rsidR="00DA73D5">
        <w:t>ies</w:t>
      </w:r>
      <w:r>
        <w:t xml:space="preserve"> provided </w:t>
      </w:r>
      <w:r w:rsidR="00097A21">
        <w:t xml:space="preserve">by </w:t>
      </w:r>
      <w:r w:rsidR="00DA73D5">
        <w:t>each</w:t>
      </w:r>
      <w:r>
        <w:t xml:space="preserve"> assessor.</w:t>
      </w:r>
      <w:r w:rsidR="00DA73D5">
        <w:t xml:space="preserve"> It is noted that in some instances, </w:t>
      </w:r>
      <w:r w:rsidR="00B93F9A">
        <w:t>w</w:t>
      </w:r>
      <w:r w:rsidR="00B93F9A" w:rsidRPr="00B93F9A">
        <w:t xml:space="preserve">e have </w:t>
      </w:r>
      <w:r w:rsidR="00B93F9A">
        <w:t xml:space="preserve">not </w:t>
      </w:r>
      <w:r w:rsidR="00B93F9A" w:rsidRPr="00B93F9A">
        <w:t>replicated</w:t>
      </w:r>
      <w:r w:rsidR="00DA73D5">
        <w:t xml:space="preserve"> the calculations as we did not </w:t>
      </w:r>
      <w:r w:rsidR="00C3380E">
        <w:t>hold</w:t>
      </w:r>
      <w:r w:rsidR="00DA73D5">
        <w:t xml:space="preserve"> sufficient information and data to allow us</w:t>
      </w:r>
      <w:r w:rsidR="006D5E1B">
        <w:t xml:space="preserve"> to make</w:t>
      </w:r>
      <w:r w:rsidR="00DA73D5">
        <w:t xml:space="preserve"> </w:t>
      </w:r>
      <w:r w:rsidR="00C00A2A">
        <w:t>a quantitative assessment</w:t>
      </w:r>
      <w:r w:rsidR="00C43F25">
        <w:t>.</w:t>
      </w:r>
    </w:p>
    <w:p w14:paraId="6229EFFE" w14:textId="04786DEF" w:rsidR="00B500CD" w:rsidRDefault="002A631B" w:rsidP="00C43F25">
      <w:pPr>
        <w:pStyle w:val="ListParagraph"/>
        <w:numPr>
          <w:ilvl w:val="0"/>
          <w:numId w:val="16"/>
        </w:numPr>
        <w:spacing w:after="0" w:line="240" w:lineRule="auto"/>
        <w:contextualSpacing w:val="0"/>
        <w:jc w:val="both"/>
      </w:pPr>
      <w:r>
        <w:lastRenderedPageBreak/>
        <w:t xml:space="preserve">Our comments </w:t>
      </w:r>
      <w:r w:rsidR="00F73084">
        <w:t>reflect</w:t>
      </w:r>
      <w:r w:rsidR="00316C67">
        <w:t xml:space="preserve"> the outcome of our</w:t>
      </w:r>
      <w:r>
        <w:t xml:space="preserve"> comparisons of the different approaches stated in </w:t>
      </w:r>
      <w:r w:rsidR="00B64620">
        <w:t xml:space="preserve">documents highlighted above as </w:t>
      </w:r>
      <w:r w:rsidR="00F73084">
        <w:t>produced</w:t>
      </w:r>
      <w:r>
        <w:t xml:space="preserve"> by third parties</w:t>
      </w:r>
      <w:r w:rsidR="00756960">
        <w:t>,</w:t>
      </w:r>
      <w:r w:rsidR="00F73084">
        <w:t xml:space="preserve"> therefore</w:t>
      </w:r>
      <w:r w:rsidR="00B64620">
        <w:t xml:space="preserve"> our outputs aim to</w:t>
      </w:r>
      <w:r w:rsidR="00F73084">
        <w:t xml:space="preserve"> provide support</w:t>
      </w:r>
      <w:r w:rsidR="00B64620">
        <w:t xml:space="preserve"> to </w:t>
      </w:r>
      <w:r w:rsidR="00F73084">
        <w:t xml:space="preserve">the decision-making process </w:t>
      </w:r>
      <w:r>
        <w:t>in conjunction with other sources of information</w:t>
      </w:r>
      <w:r w:rsidR="00D96CB8">
        <w:t xml:space="preserve"> (as laid out in the summary)</w:t>
      </w:r>
      <w:r>
        <w:t xml:space="preserve">.  </w:t>
      </w:r>
    </w:p>
    <w:p w14:paraId="69C5BE7F" w14:textId="758D4490" w:rsidR="00B500CD" w:rsidRDefault="00B500CD" w:rsidP="00C71010">
      <w:pPr>
        <w:pStyle w:val="ListParagraph"/>
        <w:numPr>
          <w:ilvl w:val="0"/>
          <w:numId w:val="16"/>
        </w:numPr>
        <w:spacing w:after="0" w:line="240" w:lineRule="auto"/>
        <w:contextualSpacing w:val="0"/>
        <w:jc w:val="both"/>
      </w:pPr>
      <w:r>
        <w:t xml:space="preserve">This report does not address the issue of nutrients loading (e.g., nitrates) in the treated effluent and the resulting implications for Nutrient Neutrality. Nitrate loading associated with the housing growth in the </w:t>
      </w:r>
      <w:proofErr w:type="spellStart"/>
      <w:r>
        <w:t>Thornham</w:t>
      </w:r>
      <w:proofErr w:type="spellEnd"/>
      <w:r>
        <w:t xml:space="preserve"> catchment is briefly discussed in Section </w:t>
      </w:r>
      <w:r>
        <w:fldChar w:fldCharType="begin"/>
      </w:r>
      <w:r>
        <w:instrText xml:space="preserve"> REF _Ref152312943 \r \h </w:instrText>
      </w:r>
      <w:r>
        <w:fldChar w:fldCharType="separate"/>
      </w:r>
      <w:r w:rsidR="008502A6">
        <w:t>2.3</w:t>
      </w:r>
      <w:r>
        <w:fldChar w:fldCharType="end"/>
      </w:r>
      <w:r>
        <w:t xml:space="preserve">. </w:t>
      </w:r>
    </w:p>
    <w:p w14:paraId="4118FA9F" w14:textId="11F66C7C" w:rsidR="00F57C80" w:rsidRPr="00D96CB8" w:rsidRDefault="00F57C80" w:rsidP="00C71010">
      <w:pPr>
        <w:pStyle w:val="ListParagraph"/>
        <w:numPr>
          <w:ilvl w:val="0"/>
          <w:numId w:val="16"/>
        </w:numPr>
        <w:spacing w:after="0" w:line="240" w:lineRule="auto"/>
        <w:contextualSpacing w:val="0"/>
        <w:jc w:val="both"/>
      </w:pPr>
      <w:r w:rsidRPr="00D96CB8">
        <w:t>We have not considered impacts of climate change in this note as it represents the current situation when written, impacts of climate change should be considered in future planning.</w:t>
      </w:r>
    </w:p>
    <w:p w14:paraId="4C6B1177" w14:textId="761F9D39" w:rsidR="00B06B9E" w:rsidRDefault="00692B48" w:rsidP="00F87437">
      <w:pPr>
        <w:pStyle w:val="Heading1"/>
        <w:ind w:left="431" w:hanging="431"/>
        <w:jc w:val="both"/>
      </w:pPr>
      <w:bookmarkStart w:id="6" w:name="_Toc160434445"/>
      <w:r>
        <w:t xml:space="preserve">Review of </w:t>
      </w:r>
      <w:r w:rsidR="00CC012E">
        <w:t>technical documentations for</w:t>
      </w:r>
      <w:r w:rsidR="004A5909">
        <w:t xml:space="preserve"> </w:t>
      </w:r>
      <w:proofErr w:type="spellStart"/>
      <w:r w:rsidR="004A5909">
        <w:t>Thornham</w:t>
      </w:r>
      <w:proofErr w:type="spellEnd"/>
      <w:r w:rsidR="004A5909">
        <w:t xml:space="preserve"> WwT</w:t>
      </w:r>
      <w:r w:rsidR="00F87437">
        <w:t>W</w:t>
      </w:r>
      <w:bookmarkEnd w:id="6"/>
    </w:p>
    <w:p w14:paraId="1A3D5021" w14:textId="6D1E2128" w:rsidR="00A43BE3" w:rsidRPr="00F94206" w:rsidRDefault="00A43BE3" w:rsidP="00F87437">
      <w:pPr>
        <w:pStyle w:val="Heading2"/>
        <w:spacing w:after="240"/>
        <w:ind w:left="578" w:hanging="578"/>
      </w:pPr>
      <w:bookmarkStart w:id="7" w:name="_Toc160434446"/>
      <w:r w:rsidRPr="00F94206">
        <w:t>Overview of documents</w:t>
      </w:r>
      <w:r w:rsidR="004277A5" w:rsidRPr="00F94206">
        <w:t xml:space="preserve"> reviewed</w:t>
      </w:r>
      <w:r w:rsidR="00B64620">
        <w:t xml:space="preserve"> and key assessment</w:t>
      </w:r>
      <w:r w:rsidR="004803B5">
        <w:t>s</w:t>
      </w:r>
      <w:bookmarkEnd w:id="7"/>
      <w:r w:rsidR="00B64620">
        <w:t xml:space="preserve"> </w:t>
      </w:r>
    </w:p>
    <w:p w14:paraId="653A10A9" w14:textId="64DC6BD9" w:rsidR="00A43BE3" w:rsidRDefault="00A43BE3" w:rsidP="00D41EEA">
      <w:pPr>
        <w:pStyle w:val="Heading3"/>
      </w:pPr>
      <w:bookmarkStart w:id="8" w:name="_Toc160434447"/>
      <w:r>
        <w:t>CDC</w:t>
      </w:r>
      <w:r w:rsidRPr="00C443A2">
        <w:t xml:space="preserve"> Water Quality Assessment </w:t>
      </w:r>
      <w:r w:rsidR="00965194">
        <w:t>(Aug 18)</w:t>
      </w:r>
      <w:bookmarkEnd w:id="8"/>
    </w:p>
    <w:p w14:paraId="04DA2084" w14:textId="77777777" w:rsidR="00B64620" w:rsidRDefault="00A43BE3" w:rsidP="00F87437">
      <w:pPr>
        <w:spacing w:after="240"/>
        <w:jc w:val="both"/>
      </w:pPr>
      <w:r w:rsidRPr="0099239B">
        <w:t>The</w:t>
      </w:r>
      <w:r>
        <w:t xml:space="preserve"> </w:t>
      </w:r>
      <w:r w:rsidR="00023BB5">
        <w:t>CDC</w:t>
      </w:r>
      <w:r>
        <w:t xml:space="preserve"> </w:t>
      </w:r>
      <w:r w:rsidRPr="0099239B">
        <w:t>Water Quality Assessment</w:t>
      </w:r>
      <w:r>
        <w:t xml:space="preserve"> report was prepared by </w:t>
      </w:r>
      <w:proofErr w:type="spellStart"/>
      <w:r>
        <w:t>Amec</w:t>
      </w:r>
      <w:proofErr w:type="spellEnd"/>
      <w:r>
        <w:t xml:space="preserve"> Foster Wheeler in 2018</w:t>
      </w:r>
      <w:r w:rsidRPr="0099239B">
        <w:t xml:space="preserve"> to support the Council Local Plan outlining how sustainable growth will be achieved </w:t>
      </w:r>
      <w:proofErr w:type="gramStart"/>
      <w:r w:rsidRPr="0099239B">
        <w:t>taking into account</w:t>
      </w:r>
      <w:proofErr w:type="gramEnd"/>
      <w:r w:rsidRPr="0099239B">
        <w:t xml:space="preserve"> both population growth with associated housing needs, as well as increased transport, power and infrastructure growth. The Water Quality Assessment report describes the studies and modelling works undertaken to inform on the potential impact to receiving water bodies associated with increased discharge volumes from nine separate </w:t>
      </w:r>
      <w:proofErr w:type="spellStart"/>
      <w:r w:rsidRPr="0099239B">
        <w:t>WwTWs</w:t>
      </w:r>
      <w:proofErr w:type="spellEnd"/>
      <w:r w:rsidRPr="0099239B">
        <w:t xml:space="preserve"> within the Council area. </w:t>
      </w:r>
      <w:r>
        <w:t xml:space="preserve"> </w:t>
      </w:r>
    </w:p>
    <w:p w14:paraId="227CD3F9" w14:textId="397E90AF" w:rsidR="00A43BE3" w:rsidRDefault="00B64620" w:rsidP="00F87437">
      <w:pPr>
        <w:spacing w:after="240"/>
        <w:jc w:val="both"/>
      </w:pPr>
      <w:r w:rsidRPr="00756960">
        <w:rPr>
          <w:i/>
          <w:iCs/>
        </w:rPr>
        <w:t xml:space="preserve">Our Key </w:t>
      </w:r>
      <w:r w:rsidR="00A43BE3" w:rsidRPr="00756960">
        <w:rPr>
          <w:i/>
          <w:iCs/>
        </w:rPr>
        <w:t>Assessment</w:t>
      </w:r>
      <w:r>
        <w:t>:</w:t>
      </w:r>
      <w:r w:rsidR="00A43BE3">
        <w:t xml:space="preserve"> a review of the methodology used for assessing the estimated remaining headroom at WwTW (</w:t>
      </w:r>
      <w:r w:rsidR="003D53EC">
        <w:t>dry weather flow (</w:t>
      </w:r>
      <w:r w:rsidR="00A43BE3">
        <w:t>DWF</w:t>
      </w:r>
      <w:r w:rsidR="003D53EC">
        <w:t>)</w:t>
      </w:r>
      <w:r w:rsidR="00A43BE3">
        <w:t xml:space="preserve"> calculations) including research of other methods and evidence for alternatives that could provide a more robust output</w:t>
      </w:r>
      <w:r w:rsidR="00F87437">
        <w:t>.</w:t>
      </w:r>
    </w:p>
    <w:p w14:paraId="3ED21019" w14:textId="73A08BE3" w:rsidR="004277A5" w:rsidRDefault="004277A5" w:rsidP="00D41EEA">
      <w:pPr>
        <w:pStyle w:val="Heading3"/>
      </w:pPr>
      <w:bookmarkStart w:id="9" w:name="_Toc160434448"/>
      <w:r w:rsidRPr="004277A5">
        <w:t>Integrated Water Management Study (IWMS) for the Partnership for South Hampshire (</w:t>
      </w:r>
      <w:proofErr w:type="spellStart"/>
      <w:r w:rsidRPr="004277A5">
        <w:t>PfSH</w:t>
      </w:r>
      <w:proofErr w:type="spellEnd"/>
      <w:r w:rsidRPr="004277A5">
        <w:t>)</w:t>
      </w:r>
      <w:r>
        <w:t xml:space="preserve"> – Technical Note update</w:t>
      </w:r>
      <w:r w:rsidR="00965194">
        <w:t xml:space="preserve"> (Jul 20)</w:t>
      </w:r>
      <w:bookmarkEnd w:id="9"/>
    </w:p>
    <w:p w14:paraId="1FA050EB" w14:textId="47814E0F" w:rsidR="00944D31" w:rsidRDefault="004277A5" w:rsidP="00F87437">
      <w:pPr>
        <w:spacing w:after="240"/>
        <w:jc w:val="both"/>
      </w:pPr>
      <w:r>
        <w:t xml:space="preserve">The potential impact and additional nutrient loading associated with projected housing developments in the Solent area were also assessed in the IWMS report prepared on behalf of the </w:t>
      </w:r>
      <w:proofErr w:type="spellStart"/>
      <w:r>
        <w:t>PfSH</w:t>
      </w:r>
      <w:proofErr w:type="spellEnd"/>
      <w:r w:rsidR="00944D31">
        <w:t xml:space="preserve"> as detailed in the</w:t>
      </w:r>
      <w:r>
        <w:t xml:space="preserve"> 2020 Addendum technical note. </w:t>
      </w:r>
    </w:p>
    <w:p w14:paraId="2AA840BF" w14:textId="1F1F71D9" w:rsidR="004277A5" w:rsidRDefault="00944D31" w:rsidP="00F87437">
      <w:pPr>
        <w:spacing w:after="240"/>
        <w:jc w:val="both"/>
      </w:pPr>
      <w:bookmarkStart w:id="10" w:name="_Hlk155787992"/>
      <w:r w:rsidRPr="00DE63F7">
        <w:rPr>
          <w:i/>
          <w:iCs/>
        </w:rPr>
        <w:t>Our Key Assessment</w:t>
      </w:r>
      <w:r>
        <w:t xml:space="preserve">: </w:t>
      </w:r>
      <w:bookmarkEnd w:id="10"/>
      <w:r w:rsidR="008E582E">
        <w:t xml:space="preserve">Primarily </w:t>
      </w:r>
      <w:r>
        <w:t xml:space="preserve">a </w:t>
      </w:r>
      <w:r w:rsidR="004277A5">
        <w:t>review</w:t>
      </w:r>
      <w:r>
        <w:t xml:space="preserve"> of</w:t>
      </w:r>
      <w:r w:rsidR="004277A5">
        <w:t xml:space="preserve"> the</w:t>
      </w:r>
      <w:r w:rsidR="00D96CB8">
        <w:t xml:space="preserve"> </w:t>
      </w:r>
      <w:bookmarkStart w:id="11" w:name="_Hlk155787917"/>
      <w:r w:rsidR="004277A5">
        <w:t xml:space="preserve">2020 </w:t>
      </w:r>
      <w:r w:rsidR="00756960">
        <w:t>Technical Note</w:t>
      </w:r>
      <w:r w:rsidR="00D96CB8">
        <w:t xml:space="preserve"> Update</w:t>
      </w:r>
      <w:r w:rsidR="004277A5">
        <w:t xml:space="preserve"> </w:t>
      </w:r>
      <w:bookmarkEnd w:id="11"/>
      <w:r>
        <w:t>given</w:t>
      </w:r>
      <w:r w:rsidR="004277A5">
        <w:t xml:space="preserve"> it includes the most up to date calculations for the report </w:t>
      </w:r>
      <w:r w:rsidR="00C10F16">
        <w:t xml:space="preserve">on DWF and nutrient loading </w:t>
      </w:r>
      <w:r w:rsidR="004277A5">
        <w:t xml:space="preserve">and expands the study area to include </w:t>
      </w:r>
      <w:proofErr w:type="spellStart"/>
      <w:r w:rsidR="004277A5">
        <w:t>Thornham</w:t>
      </w:r>
      <w:proofErr w:type="spellEnd"/>
      <w:r w:rsidR="004277A5">
        <w:t xml:space="preserve"> WwTW which was not present in the 2018 IWMS report. </w:t>
      </w:r>
    </w:p>
    <w:p w14:paraId="29768E55" w14:textId="77777777" w:rsidR="004277A5" w:rsidRDefault="004277A5" w:rsidP="00D41EEA">
      <w:pPr>
        <w:pStyle w:val="Heading3"/>
      </w:pPr>
      <w:bookmarkStart w:id="12" w:name="_Toc160434449"/>
      <w:r>
        <w:t>CDC and HBC Statement of Common Ground (Feb 21)</w:t>
      </w:r>
      <w:bookmarkEnd w:id="12"/>
    </w:p>
    <w:p w14:paraId="443F14BE" w14:textId="731786FF" w:rsidR="004277A5" w:rsidRDefault="004277A5" w:rsidP="004277A5">
      <w:pPr>
        <w:jc w:val="both"/>
      </w:pPr>
      <w:r>
        <w:t xml:space="preserve">The Statement of Common Ground briefly outlines </w:t>
      </w:r>
      <w:r w:rsidR="00F6403B">
        <w:t xml:space="preserve">CDC and HBC’s combined </w:t>
      </w:r>
      <w:r>
        <w:t xml:space="preserve">position </w:t>
      </w:r>
      <w:proofErr w:type="gramStart"/>
      <w:r>
        <w:t>and</w:t>
      </w:r>
      <w:r w:rsidR="00F6403B">
        <w:t xml:space="preserve"> also</w:t>
      </w:r>
      <w:proofErr w:type="gramEnd"/>
      <w:r>
        <w:t xml:space="preserve"> mentions some uncertainties around the environmental impact and wastewater capacity assessments for </w:t>
      </w:r>
      <w:proofErr w:type="spellStart"/>
      <w:r>
        <w:t>Thornham</w:t>
      </w:r>
      <w:proofErr w:type="spellEnd"/>
      <w:r>
        <w:t xml:space="preserve"> WwTW undertaken up to February 2021, including the </w:t>
      </w:r>
      <w:r w:rsidRPr="002A11D6">
        <w:t xml:space="preserve">Water Quality </w:t>
      </w:r>
      <w:r>
        <w:t xml:space="preserve">Assessment, and </w:t>
      </w:r>
      <w:r w:rsidRPr="009A4484">
        <w:t xml:space="preserve">the </w:t>
      </w:r>
      <w:r>
        <w:t xml:space="preserve">2018 </w:t>
      </w:r>
      <w:proofErr w:type="spellStart"/>
      <w:r w:rsidRPr="009A4484">
        <w:t>PfSH</w:t>
      </w:r>
      <w:proofErr w:type="spellEnd"/>
      <w:r w:rsidRPr="009A4484">
        <w:t xml:space="preserve"> IWMS</w:t>
      </w:r>
      <w:r>
        <w:t xml:space="preserve"> along with the IWMS </w:t>
      </w:r>
      <w:r w:rsidR="00D96CB8" w:rsidRPr="00D96CB8">
        <w:t>2020 Technical Note Update</w:t>
      </w:r>
      <w:r>
        <w:t xml:space="preserve">. </w:t>
      </w:r>
    </w:p>
    <w:p w14:paraId="430B89E6" w14:textId="3E8D8B38" w:rsidR="004277A5" w:rsidRDefault="004277A5" w:rsidP="00F87437">
      <w:pPr>
        <w:spacing w:after="240"/>
        <w:jc w:val="both"/>
      </w:pPr>
      <w:r>
        <w:t xml:space="preserve">The main concerns raised by the </w:t>
      </w:r>
      <w:r w:rsidR="00793462">
        <w:t xml:space="preserve">CDC and HBC </w:t>
      </w:r>
      <w:r>
        <w:t>include the need for WwTW capacity upgrades by 2025, as well as the discrepancies in how the DWF and headroom are calculated using different water consumption rate (i.</w:t>
      </w:r>
      <w:r w:rsidRPr="00EA5044">
        <w:t>e., per dwelling or per person</w:t>
      </w:r>
      <w:r>
        <w:t>).</w:t>
      </w:r>
    </w:p>
    <w:p w14:paraId="5722B77D" w14:textId="5DF16406" w:rsidR="00D96CB8" w:rsidRDefault="00D96CB8" w:rsidP="00F87437">
      <w:pPr>
        <w:spacing w:after="240"/>
        <w:jc w:val="both"/>
      </w:pPr>
      <w:bookmarkStart w:id="13" w:name="_Hlk155788095"/>
      <w:r>
        <w:rPr>
          <w:i/>
          <w:iCs/>
        </w:rPr>
        <w:t>Note</w:t>
      </w:r>
      <w:r w:rsidRPr="00D96CB8">
        <w:t>:</w:t>
      </w:r>
      <w:r>
        <w:t xml:space="preserve"> This document forms part of the starting point for this technical note</w:t>
      </w:r>
      <w:r w:rsidR="008E582E">
        <w:t>.</w:t>
      </w:r>
    </w:p>
    <w:p w14:paraId="7A65F9A6" w14:textId="24122C8B" w:rsidR="004356D0" w:rsidRDefault="004356D0" w:rsidP="00D41EEA">
      <w:pPr>
        <w:pStyle w:val="Heading3"/>
      </w:pPr>
      <w:bookmarkStart w:id="14" w:name="_Toc160434450"/>
      <w:bookmarkEnd w:id="13"/>
      <w:r>
        <w:t xml:space="preserve">Joint </w:t>
      </w:r>
      <w:proofErr w:type="spellStart"/>
      <w:r w:rsidR="00C00187">
        <w:t>Thornham</w:t>
      </w:r>
      <w:proofErr w:type="spellEnd"/>
      <w:r w:rsidR="00C00187">
        <w:t xml:space="preserve"> WwTW </w:t>
      </w:r>
      <w:r>
        <w:t>Position Statement (Nov 21)</w:t>
      </w:r>
      <w:bookmarkEnd w:id="14"/>
    </w:p>
    <w:p w14:paraId="35275CDA" w14:textId="2646159F" w:rsidR="004356D0" w:rsidRDefault="004356D0" w:rsidP="00F87437">
      <w:pPr>
        <w:spacing w:after="240"/>
        <w:jc w:val="both"/>
      </w:pPr>
      <w:r>
        <w:t xml:space="preserve">In November 2021 a joint position statement on </w:t>
      </w:r>
      <w:r w:rsidRPr="00743802">
        <w:t xml:space="preserve">managing new housing development in the </w:t>
      </w:r>
      <w:proofErr w:type="spellStart"/>
      <w:r w:rsidRPr="00743802">
        <w:t>Thornham</w:t>
      </w:r>
      <w:proofErr w:type="spellEnd"/>
      <w:r w:rsidRPr="00743802">
        <w:t xml:space="preserve"> W</w:t>
      </w:r>
      <w:r>
        <w:t>wTW</w:t>
      </w:r>
      <w:r w:rsidRPr="00743802">
        <w:t xml:space="preserve"> catchment</w:t>
      </w:r>
      <w:r>
        <w:t xml:space="preserve"> was signed by CDC, </w:t>
      </w:r>
      <w:r w:rsidR="00793462">
        <w:t>SWS</w:t>
      </w:r>
      <w:r>
        <w:t xml:space="preserve"> and the EA. This joint position statement is built on existing policies and technical reports, including both the Water Quality Assessment report and the </w:t>
      </w:r>
      <w:r>
        <w:lastRenderedPageBreak/>
        <w:t>Statement of Common Ground both discussed above.</w:t>
      </w:r>
      <w:r w:rsidR="00C10F16">
        <w:t xml:space="preserve">  It provides DWF headroom estimates (as </w:t>
      </w:r>
      <w:r w:rsidR="008E582E">
        <w:t>of</w:t>
      </w:r>
      <w:r w:rsidR="00C10F16">
        <w:t xml:space="preserve"> January 2021) along with calculation method and assumptions.</w:t>
      </w:r>
    </w:p>
    <w:p w14:paraId="1C72E7C1" w14:textId="69B849BA" w:rsidR="00F6403B" w:rsidRDefault="00D96CB8" w:rsidP="00F87437">
      <w:pPr>
        <w:spacing w:after="240"/>
        <w:jc w:val="both"/>
      </w:pPr>
      <w:r w:rsidRPr="00D96CB8">
        <w:rPr>
          <w:i/>
          <w:iCs/>
        </w:rPr>
        <w:t xml:space="preserve"> </w:t>
      </w:r>
      <w:r>
        <w:rPr>
          <w:i/>
          <w:iCs/>
        </w:rPr>
        <w:t>Note</w:t>
      </w:r>
      <w:r w:rsidRPr="00D96CB8">
        <w:t>:</w:t>
      </w:r>
      <w:r>
        <w:t xml:space="preserve"> This document forms part of the starting point for this technical note</w:t>
      </w:r>
      <w:r w:rsidR="008E582E">
        <w:t>.</w:t>
      </w:r>
    </w:p>
    <w:p w14:paraId="57810F23" w14:textId="11496F3E" w:rsidR="00C10F16" w:rsidRPr="007714D0" w:rsidRDefault="00C10F16" w:rsidP="00D41EEA">
      <w:pPr>
        <w:pStyle w:val="Heading3"/>
      </w:pPr>
      <w:bookmarkStart w:id="15" w:name="_Toc160434451"/>
      <w:r w:rsidRPr="00C10F16">
        <w:t xml:space="preserve">Wastewater treatment and remaining Headroom calculations </w:t>
      </w:r>
      <w:r w:rsidR="005B0991">
        <w:t>as at 1</w:t>
      </w:r>
      <w:r w:rsidR="005B0991" w:rsidRPr="000274A9">
        <w:rPr>
          <w:vertAlign w:val="superscript"/>
        </w:rPr>
        <w:t>st</w:t>
      </w:r>
      <w:r w:rsidR="005B0991">
        <w:t xml:space="preserve"> </w:t>
      </w:r>
      <w:r w:rsidRPr="00C10F16">
        <w:t>Jan</w:t>
      </w:r>
      <w:r w:rsidR="00965194">
        <w:t xml:space="preserve"> </w:t>
      </w:r>
      <w:r w:rsidR="005B0991">
        <w:t>20</w:t>
      </w:r>
      <w:r w:rsidR="00965194">
        <w:t>23</w:t>
      </w:r>
      <w:r>
        <w:t>)</w:t>
      </w:r>
      <w:bookmarkEnd w:id="15"/>
    </w:p>
    <w:p w14:paraId="0D2E9D3E" w14:textId="4E581DE8" w:rsidR="00C10F16" w:rsidRDefault="005B0991" w:rsidP="00C10F16">
      <w:pPr>
        <w:jc w:val="both"/>
      </w:pPr>
      <w:r w:rsidRPr="005B0991">
        <w:t xml:space="preserve">This document estimates headroom remaining above the Q80 DWF for the WwTW within the Chichester Local Plan Area, which includes </w:t>
      </w:r>
      <w:proofErr w:type="spellStart"/>
      <w:r w:rsidRPr="005B0991">
        <w:t>Thornham</w:t>
      </w:r>
      <w:proofErr w:type="spellEnd"/>
      <w:r w:rsidRPr="005B0991">
        <w:t xml:space="preserve"> WwTW, as </w:t>
      </w:r>
      <w:r w:rsidR="008E582E" w:rsidRPr="005B0991">
        <w:t>of</w:t>
      </w:r>
      <w:r w:rsidRPr="005B0991">
        <w:t xml:space="preserve"> 1</w:t>
      </w:r>
      <w:r w:rsidRPr="005B0991">
        <w:rPr>
          <w:vertAlign w:val="superscript"/>
        </w:rPr>
        <w:t>st</w:t>
      </w:r>
      <w:r w:rsidRPr="005B0991">
        <w:t xml:space="preserve"> January 2023.  Th</w:t>
      </w:r>
      <w:r w:rsidR="00F6403B">
        <w:t xml:space="preserve">e remaining headroom is calculated </w:t>
      </w:r>
      <w:r w:rsidRPr="005B0991">
        <w:t xml:space="preserve">by comparing current </w:t>
      </w:r>
      <w:r w:rsidR="0003467F">
        <w:t>EA</w:t>
      </w:r>
      <w:r w:rsidRPr="005B0991">
        <w:t xml:space="preserve"> permits to average DWF Q80 data for the 5</w:t>
      </w:r>
      <w:r w:rsidR="00194E7D">
        <w:t>-</w:t>
      </w:r>
      <w:r w:rsidRPr="005B0991">
        <w:t>year period 2018-22, using an average of 500l</w:t>
      </w:r>
      <w:r w:rsidR="00E122CD">
        <w:t>/d</w:t>
      </w:r>
      <w:r w:rsidRPr="005B0991">
        <w:t xml:space="preserve"> wastewater per household. This calculation does not take account of additional housing permissions but is based on actual flows, so will include flows from any housing already built. Th</w:t>
      </w:r>
      <w:r w:rsidR="001561F5">
        <w:t>e DWF headroom</w:t>
      </w:r>
      <w:r w:rsidR="00F978F0">
        <w:t xml:space="preserve"> </w:t>
      </w:r>
      <w:r w:rsidRPr="005B0991">
        <w:t xml:space="preserve">is updated when </w:t>
      </w:r>
      <w:r w:rsidR="00D95239">
        <w:t>SW</w:t>
      </w:r>
      <w:r w:rsidR="00E122CD">
        <w:t>S</w:t>
      </w:r>
      <w:r w:rsidRPr="005B0991">
        <w:t xml:space="preserve"> publish new DWF data each year and is published as part of the evidence base for the Chichester Local Plan. The document </w:t>
      </w:r>
      <w:proofErr w:type="gramStart"/>
      <w:r w:rsidRPr="005B0991">
        <w:t>gives an explanation of</w:t>
      </w:r>
      <w:proofErr w:type="gramEnd"/>
      <w:r w:rsidRPr="005B0991">
        <w:t xml:space="preserve"> the use of the Q80 for estimating headroom and notes that reaching the Q80 does not equate to a breach in permit.</w:t>
      </w:r>
    </w:p>
    <w:p w14:paraId="3B3B3C82" w14:textId="03C17A26" w:rsidR="00761DA3" w:rsidRPr="00CC3DC3" w:rsidRDefault="00761DA3" w:rsidP="00761DA3">
      <w:pPr>
        <w:spacing w:after="240"/>
        <w:jc w:val="both"/>
      </w:pPr>
      <w:r w:rsidRPr="00DE63F7">
        <w:rPr>
          <w:i/>
          <w:iCs/>
        </w:rPr>
        <w:t xml:space="preserve">Our Key </w:t>
      </w:r>
      <w:r w:rsidRPr="002D1735">
        <w:rPr>
          <w:i/>
          <w:iCs/>
        </w:rPr>
        <w:t xml:space="preserve">Assessment: </w:t>
      </w:r>
      <w:r w:rsidR="002D1735" w:rsidRPr="00B4557D">
        <w:t xml:space="preserve">a </w:t>
      </w:r>
      <w:r w:rsidR="006560F7" w:rsidRPr="00B4557D">
        <w:t>review</w:t>
      </w:r>
      <w:r w:rsidR="002D1735" w:rsidRPr="00B4557D">
        <w:t xml:space="preserve"> of the Jan 2023 WwTW and Headroom Calculations for assessing the estimated remaining DWF headroom at </w:t>
      </w:r>
      <w:proofErr w:type="spellStart"/>
      <w:r w:rsidR="002D1735" w:rsidRPr="00B4557D">
        <w:t>Thornham</w:t>
      </w:r>
      <w:proofErr w:type="spellEnd"/>
      <w:r w:rsidR="002D1735" w:rsidRPr="00B4557D">
        <w:t xml:space="preserve"> WwTW. Assessment of other methods and evidence to estimate the water usage rates against recent actual data from SWS and PW.</w:t>
      </w:r>
    </w:p>
    <w:p w14:paraId="4FC623D9" w14:textId="41316D79" w:rsidR="005B0991" w:rsidRDefault="005B0991" w:rsidP="000E1B9E">
      <w:pPr>
        <w:pStyle w:val="Heading3"/>
      </w:pPr>
      <w:bookmarkStart w:id="16" w:name="_Toc160434452"/>
      <w:r>
        <w:t xml:space="preserve">Headroom Monitoring for </w:t>
      </w:r>
      <w:proofErr w:type="spellStart"/>
      <w:r>
        <w:t>Thornham</w:t>
      </w:r>
      <w:proofErr w:type="spellEnd"/>
      <w:r>
        <w:t xml:space="preserve"> WwTW</w:t>
      </w:r>
      <w:bookmarkEnd w:id="16"/>
    </w:p>
    <w:p w14:paraId="5038B0FD" w14:textId="51DDD372" w:rsidR="007F4C96" w:rsidRDefault="007F4C96" w:rsidP="00C10F16">
      <w:pPr>
        <w:jc w:val="both"/>
      </w:pPr>
      <w:r w:rsidRPr="007F4C96">
        <w:t xml:space="preserve">The annual estimates of headroom remaining </w:t>
      </w:r>
      <w:r w:rsidR="009021D2">
        <w:t>within</w:t>
      </w:r>
      <w:r w:rsidR="009021D2" w:rsidRPr="007F4C96">
        <w:t xml:space="preserve"> </w:t>
      </w:r>
      <w:r w:rsidRPr="007F4C96">
        <w:t>the Q80</w:t>
      </w:r>
      <w:r>
        <w:t xml:space="preserve"> DWF</w:t>
      </w:r>
      <w:r w:rsidRPr="007F4C96">
        <w:t xml:space="preserve"> are supplemented by monthly monitoring of extant planning permissions within the </w:t>
      </w:r>
      <w:proofErr w:type="spellStart"/>
      <w:r w:rsidRPr="007F4C96">
        <w:t>Thornham</w:t>
      </w:r>
      <w:proofErr w:type="spellEnd"/>
      <w:r w:rsidRPr="007F4C96">
        <w:t xml:space="preserve"> catchment, based on data from CDC and Hampshire County Council. The tables, which are published close to the start of each month, set out extant permissions in the catchment and indicate how much of the headroom identified in the annual headroom statements would still be available</w:t>
      </w:r>
      <w:r w:rsidR="00FF2E34">
        <w:t xml:space="preserve"> if</w:t>
      </w:r>
      <w:r w:rsidRPr="007F4C96">
        <w:t xml:space="preserve"> all developments with extant planning permission in the catchment were constructed. This information is relevant to implementation of the </w:t>
      </w:r>
      <w:proofErr w:type="spellStart"/>
      <w:r w:rsidRPr="007F4C96">
        <w:t>Thornham</w:t>
      </w:r>
      <w:proofErr w:type="spellEnd"/>
      <w:r w:rsidRPr="007F4C96">
        <w:t xml:space="preserve"> Position Statement which requires sufficient headroom to serve new development taking account of both the latest DWF based headroom information AND the needs of extant planning permissions yet to be completed, or alternatively that no net increase in flows to </w:t>
      </w:r>
      <w:proofErr w:type="spellStart"/>
      <w:r w:rsidRPr="007F4C96">
        <w:t>Thornham</w:t>
      </w:r>
      <w:proofErr w:type="spellEnd"/>
      <w:r w:rsidRPr="007F4C96">
        <w:t xml:space="preserve"> WWTW will result from the development</w:t>
      </w:r>
      <w:r>
        <w:t>.</w:t>
      </w:r>
    </w:p>
    <w:p w14:paraId="26E26772" w14:textId="5BFC912F" w:rsidR="00761DA3" w:rsidRPr="00B4557D" w:rsidRDefault="00761DA3" w:rsidP="00761DA3">
      <w:pPr>
        <w:spacing w:after="240"/>
        <w:jc w:val="both"/>
      </w:pPr>
      <w:r w:rsidRPr="00DE63F7">
        <w:rPr>
          <w:i/>
          <w:iCs/>
        </w:rPr>
        <w:t>Our Key Assessme</w:t>
      </w:r>
      <w:r w:rsidRPr="002D1735">
        <w:rPr>
          <w:i/>
          <w:iCs/>
        </w:rPr>
        <w:t>nt:</w:t>
      </w:r>
      <w:r w:rsidR="002D1735" w:rsidRPr="002D1735">
        <w:rPr>
          <w:i/>
          <w:iCs/>
        </w:rPr>
        <w:t xml:space="preserve"> </w:t>
      </w:r>
      <w:r w:rsidR="002D1735" w:rsidRPr="00B4557D">
        <w:t xml:space="preserve">review of the ongoing DWF headroom monitoring </w:t>
      </w:r>
      <w:r w:rsidR="00B4557D" w:rsidRPr="00B4557D">
        <w:t>considering</w:t>
      </w:r>
      <w:r w:rsidR="002D1735" w:rsidRPr="00B4557D">
        <w:t xml:space="preserve"> the latest available planning permissions data.</w:t>
      </w:r>
    </w:p>
    <w:p w14:paraId="6650B456" w14:textId="37C9AE69" w:rsidR="007F4C96" w:rsidRDefault="007F4C96" w:rsidP="000E1B9E">
      <w:pPr>
        <w:pStyle w:val="Heading3"/>
      </w:pPr>
      <w:bookmarkStart w:id="17" w:name="_Toc160434453"/>
      <w:r w:rsidRPr="007F4C96">
        <w:t xml:space="preserve">Statement of Common Ground between Chichester District Council, Environment </w:t>
      </w:r>
      <w:proofErr w:type="gramStart"/>
      <w:r w:rsidRPr="007F4C96">
        <w:t>Agency</w:t>
      </w:r>
      <w:proofErr w:type="gramEnd"/>
      <w:r w:rsidRPr="007F4C96">
        <w:t xml:space="preserve"> and Southern Water – Waste Water Treatment in the Chichester Plan Area 24</w:t>
      </w:r>
      <w:r w:rsidRPr="000E1B9E">
        <w:rPr>
          <w:vertAlign w:val="superscript"/>
        </w:rPr>
        <w:t>th</w:t>
      </w:r>
      <w:r>
        <w:t xml:space="preserve"> </w:t>
      </w:r>
      <w:r w:rsidRPr="007F4C96">
        <w:t>November 2021</w:t>
      </w:r>
      <w:bookmarkEnd w:id="17"/>
    </w:p>
    <w:p w14:paraId="39A3F2D6" w14:textId="46AF1D47" w:rsidR="00761DA3" w:rsidRDefault="007F4C96" w:rsidP="00C10F16">
      <w:pPr>
        <w:jc w:val="both"/>
      </w:pPr>
      <w:r w:rsidRPr="007F4C96">
        <w:t xml:space="preserve">This statement sets out common ground between the parties about the issues relating to wastewater.  </w:t>
      </w:r>
      <w:proofErr w:type="spellStart"/>
      <w:r w:rsidRPr="007F4C96">
        <w:t>Thornham</w:t>
      </w:r>
      <w:proofErr w:type="spellEnd"/>
      <w:r w:rsidRPr="007F4C96">
        <w:t xml:space="preserve"> W</w:t>
      </w:r>
      <w:r>
        <w:t>w</w:t>
      </w:r>
      <w:r w:rsidRPr="007F4C96">
        <w:t xml:space="preserve">TW is identified as environmentally constrained.  The document summarises ways that capacity could potentially be freed up without requiring an increase in permits at environmentally constrained works – with more detail to come through Southern Water’s 5 yearly business planning processes and the </w:t>
      </w:r>
      <w:r w:rsidR="0003467F" w:rsidRPr="007F4C96">
        <w:t>longer-term</w:t>
      </w:r>
      <w:r w:rsidRPr="007F4C96">
        <w:t xml:space="preserve"> Drainage and Wastewater Management Plan.  An updated statement is currently being finalised to support submission of the Chichester Local Plan.  </w:t>
      </w:r>
    </w:p>
    <w:p w14:paraId="48A37351" w14:textId="67B6DC31" w:rsidR="002B0A7A" w:rsidRPr="00F94206" w:rsidRDefault="002B0A7A" w:rsidP="00F87437">
      <w:pPr>
        <w:pStyle w:val="Heading2"/>
        <w:spacing w:after="240"/>
        <w:ind w:left="578" w:hanging="578"/>
      </w:pPr>
      <w:bookmarkStart w:id="18" w:name="_Toc160434454"/>
      <w:proofErr w:type="spellStart"/>
      <w:r w:rsidRPr="00F94206">
        <w:t>Thornham</w:t>
      </w:r>
      <w:proofErr w:type="spellEnd"/>
      <w:r w:rsidRPr="00F94206">
        <w:t xml:space="preserve"> WwTW</w:t>
      </w:r>
      <w:r w:rsidR="00F87437">
        <w:t xml:space="preserve"> headroom calculations</w:t>
      </w:r>
      <w:bookmarkEnd w:id="18"/>
    </w:p>
    <w:p w14:paraId="164FB234" w14:textId="1F8AFCEB" w:rsidR="00F87437" w:rsidRDefault="00F87437" w:rsidP="00D41EEA">
      <w:pPr>
        <w:pStyle w:val="Heading3"/>
      </w:pPr>
      <w:bookmarkStart w:id="19" w:name="_Toc160434455"/>
      <w:r w:rsidRPr="00D41EEA">
        <w:t>Environmental</w:t>
      </w:r>
      <w:r>
        <w:t xml:space="preserve"> Permit</w:t>
      </w:r>
      <w:bookmarkEnd w:id="19"/>
    </w:p>
    <w:p w14:paraId="12BA7AE0" w14:textId="5CA41DC1" w:rsidR="00736421" w:rsidRDefault="002B0A7A" w:rsidP="005D67FC">
      <w:proofErr w:type="spellStart"/>
      <w:r w:rsidRPr="002B0A7A">
        <w:t>Thornham</w:t>
      </w:r>
      <w:proofErr w:type="spellEnd"/>
      <w:r w:rsidRPr="002B0A7A">
        <w:t xml:space="preserve"> WwTW operates under a Permit issued by the </w:t>
      </w:r>
      <w:r w:rsidR="00023BB5">
        <w:t>EA</w:t>
      </w:r>
      <w:r>
        <w:t xml:space="preserve"> and is</w:t>
      </w:r>
      <w:r w:rsidRPr="002B0A7A">
        <w:t xml:space="preserve"> subject to environmental permit constraints</w:t>
      </w:r>
      <w:r>
        <w:t xml:space="preserve">. </w:t>
      </w:r>
      <w:r w:rsidR="008966AC" w:rsidRPr="00F87437">
        <w:rPr>
          <w:b/>
          <w:bCs/>
          <w:color w:val="006BB7"/>
        </w:rPr>
        <w:fldChar w:fldCharType="begin"/>
      </w:r>
      <w:r w:rsidR="008966AC" w:rsidRPr="00F87437">
        <w:rPr>
          <w:b/>
          <w:bCs/>
          <w:color w:val="006BB7"/>
        </w:rPr>
        <w:instrText xml:space="preserve"> REF _Ref147951562 \h  \* MERGEFORMAT </w:instrText>
      </w:r>
      <w:r w:rsidR="008966AC" w:rsidRPr="00F87437">
        <w:rPr>
          <w:b/>
          <w:bCs/>
          <w:color w:val="006BB7"/>
        </w:rPr>
      </w:r>
      <w:r w:rsidR="008966AC" w:rsidRPr="00F87437">
        <w:rPr>
          <w:b/>
          <w:bCs/>
          <w:color w:val="006BB7"/>
        </w:rPr>
        <w:fldChar w:fldCharType="separate"/>
      </w:r>
      <w:r w:rsidR="008502A6" w:rsidRPr="008502A6">
        <w:rPr>
          <w:b/>
          <w:bCs/>
          <w:color w:val="006BB7"/>
        </w:rPr>
        <w:t xml:space="preserve">Table </w:t>
      </w:r>
      <w:r w:rsidR="008502A6" w:rsidRPr="008502A6">
        <w:rPr>
          <w:b/>
          <w:bCs/>
          <w:noProof/>
          <w:color w:val="006BB7"/>
        </w:rPr>
        <w:t>2</w:t>
      </w:r>
      <w:r w:rsidR="008502A6" w:rsidRPr="008502A6">
        <w:rPr>
          <w:b/>
          <w:bCs/>
          <w:noProof/>
          <w:color w:val="006BB7"/>
        </w:rPr>
        <w:noBreakHyphen/>
        <w:t>1</w:t>
      </w:r>
      <w:r w:rsidR="008966AC" w:rsidRPr="00F87437">
        <w:rPr>
          <w:b/>
          <w:bCs/>
          <w:color w:val="006BB7"/>
        </w:rPr>
        <w:fldChar w:fldCharType="end"/>
      </w:r>
      <w:r w:rsidRPr="00F87437">
        <w:rPr>
          <w:color w:val="006BB7"/>
        </w:rPr>
        <w:t xml:space="preserve"> </w:t>
      </w:r>
      <w:r>
        <w:t xml:space="preserve">provides a summary of permit constraints cited in the documents under review. </w:t>
      </w:r>
    </w:p>
    <w:p w14:paraId="098E78A0" w14:textId="358F30A8" w:rsidR="00736421" w:rsidRPr="00F87437" w:rsidRDefault="00736421" w:rsidP="00A43BE3">
      <w:pPr>
        <w:pStyle w:val="Caption"/>
        <w:jc w:val="both"/>
      </w:pPr>
      <w:bookmarkStart w:id="20" w:name="_Ref147951562"/>
      <w:r w:rsidRPr="00F87437">
        <w:lastRenderedPageBreak/>
        <w:t xml:space="preserve">Table </w:t>
      </w:r>
      <w:r w:rsidR="000B4DFF">
        <w:fldChar w:fldCharType="begin"/>
      </w:r>
      <w:r w:rsidR="000B4DFF">
        <w:instrText xml:space="preserve"> STYLEREF 1 \s </w:instrText>
      </w:r>
      <w:r w:rsidR="000B4DFF">
        <w:fldChar w:fldCharType="separate"/>
      </w:r>
      <w:r w:rsidR="008502A6">
        <w:rPr>
          <w:noProof/>
        </w:rPr>
        <w:t>2</w:t>
      </w:r>
      <w:r w:rsidR="000B4DFF">
        <w:rPr>
          <w:noProof/>
        </w:rPr>
        <w:fldChar w:fldCharType="end"/>
      </w:r>
      <w:r w:rsidR="003E1AD7">
        <w:noBreakHyphen/>
      </w:r>
      <w:r w:rsidR="000B4DFF">
        <w:fldChar w:fldCharType="begin"/>
      </w:r>
      <w:r w:rsidR="000B4DFF">
        <w:instrText xml:space="preserve"> SEQ Table \* ARABIC \s 1 </w:instrText>
      </w:r>
      <w:r w:rsidR="000B4DFF">
        <w:fldChar w:fldCharType="separate"/>
      </w:r>
      <w:r w:rsidR="008502A6">
        <w:rPr>
          <w:noProof/>
        </w:rPr>
        <w:t>1</w:t>
      </w:r>
      <w:r w:rsidR="000B4DFF">
        <w:rPr>
          <w:noProof/>
        </w:rPr>
        <w:fldChar w:fldCharType="end"/>
      </w:r>
      <w:bookmarkEnd w:id="20"/>
      <w:r w:rsidRPr="00F87437">
        <w:t xml:space="preserve"> </w:t>
      </w:r>
      <w:proofErr w:type="spellStart"/>
      <w:r w:rsidRPr="00F87437">
        <w:t>Thornham</w:t>
      </w:r>
      <w:proofErr w:type="spellEnd"/>
      <w:r w:rsidRPr="00F87437">
        <w:t xml:space="preserve"> WwTW environmental permit constraints</w:t>
      </w:r>
      <w:r w:rsidR="00A522FE">
        <w:rPr>
          <w:rStyle w:val="FootnoteReference"/>
        </w:rPr>
        <w:footnoteReference w:id="8"/>
      </w:r>
    </w:p>
    <w:tbl>
      <w:tblPr>
        <w:tblStyle w:val="Mainbidtables"/>
        <w:tblW w:w="0" w:type="auto"/>
        <w:tblLook w:val="04A0" w:firstRow="1" w:lastRow="0" w:firstColumn="1" w:lastColumn="0" w:noHBand="0" w:noVBand="1"/>
      </w:tblPr>
      <w:tblGrid>
        <w:gridCol w:w="2871"/>
        <w:gridCol w:w="2871"/>
        <w:gridCol w:w="2871"/>
      </w:tblGrid>
      <w:tr w:rsidR="002B0A7A" w14:paraId="3B342C40" w14:textId="77777777" w:rsidTr="002F3A37">
        <w:trPr>
          <w:cnfStyle w:val="100000000000" w:firstRow="1" w:lastRow="0" w:firstColumn="0" w:lastColumn="0" w:oddVBand="0" w:evenVBand="0" w:oddHBand="0" w:evenHBand="0" w:firstRowFirstColumn="0" w:firstRowLastColumn="0" w:lastRowFirstColumn="0" w:lastRowLastColumn="0"/>
        </w:trPr>
        <w:tc>
          <w:tcPr>
            <w:tcW w:w="2871" w:type="dxa"/>
            <w:shd w:val="clear" w:color="auto" w:fill="4472C4" w:themeFill="accent1"/>
          </w:tcPr>
          <w:p w14:paraId="2CB296D2" w14:textId="23BAA576" w:rsidR="002B0A7A" w:rsidRPr="00C24052" w:rsidRDefault="00023BB5" w:rsidP="00092BB1">
            <w:pPr>
              <w:jc w:val="center"/>
              <w:rPr>
                <w:b/>
                <w:bCs/>
                <w:sz w:val="18"/>
              </w:rPr>
            </w:pPr>
            <w:r w:rsidRPr="00C24052">
              <w:rPr>
                <w:b/>
                <w:bCs/>
                <w:sz w:val="18"/>
              </w:rPr>
              <w:t>DWF</w:t>
            </w:r>
          </w:p>
        </w:tc>
        <w:tc>
          <w:tcPr>
            <w:tcW w:w="2871" w:type="dxa"/>
            <w:shd w:val="clear" w:color="auto" w:fill="4472C4" w:themeFill="accent1"/>
          </w:tcPr>
          <w:p w14:paraId="5A50C796" w14:textId="77777777" w:rsidR="002B0A7A" w:rsidRPr="00C24052" w:rsidRDefault="002B0A7A" w:rsidP="00092BB1">
            <w:pPr>
              <w:jc w:val="center"/>
              <w:rPr>
                <w:b/>
                <w:bCs/>
                <w:sz w:val="18"/>
              </w:rPr>
            </w:pPr>
            <w:r w:rsidRPr="00C24052">
              <w:rPr>
                <w:b/>
                <w:bCs/>
                <w:sz w:val="18"/>
              </w:rPr>
              <w:t>Nitrate</w:t>
            </w:r>
          </w:p>
        </w:tc>
        <w:tc>
          <w:tcPr>
            <w:tcW w:w="2871" w:type="dxa"/>
            <w:shd w:val="clear" w:color="auto" w:fill="4472C4" w:themeFill="accent1"/>
          </w:tcPr>
          <w:p w14:paraId="6805A267" w14:textId="62E213BF" w:rsidR="002B0A7A" w:rsidRPr="00C24052" w:rsidRDefault="00023BB5" w:rsidP="00092BB1">
            <w:pPr>
              <w:jc w:val="center"/>
              <w:rPr>
                <w:b/>
                <w:bCs/>
                <w:sz w:val="18"/>
              </w:rPr>
            </w:pPr>
            <w:r w:rsidRPr="00C24052">
              <w:rPr>
                <w:b/>
                <w:bCs/>
                <w:sz w:val="18"/>
              </w:rPr>
              <w:t>Biochemical oxygen demand (BOD)</w:t>
            </w:r>
          </w:p>
        </w:tc>
      </w:tr>
      <w:tr w:rsidR="002B0A7A" w14:paraId="44B999DC" w14:textId="77777777" w:rsidTr="002F3A37">
        <w:trPr>
          <w:cnfStyle w:val="000000100000" w:firstRow="0" w:lastRow="0" w:firstColumn="0" w:lastColumn="0" w:oddVBand="0" w:evenVBand="0" w:oddHBand="1" w:evenHBand="0" w:firstRowFirstColumn="0" w:firstRowLastColumn="0" w:lastRowFirstColumn="0" w:lastRowLastColumn="0"/>
        </w:trPr>
        <w:tc>
          <w:tcPr>
            <w:tcW w:w="2871" w:type="dxa"/>
          </w:tcPr>
          <w:p w14:paraId="5B925D21" w14:textId="46DBD765" w:rsidR="002B0A7A" w:rsidRPr="00C24052" w:rsidRDefault="002B0A7A" w:rsidP="008E582E">
            <w:pPr>
              <w:jc w:val="center"/>
              <w:rPr>
                <w:sz w:val="18"/>
              </w:rPr>
            </w:pPr>
            <w:r w:rsidRPr="00C24052">
              <w:rPr>
                <w:sz w:val="18"/>
              </w:rPr>
              <w:t>6,565 m</w:t>
            </w:r>
            <w:r w:rsidRPr="00C24052">
              <w:rPr>
                <w:sz w:val="18"/>
                <w:vertAlign w:val="superscript"/>
              </w:rPr>
              <w:t>3</w:t>
            </w:r>
            <w:r w:rsidRPr="00C24052">
              <w:rPr>
                <w:sz w:val="18"/>
              </w:rPr>
              <w:t>/d</w:t>
            </w:r>
          </w:p>
        </w:tc>
        <w:tc>
          <w:tcPr>
            <w:tcW w:w="2871" w:type="dxa"/>
          </w:tcPr>
          <w:p w14:paraId="190B9894" w14:textId="77777777" w:rsidR="002B0A7A" w:rsidRPr="00C24052" w:rsidRDefault="002B0A7A" w:rsidP="008E582E">
            <w:pPr>
              <w:jc w:val="center"/>
              <w:rPr>
                <w:sz w:val="18"/>
              </w:rPr>
            </w:pPr>
            <w:r w:rsidRPr="00C24052">
              <w:rPr>
                <w:sz w:val="18"/>
              </w:rPr>
              <w:t xml:space="preserve">10.0 </w:t>
            </w:r>
            <w:proofErr w:type="gramStart"/>
            <w:r w:rsidRPr="00C24052">
              <w:rPr>
                <w:sz w:val="18"/>
              </w:rPr>
              <w:t>mg-N</w:t>
            </w:r>
            <w:proofErr w:type="gramEnd"/>
            <w:r w:rsidRPr="00C24052">
              <w:rPr>
                <w:sz w:val="18"/>
              </w:rPr>
              <w:t>/l</w:t>
            </w:r>
          </w:p>
        </w:tc>
        <w:tc>
          <w:tcPr>
            <w:tcW w:w="2871" w:type="dxa"/>
          </w:tcPr>
          <w:p w14:paraId="6CE91438" w14:textId="77777777" w:rsidR="002B0A7A" w:rsidRPr="00C24052" w:rsidRDefault="002B0A7A" w:rsidP="008E582E">
            <w:pPr>
              <w:jc w:val="center"/>
              <w:rPr>
                <w:sz w:val="18"/>
              </w:rPr>
            </w:pPr>
            <w:r w:rsidRPr="00C24052">
              <w:rPr>
                <w:sz w:val="18"/>
              </w:rPr>
              <w:t>64 mg/l</w:t>
            </w:r>
          </w:p>
        </w:tc>
      </w:tr>
    </w:tbl>
    <w:p w14:paraId="322CF310" w14:textId="4E67438B" w:rsidR="002B0A7A" w:rsidRDefault="002B0A7A" w:rsidP="00A43BE3">
      <w:pPr>
        <w:contextualSpacing/>
        <w:jc w:val="both"/>
      </w:pPr>
    </w:p>
    <w:p w14:paraId="6A970EEC" w14:textId="074ABB78" w:rsidR="00F87437" w:rsidRDefault="00F87437" w:rsidP="00D41EEA">
      <w:pPr>
        <w:pStyle w:val="Heading3"/>
      </w:pPr>
      <w:bookmarkStart w:id="21" w:name="_Ref153189469"/>
      <w:bookmarkStart w:id="22" w:name="_Ref153193594"/>
      <w:bookmarkStart w:id="23" w:name="_Toc160434456"/>
      <w:bookmarkStart w:id="24" w:name="_Hlk155100096"/>
      <w:r>
        <w:t xml:space="preserve">Current </w:t>
      </w:r>
      <w:r w:rsidR="00023BB5">
        <w:t>DWF</w:t>
      </w:r>
      <w:bookmarkEnd w:id="21"/>
      <w:bookmarkEnd w:id="22"/>
      <w:bookmarkEnd w:id="23"/>
    </w:p>
    <w:bookmarkEnd w:id="24"/>
    <w:p w14:paraId="1CB8B433" w14:textId="350AA9A0" w:rsidR="00C30FEE" w:rsidRPr="0025755B" w:rsidRDefault="00C30FEE" w:rsidP="007718A8">
      <w:pPr>
        <w:jc w:val="both"/>
      </w:pPr>
      <w:r w:rsidRPr="0025755B">
        <w:t>The DWF represents the average daily flow to a WwTW during a period with no rainfall.</w:t>
      </w:r>
      <w:r w:rsidR="0035026F" w:rsidRPr="0025755B">
        <w:t xml:space="preserve"> </w:t>
      </w:r>
      <w:r w:rsidR="007718A8" w:rsidRPr="0025755B">
        <w:t xml:space="preserve">It </w:t>
      </w:r>
      <w:r w:rsidR="0035026F" w:rsidRPr="0025755B">
        <w:t xml:space="preserve">is a good measure of effluent coming from </w:t>
      </w:r>
      <w:r w:rsidR="00345056" w:rsidRPr="0025755B">
        <w:t>residential and commercial properties</w:t>
      </w:r>
      <w:r w:rsidR="0035026F" w:rsidRPr="0025755B">
        <w:t xml:space="preserve">, </w:t>
      </w:r>
      <w:r w:rsidR="00345056" w:rsidRPr="0025755B">
        <w:t>as it</w:t>
      </w:r>
      <w:r w:rsidR="0035026F" w:rsidRPr="0025755B">
        <w:t xml:space="preserve"> contains the greatest concentration of organic matter and pollutants that require treating before returning to the environment.</w:t>
      </w:r>
      <w:r w:rsidRPr="0025755B">
        <w:t xml:space="preserve"> It is noted that the overall flow may vary between seasons as a result of changing sewer infiltrations rates and population numbers. </w:t>
      </w:r>
      <w:r w:rsidR="00345056" w:rsidRPr="0025755B">
        <w:t>Furthermore, it</w:t>
      </w:r>
      <w:r w:rsidRPr="0025755B">
        <w:t xml:space="preserve"> </w:t>
      </w:r>
      <w:r w:rsidR="00345056" w:rsidRPr="0025755B">
        <w:t xml:space="preserve">is also </w:t>
      </w:r>
      <w:r w:rsidRPr="0025755B">
        <w:t xml:space="preserve">one of the thresholds for treated effluent from </w:t>
      </w:r>
      <w:r w:rsidR="00FD50F0" w:rsidRPr="0025755B">
        <w:t xml:space="preserve">a </w:t>
      </w:r>
      <w:r w:rsidRPr="0025755B">
        <w:t xml:space="preserve">WwTW set by the EA to avoid potential adverse impacts on the environment.  </w:t>
      </w:r>
    </w:p>
    <w:p w14:paraId="41A2711D" w14:textId="74368785" w:rsidR="00C33616" w:rsidRPr="00137EA5" w:rsidRDefault="0025755B" w:rsidP="00A43BE3">
      <w:pPr>
        <w:jc w:val="both"/>
        <w:rPr>
          <w:highlight w:val="yellow"/>
        </w:rPr>
      </w:pPr>
      <w:r w:rsidRPr="0025755B">
        <w:t xml:space="preserve">Estimating the </w:t>
      </w:r>
      <w:r w:rsidR="0035026F" w:rsidRPr="0025755B">
        <w:t xml:space="preserve">DWF </w:t>
      </w:r>
      <w:r w:rsidRPr="0025755B">
        <w:t>headroom for a WwTW</w:t>
      </w:r>
      <w:r w:rsidR="0035026F" w:rsidRPr="0025755B">
        <w:t xml:space="preserve"> is the industry standard </w:t>
      </w:r>
      <w:r w:rsidRPr="0025755B">
        <w:t xml:space="preserve">method typically used to </w:t>
      </w:r>
      <w:r w:rsidR="0035026F" w:rsidRPr="0025755B">
        <w:t>provide</w:t>
      </w:r>
      <w:r w:rsidR="007718A8" w:rsidRPr="0025755B">
        <w:t xml:space="preserve"> evidence for Local Plans that there is sufficient </w:t>
      </w:r>
      <w:r w:rsidRPr="0025755B">
        <w:t xml:space="preserve">wastewater treatment </w:t>
      </w:r>
      <w:r w:rsidR="007718A8" w:rsidRPr="0025755B">
        <w:t xml:space="preserve">capacity </w:t>
      </w:r>
      <w:r w:rsidRPr="0025755B">
        <w:t>for a given catchment population growth</w:t>
      </w:r>
      <w:r w:rsidR="007718A8" w:rsidRPr="0025755B">
        <w:t xml:space="preserve">. </w:t>
      </w:r>
      <w:r w:rsidR="00736421">
        <w:t xml:space="preserve">For an established </w:t>
      </w:r>
      <w:r w:rsidR="00023BB5">
        <w:t>WwTW</w:t>
      </w:r>
      <w:r w:rsidR="00736421">
        <w:t xml:space="preserve">, understanding the current DWF is a key consideration to understanding the available headroom. </w:t>
      </w:r>
      <w:r w:rsidR="008966AC">
        <w:t xml:space="preserve">A comparison of DWF values </w:t>
      </w:r>
      <w:r w:rsidR="00EA5044">
        <w:t xml:space="preserve">stated in the reports reviewed are </w:t>
      </w:r>
      <w:r w:rsidR="008966AC">
        <w:t xml:space="preserve">presented in </w:t>
      </w:r>
      <w:r w:rsidR="008966AC" w:rsidRPr="00F87437">
        <w:rPr>
          <w:b/>
          <w:bCs/>
          <w:color w:val="006BB7"/>
        </w:rPr>
        <w:fldChar w:fldCharType="begin"/>
      </w:r>
      <w:r w:rsidR="008966AC" w:rsidRPr="00F87437">
        <w:rPr>
          <w:b/>
          <w:bCs/>
          <w:color w:val="006BB7"/>
        </w:rPr>
        <w:instrText xml:space="preserve"> REF _Ref147951856 \h  \* MERGEFORMAT </w:instrText>
      </w:r>
      <w:r w:rsidR="008966AC" w:rsidRPr="00F87437">
        <w:rPr>
          <w:b/>
          <w:bCs/>
          <w:color w:val="006BB7"/>
        </w:rPr>
      </w:r>
      <w:r w:rsidR="008966AC" w:rsidRPr="00F87437">
        <w:rPr>
          <w:b/>
          <w:bCs/>
          <w:color w:val="006BB7"/>
        </w:rPr>
        <w:fldChar w:fldCharType="separate"/>
      </w:r>
      <w:r w:rsidR="008502A6" w:rsidRPr="008502A6">
        <w:rPr>
          <w:b/>
          <w:bCs/>
          <w:color w:val="006BB7"/>
        </w:rPr>
        <w:t xml:space="preserve">Table </w:t>
      </w:r>
      <w:r w:rsidR="008502A6" w:rsidRPr="008502A6">
        <w:rPr>
          <w:b/>
          <w:bCs/>
          <w:noProof/>
          <w:color w:val="006BB7"/>
        </w:rPr>
        <w:t>2</w:t>
      </w:r>
      <w:r w:rsidR="008502A6" w:rsidRPr="008502A6">
        <w:rPr>
          <w:b/>
          <w:bCs/>
          <w:noProof/>
          <w:color w:val="006BB7"/>
        </w:rPr>
        <w:noBreakHyphen/>
        <w:t>2</w:t>
      </w:r>
      <w:r w:rsidR="008966AC" w:rsidRPr="00F87437">
        <w:rPr>
          <w:b/>
          <w:bCs/>
          <w:color w:val="006BB7"/>
        </w:rPr>
        <w:fldChar w:fldCharType="end"/>
      </w:r>
      <w:r w:rsidR="003D703C">
        <w:t>.</w:t>
      </w:r>
      <w:r w:rsidR="003A692E" w:rsidRPr="00137EA5">
        <w:t xml:space="preserve"> It</w:t>
      </w:r>
      <w:r w:rsidR="003A692E" w:rsidRPr="003A692E">
        <w:t xml:space="preserve"> should be noted that this only reviews the DWFs where assumptions and methodological approach behind the estimate are clear</w:t>
      </w:r>
      <w:r w:rsidR="003A692E" w:rsidRPr="00137EA5">
        <w:t>.</w:t>
      </w:r>
      <w:r w:rsidR="00937CC1" w:rsidRPr="00137EA5">
        <w:t xml:space="preserve"> It also noted that </w:t>
      </w:r>
      <w:r w:rsidR="00937CC1" w:rsidRPr="001F1BB1">
        <w:t>two</w:t>
      </w:r>
      <w:r w:rsidR="00937CC1" w:rsidRPr="00137EA5">
        <w:t xml:space="preserve"> </w:t>
      </w:r>
      <w:r w:rsidR="00937CC1" w:rsidRPr="00BB755B">
        <w:t xml:space="preserve">Monitoring Certification Scheme (MCERTS) standards are used to check the validity of the total daily volume (TDV) of treated effluent data that forms the basis of the DWF provided by </w:t>
      </w:r>
      <w:r w:rsidR="00793462">
        <w:t>SWS</w:t>
      </w:r>
      <w:r w:rsidR="00937CC1" w:rsidRPr="00BB755B">
        <w:t xml:space="preserve">. Further information on these standards </w:t>
      </w:r>
      <w:r w:rsidR="00937CC1" w:rsidRPr="00D96CB8">
        <w:t xml:space="preserve">and wider quality assurance procedures are included in the </w:t>
      </w:r>
      <w:r w:rsidR="00937CC1" w:rsidRPr="008E582E">
        <w:t>Monitoring discharges to water</w:t>
      </w:r>
      <w:r w:rsidR="00937CC1" w:rsidRPr="00D96CB8">
        <w:t xml:space="preserve"> technical guidance</w:t>
      </w:r>
      <w:r w:rsidR="00937CC1" w:rsidRPr="00D96CB8">
        <w:rPr>
          <w:rStyle w:val="FootnoteReference"/>
        </w:rPr>
        <w:footnoteReference w:id="9"/>
      </w:r>
      <w:r w:rsidR="00937CC1" w:rsidRPr="00D96CB8">
        <w:t>.</w:t>
      </w:r>
      <w:r w:rsidR="00B4557D" w:rsidRPr="00D96CB8">
        <w:t xml:space="preserve"> Ricardo has not replicated the calculations used by the Water Utilities as this is outside of the scope of this report.</w:t>
      </w:r>
    </w:p>
    <w:p w14:paraId="2EABA262" w14:textId="56497D14" w:rsidR="008966AC" w:rsidRPr="00F87437" w:rsidRDefault="008966AC" w:rsidP="00A43BE3">
      <w:pPr>
        <w:pStyle w:val="Caption"/>
        <w:jc w:val="both"/>
      </w:pPr>
      <w:bookmarkStart w:id="25" w:name="_Ref147951856"/>
      <w:r w:rsidRPr="00F87437">
        <w:t xml:space="preserve">Table </w:t>
      </w:r>
      <w:r w:rsidR="000B4DFF">
        <w:fldChar w:fldCharType="begin"/>
      </w:r>
      <w:r w:rsidR="000B4DFF">
        <w:instrText xml:space="preserve"> STYLEREF 1 \s </w:instrText>
      </w:r>
      <w:r w:rsidR="000B4DFF">
        <w:fldChar w:fldCharType="separate"/>
      </w:r>
      <w:r w:rsidR="008502A6">
        <w:rPr>
          <w:noProof/>
        </w:rPr>
        <w:t>2</w:t>
      </w:r>
      <w:r w:rsidR="000B4DFF">
        <w:rPr>
          <w:noProof/>
        </w:rPr>
        <w:fldChar w:fldCharType="end"/>
      </w:r>
      <w:r w:rsidR="003E1AD7">
        <w:noBreakHyphen/>
      </w:r>
      <w:r w:rsidR="000B4DFF">
        <w:fldChar w:fldCharType="begin"/>
      </w:r>
      <w:r w:rsidR="000B4DFF">
        <w:instrText xml:space="preserve"> SEQ Table \* ARABIC \s 1 </w:instrText>
      </w:r>
      <w:r w:rsidR="000B4DFF">
        <w:fldChar w:fldCharType="separate"/>
      </w:r>
      <w:r w:rsidR="008502A6">
        <w:rPr>
          <w:noProof/>
        </w:rPr>
        <w:t>2</w:t>
      </w:r>
      <w:r w:rsidR="000B4DFF">
        <w:rPr>
          <w:noProof/>
        </w:rPr>
        <w:fldChar w:fldCharType="end"/>
      </w:r>
      <w:bookmarkEnd w:id="25"/>
      <w:r w:rsidRPr="00F87437">
        <w:t xml:space="preserve">  Comparison of current DWF values</w:t>
      </w:r>
    </w:p>
    <w:tbl>
      <w:tblPr>
        <w:tblStyle w:val="Ricardotable"/>
        <w:tblW w:w="8755" w:type="dxa"/>
        <w:tblLook w:val="0020" w:firstRow="1" w:lastRow="0" w:firstColumn="0" w:lastColumn="0" w:noHBand="0" w:noVBand="0"/>
      </w:tblPr>
      <w:tblGrid>
        <w:gridCol w:w="2235"/>
        <w:gridCol w:w="1134"/>
        <w:gridCol w:w="2268"/>
        <w:gridCol w:w="1417"/>
        <w:gridCol w:w="1701"/>
      </w:tblGrid>
      <w:tr w:rsidR="000474BB" w14:paraId="1F819177" w14:textId="77777777" w:rsidTr="00892AF5">
        <w:trPr>
          <w:cnfStyle w:val="100000000000" w:firstRow="1" w:lastRow="0" w:firstColumn="0" w:lastColumn="0" w:oddVBand="0" w:evenVBand="0" w:oddHBand="0" w:evenHBand="0" w:firstRowFirstColumn="0" w:firstRowLastColumn="0" w:lastRowFirstColumn="0" w:lastRowLastColumn="0"/>
          <w:trHeight w:val="661"/>
        </w:trPr>
        <w:tc>
          <w:tcPr>
            <w:tcW w:w="2235" w:type="dxa"/>
            <w:shd w:val="clear" w:color="auto" w:fill="4472C4" w:themeFill="accent1"/>
          </w:tcPr>
          <w:p w14:paraId="4513C6D7" w14:textId="26217F7C" w:rsidR="000474BB" w:rsidRPr="002F3A37" w:rsidRDefault="00A43BE3" w:rsidP="003D703C">
            <w:pPr>
              <w:pStyle w:val="ListParagraph"/>
              <w:spacing w:after="0"/>
              <w:ind w:left="0"/>
              <w:rPr>
                <w:b/>
                <w:bCs/>
                <w:sz w:val="18"/>
              </w:rPr>
            </w:pPr>
            <w:bookmarkStart w:id="26" w:name="_Hlk147413452"/>
            <w:r w:rsidRPr="002F3A37">
              <w:rPr>
                <w:b/>
                <w:bCs/>
                <w:sz w:val="18"/>
              </w:rPr>
              <w:t>Document</w:t>
            </w:r>
          </w:p>
          <w:p w14:paraId="6F359676" w14:textId="5952F12E" w:rsidR="000474BB" w:rsidRPr="002F3A37" w:rsidRDefault="000474BB" w:rsidP="003D703C">
            <w:pPr>
              <w:pStyle w:val="ListParagraph"/>
              <w:spacing w:after="0"/>
              <w:ind w:left="0"/>
              <w:rPr>
                <w:b/>
                <w:bCs/>
                <w:i/>
                <w:iCs/>
                <w:sz w:val="18"/>
              </w:rPr>
            </w:pPr>
            <w:r w:rsidRPr="002F3A37">
              <w:rPr>
                <w:b/>
                <w:bCs/>
                <w:i/>
                <w:iCs/>
                <w:sz w:val="18"/>
              </w:rPr>
              <w:t>note 1</w:t>
            </w:r>
          </w:p>
        </w:tc>
        <w:tc>
          <w:tcPr>
            <w:tcW w:w="1134" w:type="dxa"/>
            <w:shd w:val="clear" w:color="auto" w:fill="4472C4" w:themeFill="accent1"/>
          </w:tcPr>
          <w:p w14:paraId="002D3D55" w14:textId="524696C0" w:rsidR="000474BB" w:rsidRPr="002F3A37" w:rsidRDefault="000474BB" w:rsidP="003D703C">
            <w:pPr>
              <w:pStyle w:val="ListParagraph"/>
              <w:spacing w:after="0"/>
              <w:ind w:left="0"/>
              <w:rPr>
                <w:b/>
                <w:bCs/>
                <w:sz w:val="18"/>
              </w:rPr>
            </w:pPr>
            <w:r w:rsidRPr="002F3A37">
              <w:rPr>
                <w:b/>
                <w:bCs/>
                <w:sz w:val="18"/>
              </w:rPr>
              <w:t>Data Source</w:t>
            </w:r>
          </w:p>
          <w:p w14:paraId="75DA201B" w14:textId="62969635" w:rsidR="000474BB" w:rsidRPr="002F3A37" w:rsidRDefault="000474BB" w:rsidP="003D703C">
            <w:pPr>
              <w:pStyle w:val="ListParagraph"/>
              <w:spacing w:after="0"/>
              <w:ind w:left="0"/>
              <w:rPr>
                <w:b/>
                <w:bCs/>
                <w:sz w:val="18"/>
              </w:rPr>
            </w:pPr>
            <w:r w:rsidRPr="002F3A37">
              <w:rPr>
                <w:b/>
                <w:bCs/>
                <w:i/>
                <w:iCs/>
                <w:sz w:val="18"/>
              </w:rPr>
              <w:t>note 1</w:t>
            </w:r>
          </w:p>
        </w:tc>
        <w:tc>
          <w:tcPr>
            <w:tcW w:w="2268" w:type="dxa"/>
            <w:shd w:val="clear" w:color="auto" w:fill="4472C4" w:themeFill="accent1"/>
          </w:tcPr>
          <w:p w14:paraId="24575B9F" w14:textId="346A7EE2" w:rsidR="000474BB" w:rsidRPr="002F3A37" w:rsidRDefault="000474BB" w:rsidP="003D703C">
            <w:pPr>
              <w:pStyle w:val="ListParagraph"/>
              <w:spacing w:after="0"/>
              <w:ind w:left="0"/>
              <w:rPr>
                <w:b/>
                <w:bCs/>
                <w:sz w:val="18"/>
              </w:rPr>
            </w:pPr>
            <w:r w:rsidRPr="002F3A37">
              <w:rPr>
                <w:b/>
                <w:bCs/>
                <w:sz w:val="18"/>
              </w:rPr>
              <w:t xml:space="preserve">Year / </w:t>
            </w:r>
            <w:r w:rsidR="005D701D" w:rsidRPr="002F3A37">
              <w:rPr>
                <w:b/>
                <w:bCs/>
                <w:sz w:val="18"/>
              </w:rPr>
              <w:t>methodology</w:t>
            </w:r>
          </w:p>
          <w:p w14:paraId="4C0E93BC" w14:textId="6FF457F3" w:rsidR="000474BB" w:rsidRPr="002F3A37" w:rsidRDefault="000474BB" w:rsidP="003D703C">
            <w:pPr>
              <w:pStyle w:val="ListParagraph"/>
              <w:spacing w:after="0"/>
              <w:ind w:left="0"/>
              <w:rPr>
                <w:b/>
                <w:bCs/>
                <w:sz w:val="18"/>
              </w:rPr>
            </w:pPr>
            <w:r w:rsidRPr="002F3A37">
              <w:rPr>
                <w:b/>
                <w:bCs/>
                <w:i/>
                <w:iCs/>
                <w:sz w:val="18"/>
              </w:rPr>
              <w:t>note 2</w:t>
            </w:r>
            <w:r w:rsidR="0037316F" w:rsidRPr="002F3A37">
              <w:rPr>
                <w:b/>
                <w:bCs/>
                <w:i/>
                <w:iCs/>
                <w:sz w:val="18"/>
              </w:rPr>
              <w:t xml:space="preserve"> </w:t>
            </w:r>
          </w:p>
        </w:tc>
        <w:tc>
          <w:tcPr>
            <w:tcW w:w="1417" w:type="dxa"/>
            <w:shd w:val="clear" w:color="auto" w:fill="4472C4" w:themeFill="accent1"/>
          </w:tcPr>
          <w:p w14:paraId="1EAF3A09" w14:textId="61B4E268" w:rsidR="008966AC" w:rsidRPr="002F3A37" w:rsidRDefault="00D62ABE" w:rsidP="003D703C">
            <w:pPr>
              <w:pStyle w:val="ListParagraph"/>
              <w:spacing w:after="0"/>
              <w:ind w:left="0"/>
              <w:rPr>
                <w:b/>
                <w:bCs/>
                <w:sz w:val="18"/>
              </w:rPr>
            </w:pPr>
            <w:r w:rsidRPr="002F3A37">
              <w:rPr>
                <w:b/>
                <w:bCs/>
                <w:sz w:val="18"/>
              </w:rPr>
              <w:t>Current ave</w:t>
            </w:r>
            <w:r w:rsidR="003D703C" w:rsidRPr="002F3A37">
              <w:rPr>
                <w:b/>
                <w:bCs/>
                <w:sz w:val="18"/>
              </w:rPr>
              <w:t>rage</w:t>
            </w:r>
            <w:r w:rsidRPr="002F3A37">
              <w:rPr>
                <w:b/>
                <w:bCs/>
                <w:sz w:val="18"/>
              </w:rPr>
              <w:t xml:space="preserve"> Q</w:t>
            </w:r>
            <w:r w:rsidRPr="002F3A37">
              <w:rPr>
                <w:b/>
                <w:bCs/>
                <w:sz w:val="18"/>
                <w:vertAlign w:val="superscript"/>
              </w:rPr>
              <w:t>80</w:t>
            </w:r>
            <w:r w:rsidRPr="002F3A37">
              <w:rPr>
                <w:b/>
                <w:bCs/>
                <w:sz w:val="18"/>
              </w:rPr>
              <w:t xml:space="preserve"> DWF </w:t>
            </w:r>
          </w:p>
          <w:p w14:paraId="5BB54127" w14:textId="66DBF0BC" w:rsidR="0037316F" w:rsidRPr="002F3A37" w:rsidRDefault="0037316F" w:rsidP="003D703C">
            <w:pPr>
              <w:pStyle w:val="ListParagraph"/>
              <w:spacing w:after="0"/>
              <w:ind w:left="0"/>
              <w:rPr>
                <w:b/>
                <w:bCs/>
                <w:sz w:val="18"/>
              </w:rPr>
            </w:pPr>
            <w:r w:rsidRPr="002F3A37">
              <w:rPr>
                <w:b/>
                <w:bCs/>
                <w:i/>
                <w:iCs/>
                <w:sz w:val="18"/>
              </w:rPr>
              <w:t xml:space="preserve">note </w:t>
            </w:r>
            <w:r w:rsidR="00EE431A" w:rsidRPr="002F3A37">
              <w:rPr>
                <w:b/>
                <w:bCs/>
                <w:i/>
                <w:iCs/>
                <w:sz w:val="18"/>
              </w:rPr>
              <w:t>2</w:t>
            </w:r>
          </w:p>
        </w:tc>
        <w:tc>
          <w:tcPr>
            <w:tcW w:w="1701" w:type="dxa"/>
            <w:shd w:val="clear" w:color="auto" w:fill="4472C4" w:themeFill="accent1"/>
          </w:tcPr>
          <w:p w14:paraId="747927A3" w14:textId="77777777" w:rsidR="000474BB" w:rsidRPr="002F3A37" w:rsidRDefault="00860F6C" w:rsidP="003D703C">
            <w:pPr>
              <w:pStyle w:val="ListParagraph"/>
              <w:spacing w:after="0"/>
              <w:ind w:left="0"/>
              <w:rPr>
                <w:b/>
                <w:bCs/>
                <w:sz w:val="18"/>
              </w:rPr>
            </w:pPr>
            <w:r w:rsidRPr="002F3A37">
              <w:rPr>
                <w:b/>
                <w:bCs/>
                <w:sz w:val="18"/>
              </w:rPr>
              <w:t>Indication of remaining headroom</w:t>
            </w:r>
          </w:p>
          <w:p w14:paraId="66466ABC" w14:textId="66F28CBA" w:rsidR="00EE431A" w:rsidRPr="002F3A37" w:rsidRDefault="00EE431A" w:rsidP="003D703C">
            <w:pPr>
              <w:pStyle w:val="ListParagraph"/>
              <w:spacing w:after="0"/>
              <w:ind w:left="0"/>
              <w:rPr>
                <w:b/>
                <w:bCs/>
                <w:sz w:val="18"/>
              </w:rPr>
            </w:pPr>
            <w:r w:rsidRPr="002F3A37">
              <w:rPr>
                <w:b/>
                <w:bCs/>
                <w:i/>
                <w:iCs/>
                <w:sz w:val="18"/>
              </w:rPr>
              <w:t>note 3</w:t>
            </w:r>
          </w:p>
        </w:tc>
      </w:tr>
      <w:tr w:rsidR="000474BB" w14:paraId="69DC2AB9" w14:textId="77777777" w:rsidTr="00892AF5">
        <w:tc>
          <w:tcPr>
            <w:tcW w:w="2235" w:type="dxa"/>
          </w:tcPr>
          <w:p w14:paraId="48B65567" w14:textId="37E62677" w:rsidR="000474BB" w:rsidRPr="00C24052" w:rsidRDefault="000474BB" w:rsidP="003D703C">
            <w:pPr>
              <w:pStyle w:val="ListParagraph"/>
              <w:spacing w:after="0"/>
              <w:ind w:left="0"/>
              <w:rPr>
                <w:sz w:val="18"/>
              </w:rPr>
            </w:pPr>
            <w:r w:rsidRPr="00C24052">
              <w:rPr>
                <w:sz w:val="18"/>
              </w:rPr>
              <w:t>CDC Waste Water Treatment and Remaining Headroom</w:t>
            </w:r>
            <w:r w:rsidR="00457E9B" w:rsidRPr="00C24052">
              <w:rPr>
                <w:sz w:val="18"/>
              </w:rPr>
              <w:t xml:space="preserve"> (Jan 23)</w:t>
            </w:r>
          </w:p>
        </w:tc>
        <w:tc>
          <w:tcPr>
            <w:tcW w:w="1134" w:type="dxa"/>
          </w:tcPr>
          <w:p w14:paraId="15F71BB9" w14:textId="45928A54" w:rsidR="000474BB" w:rsidRPr="00C24052" w:rsidRDefault="00793462" w:rsidP="003D703C">
            <w:pPr>
              <w:pStyle w:val="ListParagraph"/>
              <w:spacing w:after="0"/>
              <w:ind w:left="0"/>
              <w:jc w:val="both"/>
              <w:rPr>
                <w:sz w:val="18"/>
              </w:rPr>
            </w:pPr>
            <w:r w:rsidRPr="00C24052">
              <w:rPr>
                <w:sz w:val="18"/>
              </w:rPr>
              <w:t>SWS</w:t>
            </w:r>
          </w:p>
        </w:tc>
        <w:tc>
          <w:tcPr>
            <w:tcW w:w="2268" w:type="dxa"/>
          </w:tcPr>
          <w:p w14:paraId="5233C6BF" w14:textId="3570CBFE" w:rsidR="000474BB" w:rsidRPr="00C24052" w:rsidRDefault="000474BB" w:rsidP="003D703C">
            <w:pPr>
              <w:pStyle w:val="ListParagraph"/>
              <w:spacing w:after="0"/>
              <w:ind w:left="0"/>
              <w:jc w:val="both"/>
              <w:rPr>
                <w:sz w:val="18"/>
              </w:rPr>
            </w:pPr>
            <w:r w:rsidRPr="00C24052">
              <w:rPr>
                <w:sz w:val="18"/>
              </w:rPr>
              <w:t>2018 - 2022</w:t>
            </w:r>
          </w:p>
          <w:p w14:paraId="43EF50BD" w14:textId="69D2A77D" w:rsidR="000474BB" w:rsidRPr="00C24052" w:rsidRDefault="000474BB" w:rsidP="003D703C">
            <w:pPr>
              <w:pStyle w:val="ListParagraph"/>
              <w:spacing w:after="0"/>
              <w:ind w:left="0"/>
              <w:jc w:val="both"/>
              <w:rPr>
                <w:sz w:val="18"/>
              </w:rPr>
            </w:pPr>
            <w:r w:rsidRPr="00C24052">
              <w:rPr>
                <w:sz w:val="18"/>
              </w:rPr>
              <w:t xml:space="preserve">5-year average 20%ile recorded flow (Q80) </w:t>
            </w:r>
          </w:p>
        </w:tc>
        <w:tc>
          <w:tcPr>
            <w:tcW w:w="1417" w:type="dxa"/>
          </w:tcPr>
          <w:p w14:paraId="0C1768CB" w14:textId="702EB21A" w:rsidR="000474BB" w:rsidRPr="00C24052" w:rsidRDefault="000474BB" w:rsidP="003D703C">
            <w:pPr>
              <w:pStyle w:val="ListParagraph"/>
              <w:spacing w:after="0"/>
              <w:ind w:left="0"/>
              <w:jc w:val="both"/>
              <w:rPr>
                <w:sz w:val="18"/>
              </w:rPr>
            </w:pPr>
            <w:r w:rsidRPr="00C24052">
              <w:rPr>
                <w:sz w:val="18"/>
              </w:rPr>
              <w:t>5852</w:t>
            </w:r>
            <w:r w:rsidR="00D62ABE" w:rsidRPr="00C24052">
              <w:rPr>
                <w:sz w:val="18"/>
              </w:rPr>
              <w:t xml:space="preserve"> m</w:t>
            </w:r>
            <w:r w:rsidR="00D62ABE" w:rsidRPr="00C24052">
              <w:rPr>
                <w:sz w:val="18"/>
                <w:vertAlign w:val="superscript"/>
              </w:rPr>
              <w:t>3</w:t>
            </w:r>
            <w:r w:rsidR="00D62ABE" w:rsidRPr="00C24052">
              <w:rPr>
                <w:sz w:val="18"/>
              </w:rPr>
              <w:t>/d</w:t>
            </w:r>
          </w:p>
        </w:tc>
        <w:tc>
          <w:tcPr>
            <w:tcW w:w="1701" w:type="dxa"/>
          </w:tcPr>
          <w:p w14:paraId="4EF935E8" w14:textId="33C620E0" w:rsidR="000474BB" w:rsidRPr="00C24052" w:rsidRDefault="000474BB" w:rsidP="003D703C">
            <w:pPr>
              <w:pStyle w:val="ListParagraph"/>
              <w:spacing w:after="0"/>
              <w:ind w:left="0"/>
              <w:jc w:val="both"/>
              <w:rPr>
                <w:sz w:val="18"/>
              </w:rPr>
            </w:pPr>
            <w:r w:rsidRPr="00C24052">
              <w:rPr>
                <w:sz w:val="18"/>
              </w:rPr>
              <w:t>713 m</w:t>
            </w:r>
            <w:r w:rsidRPr="00C24052">
              <w:rPr>
                <w:sz w:val="18"/>
                <w:vertAlign w:val="superscript"/>
              </w:rPr>
              <w:t>3</w:t>
            </w:r>
            <w:r w:rsidRPr="00C24052">
              <w:rPr>
                <w:sz w:val="18"/>
              </w:rPr>
              <w:t>/d</w:t>
            </w:r>
          </w:p>
        </w:tc>
      </w:tr>
      <w:tr w:rsidR="00965194" w14:paraId="6193C9E6" w14:textId="77777777" w:rsidTr="00892AF5">
        <w:trPr>
          <w:cnfStyle w:val="000000010000" w:firstRow="0" w:lastRow="0" w:firstColumn="0" w:lastColumn="0" w:oddVBand="0" w:evenVBand="0" w:oddHBand="0" w:evenHBand="1" w:firstRowFirstColumn="0" w:firstRowLastColumn="0" w:lastRowFirstColumn="0" w:lastRowLastColumn="0"/>
        </w:trPr>
        <w:tc>
          <w:tcPr>
            <w:tcW w:w="2235" w:type="dxa"/>
          </w:tcPr>
          <w:p w14:paraId="09F3779A" w14:textId="21D18E3C" w:rsidR="00965194" w:rsidRPr="00C24052" w:rsidRDefault="001F1D20" w:rsidP="003D703C">
            <w:pPr>
              <w:pStyle w:val="ListParagraph"/>
              <w:spacing w:after="0"/>
              <w:ind w:left="0"/>
              <w:rPr>
                <w:sz w:val="18"/>
              </w:rPr>
            </w:pPr>
            <w:r w:rsidRPr="00C24052">
              <w:rPr>
                <w:sz w:val="18"/>
              </w:rPr>
              <w:t xml:space="preserve">CDC, </w:t>
            </w:r>
            <w:r w:rsidR="00793462" w:rsidRPr="00C24052">
              <w:rPr>
                <w:sz w:val="18"/>
              </w:rPr>
              <w:t>SWS</w:t>
            </w:r>
            <w:r w:rsidRPr="00C24052">
              <w:rPr>
                <w:sz w:val="18"/>
              </w:rPr>
              <w:t xml:space="preserve"> &amp; EA’s </w:t>
            </w:r>
            <w:proofErr w:type="spellStart"/>
            <w:r w:rsidRPr="00C24052">
              <w:rPr>
                <w:sz w:val="18"/>
              </w:rPr>
              <w:t>Thornham</w:t>
            </w:r>
            <w:proofErr w:type="spellEnd"/>
            <w:r w:rsidRPr="00C24052">
              <w:rPr>
                <w:sz w:val="18"/>
              </w:rPr>
              <w:t xml:space="preserve"> WwTW</w:t>
            </w:r>
            <w:r w:rsidR="00C00187" w:rsidRPr="00C24052">
              <w:rPr>
                <w:sz w:val="18"/>
              </w:rPr>
              <w:t xml:space="preserve"> Position Statement</w:t>
            </w:r>
            <w:r w:rsidR="007978E5" w:rsidRPr="00C24052">
              <w:rPr>
                <w:sz w:val="18"/>
              </w:rPr>
              <w:t xml:space="preserve"> (Nov 2021)</w:t>
            </w:r>
          </w:p>
        </w:tc>
        <w:tc>
          <w:tcPr>
            <w:tcW w:w="1134" w:type="dxa"/>
          </w:tcPr>
          <w:p w14:paraId="5C401108" w14:textId="7F4A65D7" w:rsidR="00965194" w:rsidRPr="00C24052" w:rsidRDefault="00793462" w:rsidP="003D703C">
            <w:pPr>
              <w:pStyle w:val="ListParagraph"/>
              <w:spacing w:after="0"/>
              <w:ind w:left="0"/>
              <w:jc w:val="both"/>
              <w:rPr>
                <w:sz w:val="18"/>
              </w:rPr>
            </w:pPr>
            <w:r w:rsidRPr="00C24052">
              <w:rPr>
                <w:sz w:val="18"/>
              </w:rPr>
              <w:t>SWS</w:t>
            </w:r>
          </w:p>
        </w:tc>
        <w:tc>
          <w:tcPr>
            <w:tcW w:w="2268" w:type="dxa"/>
          </w:tcPr>
          <w:p w14:paraId="096D3D6D" w14:textId="235562CE" w:rsidR="001F1D20" w:rsidRPr="00C24052" w:rsidRDefault="001F1D20" w:rsidP="003D703C">
            <w:pPr>
              <w:spacing w:after="0"/>
              <w:contextualSpacing/>
              <w:jc w:val="both"/>
              <w:rPr>
                <w:sz w:val="18"/>
              </w:rPr>
            </w:pPr>
            <w:r w:rsidRPr="00C24052">
              <w:rPr>
                <w:sz w:val="18"/>
              </w:rPr>
              <w:t>2016 - 2020</w:t>
            </w:r>
          </w:p>
          <w:p w14:paraId="20DA41B1" w14:textId="3EDA2603" w:rsidR="00965194" w:rsidRPr="00C24052" w:rsidRDefault="001F1D20" w:rsidP="003D703C">
            <w:pPr>
              <w:spacing w:after="0"/>
              <w:contextualSpacing/>
              <w:jc w:val="both"/>
              <w:rPr>
                <w:sz w:val="18"/>
              </w:rPr>
            </w:pPr>
            <w:r w:rsidRPr="00C24052">
              <w:rPr>
                <w:sz w:val="18"/>
              </w:rPr>
              <w:t>5-year average 20%ile recorded flow (Q80)</w:t>
            </w:r>
          </w:p>
        </w:tc>
        <w:tc>
          <w:tcPr>
            <w:tcW w:w="1417" w:type="dxa"/>
          </w:tcPr>
          <w:p w14:paraId="7016D859" w14:textId="472767F3" w:rsidR="00965194" w:rsidRPr="00C24052" w:rsidRDefault="001F1D20" w:rsidP="003D703C">
            <w:pPr>
              <w:pStyle w:val="ListParagraph"/>
              <w:spacing w:after="0"/>
              <w:ind w:left="0"/>
              <w:jc w:val="both"/>
              <w:rPr>
                <w:sz w:val="18"/>
              </w:rPr>
            </w:pPr>
            <w:r w:rsidRPr="00C24052">
              <w:rPr>
                <w:sz w:val="18"/>
              </w:rPr>
              <w:t>6090 m</w:t>
            </w:r>
            <w:r w:rsidRPr="00C24052">
              <w:rPr>
                <w:sz w:val="18"/>
                <w:vertAlign w:val="superscript"/>
              </w:rPr>
              <w:t>3</w:t>
            </w:r>
            <w:r w:rsidRPr="00C24052">
              <w:rPr>
                <w:sz w:val="18"/>
              </w:rPr>
              <w:t>/d</w:t>
            </w:r>
          </w:p>
        </w:tc>
        <w:tc>
          <w:tcPr>
            <w:tcW w:w="1701" w:type="dxa"/>
          </w:tcPr>
          <w:p w14:paraId="3776BF40" w14:textId="1CD22AA5" w:rsidR="00965194" w:rsidRPr="00C24052" w:rsidRDefault="001F1D20" w:rsidP="003D703C">
            <w:pPr>
              <w:pStyle w:val="ListParagraph"/>
              <w:spacing w:after="0"/>
              <w:ind w:left="0"/>
              <w:jc w:val="both"/>
              <w:rPr>
                <w:sz w:val="18"/>
              </w:rPr>
            </w:pPr>
            <w:r w:rsidRPr="00C24052">
              <w:rPr>
                <w:sz w:val="18"/>
              </w:rPr>
              <w:t>475 m</w:t>
            </w:r>
            <w:r w:rsidRPr="00C24052">
              <w:rPr>
                <w:sz w:val="18"/>
                <w:vertAlign w:val="superscript"/>
              </w:rPr>
              <w:t>3</w:t>
            </w:r>
            <w:r w:rsidRPr="00C24052">
              <w:rPr>
                <w:sz w:val="18"/>
              </w:rPr>
              <w:t>/d</w:t>
            </w:r>
          </w:p>
        </w:tc>
      </w:tr>
      <w:tr w:rsidR="00091F2C" w14:paraId="4256A58C" w14:textId="77777777" w:rsidTr="00892AF5">
        <w:tc>
          <w:tcPr>
            <w:tcW w:w="2235" w:type="dxa"/>
            <w:vMerge w:val="restart"/>
          </w:tcPr>
          <w:p w14:paraId="0BE33C72" w14:textId="546519DE" w:rsidR="00091F2C" w:rsidRPr="00C24052" w:rsidRDefault="00091F2C" w:rsidP="003D703C">
            <w:pPr>
              <w:pStyle w:val="ListParagraph"/>
              <w:spacing w:after="0"/>
              <w:ind w:left="0"/>
              <w:rPr>
                <w:sz w:val="18"/>
              </w:rPr>
            </w:pPr>
            <w:r w:rsidRPr="00C24052">
              <w:rPr>
                <w:sz w:val="18"/>
              </w:rPr>
              <w:t>CDC Water Quality Assessment</w:t>
            </w:r>
            <w:r w:rsidR="007978E5" w:rsidRPr="00C24052">
              <w:rPr>
                <w:sz w:val="18"/>
              </w:rPr>
              <w:t xml:space="preserve"> (Aug 2018)</w:t>
            </w:r>
          </w:p>
        </w:tc>
        <w:tc>
          <w:tcPr>
            <w:tcW w:w="1134" w:type="dxa"/>
            <w:vMerge w:val="restart"/>
          </w:tcPr>
          <w:p w14:paraId="27929EC8" w14:textId="6431E556" w:rsidR="00091F2C" w:rsidRPr="00C24052" w:rsidRDefault="00793462" w:rsidP="003D703C">
            <w:pPr>
              <w:pStyle w:val="ListParagraph"/>
              <w:spacing w:after="0"/>
              <w:ind w:left="0"/>
              <w:jc w:val="both"/>
              <w:rPr>
                <w:sz w:val="18"/>
              </w:rPr>
            </w:pPr>
            <w:r w:rsidRPr="00C24052">
              <w:rPr>
                <w:sz w:val="18"/>
              </w:rPr>
              <w:t>SWS</w:t>
            </w:r>
          </w:p>
        </w:tc>
        <w:tc>
          <w:tcPr>
            <w:tcW w:w="2268" w:type="dxa"/>
          </w:tcPr>
          <w:p w14:paraId="6E054520" w14:textId="10656054" w:rsidR="00091F2C" w:rsidRPr="00C24052" w:rsidRDefault="00091F2C" w:rsidP="003D703C">
            <w:pPr>
              <w:spacing w:after="0"/>
              <w:contextualSpacing/>
              <w:jc w:val="both"/>
              <w:rPr>
                <w:sz w:val="18"/>
              </w:rPr>
            </w:pPr>
            <w:r w:rsidRPr="00C24052">
              <w:rPr>
                <w:sz w:val="18"/>
              </w:rPr>
              <w:t>2011 - 2017</w:t>
            </w:r>
          </w:p>
          <w:p w14:paraId="3EE22F6E" w14:textId="31641FFC" w:rsidR="00091F2C" w:rsidRPr="00C24052" w:rsidRDefault="00091F2C" w:rsidP="003D703C">
            <w:pPr>
              <w:spacing w:after="0"/>
              <w:contextualSpacing/>
              <w:jc w:val="both"/>
              <w:rPr>
                <w:sz w:val="18"/>
              </w:rPr>
            </w:pPr>
            <w:r w:rsidRPr="00C24052">
              <w:rPr>
                <w:sz w:val="18"/>
              </w:rPr>
              <w:t>7-year average 20%ile recorded flow (Q80)</w:t>
            </w:r>
          </w:p>
        </w:tc>
        <w:tc>
          <w:tcPr>
            <w:tcW w:w="1417" w:type="dxa"/>
          </w:tcPr>
          <w:p w14:paraId="06426176" w14:textId="4F03FE3F" w:rsidR="00091F2C" w:rsidRPr="00C24052" w:rsidRDefault="00091F2C" w:rsidP="003D703C">
            <w:pPr>
              <w:pStyle w:val="ListParagraph"/>
              <w:spacing w:after="0"/>
              <w:ind w:left="0"/>
              <w:jc w:val="both"/>
              <w:rPr>
                <w:sz w:val="18"/>
              </w:rPr>
            </w:pPr>
            <w:r w:rsidRPr="00C24052">
              <w:rPr>
                <w:sz w:val="18"/>
              </w:rPr>
              <w:t>6174 m</w:t>
            </w:r>
            <w:r w:rsidRPr="00C24052">
              <w:rPr>
                <w:sz w:val="18"/>
                <w:vertAlign w:val="superscript"/>
              </w:rPr>
              <w:t>3</w:t>
            </w:r>
            <w:r w:rsidRPr="00C24052">
              <w:rPr>
                <w:sz w:val="18"/>
              </w:rPr>
              <w:t>/d</w:t>
            </w:r>
          </w:p>
        </w:tc>
        <w:tc>
          <w:tcPr>
            <w:tcW w:w="1701" w:type="dxa"/>
          </w:tcPr>
          <w:p w14:paraId="3BA19ED2" w14:textId="3E08EB59" w:rsidR="00091F2C" w:rsidRPr="00C24052" w:rsidRDefault="00091F2C" w:rsidP="003D703C">
            <w:pPr>
              <w:pStyle w:val="ListParagraph"/>
              <w:spacing w:after="0"/>
              <w:ind w:left="0"/>
              <w:jc w:val="both"/>
              <w:rPr>
                <w:sz w:val="18"/>
              </w:rPr>
            </w:pPr>
            <w:r w:rsidRPr="00C24052">
              <w:rPr>
                <w:sz w:val="18"/>
              </w:rPr>
              <w:t>391 m</w:t>
            </w:r>
            <w:r w:rsidRPr="00C24052">
              <w:rPr>
                <w:sz w:val="18"/>
                <w:vertAlign w:val="superscript"/>
              </w:rPr>
              <w:t>3</w:t>
            </w:r>
            <w:r w:rsidRPr="00C24052">
              <w:rPr>
                <w:sz w:val="18"/>
              </w:rPr>
              <w:t>/d</w:t>
            </w:r>
          </w:p>
        </w:tc>
      </w:tr>
      <w:tr w:rsidR="00091F2C" w14:paraId="3269490A" w14:textId="77777777" w:rsidTr="00892AF5">
        <w:trPr>
          <w:cnfStyle w:val="000000010000" w:firstRow="0" w:lastRow="0" w:firstColumn="0" w:lastColumn="0" w:oddVBand="0" w:evenVBand="0" w:oddHBand="0" w:evenHBand="1" w:firstRowFirstColumn="0" w:firstRowLastColumn="0" w:lastRowFirstColumn="0" w:lastRowLastColumn="0"/>
        </w:trPr>
        <w:tc>
          <w:tcPr>
            <w:tcW w:w="2235" w:type="dxa"/>
            <w:vMerge/>
          </w:tcPr>
          <w:p w14:paraId="3E5FF7BD" w14:textId="5C1C2258" w:rsidR="00091F2C" w:rsidRPr="00C24052" w:rsidRDefault="00091F2C" w:rsidP="003D703C">
            <w:pPr>
              <w:pStyle w:val="ListParagraph"/>
              <w:spacing w:after="0"/>
              <w:ind w:left="0"/>
              <w:rPr>
                <w:sz w:val="18"/>
              </w:rPr>
            </w:pPr>
          </w:p>
        </w:tc>
        <w:tc>
          <w:tcPr>
            <w:tcW w:w="1134" w:type="dxa"/>
            <w:vMerge/>
          </w:tcPr>
          <w:p w14:paraId="02AFE328" w14:textId="045520CF" w:rsidR="00091F2C" w:rsidRPr="00C24052" w:rsidRDefault="00091F2C" w:rsidP="003D703C">
            <w:pPr>
              <w:pStyle w:val="ListParagraph"/>
              <w:spacing w:after="0"/>
              <w:ind w:left="0"/>
              <w:jc w:val="both"/>
              <w:rPr>
                <w:sz w:val="18"/>
              </w:rPr>
            </w:pPr>
          </w:p>
        </w:tc>
        <w:tc>
          <w:tcPr>
            <w:tcW w:w="2268" w:type="dxa"/>
          </w:tcPr>
          <w:p w14:paraId="4F2B532A" w14:textId="6D234E95" w:rsidR="00091F2C" w:rsidRPr="00C24052" w:rsidRDefault="00091F2C" w:rsidP="003D703C">
            <w:pPr>
              <w:spacing w:after="0"/>
              <w:contextualSpacing/>
              <w:jc w:val="both"/>
              <w:rPr>
                <w:sz w:val="18"/>
              </w:rPr>
            </w:pPr>
            <w:r w:rsidRPr="00C24052">
              <w:rPr>
                <w:sz w:val="18"/>
              </w:rPr>
              <w:t>2013 - 2015</w:t>
            </w:r>
          </w:p>
          <w:p w14:paraId="30AA32AD" w14:textId="59F5105C" w:rsidR="00091F2C" w:rsidRPr="00C24052" w:rsidRDefault="00091F2C" w:rsidP="003D703C">
            <w:pPr>
              <w:spacing w:after="0"/>
              <w:jc w:val="both"/>
              <w:rPr>
                <w:sz w:val="18"/>
              </w:rPr>
            </w:pPr>
            <w:r w:rsidRPr="00C24052">
              <w:rPr>
                <w:sz w:val="18"/>
              </w:rPr>
              <w:t>3-year average 20%ile recorded flow (Q80)</w:t>
            </w:r>
          </w:p>
        </w:tc>
        <w:tc>
          <w:tcPr>
            <w:tcW w:w="1417" w:type="dxa"/>
          </w:tcPr>
          <w:p w14:paraId="3FFDB64F" w14:textId="4E12C85C" w:rsidR="00091F2C" w:rsidRPr="00C24052" w:rsidRDefault="00091F2C" w:rsidP="003D703C">
            <w:pPr>
              <w:pStyle w:val="ListParagraph"/>
              <w:spacing w:after="0"/>
              <w:ind w:left="0"/>
              <w:jc w:val="both"/>
              <w:rPr>
                <w:sz w:val="18"/>
              </w:rPr>
            </w:pPr>
            <w:r w:rsidRPr="00C24052">
              <w:rPr>
                <w:sz w:val="18"/>
              </w:rPr>
              <w:t>6197 m</w:t>
            </w:r>
            <w:r w:rsidRPr="00C24052">
              <w:rPr>
                <w:sz w:val="18"/>
                <w:vertAlign w:val="superscript"/>
              </w:rPr>
              <w:t>3</w:t>
            </w:r>
            <w:r w:rsidRPr="00C24052">
              <w:rPr>
                <w:sz w:val="18"/>
              </w:rPr>
              <w:t>/d</w:t>
            </w:r>
          </w:p>
        </w:tc>
        <w:tc>
          <w:tcPr>
            <w:tcW w:w="1701" w:type="dxa"/>
          </w:tcPr>
          <w:p w14:paraId="0C66D2B9" w14:textId="2742F9D9" w:rsidR="00091F2C" w:rsidRPr="00C24052" w:rsidRDefault="00091F2C" w:rsidP="003D703C">
            <w:pPr>
              <w:pStyle w:val="ListParagraph"/>
              <w:spacing w:after="0"/>
              <w:ind w:left="0"/>
              <w:jc w:val="both"/>
              <w:rPr>
                <w:sz w:val="18"/>
              </w:rPr>
            </w:pPr>
            <w:r w:rsidRPr="00C24052">
              <w:rPr>
                <w:sz w:val="18"/>
              </w:rPr>
              <w:t>368 m</w:t>
            </w:r>
            <w:r w:rsidRPr="00C24052">
              <w:rPr>
                <w:sz w:val="18"/>
                <w:vertAlign w:val="superscript"/>
              </w:rPr>
              <w:t>3</w:t>
            </w:r>
            <w:r w:rsidRPr="00C24052">
              <w:rPr>
                <w:sz w:val="18"/>
              </w:rPr>
              <w:t>/d</w:t>
            </w:r>
          </w:p>
        </w:tc>
      </w:tr>
    </w:tbl>
    <w:bookmarkEnd w:id="26"/>
    <w:p w14:paraId="5A9A8240" w14:textId="42361226" w:rsidR="00BB4017" w:rsidRPr="000474BB" w:rsidRDefault="000474BB" w:rsidP="003D703C">
      <w:pPr>
        <w:spacing w:before="120"/>
        <w:jc w:val="both"/>
        <w:rPr>
          <w:i/>
          <w:iCs/>
        </w:rPr>
      </w:pPr>
      <w:r w:rsidRPr="000474BB">
        <w:rPr>
          <w:b/>
          <w:bCs/>
          <w:i/>
          <w:iCs/>
          <w:color w:val="4472C4" w:themeColor="accent1"/>
        </w:rPr>
        <w:t>note 1</w:t>
      </w:r>
      <w:r w:rsidR="0037316F">
        <w:rPr>
          <w:b/>
          <w:bCs/>
          <w:i/>
          <w:iCs/>
          <w:color w:val="4472C4" w:themeColor="accent1"/>
        </w:rPr>
        <w:t xml:space="preserve">: </w:t>
      </w:r>
      <w:r>
        <w:rPr>
          <w:i/>
          <w:iCs/>
          <w:color w:val="4472C4" w:themeColor="accent1"/>
        </w:rPr>
        <w:t xml:space="preserve"> </w:t>
      </w:r>
      <w:r w:rsidR="001F1D20">
        <w:rPr>
          <w:i/>
          <w:iCs/>
          <w:color w:val="4472C4" w:themeColor="accent1"/>
        </w:rPr>
        <w:t>All</w:t>
      </w:r>
      <w:r w:rsidR="00BB4017" w:rsidRPr="000474BB">
        <w:rPr>
          <w:i/>
          <w:iCs/>
          <w:color w:val="4472C4" w:themeColor="accent1"/>
        </w:rPr>
        <w:t xml:space="preserve"> reports were </w:t>
      </w:r>
      <w:r w:rsidR="00C00A2A" w:rsidRPr="000474BB">
        <w:rPr>
          <w:i/>
          <w:iCs/>
          <w:color w:val="4472C4" w:themeColor="accent1"/>
        </w:rPr>
        <w:t>undertaken</w:t>
      </w:r>
      <w:r w:rsidR="00BB4017" w:rsidRPr="000474BB">
        <w:rPr>
          <w:i/>
          <w:iCs/>
          <w:color w:val="4472C4" w:themeColor="accent1"/>
        </w:rPr>
        <w:t xml:space="preserve"> by CDC </w:t>
      </w:r>
      <w:r w:rsidR="001F1D20">
        <w:rPr>
          <w:i/>
          <w:iCs/>
          <w:color w:val="4472C4" w:themeColor="accent1"/>
        </w:rPr>
        <w:t xml:space="preserve">or jointly with CDC </w:t>
      </w:r>
      <w:r w:rsidR="00BB4017" w:rsidRPr="000474BB">
        <w:rPr>
          <w:i/>
          <w:iCs/>
          <w:color w:val="4472C4" w:themeColor="accent1"/>
        </w:rPr>
        <w:t xml:space="preserve">and use </w:t>
      </w:r>
      <w:r w:rsidRPr="000474BB">
        <w:rPr>
          <w:i/>
          <w:iCs/>
          <w:color w:val="4472C4" w:themeColor="accent1"/>
        </w:rPr>
        <w:t xml:space="preserve">20%ile DWF provided by </w:t>
      </w:r>
      <w:r w:rsidR="00793462">
        <w:rPr>
          <w:i/>
          <w:iCs/>
          <w:color w:val="4472C4" w:themeColor="accent1"/>
        </w:rPr>
        <w:t>SWS</w:t>
      </w:r>
      <w:r w:rsidRPr="000474BB">
        <w:rPr>
          <w:i/>
          <w:iCs/>
        </w:rPr>
        <w:t>.</w:t>
      </w:r>
      <w:r w:rsidR="009A6C45">
        <w:rPr>
          <w:i/>
          <w:iCs/>
        </w:rPr>
        <w:t xml:space="preserve"> </w:t>
      </w:r>
    </w:p>
    <w:p w14:paraId="3C972654" w14:textId="5EBB1CA4" w:rsidR="000474BB" w:rsidRPr="00BB4017" w:rsidRDefault="000474BB" w:rsidP="003D703C">
      <w:pPr>
        <w:jc w:val="both"/>
        <w:rPr>
          <w:b/>
          <w:bCs/>
          <w:i/>
          <w:iCs/>
        </w:rPr>
      </w:pPr>
      <w:r w:rsidRPr="0037316F">
        <w:rPr>
          <w:b/>
          <w:bCs/>
          <w:i/>
          <w:iCs/>
          <w:color w:val="4472C4" w:themeColor="accent1"/>
        </w:rPr>
        <w:t>note 2</w:t>
      </w:r>
      <w:r w:rsidR="0037316F">
        <w:rPr>
          <w:b/>
          <w:bCs/>
          <w:i/>
          <w:iCs/>
          <w:color w:val="4472C4" w:themeColor="accent1"/>
        </w:rPr>
        <w:t>:</w:t>
      </w:r>
      <w:r>
        <w:rPr>
          <w:i/>
          <w:iCs/>
          <w:color w:val="4472C4" w:themeColor="accent1"/>
        </w:rPr>
        <w:t xml:space="preserve">  </w:t>
      </w:r>
      <w:r w:rsidR="001F1D20">
        <w:rPr>
          <w:i/>
          <w:iCs/>
          <w:color w:val="4472C4" w:themeColor="accent1"/>
        </w:rPr>
        <w:t>All</w:t>
      </w:r>
      <w:r w:rsidR="0037316F">
        <w:rPr>
          <w:i/>
          <w:iCs/>
          <w:color w:val="4472C4" w:themeColor="accent1"/>
        </w:rPr>
        <w:t xml:space="preserve"> DWFs are calculated using the </w:t>
      </w:r>
      <w:r w:rsidR="0037316F" w:rsidRPr="008966AC">
        <w:rPr>
          <w:i/>
          <w:iCs/>
          <w:color w:val="4472C4"/>
        </w:rPr>
        <w:t>same</w:t>
      </w:r>
      <w:r w:rsidR="0037316F">
        <w:rPr>
          <w:i/>
          <w:iCs/>
          <w:color w:val="4472C4" w:themeColor="accent1"/>
        </w:rPr>
        <w:t xml:space="preserve"> methodology in line with </w:t>
      </w:r>
      <w:r w:rsidR="00023BB5">
        <w:rPr>
          <w:i/>
          <w:iCs/>
          <w:color w:val="4472C4" w:themeColor="accent1"/>
        </w:rPr>
        <w:t>EA</w:t>
      </w:r>
      <w:r w:rsidR="0037316F">
        <w:rPr>
          <w:i/>
          <w:iCs/>
          <w:color w:val="4472C4" w:themeColor="accent1"/>
        </w:rPr>
        <w:t xml:space="preserve"> Guidance</w:t>
      </w:r>
      <w:r w:rsidR="0037316F">
        <w:rPr>
          <w:rStyle w:val="FootnoteReference"/>
          <w:i/>
          <w:iCs/>
          <w:color w:val="4472C4" w:themeColor="accent1"/>
        </w:rPr>
        <w:footnoteReference w:id="10"/>
      </w:r>
      <w:r w:rsidR="0037316F">
        <w:rPr>
          <w:i/>
          <w:iCs/>
          <w:color w:val="4472C4" w:themeColor="accent1"/>
        </w:rPr>
        <w:t xml:space="preserve">  </w:t>
      </w:r>
      <w:proofErr w:type="gramStart"/>
      <w:r w:rsidR="0037316F">
        <w:rPr>
          <w:i/>
          <w:iCs/>
          <w:color w:val="4472C4" w:themeColor="accent1"/>
        </w:rPr>
        <w:t>i.e.</w:t>
      </w:r>
      <w:proofErr w:type="gramEnd"/>
      <w:r w:rsidR="0037316F">
        <w:rPr>
          <w:i/>
          <w:iCs/>
          <w:color w:val="4472C4" w:themeColor="accent1"/>
        </w:rPr>
        <w:t xml:space="preserve"> using the nonparametric 80% exceeded flow (Q80) methodology for current DWF where recorded daily values exist.</w:t>
      </w:r>
      <w:r>
        <w:rPr>
          <w:i/>
          <w:iCs/>
          <w:color w:val="4472C4" w:themeColor="accent1"/>
        </w:rPr>
        <w:t xml:space="preserve"> </w:t>
      </w:r>
    </w:p>
    <w:p w14:paraId="5AD952C9" w14:textId="28E582A2" w:rsidR="003D703C" w:rsidRDefault="0037316F" w:rsidP="003D703C">
      <w:pPr>
        <w:jc w:val="both"/>
        <w:rPr>
          <w:i/>
          <w:iCs/>
          <w:color w:val="4472C4" w:themeColor="accent1"/>
        </w:rPr>
      </w:pPr>
      <w:r w:rsidRPr="0037316F">
        <w:rPr>
          <w:b/>
          <w:bCs/>
          <w:i/>
          <w:iCs/>
          <w:color w:val="4472C4" w:themeColor="accent1"/>
        </w:rPr>
        <w:lastRenderedPageBreak/>
        <w:t xml:space="preserve">note </w:t>
      </w:r>
      <w:r w:rsidR="00D62ABE">
        <w:rPr>
          <w:b/>
          <w:bCs/>
          <w:i/>
          <w:iCs/>
          <w:color w:val="4472C4" w:themeColor="accent1"/>
        </w:rPr>
        <w:t>3</w:t>
      </w:r>
      <w:r>
        <w:rPr>
          <w:b/>
          <w:bCs/>
          <w:i/>
          <w:iCs/>
          <w:color w:val="4472C4" w:themeColor="accent1"/>
        </w:rPr>
        <w:t>:</w:t>
      </w:r>
      <w:r>
        <w:rPr>
          <w:i/>
          <w:iCs/>
          <w:color w:val="4472C4" w:themeColor="accent1"/>
        </w:rPr>
        <w:t xml:space="preserve">  </w:t>
      </w:r>
      <w:r w:rsidR="00D62ABE">
        <w:rPr>
          <w:i/>
          <w:iCs/>
          <w:color w:val="4472C4" w:themeColor="accent1"/>
        </w:rPr>
        <w:t xml:space="preserve">The indicated headroom </w:t>
      </w:r>
      <w:r w:rsidR="00EE431A">
        <w:rPr>
          <w:i/>
          <w:iCs/>
          <w:color w:val="4472C4" w:themeColor="accent1"/>
        </w:rPr>
        <w:t xml:space="preserve">in the table above </w:t>
      </w:r>
      <w:r w:rsidR="00D62ABE">
        <w:rPr>
          <w:i/>
          <w:iCs/>
          <w:color w:val="4472C4" w:themeColor="accent1"/>
        </w:rPr>
        <w:t xml:space="preserve">is derived from the difference between current </w:t>
      </w:r>
      <w:r w:rsidR="00860F6C" w:rsidRPr="00860F6C">
        <w:rPr>
          <w:i/>
          <w:iCs/>
          <w:color w:val="4472C4" w:themeColor="accent1"/>
        </w:rPr>
        <w:t>average Q80 DWF</w:t>
      </w:r>
      <w:r w:rsidR="00860F6C">
        <w:rPr>
          <w:i/>
          <w:iCs/>
          <w:color w:val="4472C4" w:themeColor="accent1"/>
        </w:rPr>
        <w:t xml:space="preserve"> and the current </w:t>
      </w:r>
      <w:r w:rsidR="00023BB5">
        <w:rPr>
          <w:i/>
          <w:iCs/>
          <w:color w:val="4472C4" w:themeColor="accent1"/>
        </w:rPr>
        <w:t>EA</w:t>
      </w:r>
      <w:r w:rsidR="00860F6C">
        <w:rPr>
          <w:i/>
          <w:iCs/>
          <w:color w:val="4472C4" w:themeColor="accent1"/>
        </w:rPr>
        <w:t xml:space="preserve"> DWF permit</w:t>
      </w:r>
      <w:r w:rsidR="00EE431A">
        <w:rPr>
          <w:i/>
          <w:iCs/>
          <w:color w:val="4472C4" w:themeColor="accent1"/>
        </w:rPr>
        <w:t xml:space="preserve"> value</w:t>
      </w:r>
      <w:r w:rsidR="00860F6C">
        <w:rPr>
          <w:i/>
          <w:iCs/>
          <w:color w:val="4472C4" w:themeColor="accent1"/>
        </w:rPr>
        <w:t xml:space="preserve"> (</w:t>
      </w:r>
      <w:proofErr w:type="gramStart"/>
      <w:r w:rsidR="00860F6C">
        <w:rPr>
          <w:i/>
          <w:iCs/>
          <w:color w:val="4472C4" w:themeColor="accent1"/>
        </w:rPr>
        <w:t>i.e.</w:t>
      </w:r>
      <w:proofErr w:type="gramEnd"/>
      <w:r w:rsidR="00860F6C">
        <w:rPr>
          <w:i/>
          <w:iCs/>
          <w:color w:val="4472C4" w:themeColor="accent1"/>
        </w:rPr>
        <w:t xml:space="preserve"> the </w:t>
      </w:r>
      <w:r w:rsidR="00EE431A">
        <w:rPr>
          <w:i/>
          <w:iCs/>
          <w:color w:val="4472C4" w:themeColor="accent1"/>
        </w:rPr>
        <w:t xml:space="preserve">indicative </w:t>
      </w:r>
      <w:r w:rsidR="00860F6C">
        <w:rPr>
          <w:i/>
          <w:iCs/>
          <w:color w:val="4472C4" w:themeColor="accent1"/>
        </w:rPr>
        <w:t>a</w:t>
      </w:r>
      <w:r w:rsidR="00860F6C" w:rsidRPr="00860F6C">
        <w:rPr>
          <w:i/>
          <w:iCs/>
          <w:color w:val="4472C4" w:themeColor="accent1"/>
        </w:rPr>
        <w:t>verage remaining DWF headroom within the Q80</w:t>
      </w:r>
      <w:r w:rsidR="00860F6C">
        <w:rPr>
          <w:i/>
          <w:iCs/>
          <w:color w:val="4472C4" w:themeColor="accent1"/>
        </w:rPr>
        <w:t>)</w:t>
      </w:r>
      <w:r w:rsidR="00EE431A">
        <w:rPr>
          <w:i/>
          <w:iCs/>
          <w:color w:val="4472C4" w:themeColor="accent1"/>
        </w:rPr>
        <w:t>.</w:t>
      </w:r>
      <w:r w:rsidR="00A43BE3">
        <w:rPr>
          <w:i/>
          <w:iCs/>
          <w:color w:val="4472C4" w:themeColor="accent1"/>
        </w:rPr>
        <w:t xml:space="preserve"> </w:t>
      </w:r>
      <w:bookmarkStart w:id="27" w:name="_Hlk148006709"/>
      <w:r w:rsidR="00736421" w:rsidRPr="00736421">
        <w:rPr>
          <w:i/>
          <w:iCs/>
          <w:color w:val="4472C4" w:themeColor="accent1"/>
        </w:rPr>
        <w:t xml:space="preserve">There can be large fluctuations in the measured DWF from year to year. </w:t>
      </w:r>
      <w:bookmarkEnd w:id="27"/>
      <w:r w:rsidR="00EE431A">
        <w:rPr>
          <w:i/>
          <w:iCs/>
          <w:color w:val="4472C4" w:themeColor="accent1"/>
        </w:rPr>
        <w:t>T</w:t>
      </w:r>
      <w:r w:rsidR="00EF2FA3" w:rsidRPr="00EF2FA3">
        <w:rPr>
          <w:i/>
          <w:iCs/>
          <w:color w:val="4472C4" w:themeColor="accent1"/>
        </w:rPr>
        <w:t xml:space="preserve">he </w:t>
      </w:r>
      <w:r w:rsidR="00EF2FA3">
        <w:rPr>
          <w:i/>
          <w:iCs/>
          <w:color w:val="4472C4" w:themeColor="accent1"/>
        </w:rPr>
        <w:t>highest</w:t>
      </w:r>
      <w:r w:rsidR="00EE431A">
        <w:rPr>
          <w:i/>
          <w:iCs/>
          <w:color w:val="4472C4" w:themeColor="accent1"/>
        </w:rPr>
        <w:t xml:space="preserve"> </w:t>
      </w:r>
      <w:r w:rsidR="00EF2FA3" w:rsidRPr="00EF2FA3">
        <w:rPr>
          <w:i/>
          <w:iCs/>
          <w:color w:val="4472C4" w:themeColor="accent1"/>
        </w:rPr>
        <w:t>indicative headroom</w:t>
      </w:r>
      <w:r w:rsidR="00EF2FA3">
        <w:rPr>
          <w:i/>
          <w:iCs/>
          <w:color w:val="4472C4" w:themeColor="accent1"/>
        </w:rPr>
        <w:t xml:space="preserve"> is 713</w:t>
      </w:r>
      <w:r w:rsidR="00EE431A" w:rsidRPr="00EE431A">
        <w:t xml:space="preserve"> </w:t>
      </w:r>
      <w:r w:rsidR="00EE431A" w:rsidRPr="00EE431A">
        <w:rPr>
          <w:i/>
          <w:iCs/>
          <w:color w:val="4472C4" w:themeColor="accent1"/>
        </w:rPr>
        <w:t>m</w:t>
      </w:r>
      <w:r w:rsidR="00EE431A" w:rsidRPr="00EE431A">
        <w:rPr>
          <w:i/>
          <w:iCs/>
          <w:color w:val="4472C4" w:themeColor="accent1"/>
          <w:vertAlign w:val="superscript"/>
        </w:rPr>
        <w:t>3</w:t>
      </w:r>
      <w:r w:rsidR="00EE431A" w:rsidRPr="00EE431A">
        <w:rPr>
          <w:i/>
          <w:iCs/>
          <w:color w:val="4472C4" w:themeColor="accent1"/>
        </w:rPr>
        <w:t>/d</w:t>
      </w:r>
      <w:r w:rsidR="00EF2FA3">
        <w:rPr>
          <w:i/>
          <w:iCs/>
          <w:color w:val="4472C4" w:themeColor="accent1"/>
        </w:rPr>
        <w:t xml:space="preserve"> and is based </w:t>
      </w:r>
      <w:r w:rsidR="00EE431A">
        <w:rPr>
          <w:i/>
          <w:iCs/>
          <w:color w:val="4472C4" w:themeColor="accent1"/>
        </w:rPr>
        <w:t xml:space="preserve">on </w:t>
      </w:r>
      <w:r w:rsidR="001F1D20">
        <w:rPr>
          <w:i/>
          <w:iCs/>
          <w:color w:val="4472C4" w:themeColor="accent1"/>
        </w:rPr>
        <w:t>an</w:t>
      </w:r>
      <w:r w:rsidR="00EF2FA3">
        <w:rPr>
          <w:i/>
          <w:iCs/>
          <w:color w:val="4472C4" w:themeColor="accent1"/>
        </w:rPr>
        <w:t xml:space="preserve"> </w:t>
      </w:r>
      <w:r>
        <w:rPr>
          <w:i/>
          <w:iCs/>
          <w:color w:val="4472C4" w:themeColor="accent1"/>
        </w:rPr>
        <w:t>average</w:t>
      </w:r>
      <w:r w:rsidR="00EF2FA3">
        <w:rPr>
          <w:i/>
          <w:iCs/>
          <w:color w:val="4472C4" w:themeColor="accent1"/>
        </w:rPr>
        <w:t xml:space="preserve"> DWF</w:t>
      </w:r>
      <w:r w:rsidR="00965194">
        <w:rPr>
          <w:i/>
          <w:iCs/>
          <w:color w:val="4472C4" w:themeColor="accent1"/>
        </w:rPr>
        <w:t xml:space="preserve"> </w:t>
      </w:r>
      <w:r w:rsidR="00A86F39">
        <w:rPr>
          <w:i/>
          <w:iCs/>
          <w:color w:val="4472C4" w:themeColor="accent1"/>
        </w:rPr>
        <w:t xml:space="preserve">from 5 years of data </w:t>
      </w:r>
      <w:r w:rsidR="001F1D20">
        <w:rPr>
          <w:i/>
          <w:iCs/>
          <w:color w:val="4472C4" w:themeColor="accent1"/>
        </w:rPr>
        <w:t xml:space="preserve">using </w:t>
      </w:r>
      <w:r w:rsidR="00A86F39">
        <w:rPr>
          <w:i/>
          <w:iCs/>
          <w:color w:val="4472C4" w:themeColor="accent1"/>
        </w:rPr>
        <w:t xml:space="preserve">the most </w:t>
      </w:r>
      <w:r w:rsidR="00A86F39" w:rsidRPr="00A86F39">
        <w:rPr>
          <w:b/>
          <w:bCs/>
          <w:i/>
          <w:iCs/>
          <w:color w:val="4472C4" w:themeColor="accent1"/>
        </w:rPr>
        <w:t>recent</w:t>
      </w:r>
      <w:r w:rsidR="00A86F39">
        <w:rPr>
          <w:i/>
          <w:iCs/>
          <w:color w:val="4472C4" w:themeColor="accent1"/>
        </w:rPr>
        <w:t xml:space="preserve"> </w:t>
      </w:r>
      <w:r w:rsidR="001F1D20">
        <w:rPr>
          <w:i/>
          <w:iCs/>
          <w:color w:val="4472C4" w:themeColor="accent1"/>
        </w:rPr>
        <w:t>data</w:t>
      </w:r>
      <w:r w:rsidR="00A86F39">
        <w:rPr>
          <w:i/>
          <w:iCs/>
          <w:color w:val="4472C4" w:themeColor="accent1"/>
        </w:rPr>
        <w:t xml:space="preserve"> (other calculations use shorter periods</w:t>
      </w:r>
      <w:r w:rsidR="008B1B2D">
        <w:rPr>
          <w:i/>
          <w:iCs/>
          <w:color w:val="4472C4" w:themeColor="accent1"/>
        </w:rPr>
        <w:t xml:space="preserve"> and / or older data</w:t>
      </w:r>
      <w:r w:rsidR="00A86F39">
        <w:rPr>
          <w:i/>
          <w:iCs/>
          <w:color w:val="4472C4" w:themeColor="accent1"/>
        </w:rPr>
        <w:t>)</w:t>
      </w:r>
      <w:r w:rsidR="001F1D20">
        <w:rPr>
          <w:i/>
          <w:iCs/>
          <w:color w:val="4472C4" w:themeColor="accent1"/>
        </w:rPr>
        <w:t xml:space="preserve">. </w:t>
      </w:r>
      <w:r w:rsidR="00736421">
        <w:rPr>
          <w:i/>
          <w:iCs/>
          <w:color w:val="4472C4" w:themeColor="accent1"/>
        </w:rPr>
        <w:t>Therefore</w:t>
      </w:r>
      <w:r w:rsidR="00B6574F">
        <w:rPr>
          <w:i/>
          <w:iCs/>
          <w:color w:val="4472C4" w:themeColor="accent1"/>
        </w:rPr>
        <w:t>,</w:t>
      </w:r>
      <w:r w:rsidR="00736421">
        <w:rPr>
          <w:i/>
          <w:iCs/>
          <w:color w:val="4472C4" w:themeColor="accent1"/>
        </w:rPr>
        <w:t xml:space="preserve"> </w:t>
      </w:r>
      <w:r w:rsidR="00A86F39">
        <w:rPr>
          <w:i/>
          <w:iCs/>
          <w:color w:val="4472C4" w:themeColor="accent1"/>
        </w:rPr>
        <w:t>this</w:t>
      </w:r>
      <w:r w:rsidR="00736421">
        <w:rPr>
          <w:i/>
          <w:iCs/>
          <w:color w:val="4472C4" w:themeColor="accent1"/>
        </w:rPr>
        <w:t xml:space="preserve"> highe</w:t>
      </w:r>
      <w:r w:rsidR="00A86F39">
        <w:rPr>
          <w:i/>
          <w:iCs/>
          <w:color w:val="4472C4" w:themeColor="accent1"/>
        </w:rPr>
        <w:t>st</w:t>
      </w:r>
      <w:r w:rsidR="00736421">
        <w:rPr>
          <w:i/>
          <w:iCs/>
          <w:color w:val="4472C4" w:themeColor="accent1"/>
        </w:rPr>
        <w:t xml:space="preserve"> indicative headroom </w:t>
      </w:r>
      <w:r w:rsidR="00A86F39" w:rsidRPr="0017749A">
        <w:rPr>
          <w:i/>
          <w:iCs/>
          <w:color w:val="4472C4" w:themeColor="accent1"/>
        </w:rPr>
        <w:t>of 713</w:t>
      </w:r>
      <w:r w:rsidR="00A86F39" w:rsidRPr="0017749A">
        <w:rPr>
          <w:i/>
          <w:iCs/>
        </w:rPr>
        <w:t xml:space="preserve"> </w:t>
      </w:r>
      <w:r w:rsidR="00A86F39" w:rsidRPr="0017749A">
        <w:rPr>
          <w:i/>
          <w:iCs/>
          <w:color w:val="4472C4" w:themeColor="accent1"/>
        </w:rPr>
        <w:t>m</w:t>
      </w:r>
      <w:r w:rsidR="00A86F39" w:rsidRPr="0017749A">
        <w:rPr>
          <w:i/>
          <w:iCs/>
          <w:color w:val="4472C4" w:themeColor="accent1"/>
          <w:vertAlign w:val="superscript"/>
        </w:rPr>
        <w:t>3</w:t>
      </w:r>
      <w:r w:rsidR="00A86F39" w:rsidRPr="0017749A">
        <w:rPr>
          <w:i/>
          <w:iCs/>
          <w:color w:val="4472C4" w:themeColor="accent1"/>
        </w:rPr>
        <w:t xml:space="preserve">/d </w:t>
      </w:r>
      <w:r w:rsidR="00736421" w:rsidRPr="0017749A">
        <w:rPr>
          <w:i/>
          <w:iCs/>
          <w:color w:val="4472C4" w:themeColor="accent1"/>
        </w:rPr>
        <w:t>could be expected to be more representative</w:t>
      </w:r>
      <w:r w:rsidR="008B1B2D" w:rsidRPr="0017749A">
        <w:rPr>
          <w:i/>
          <w:iCs/>
          <w:color w:val="4472C4" w:themeColor="accent1"/>
        </w:rPr>
        <w:t xml:space="preserve"> than those using older data or shorter periods</w:t>
      </w:r>
      <w:r w:rsidR="00736421" w:rsidRPr="0017749A">
        <w:rPr>
          <w:i/>
          <w:iCs/>
          <w:color w:val="4472C4" w:themeColor="accent1"/>
        </w:rPr>
        <w:t xml:space="preserve">. </w:t>
      </w:r>
      <w:r w:rsidR="0017749A" w:rsidRPr="0017749A">
        <w:rPr>
          <w:i/>
          <w:iCs/>
          <w:color w:val="4472C4" w:themeColor="accent1"/>
        </w:rPr>
        <w:t>It is noted that the difference between estimated remaining headroom, as presented in</w:t>
      </w:r>
      <w:r w:rsidR="0017749A" w:rsidRPr="00BB755B">
        <w:rPr>
          <w:b/>
          <w:bCs/>
          <w:i/>
          <w:iCs/>
          <w:color w:val="006BB7"/>
        </w:rPr>
        <w:t xml:space="preserve"> </w:t>
      </w:r>
      <w:r w:rsidR="0017749A" w:rsidRPr="00BB755B">
        <w:rPr>
          <w:b/>
          <w:bCs/>
          <w:i/>
          <w:iCs/>
          <w:color w:val="006BB7"/>
        </w:rPr>
        <w:fldChar w:fldCharType="begin"/>
      </w:r>
      <w:r w:rsidR="0017749A" w:rsidRPr="00BB755B">
        <w:rPr>
          <w:b/>
          <w:bCs/>
          <w:i/>
          <w:iCs/>
          <w:color w:val="006BB7"/>
        </w:rPr>
        <w:instrText xml:space="preserve"> REF _Ref147951856 \h  \* MERGEFORMAT </w:instrText>
      </w:r>
      <w:r w:rsidR="0017749A" w:rsidRPr="00BB755B">
        <w:rPr>
          <w:b/>
          <w:bCs/>
          <w:i/>
          <w:iCs/>
          <w:color w:val="006BB7"/>
        </w:rPr>
      </w:r>
      <w:r w:rsidR="0017749A" w:rsidRPr="00BB755B">
        <w:rPr>
          <w:b/>
          <w:bCs/>
          <w:i/>
          <w:iCs/>
          <w:color w:val="006BB7"/>
        </w:rPr>
        <w:fldChar w:fldCharType="separate"/>
      </w:r>
      <w:r w:rsidR="008502A6" w:rsidRPr="008502A6">
        <w:rPr>
          <w:b/>
          <w:bCs/>
          <w:i/>
          <w:iCs/>
          <w:color w:val="006BB7"/>
        </w:rPr>
        <w:t>Table 2</w:t>
      </w:r>
      <w:r w:rsidR="008502A6" w:rsidRPr="008502A6">
        <w:rPr>
          <w:b/>
          <w:bCs/>
          <w:i/>
          <w:iCs/>
          <w:color w:val="006BB7"/>
        </w:rPr>
        <w:noBreakHyphen/>
        <w:t>2</w:t>
      </w:r>
      <w:r w:rsidR="0017749A" w:rsidRPr="00BB755B">
        <w:rPr>
          <w:b/>
          <w:bCs/>
          <w:i/>
          <w:iCs/>
          <w:color w:val="006BB7"/>
        </w:rPr>
        <w:fldChar w:fldCharType="end"/>
      </w:r>
      <w:r w:rsidR="0017749A" w:rsidRPr="0017749A">
        <w:rPr>
          <w:i/>
          <w:iCs/>
          <w:color w:val="4472C4" w:themeColor="accent1"/>
        </w:rPr>
        <w:t xml:space="preserve">, </w:t>
      </w:r>
      <w:r w:rsidR="004F07E1">
        <w:rPr>
          <w:i/>
          <w:iCs/>
          <w:color w:val="4472C4" w:themeColor="accent1"/>
        </w:rPr>
        <w:t>is</w:t>
      </w:r>
      <w:r w:rsidR="0017749A" w:rsidRPr="0017749A">
        <w:rPr>
          <w:i/>
          <w:iCs/>
          <w:color w:val="4472C4" w:themeColor="accent1"/>
        </w:rPr>
        <w:t xml:space="preserve"> largely due to the </w:t>
      </w:r>
      <w:r w:rsidR="0017749A">
        <w:rPr>
          <w:i/>
          <w:iCs/>
          <w:color w:val="4472C4" w:themeColor="accent1"/>
        </w:rPr>
        <w:t>difference</w:t>
      </w:r>
      <w:r w:rsidR="0017749A" w:rsidRPr="0017749A">
        <w:rPr>
          <w:i/>
          <w:iCs/>
          <w:color w:val="4472C4" w:themeColor="accent1"/>
        </w:rPr>
        <w:t xml:space="preserve"> in the Q</w:t>
      </w:r>
      <w:r w:rsidR="0017749A" w:rsidRPr="0017749A">
        <w:rPr>
          <w:i/>
          <w:iCs/>
          <w:color w:val="4472C4" w:themeColor="accent1"/>
          <w:vertAlign w:val="subscript"/>
        </w:rPr>
        <w:t>80</w:t>
      </w:r>
      <w:r w:rsidR="0017749A" w:rsidRPr="0017749A">
        <w:rPr>
          <w:i/>
          <w:iCs/>
          <w:color w:val="4472C4" w:themeColor="accent1"/>
        </w:rPr>
        <w:t xml:space="preserve"> flow</w:t>
      </w:r>
      <w:r w:rsidR="0017749A">
        <w:rPr>
          <w:i/>
          <w:iCs/>
          <w:color w:val="4472C4" w:themeColor="accent1"/>
        </w:rPr>
        <w:t xml:space="preserve"> values used in each report. The Q</w:t>
      </w:r>
      <w:r w:rsidR="0017749A" w:rsidRPr="0017749A">
        <w:rPr>
          <w:i/>
          <w:iCs/>
          <w:color w:val="4472C4" w:themeColor="accent1"/>
          <w:vertAlign w:val="subscript"/>
        </w:rPr>
        <w:t>80</w:t>
      </w:r>
      <w:r w:rsidR="0017749A">
        <w:rPr>
          <w:i/>
          <w:iCs/>
          <w:color w:val="4472C4" w:themeColor="accent1"/>
        </w:rPr>
        <w:t xml:space="preserve"> flows can be observed steadily decreasing between the older </w:t>
      </w:r>
      <w:r w:rsidR="0017749A" w:rsidRPr="00C43F25">
        <w:rPr>
          <w:i/>
          <w:iCs/>
          <w:color w:val="4472C4" w:themeColor="accent1"/>
        </w:rPr>
        <w:t>datasets and the latest available data, and this decrease is consistent with demand management</w:t>
      </w:r>
      <w:r w:rsidR="00562D2F" w:rsidRPr="00C43F25">
        <w:rPr>
          <w:i/>
          <w:iCs/>
          <w:color w:val="4472C4" w:themeColor="accent1"/>
        </w:rPr>
        <w:t>,</w:t>
      </w:r>
      <w:r w:rsidR="00D44C22" w:rsidRPr="00C43F25">
        <w:rPr>
          <w:i/>
          <w:iCs/>
          <w:color w:val="4472C4" w:themeColor="accent1"/>
        </w:rPr>
        <w:t xml:space="preserve"> measures</w:t>
      </w:r>
      <w:r w:rsidR="00562D2F" w:rsidRPr="00C43F25">
        <w:rPr>
          <w:i/>
          <w:iCs/>
          <w:color w:val="4472C4" w:themeColor="accent1"/>
        </w:rPr>
        <w:t xml:space="preserve"> such as th</w:t>
      </w:r>
      <w:r w:rsidR="00D46EC5" w:rsidRPr="00C43F25">
        <w:rPr>
          <w:i/>
          <w:iCs/>
          <w:color w:val="4472C4" w:themeColor="accent1"/>
        </w:rPr>
        <w:t>e ongoing “</w:t>
      </w:r>
      <w:r w:rsidR="00D46EC5" w:rsidRPr="00C43F25">
        <w:rPr>
          <w:i/>
          <w:iCs/>
          <w:color w:val="4472C4"/>
        </w:rPr>
        <w:t>Target 100 initiative”</w:t>
      </w:r>
      <w:r w:rsidR="00562D2F" w:rsidRPr="00C43F25">
        <w:rPr>
          <w:i/>
          <w:iCs/>
          <w:color w:val="4472C4"/>
        </w:rPr>
        <w:t xml:space="preserve">. This may have </w:t>
      </w:r>
      <w:r w:rsidR="0004185D" w:rsidRPr="00C43F25">
        <w:rPr>
          <w:i/>
          <w:iCs/>
          <w:color w:val="4472C4"/>
        </w:rPr>
        <w:t>offset</w:t>
      </w:r>
      <w:r w:rsidR="00457E9B" w:rsidRPr="00C43F25">
        <w:rPr>
          <w:i/>
          <w:iCs/>
          <w:color w:val="4472C4"/>
        </w:rPr>
        <w:t xml:space="preserve"> </w:t>
      </w:r>
      <w:r w:rsidR="0004185D" w:rsidRPr="00C43F25">
        <w:rPr>
          <w:i/>
          <w:iCs/>
          <w:color w:val="4472C4"/>
        </w:rPr>
        <w:t>impacts</w:t>
      </w:r>
      <w:r w:rsidR="00457E9B" w:rsidRPr="00C43F25">
        <w:rPr>
          <w:i/>
          <w:iCs/>
          <w:color w:val="4472C4"/>
        </w:rPr>
        <w:t xml:space="preserve"> </w:t>
      </w:r>
      <w:r w:rsidR="0004185D" w:rsidRPr="00C43F25">
        <w:rPr>
          <w:i/>
          <w:iCs/>
          <w:color w:val="4472C4"/>
        </w:rPr>
        <w:t>on</w:t>
      </w:r>
      <w:r w:rsidR="00457E9B" w:rsidRPr="00C43F25">
        <w:rPr>
          <w:i/>
          <w:iCs/>
          <w:color w:val="4472C4"/>
        </w:rPr>
        <w:t xml:space="preserve"> treated effluent flows </w:t>
      </w:r>
      <w:r w:rsidR="00D44C22" w:rsidRPr="00C43F25">
        <w:rPr>
          <w:i/>
          <w:iCs/>
          <w:color w:val="4472C4"/>
        </w:rPr>
        <w:t>resulting</w:t>
      </w:r>
      <w:r w:rsidR="0004185D" w:rsidRPr="00C43F25">
        <w:rPr>
          <w:i/>
          <w:iCs/>
          <w:color w:val="4472C4"/>
        </w:rPr>
        <w:t xml:space="preserve"> from add</w:t>
      </w:r>
      <w:r w:rsidR="00457E9B" w:rsidRPr="00C43F25">
        <w:rPr>
          <w:i/>
          <w:iCs/>
          <w:color w:val="4472C4"/>
        </w:rPr>
        <w:t>itional development</w:t>
      </w:r>
      <w:r w:rsidR="0004185D" w:rsidRPr="00C43F25">
        <w:rPr>
          <w:i/>
          <w:iCs/>
          <w:color w:val="4472C4"/>
        </w:rPr>
        <w:t xml:space="preserve"> over the same time period</w:t>
      </w:r>
      <w:r w:rsidR="00457E9B" w:rsidRPr="00C43F25">
        <w:rPr>
          <w:i/>
          <w:iCs/>
          <w:color w:val="4472C4"/>
        </w:rPr>
        <w:t>.</w:t>
      </w:r>
    </w:p>
    <w:p w14:paraId="659F234A" w14:textId="4059A900" w:rsidR="00F7317F" w:rsidRDefault="00F7317F" w:rsidP="00BB755B">
      <w:pPr>
        <w:pStyle w:val="Heading3"/>
      </w:pPr>
      <w:bookmarkStart w:id="28" w:name="_Toc160434457"/>
      <w:r>
        <w:t>Calculation Methods</w:t>
      </w:r>
      <w:bookmarkEnd w:id="28"/>
    </w:p>
    <w:p w14:paraId="0F47BD46" w14:textId="3676B601" w:rsidR="00137EA5" w:rsidRDefault="00F7317F">
      <w:pPr>
        <w:jc w:val="both"/>
      </w:pPr>
      <w:r w:rsidRPr="00BB755B">
        <w:t>The average wastewater of 500l per household per day is used to estimate remaining capacity on the advice of the EA</w:t>
      </w:r>
      <w:r w:rsidRPr="00BB755B">
        <w:rPr>
          <w:vertAlign w:val="superscript"/>
        </w:rPr>
        <w:footnoteReference w:id="11"/>
      </w:r>
      <w:r w:rsidRPr="004018F4">
        <w:t xml:space="preserve"> and in line with </w:t>
      </w:r>
      <w:r w:rsidR="00793462">
        <w:t>SWS</w:t>
      </w:r>
      <w:r w:rsidRPr="008428E6">
        <w:t>’s guidance</w:t>
      </w:r>
      <w:r w:rsidRPr="004018F4">
        <w:rPr>
          <w:vertAlign w:val="superscript"/>
        </w:rPr>
        <w:footnoteReference w:id="12"/>
      </w:r>
      <w:r w:rsidRPr="008428E6">
        <w:t xml:space="preserve"> on calculating DWF Headroom for Local Plans.</w:t>
      </w:r>
      <w:r w:rsidR="00EF519A">
        <w:t xml:space="preserve"> This water usage rate </w:t>
      </w:r>
      <w:proofErr w:type="gramStart"/>
      <w:r w:rsidR="00EF519A">
        <w:t>is based on an assumption</w:t>
      </w:r>
      <w:proofErr w:type="gramEnd"/>
      <w:r w:rsidR="00EF519A">
        <w:t xml:space="preserve"> of 150l/d per person with an average 2.4 household occupancy and an allowance for a 40% infiltration rate.</w:t>
      </w:r>
      <w:r w:rsidRPr="00F7317F">
        <w:t xml:space="preserve"> </w:t>
      </w:r>
      <w:r w:rsidRPr="004018F4">
        <w:t xml:space="preserve">This method for calculating DWF Headroom applies a </w:t>
      </w:r>
      <w:proofErr w:type="gramStart"/>
      <w:r w:rsidRPr="004018F4">
        <w:t>flat water</w:t>
      </w:r>
      <w:proofErr w:type="gramEnd"/>
      <w:r w:rsidRPr="004018F4">
        <w:t xml:space="preserve"> consumption rate per dwelling rather than a per-capita consumption and occupancy rates </w:t>
      </w:r>
      <w:r w:rsidR="00137EA5">
        <w:t>noting that the</w:t>
      </w:r>
      <w:r w:rsidRPr="00A04328">
        <w:t xml:space="preserve"> loadings for Sewage Treatment Systems recommended in the British Water code of practice for domestic dwellings is 150 litres per person per day (also referenced in the Water Quality Assessment report)</w:t>
      </w:r>
      <w:r w:rsidRPr="008428E6">
        <w:rPr>
          <w:vertAlign w:val="superscript"/>
        </w:rPr>
        <w:footnoteReference w:id="13"/>
      </w:r>
      <w:r w:rsidRPr="004018F4">
        <w:t xml:space="preserve">. </w:t>
      </w:r>
    </w:p>
    <w:p w14:paraId="450A04FF" w14:textId="1B4C6225" w:rsidR="00B12992" w:rsidRPr="008428E6" w:rsidRDefault="00F7317F" w:rsidP="004018F4">
      <w:pPr>
        <w:jc w:val="both"/>
        <w:rPr>
          <w:i/>
          <w:iCs/>
        </w:rPr>
      </w:pPr>
      <w:r w:rsidRPr="004018F4">
        <w:t xml:space="preserve">This is higher than </w:t>
      </w:r>
      <w:r w:rsidR="00793462">
        <w:t>SWS</w:t>
      </w:r>
      <w:r w:rsidRPr="004018F4">
        <w:t xml:space="preserve">’s estimated average use per day based on charges for the year April 2022 to March 2023 (see  </w:t>
      </w:r>
      <w:r w:rsidRPr="00F7317F">
        <w:rPr>
          <w:b/>
          <w:bCs/>
        </w:rPr>
        <w:fldChar w:fldCharType="begin"/>
      </w:r>
      <w:r w:rsidRPr="004018F4">
        <w:rPr>
          <w:b/>
          <w:bCs/>
        </w:rPr>
        <w:instrText xml:space="preserve"> REF _Ref147968603 \h  \* MERGEFORMAT </w:instrText>
      </w:r>
      <w:r w:rsidRPr="00F7317F">
        <w:rPr>
          <w:b/>
          <w:bCs/>
        </w:rPr>
      </w:r>
      <w:r w:rsidRPr="00F7317F">
        <w:rPr>
          <w:b/>
          <w:bCs/>
        </w:rPr>
        <w:fldChar w:fldCharType="separate"/>
      </w:r>
      <w:r w:rsidR="008502A6" w:rsidRPr="008502A6">
        <w:rPr>
          <w:b/>
          <w:bCs/>
        </w:rPr>
        <w:t>Table 2</w:t>
      </w:r>
      <w:r w:rsidR="008502A6" w:rsidRPr="008502A6">
        <w:rPr>
          <w:b/>
          <w:bCs/>
        </w:rPr>
        <w:noBreakHyphen/>
        <w:t>4</w:t>
      </w:r>
      <w:r w:rsidRPr="00F7317F">
        <w:fldChar w:fldCharType="end"/>
      </w:r>
      <w:r w:rsidRPr="004018F4">
        <w:t>)</w:t>
      </w:r>
      <w:r w:rsidRPr="004018F4">
        <w:rPr>
          <w:vertAlign w:val="superscript"/>
        </w:rPr>
        <w:footnoteReference w:id="14"/>
      </w:r>
      <w:r w:rsidRPr="004018F4">
        <w:t xml:space="preserve"> and </w:t>
      </w:r>
      <w:proofErr w:type="gramStart"/>
      <w:r w:rsidRPr="004018F4">
        <w:t>is considered to be</w:t>
      </w:r>
      <w:proofErr w:type="gramEnd"/>
      <w:r w:rsidRPr="004018F4">
        <w:t xml:space="preserve"> a more </w:t>
      </w:r>
      <w:r w:rsidR="00D81794">
        <w:t>precautionary</w:t>
      </w:r>
      <w:r w:rsidR="00D81794" w:rsidRPr="004018F4">
        <w:t xml:space="preserve"> </w:t>
      </w:r>
      <w:r w:rsidRPr="004018F4">
        <w:t>assumption.  It should be noted that the average number of people per household in the UK was 2.36 in 2022</w:t>
      </w:r>
      <w:r w:rsidRPr="008428E6">
        <w:rPr>
          <w:vertAlign w:val="superscript"/>
        </w:rPr>
        <w:footnoteReference w:id="15"/>
      </w:r>
      <w:r w:rsidRPr="004018F4">
        <w:t xml:space="preserve"> and that both </w:t>
      </w:r>
      <w:r w:rsidR="00793462">
        <w:t>SWS</w:t>
      </w:r>
      <w:r w:rsidRPr="008428E6">
        <w:t xml:space="preserve"> and Portsmouth Water have </w:t>
      </w:r>
      <w:proofErr w:type="gramStart"/>
      <w:r w:rsidRPr="008428E6">
        <w:t>a ”Target</w:t>
      </w:r>
      <w:proofErr w:type="gramEnd"/>
      <w:r w:rsidRPr="008428E6">
        <w:t xml:space="preserve"> 100 initiative” which aims to reduce per capita consumption to 100 l/person/d (</w:t>
      </w:r>
      <w:r w:rsidR="00682054">
        <w:t>company-</w:t>
      </w:r>
      <w:r w:rsidRPr="004018F4">
        <w:t xml:space="preserve"> wide average) by 2040.</w:t>
      </w:r>
      <w:r w:rsidRPr="00F7317F">
        <w:rPr>
          <w:i/>
          <w:iCs/>
        </w:rPr>
        <w:t xml:space="preserve"> </w:t>
      </w:r>
    </w:p>
    <w:p w14:paraId="3BFA1E55" w14:textId="365DA242" w:rsidR="000B5F55" w:rsidRDefault="000B5F55" w:rsidP="0017749A">
      <w:pPr>
        <w:jc w:val="both"/>
      </w:pPr>
      <w:r w:rsidRPr="004018F4">
        <w:rPr>
          <w:b/>
          <w:bCs/>
          <w:color w:val="006BB7"/>
        </w:rPr>
        <w:fldChar w:fldCharType="begin"/>
      </w:r>
      <w:r w:rsidRPr="008428E6">
        <w:rPr>
          <w:b/>
          <w:bCs/>
          <w:color w:val="006BB7"/>
        </w:rPr>
        <w:instrText xml:space="preserve"> REF _Ref147968226 \h  \* MERGEFORMAT </w:instrText>
      </w:r>
      <w:r w:rsidRPr="004018F4">
        <w:rPr>
          <w:b/>
          <w:bCs/>
          <w:color w:val="006BB7"/>
        </w:rPr>
      </w:r>
      <w:r w:rsidRPr="004018F4">
        <w:rPr>
          <w:b/>
          <w:bCs/>
          <w:color w:val="006BB7"/>
        </w:rPr>
        <w:fldChar w:fldCharType="separate"/>
      </w:r>
      <w:r w:rsidR="008502A6" w:rsidRPr="008502A6">
        <w:rPr>
          <w:b/>
          <w:bCs/>
          <w:color w:val="006BB7"/>
        </w:rPr>
        <w:t xml:space="preserve">Table </w:t>
      </w:r>
      <w:r w:rsidR="008502A6" w:rsidRPr="008502A6">
        <w:rPr>
          <w:b/>
          <w:bCs/>
          <w:noProof/>
          <w:color w:val="006BB7"/>
        </w:rPr>
        <w:t>2</w:t>
      </w:r>
      <w:r w:rsidR="008502A6" w:rsidRPr="008502A6">
        <w:rPr>
          <w:b/>
          <w:bCs/>
          <w:noProof/>
          <w:color w:val="006BB7"/>
        </w:rPr>
        <w:noBreakHyphen/>
        <w:t>3</w:t>
      </w:r>
      <w:r w:rsidRPr="004018F4">
        <w:rPr>
          <w:b/>
          <w:bCs/>
          <w:color w:val="006BB7"/>
        </w:rPr>
        <w:fldChar w:fldCharType="end"/>
      </w:r>
      <w:r>
        <w:t xml:space="preserve"> below presents </w:t>
      </w:r>
      <w:r w:rsidRPr="000B5F55">
        <w:t>remaining headroom in units of number of households</w:t>
      </w:r>
      <w:r>
        <w:t xml:space="preserve"> (the estimated remaining dwelling capacity) of </w:t>
      </w:r>
      <w:proofErr w:type="spellStart"/>
      <w:r>
        <w:t>Thornham</w:t>
      </w:r>
      <w:proofErr w:type="spellEnd"/>
      <w:r>
        <w:t xml:space="preserve"> WwTW from the various documents reviewed.</w:t>
      </w:r>
    </w:p>
    <w:p w14:paraId="056A838A" w14:textId="483B577B" w:rsidR="000B5F55" w:rsidRPr="00AA7F7C" w:rsidRDefault="000B5F55" w:rsidP="000B5F55">
      <w:pPr>
        <w:pStyle w:val="Caption"/>
      </w:pPr>
      <w:bookmarkStart w:id="29" w:name="_Ref147968226"/>
      <w:r w:rsidRPr="00AA7F7C">
        <w:t xml:space="preserve">Table </w:t>
      </w:r>
      <w:r w:rsidR="000B4DFF">
        <w:fldChar w:fldCharType="begin"/>
      </w:r>
      <w:r w:rsidR="000B4DFF">
        <w:instrText xml:space="preserve"> STYLEREF 1 \s </w:instrText>
      </w:r>
      <w:r w:rsidR="000B4DFF">
        <w:fldChar w:fldCharType="separate"/>
      </w:r>
      <w:r w:rsidR="008502A6">
        <w:rPr>
          <w:noProof/>
        </w:rPr>
        <w:t>2</w:t>
      </w:r>
      <w:r w:rsidR="000B4DFF">
        <w:rPr>
          <w:noProof/>
        </w:rPr>
        <w:fldChar w:fldCharType="end"/>
      </w:r>
      <w:r w:rsidR="003E1AD7">
        <w:noBreakHyphen/>
      </w:r>
      <w:r w:rsidR="000B4DFF">
        <w:fldChar w:fldCharType="begin"/>
      </w:r>
      <w:r w:rsidR="000B4DFF">
        <w:instrText xml:space="preserve"> SEQ Table \* ARABIC \s 1 </w:instrText>
      </w:r>
      <w:r w:rsidR="000B4DFF">
        <w:fldChar w:fldCharType="separate"/>
      </w:r>
      <w:r w:rsidR="008502A6">
        <w:rPr>
          <w:noProof/>
        </w:rPr>
        <w:t>3</w:t>
      </w:r>
      <w:r w:rsidR="000B4DFF">
        <w:rPr>
          <w:noProof/>
        </w:rPr>
        <w:fldChar w:fldCharType="end"/>
      </w:r>
      <w:bookmarkEnd w:id="29"/>
      <w:r w:rsidRPr="00AA7F7C">
        <w:t xml:space="preserve"> Estimated remaining dwelling capacity of </w:t>
      </w:r>
      <w:proofErr w:type="spellStart"/>
      <w:r w:rsidRPr="00AA7F7C">
        <w:t>Thornham</w:t>
      </w:r>
      <w:proofErr w:type="spellEnd"/>
      <w:r w:rsidRPr="00AA7F7C">
        <w:t xml:space="preserve"> WwTW</w:t>
      </w:r>
    </w:p>
    <w:tbl>
      <w:tblPr>
        <w:tblStyle w:val="Mainbidtables"/>
        <w:tblW w:w="9242" w:type="dxa"/>
        <w:tblLook w:val="0020" w:firstRow="1" w:lastRow="0" w:firstColumn="0" w:lastColumn="0" w:noHBand="0" w:noVBand="0"/>
      </w:tblPr>
      <w:tblGrid>
        <w:gridCol w:w="2215"/>
        <w:gridCol w:w="1966"/>
        <w:gridCol w:w="2541"/>
        <w:gridCol w:w="2520"/>
      </w:tblGrid>
      <w:tr w:rsidR="000B5F55" w14:paraId="6A828DA2" w14:textId="77777777" w:rsidTr="00892AF5">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5" w:type="dxa"/>
            <w:shd w:val="clear" w:color="auto" w:fill="4472C4" w:themeFill="accent1"/>
          </w:tcPr>
          <w:p w14:paraId="624504BF" w14:textId="77777777" w:rsidR="000B5F55" w:rsidRPr="002F3A37" w:rsidRDefault="000B5F55" w:rsidP="002F3A37">
            <w:pPr>
              <w:pStyle w:val="ListParagraph"/>
              <w:spacing w:after="0"/>
              <w:ind w:left="0"/>
              <w:jc w:val="center"/>
              <w:rPr>
                <w:b/>
                <w:bCs/>
                <w:sz w:val="18"/>
                <w:szCs w:val="18"/>
              </w:rPr>
            </w:pPr>
            <w:r w:rsidRPr="002F3A37">
              <w:rPr>
                <w:b/>
                <w:bCs/>
                <w:sz w:val="18"/>
                <w:szCs w:val="18"/>
              </w:rPr>
              <w:t>Document</w:t>
            </w:r>
          </w:p>
        </w:tc>
        <w:tc>
          <w:tcPr>
            <w:tcW w:w="1966" w:type="dxa"/>
            <w:shd w:val="clear" w:color="auto" w:fill="4472C4" w:themeFill="accent1"/>
          </w:tcPr>
          <w:p w14:paraId="3A79EDA5" w14:textId="5840387C" w:rsidR="000B5F55" w:rsidRPr="002F3A37" w:rsidRDefault="000B5F55" w:rsidP="00092BB1">
            <w:pPr>
              <w:pStyle w:val="ListParagraph"/>
              <w:spacing w:after="0"/>
              <w:ind w:left="0"/>
              <w:jc w:val="center"/>
              <w:cnfStyle w:val="100000000000" w:firstRow="1" w:lastRow="0" w:firstColumn="0" w:lastColumn="0" w:oddVBand="0" w:evenVBand="0" w:oddHBand="0" w:evenHBand="0" w:firstRowFirstColumn="0" w:firstRowLastColumn="0" w:lastRowFirstColumn="0" w:lastRowLastColumn="0"/>
              <w:rPr>
                <w:b/>
                <w:bCs/>
                <w:sz w:val="18"/>
                <w:szCs w:val="18"/>
              </w:rPr>
            </w:pPr>
            <w:r w:rsidRPr="002F3A37">
              <w:rPr>
                <w:b/>
                <w:bCs/>
                <w:sz w:val="18"/>
                <w:szCs w:val="18"/>
              </w:rPr>
              <w:t>Estimated remaining dwelling capacity</w:t>
            </w:r>
          </w:p>
        </w:tc>
        <w:tc>
          <w:tcPr>
            <w:cnfStyle w:val="000010000000" w:firstRow="0" w:lastRow="0" w:firstColumn="0" w:lastColumn="0" w:oddVBand="1" w:evenVBand="0" w:oddHBand="0" w:evenHBand="0" w:firstRowFirstColumn="0" w:firstRowLastColumn="0" w:lastRowFirstColumn="0" w:lastRowLastColumn="0"/>
            <w:tcW w:w="2541" w:type="dxa"/>
            <w:shd w:val="clear" w:color="auto" w:fill="4472C4" w:themeFill="accent1"/>
          </w:tcPr>
          <w:p w14:paraId="729EB77E" w14:textId="77777777" w:rsidR="000B5F55" w:rsidRPr="002F3A37" w:rsidRDefault="000B5F55" w:rsidP="002F3A37">
            <w:pPr>
              <w:pStyle w:val="ListParagraph"/>
              <w:spacing w:after="0"/>
              <w:ind w:left="0"/>
              <w:jc w:val="center"/>
              <w:rPr>
                <w:b/>
                <w:bCs/>
                <w:sz w:val="18"/>
                <w:szCs w:val="18"/>
              </w:rPr>
            </w:pPr>
            <w:r w:rsidRPr="002F3A37">
              <w:rPr>
                <w:b/>
                <w:bCs/>
                <w:sz w:val="18"/>
                <w:szCs w:val="18"/>
              </w:rPr>
              <w:t>Methodology</w:t>
            </w:r>
          </w:p>
          <w:p w14:paraId="4DF253D5" w14:textId="03E0BE64" w:rsidR="000B5F55" w:rsidRPr="002F3A37" w:rsidRDefault="000B5F55" w:rsidP="002F3A37">
            <w:pPr>
              <w:pStyle w:val="ListParagraph"/>
              <w:spacing w:after="0"/>
              <w:ind w:left="0"/>
              <w:jc w:val="center"/>
              <w:rPr>
                <w:b/>
                <w:bCs/>
                <w:sz w:val="18"/>
                <w:szCs w:val="18"/>
              </w:rPr>
            </w:pPr>
          </w:p>
        </w:tc>
        <w:tc>
          <w:tcPr>
            <w:tcW w:w="2520" w:type="dxa"/>
            <w:shd w:val="clear" w:color="auto" w:fill="4472C4" w:themeFill="accent1"/>
          </w:tcPr>
          <w:p w14:paraId="64870458" w14:textId="77777777" w:rsidR="000B5F55" w:rsidRPr="002F3A37" w:rsidRDefault="000B5F55" w:rsidP="002F3A37">
            <w:pPr>
              <w:pStyle w:val="ListParagraph"/>
              <w:spacing w:after="0"/>
              <w:ind w:left="0"/>
              <w:jc w:val="center"/>
              <w:cnfStyle w:val="100000000000" w:firstRow="1" w:lastRow="0" w:firstColumn="0" w:lastColumn="0" w:oddVBand="0" w:evenVBand="0" w:oddHBand="0" w:evenHBand="0" w:firstRowFirstColumn="0" w:firstRowLastColumn="0" w:lastRowFirstColumn="0" w:lastRowLastColumn="0"/>
              <w:rPr>
                <w:b/>
                <w:bCs/>
                <w:sz w:val="18"/>
                <w:szCs w:val="18"/>
              </w:rPr>
            </w:pPr>
            <w:r w:rsidRPr="002F3A37">
              <w:rPr>
                <w:b/>
                <w:bCs/>
                <w:sz w:val="18"/>
                <w:szCs w:val="18"/>
              </w:rPr>
              <w:t>Year</w:t>
            </w:r>
          </w:p>
          <w:p w14:paraId="2ABE8860" w14:textId="77777777" w:rsidR="000B5F55" w:rsidRPr="002F3A37" w:rsidRDefault="000B5F55" w:rsidP="002F3A37">
            <w:pPr>
              <w:pStyle w:val="ListParagraph"/>
              <w:spacing w:after="0"/>
              <w:ind w:left="0"/>
              <w:jc w:val="center"/>
              <w:cnfStyle w:val="100000000000" w:firstRow="1" w:lastRow="0" w:firstColumn="0" w:lastColumn="0" w:oddVBand="0" w:evenVBand="0" w:oddHBand="0" w:evenHBand="0" w:firstRowFirstColumn="0" w:firstRowLastColumn="0" w:lastRowFirstColumn="0" w:lastRowLastColumn="0"/>
              <w:rPr>
                <w:b/>
                <w:bCs/>
                <w:sz w:val="18"/>
                <w:szCs w:val="18"/>
              </w:rPr>
            </w:pPr>
          </w:p>
        </w:tc>
      </w:tr>
      <w:tr w:rsidR="000B5F55" w14:paraId="399E573D" w14:textId="77777777" w:rsidTr="00892AF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5" w:type="dxa"/>
          </w:tcPr>
          <w:p w14:paraId="2D8079FC" w14:textId="0643F5AC" w:rsidR="000B5F55" w:rsidRPr="00C24052" w:rsidRDefault="000B5F55" w:rsidP="003D703C">
            <w:pPr>
              <w:pStyle w:val="ListParagraph"/>
              <w:spacing w:after="0"/>
              <w:ind w:left="0"/>
              <w:rPr>
                <w:sz w:val="18"/>
                <w:szCs w:val="18"/>
              </w:rPr>
            </w:pPr>
            <w:r w:rsidRPr="00C24052">
              <w:rPr>
                <w:sz w:val="18"/>
                <w:szCs w:val="18"/>
              </w:rPr>
              <w:t>CDC Waste Water Treatment and Remaining Headroom</w:t>
            </w:r>
            <w:r w:rsidR="00457E9B" w:rsidRPr="00C24052">
              <w:rPr>
                <w:sz w:val="18"/>
                <w:szCs w:val="18"/>
              </w:rPr>
              <w:t xml:space="preserve"> (Jan 23)</w:t>
            </w:r>
          </w:p>
        </w:tc>
        <w:tc>
          <w:tcPr>
            <w:tcW w:w="1966" w:type="dxa"/>
          </w:tcPr>
          <w:p w14:paraId="34D4953C" w14:textId="3EDE1463" w:rsidR="000B5F55" w:rsidRPr="00C24052" w:rsidRDefault="000B5F55" w:rsidP="003D703C">
            <w:pPr>
              <w:pStyle w:val="ListParagraph"/>
              <w:spacing w:after="0"/>
              <w:ind w:left="0"/>
              <w:jc w:val="both"/>
              <w:cnfStyle w:val="000000100000" w:firstRow="0" w:lastRow="0" w:firstColumn="0" w:lastColumn="0" w:oddVBand="0" w:evenVBand="0" w:oddHBand="1" w:evenHBand="0" w:firstRowFirstColumn="0" w:firstRowLastColumn="0" w:lastRowFirstColumn="0" w:lastRowLastColumn="0"/>
              <w:rPr>
                <w:bCs/>
                <w:sz w:val="18"/>
                <w:szCs w:val="18"/>
              </w:rPr>
            </w:pPr>
            <w:r w:rsidRPr="00C24052">
              <w:rPr>
                <w:bCs/>
                <w:color w:val="000000"/>
                <w:sz w:val="18"/>
                <w:szCs w:val="18"/>
              </w:rPr>
              <w:t>1426</w:t>
            </w:r>
          </w:p>
        </w:tc>
        <w:tc>
          <w:tcPr>
            <w:cnfStyle w:val="000010000000" w:firstRow="0" w:lastRow="0" w:firstColumn="0" w:lastColumn="0" w:oddVBand="1" w:evenVBand="0" w:oddHBand="0" w:evenHBand="0" w:firstRowFirstColumn="0" w:firstRowLastColumn="0" w:lastRowFirstColumn="0" w:lastRowLastColumn="0"/>
            <w:tcW w:w="2541" w:type="dxa"/>
          </w:tcPr>
          <w:p w14:paraId="5A6DECB9" w14:textId="0B9D9A0A" w:rsidR="000B5F55" w:rsidRPr="00C24052" w:rsidRDefault="000B5F55" w:rsidP="003D703C">
            <w:pPr>
              <w:pStyle w:val="ListParagraph"/>
              <w:spacing w:after="0"/>
              <w:ind w:left="0"/>
              <w:jc w:val="both"/>
              <w:rPr>
                <w:sz w:val="18"/>
                <w:szCs w:val="18"/>
              </w:rPr>
            </w:pPr>
            <w:r w:rsidRPr="00C24052">
              <w:rPr>
                <w:sz w:val="18"/>
                <w:szCs w:val="18"/>
              </w:rPr>
              <w:t>Based on 713 m</w:t>
            </w:r>
            <w:r w:rsidRPr="00C24052">
              <w:rPr>
                <w:sz w:val="18"/>
                <w:szCs w:val="18"/>
                <w:vertAlign w:val="superscript"/>
              </w:rPr>
              <w:t>3</w:t>
            </w:r>
            <w:r w:rsidRPr="00C24052">
              <w:rPr>
                <w:sz w:val="18"/>
                <w:szCs w:val="18"/>
              </w:rPr>
              <w:t xml:space="preserve">/d (see </w:t>
            </w:r>
            <w:r w:rsidRPr="00113DAB">
              <w:rPr>
                <w:color w:val="44546A" w:themeColor="text2"/>
                <w:sz w:val="18"/>
                <w:szCs w:val="18"/>
              </w:rPr>
              <w:fldChar w:fldCharType="begin"/>
            </w:r>
            <w:r w:rsidRPr="00113DAB">
              <w:rPr>
                <w:color w:val="44546A" w:themeColor="text2"/>
                <w:sz w:val="18"/>
                <w:szCs w:val="18"/>
              </w:rPr>
              <w:instrText xml:space="preserve"> REF _Ref147951856 \h  \* MERGEFORMAT </w:instrText>
            </w:r>
            <w:r w:rsidRPr="00113DAB">
              <w:rPr>
                <w:color w:val="44546A" w:themeColor="text2"/>
                <w:sz w:val="18"/>
                <w:szCs w:val="18"/>
              </w:rPr>
            </w:r>
            <w:r w:rsidRPr="00113DAB">
              <w:rPr>
                <w:color w:val="44546A" w:themeColor="text2"/>
                <w:sz w:val="18"/>
                <w:szCs w:val="18"/>
              </w:rPr>
              <w:fldChar w:fldCharType="separate"/>
            </w:r>
            <w:r w:rsidR="008502A6" w:rsidRPr="00113DAB">
              <w:rPr>
                <w:color w:val="44546A" w:themeColor="text2"/>
                <w:sz w:val="18"/>
                <w:szCs w:val="18"/>
              </w:rPr>
              <w:t xml:space="preserve">Table </w:t>
            </w:r>
            <w:r w:rsidR="008502A6" w:rsidRPr="00113DAB">
              <w:rPr>
                <w:noProof/>
                <w:color w:val="44546A" w:themeColor="text2"/>
                <w:sz w:val="18"/>
                <w:szCs w:val="18"/>
              </w:rPr>
              <w:t>2</w:t>
            </w:r>
            <w:r w:rsidR="008502A6" w:rsidRPr="00113DAB">
              <w:rPr>
                <w:noProof/>
                <w:color w:val="44546A" w:themeColor="text2"/>
                <w:sz w:val="18"/>
                <w:szCs w:val="18"/>
              </w:rPr>
              <w:noBreakHyphen/>
              <w:t>2</w:t>
            </w:r>
            <w:r w:rsidRPr="00113DAB">
              <w:rPr>
                <w:color w:val="44546A" w:themeColor="text2"/>
                <w:sz w:val="18"/>
                <w:szCs w:val="18"/>
              </w:rPr>
              <w:fldChar w:fldCharType="end"/>
            </w:r>
            <w:r w:rsidRPr="00C24052">
              <w:rPr>
                <w:sz w:val="18"/>
                <w:szCs w:val="18"/>
              </w:rPr>
              <w:t xml:space="preserve">) and 500 l/d per dwelling </w:t>
            </w:r>
          </w:p>
        </w:tc>
        <w:tc>
          <w:tcPr>
            <w:tcW w:w="2520" w:type="dxa"/>
          </w:tcPr>
          <w:p w14:paraId="461F4B73" w14:textId="1BF04C3E" w:rsidR="000B5F55" w:rsidRPr="00C24052" w:rsidRDefault="000B5F55" w:rsidP="003D703C">
            <w:pPr>
              <w:pStyle w:val="ListParagraph"/>
              <w:spacing w:after="0"/>
              <w:ind w:left="0"/>
              <w:jc w:val="both"/>
              <w:cnfStyle w:val="000000100000" w:firstRow="0" w:lastRow="0" w:firstColumn="0" w:lastColumn="0" w:oddVBand="0" w:evenVBand="0" w:oddHBand="1" w:evenHBand="0" w:firstRowFirstColumn="0" w:firstRowLastColumn="0" w:lastRowFirstColumn="0" w:lastRowLastColumn="0"/>
              <w:rPr>
                <w:sz w:val="18"/>
                <w:szCs w:val="18"/>
              </w:rPr>
            </w:pPr>
            <w:r w:rsidRPr="00C24052">
              <w:rPr>
                <w:sz w:val="18"/>
                <w:szCs w:val="18"/>
              </w:rPr>
              <w:t xml:space="preserve">As @ </w:t>
            </w:r>
            <w:r w:rsidR="008428E6" w:rsidRPr="00C24052">
              <w:rPr>
                <w:sz w:val="18"/>
                <w:szCs w:val="18"/>
              </w:rPr>
              <w:t>01/</w:t>
            </w:r>
            <w:r w:rsidRPr="00C24052">
              <w:rPr>
                <w:sz w:val="18"/>
                <w:szCs w:val="18"/>
              </w:rPr>
              <w:t>2023</w:t>
            </w:r>
          </w:p>
        </w:tc>
      </w:tr>
      <w:tr w:rsidR="000B5F55" w14:paraId="02737902" w14:textId="77777777" w:rsidTr="00892AF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5" w:type="dxa"/>
          </w:tcPr>
          <w:p w14:paraId="0A859E8C" w14:textId="56EF80C0" w:rsidR="000B5F55" w:rsidRPr="00C24052" w:rsidRDefault="000B5F55" w:rsidP="003D703C">
            <w:pPr>
              <w:pStyle w:val="ListParagraph"/>
              <w:spacing w:after="0"/>
              <w:ind w:left="0"/>
              <w:rPr>
                <w:sz w:val="18"/>
                <w:szCs w:val="18"/>
              </w:rPr>
            </w:pPr>
            <w:r w:rsidRPr="00C24052">
              <w:rPr>
                <w:sz w:val="18"/>
                <w:szCs w:val="18"/>
              </w:rPr>
              <w:t xml:space="preserve">CDC, </w:t>
            </w:r>
            <w:r w:rsidR="00793462" w:rsidRPr="00C24052">
              <w:rPr>
                <w:sz w:val="18"/>
                <w:szCs w:val="18"/>
              </w:rPr>
              <w:t>SWS</w:t>
            </w:r>
            <w:r w:rsidRPr="00C24052">
              <w:rPr>
                <w:sz w:val="18"/>
                <w:szCs w:val="18"/>
              </w:rPr>
              <w:t xml:space="preserve"> &amp; EA’s </w:t>
            </w:r>
            <w:proofErr w:type="spellStart"/>
            <w:r w:rsidRPr="00C24052">
              <w:rPr>
                <w:sz w:val="18"/>
                <w:szCs w:val="18"/>
              </w:rPr>
              <w:t>Thornham</w:t>
            </w:r>
            <w:proofErr w:type="spellEnd"/>
            <w:r w:rsidRPr="00C24052">
              <w:rPr>
                <w:sz w:val="18"/>
                <w:szCs w:val="18"/>
              </w:rPr>
              <w:t xml:space="preserve"> WwTW Position Statement</w:t>
            </w:r>
            <w:r w:rsidR="007978E5" w:rsidRPr="00C24052">
              <w:rPr>
                <w:sz w:val="18"/>
                <w:szCs w:val="18"/>
              </w:rPr>
              <w:t xml:space="preserve"> (Nov 2021)</w:t>
            </w:r>
          </w:p>
        </w:tc>
        <w:tc>
          <w:tcPr>
            <w:tcW w:w="1966" w:type="dxa"/>
          </w:tcPr>
          <w:p w14:paraId="43201D1A" w14:textId="77777777" w:rsidR="000B5F55" w:rsidRPr="00C24052" w:rsidRDefault="000B5F55" w:rsidP="003D703C">
            <w:pPr>
              <w:pStyle w:val="ListParagraph"/>
              <w:spacing w:after="0"/>
              <w:ind w:left="0"/>
              <w:jc w:val="both"/>
              <w:cnfStyle w:val="000000010000" w:firstRow="0" w:lastRow="0" w:firstColumn="0" w:lastColumn="0" w:oddVBand="0" w:evenVBand="0" w:oddHBand="0" w:evenHBand="1" w:firstRowFirstColumn="0" w:firstRowLastColumn="0" w:lastRowFirstColumn="0" w:lastRowLastColumn="0"/>
              <w:rPr>
                <w:sz w:val="18"/>
                <w:szCs w:val="18"/>
              </w:rPr>
            </w:pPr>
            <w:r w:rsidRPr="00C24052">
              <w:rPr>
                <w:sz w:val="18"/>
                <w:szCs w:val="18"/>
              </w:rPr>
              <w:t>950</w:t>
            </w:r>
          </w:p>
        </w:tc>
        <w:tc>
          <w:tcPr>
            <w:cnfStyle w:val="000010000000" w:firstRow="0" w:lastRow="0" w:firstColumn="0" w:lastColumn="0" w:oddVBand="1" w:evenVBand="0" w:oddHBand="0" w:evenHBand="0" w:firstRowFirstColumn="0" w:firstRowLastColumn="0" w:lastRowFirstColumn="0" w:lastRowLastColumn="0"/>
            <w:tcW w:w="2541" w:type="dxa"/>
          </w:tcPr>
          <w:p w14:paraId="420949C8" w14:textId="0492FF69" w:rsidR="000B5F55" w:rsidRPr="00C24052" w:rsidRDefault="000B5F55" w:rsidP="003D703C">
            <w:pPr>
              <w:pStyle w:val="ListParagraph"/>
              <w:spacing w:after="0"/>
              <w:ind w:left="0"/>
              <w:jc w:val="both"/>
              <w:rPr>
                <w:sz w:val="18"/>
                <w:szCs w:val="18"/>
              </w:rPr>
            </w:pPr>
            <w:r w:rsidRPr="00C24052">
              <w:rPr>
                <w:sz w:val="18"/>
                <w:szCs w:val="18"/>
              </w:rPr>
              <w:t>Based on 475 m</w:t>
            </w:r>
            <w:r w:rsidRPr="00C24052">
              <w:rPr>
                <w:sz w:val="18"/>
                <w:szCs w:val="18"/>
                <w:vertAlign w:val="superscript"/>
              </w:rPr>
              <w:t>3</w:t>
            </w:r>
            <w:r w:rsidRPr="00C24052">
              <w:rPr>
                <w:sz w:val="18"/>
                <w:szCs w:val="18"/>
              </w:rPr>
              <w:t xml:space="preserve">/d (see </w:t>
            </w:r>
            <w:r w:rsidRPr="00113DAB">
              <w:rPr>
                <w:color w:val="44546A" w:themeColor="text2"/>
                <w:sz w:val="18"/>
                <w:szCs w:val="18"/>
              </w:rPr>
              <w:fldChar w:fldCharType="begin"/>
            </w:r>
            <w:r w:rsidRPr="00113DAB">
              <w:rPr>
                <w:color w:val="44546A" w:themeColor="text2"/>
                <w:sz w:val="18"/>
                <w:szCs w:val="18"/>
              </w:rPr>
              <w:instrText xml:space="preserve"> REF _Ref147951856 \h  \* MERGEFORMAT </w:instrText>
            </w:r>
            <w:r w:rsidRPr="00113DAB">
              <w:rPr>
                <w:color w:val="44546A" w:themeColor="text2"/>
                <w:sz w:val="18"/>
                <w:szCs w:val="18"/>
              </w:rPr>
            </w:r>
            <w:r w:rsidRPr="00113DAB">
              <w:rPr>
                <w:color w:val="44546A" w:themeColor="text2"/>
                <w:sz w:val="18"/>
                <w:szCs w:val="18"/>
              </w:rPr>
              <w:fldChar w:fldCharType="separate"/>
            </w:r>
            <w:r w:rsidR="008502A6" w:rsidRPr="00113DAB">
              <w:rPr>
                <w:color w:val="44546A" w:themeColor="text2"/>
                <w:sz w:val="18"/>
                <w:szCs w:val="18"/>
              </w:rPr>
              <w:t xml:space="preserve">Table </w:t>
            </w:r>
            <w:r w:rsidR="008502A6" w:rsidRPr="00113DAB">
              <w:rPr>
                <w:noProof/>
                <w:color w:val="44546A" w:themeColor="text2"/>
                <w:sz w:val="18"/>
                <w:szCs w:val="18"/>
              </w:rPr>
              <w:t>2</w:t>
            </w:r>
            <w:r w:rsidR="008502A6" w:rsidRPr="00113DAB">
              <w:rPr>
                <w:noProof/>
                <w:color w:val="44546A" w:themeColor="text2"/>
                <w:sz w:val="18"/>
                <w:szCs w:val="18"/>
              </w:rPr>
              <w:noBreakHyphen/>
              <w:t>2</w:t>
            </w:r>
            <w:r w:rsidRPr="00113DAB">
              <w:rPr>
                <w:color w:val="44546A" w:themeColor="text2"/>
                <w:sz w:val="18"/>
                <w:szCs w:val="18"/>
              </w:rPr>
              <w:fldChar w:fldCharType="end"/>
            </w:r>
            <w:r w:rsidRPr="00113DAB">
              <w:rPr>
                <w:color w:val="44546A" w:themeColor="text2"/>
                <w:sz w:val="18"/>
                <w:szCs w:val="18"/>
              </w:rPr>
              <w:t>)</w:t>
            </w:r>
            <w:r w:rsidRPr="00C24052">
              <w:rPr>
                <w:sz w:val="18"/>
                <w:szCs w:val="18"/>
              </w:rPr>
              <w:t xml:space="preserve"> and 500 l/d per dwelling</w:t>
            </w:r>
          </w:p>
        </w:tc>
        <w:tc>
          <w:tcPr>
            <w:tcW w:w="2520" w:type="dxa"/>
          </w:tcPr>
          <w:p w14:paraId="7960679A" w14:textId="77777777" w:rsidR="000B5F55" w:rsidRPr="00C24052" w:rsidRDefault="000B5F55" w:rsidP="003D703C">
            <w:pPr>
              <w:pStyle w:val="ListParagraph"/>
              <w:spacing w:after="0"/>
              <w:ind w:left="0"/>
              <w:jc w:val="both"/>
              <w:cnfStyle w:val="000000010000" w:firstRow="0" w:lastRow="0" w:firstColumn="0" w:lastColumn="0" w:oddVBand="0" w:evenVBand="0" w:oddHBand="0" w:evenHBand="1" w:firstRowFirstColumn="0" w:firstRowLastColumn="0" w:lastRowFirstColumn="0" w:lastRowLastColumn="0"/>
              <w:rPr>
                <w:sz w:val="18"/>
                <w:szCs w:val="18"/>
              </w:rPr>
            </w:pPr>
            <w:r w:rsidRPr="00C24052">
              <w:rPr>
                <w:sz w:val="18"/>
                <w:szCs w:val="18"/>
              </w:rPr>
              <w:t>As @ 1 Jan 2021</w:t>
            </w:r>
          </w:p>
        </w:tc>
      </w:tr>
      <w:tr w:rsidR="000B5F55" w14:paraId="19CCF8A9" w14:textId="77777777" w:rsidTr="00892AF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5" w:type="dxa"/>
          </w:tcPr>
          <w:p w14:paraId="22F5F129" w14:textId="3A7A2DB5" w:rsidR="000B5F55" w:rsidRPr="00C24052" w:rsidRDefault="000B5F55" w:rsidP="003D703C">
            <w:pPr>
              <w:pStyle w:val="ListParagraph"/>
              <w:spacing w:after="0"/>
              <w:ind w:left="0"/>
              <w:rPr>
                <w:sz w:val="18"/>
                <w:szCs w:val="18"/>
              </w:rPr>
            </w:pPr>
            <w:r w:rsidRPr="00C24052">
              <w:rPr>
                <w:sz w:val="18"/>
                <w:szCs w:val="18"/>
              </w:rPr>
              <w:t>CDC Water Quality Assessment</w:t>
            </w:r>
            <w:r w:rsidR="007978E5" w:rsidRPr="00C24052">
              <w:rPr>
                <w:sz w:val="18"/>
                <w:szCs w:val="18"/>
              </w:rPr>
              <w:t xml:space="preserve"> (Aug 2018)</w:t>
            </w:r>
          </w:p>
        </w:tc>
        <w:tc>
          <w:tcPr>
            <w:tcW w:w="1966" w:type="dxa"/>
          </w:tcPr>
          <w:p w14:paraId="5031648C" w14:textId="77777777" w:rsidR="000B5F55" w:rsidRPr="00C24052" w:rsidRDefault="000B5F55" w:rsidP="003D703C">
            <w:pPr>
              <w:pStyle w:val="ListParagraph"/>
              <w:spacing w:after="0"/>
              <w:ind w:left="0"/>
              <w:jc w:val="both"/>
              <w:cnfStyle w:val="000000100000" w:firstRow="0" w:lastRow="0" w:firstColumn="0" w:lastColumn="0" w:oddVBand="0" w:evenVBand="0" w:oddHBand="1" w:evenHBand="0" w:firstRowFirstColumn="0" w:firstRowLastColumn="0" w:lastRowFirstColumn="0" w:lastRowLastColumn="0"/>
              <w:rPr>
                <w:sz w:val="18"/>
                <w:szCs w:val="18"/>
              </w:rPr>
            </w:pPr>
            <w:r w:rsidRPr="00C24052">
              <w:rPr>
                <w:sz w:val="18"/>
                <w:szCs w:val="18"/>
              </w:rPr>
              <w:t>1063</w:t>
            </w:r>
          </w:p>
        </w:tc>
        <w:tc>
          <w:tcPr>
            <w:cnfStyle w:val="000010000000" w:firstRow="0" w:lastRow="0" w:firstColumn="0" w:lastColumn="0" w:oddVBand="1" w:evenVBand="0" w:oddHBand="0" w:evenHBand="0" w:firstRowFirstColumn="0" w:firstRowLastColumn="0" w:lastRowFirstColumn="0" w:lastRowLastColumn="0"/>
            <w:tcW w:w="2541" w:type="dxa"/>
          </w:tcPr>
          <w:p w14:paraId="11EB379D" w14:textId="77777777" w:rsidR="000B5F55" w:rsidRPr="00C24052" w:rsidRDefault="000B5F55" w:rsidP="003D703C">
            <w:pPr>
              <w:pStyle w:val="ListParagraph"/>
              <w:spacing w:after="0"/>
              <w:ind w:left="0"/>
              <w:jc w:val="both"/>
              <w:rPr>
                <w:sz w:val="18"/>
                <w:szCs w:val="18"/>
              </w:rPr>
            </w:pPr>
            <w:r w:rsidRPr="00C24052">
              <w:rPr>
                <w:sz w:val="18"/>
                <w:szCs w:val="18"/>
              </w:rPr>
              <w:t>Specifics not provided in report</w:t>
            </w:r>
          </w:p>
        </w:tc>
        <w:tc>
          <w:tcPr>
            <w:tcW w:w="2520" w:type="dxa"/>
          </w:tcPr>
          <w:p w14:paraId="07C132F8" w14:textId="77777777" w:rsidR="000B5F55" w:rsidRPr="00C24052" w:rsidRDefault="000B5F55" w:rsidP="003D703C">
            <w:pPr>
              <w:pStyle w:val="ListParagraph"/>
              <w:spacing w:after="0"/>
              <w:ind w:left="0"/>
              <w:jc w:val="both"/>
              <w:cnfStyle w:val="000000100000" w:firstRow="0" w:lastRow="0" w:firstColumn="0" w:lastColumn="0" w:oddVBand="0" w:evenVBand="0" w:oddHBand="1" w:evenHBand="0" w:firstRowFirstColumn="0" w:firstRowLastColumn="0" w:lastRowFirstColumn="0" w:lastRowLastColumn="0"/>
              <w:rPr>
                <w:sz w:val="18"/>
                <w:szCs w:val="18"/>
              </w:rPr>
            </w:pPr>
            <w:r w:rsidRPr="00C24052">
              <w:rPr>
                <w:sz w:val="18"/>
                <w:szCs w:val="18"/>
              </w:rPr>
              <w:t>As @ 31 Dec 2017</w:t>
            </w:r>
          </w:p>
        </w:tc>
      </w:tr>
    </w:tbl>
    <w:p w14:paraId="0A1C191B" w14:textId="3B7E88FC" w:rsidR="000B5F55" w:rsidRDefault="000B5F55" w:rsidP="00F7317F">
      <w:pPr>
        <w:jc w:val="both"/>
        <w:rPr>
          <w:i/>
          <w:iCs/>
          <w:color w:val="4472C4"/>
        </w:rPr>
      </w:pPr>
    </w:p>
    <w:p w14:paraId="72FBD076" w14:textId="27A9572A" w:rsidR="000B5F55" w:rsidRPr="00F978F0" w:rsidRDefault="000B5F55" w:rsidP="000B5F55">
      <w:pPr>
        <w:pStyle w:val="Caption"/>
      </w:pPr>
      <w:bookmarkStart w:id="30" w:name="_Ref147968603"/>
      <w:r w:rsidRPr="00F978F0">
        <w:lastRenderedPageBreak/>
        <w:t xml:space="preserve">Table </w:t>
      </w:r>
      <w:r w:rsidR="000B4DFF">
        <w:fldChar w:fldCharType="begin"/>
      </w:r>
      <w:r w:rsidR="000B4DFF">
        <w:instrText xml:space="preserve"> STYLEREF 1 \s </w:instrText>
      </w:r>
      <w:r w:rsidR="000B4DFF">
        <w:fldChar w:fldCharType="separate"/>
      </w:r>
      <w:r w:rsidR="008502A6">
        <w:rPr>
          <w:noProof/>
        </w:rPr>
        <w:t>2</w:t>
      </w:r>
      <w:r w:rsidR="000B4DFF">
        <w:rPr>
          <w:noProof/>
        </w:rPr>
        <w:fldChar w:fldCharType="end"/>
      </w:r>
      <w:r w:rsidR="003E1AD7">
        <w:noBreakHyphen/>
      </w:r>
      <w:r w:rsidR="000B4DFF">
        <w:fldChar w:fldCharType="begin"/>
      </w:r>
      <w:r w:rsidR="000B4DFF">
        <w:instrText xml:space="preserve"> SEQ Table \* ARABIC \s 1 </w:instrText>
      </w:r>
      <w:r w:rsidR="000B4DFF">
        <w:fldChar w:fldCharType="separate"/>
      </w:r>
      <w:r w:rsidR="008502A6">
        <w:rPr>
          <w:noProof/>
        </w:rPr>
        <w:t>4</w:t>
      </w:r>
      <w:r w:rsidR="000B4DFF">
        <w:rPr>
          <w:noProof/>
        </w:rPr>
        <w:fldChar w:fldCharType="end"/>
      </w:r>
      <w:bookmarkEnd w:id="30"/>
      <w:r w:rsidRPr="00F978F0">
        <w:t xml:space="preserve"> </w:t>
      </w:r>
      <w:r w:rsidR="00793462">
        <w:t>SWS</w:t>
      </w:r>
      <w:r w:rsidRPr="00F978F0">
        <w:t>’s estimated average water use per day based on charges for the year April 2022 to March 2023</w:t>
      </w:r>
      <w:r w:rsidR="00326945" w:rsidRPr="00F978F0">
        <w:rPr>
          <w:rStyle w:val="FootnoteReference"/>
        </w:rPr>
        <w:footnoteReference w:id="16"/>
      </w:r>
    </w:p>
    <w:tbl>
      <w:tblPr>
        <w:tblStyle w:val="TableGrid"/>
        <w:tblW w:w="0" w:type="auto"/>
        <w:tblLook w:val="04A0" w:firstRow="1" w:lastRow="0" w:firstColumn="1" w:lastColumn="0" w:noHBand="0" w:noVBand="1"/>
      </w:tblPr>
      <w:tblGrid>
        <w:gridCol w:w="3941"/>
        <w:gridCol w:w="845"/>
        <w:gridCol w:w="846"/>
        <w:gridCol w:w="846"/>
        <w:gridCol w:w="846"/>
        <w:gridCol w:w="846"/>
        <w:gridCol w:w="846"/>
      </w:tblGrid>
      <w:tr w:rsidR="000B5F55" w14:paraId="7E7CD6F2" w14:textId="77777777" w:rsidTr="002F3A37">
        <w:trPr>
          <w:trHeight w:val="350"/>
        </w:trPr>
        <w:tc>
          <w:tcPr>
            <w:tcW w:w="4077" w:type="dxa"/>
            <w:shd w:val="clear" w:color="auto" w:fill="4472C4" w:themeFill="accent1"/>
            <w:vAlign w:val="center"/>
          </w:tcPr>
          <w:p w14:paraId="41792CCA" w14:textId="77777777" w:rsidR="000B5F55" w:rsidRPr="002F3A37" w:rsidRDefault="000B5F55" w:rsidP="003D703C">
            <w:pPr>
              <w:spacing w:after="0"/>
              <w:rPr>
                <w:b/>
                <w:bCs/>
                <w:i/>
                <w:iCs/>
                <w:color w:val="FFFFFF" w:themeColor="background1"/>
                <w:sz w:val="18"/>
                <w:szCs w:val="20"/>
              </w:rPr>
            </w:pPr>
            <w:r w:rsidRPr="002F3A37">
              <w:rPr>
                <w:b/>
                <w:bCs/>
                <w:i/>
                <w:iCs/>
                <w:color w:val="FFFFFF" w:themeColor="background1"/>
                <w:sz w:val="18"/>
                <w:szCs w:val="20"/>
              </w:rPr>
              <w:t>Number of people in property</w:t>
            </w:r>
          </w:p>
        </w:tc>
        <w:tc>
          <w:tcPr>
            <w:tcW w:w="860" w:type="dxa"/>
            <w:shd w:val="clear" w:color="auto" w:fill="4472C4" w:themeFill="accent1"/>
            <w:vAlign w:val="center"/>
          </w:tcPr>
          <w:p w14:paraId="60B806D7" w14:textId="77777777" w:rsidR="000B5F55" w:rsidRPr="002F3A37" w:rsidRDefault="000B5F55" w:rsidP="003D703C">
            <w:pPr>
              <w:spacing w:after="0"/>
              <w:jc w:val="right"/>
              <w:rPr>
                <w:b/>
                <w:bCs/>
                <w:i/>
                <w:iCs/>
                <w:color w:val="FFFFFF" w:themeColor="background1"/>
                <w:sz w:val="18"/>
                <w:szCs w:val="20"/>
              </w:rPr>
            </w:pPr>
            <w:r w:rsidRPr="002F3A37">
              <w:rPr>
                <w:b/>
                <w:bCs/>
                <w:i/>
                <w:iCs/>
                <w:color w:val="FFFFFF" w:themeColor="background1"/>
                <w:sz w:val="18"/>
                <w:szCs w:val="20"/>
              </w:rPr>
              <w:t>1</w:t>
            </w:r>
          </w:p>
        </w:tc>
        <w:tc>
          <w:tcPr>
            <w:tcW w:w="861" w:type="dxa"/>
            <w:shd w:val="clear" w:color="auto" w:fill="4472C4" w:themeFill="accent1"/>
            <w:vAlign w:val="center"/>
          </w:tcPr>
          <w:p w14:paraId="0EEB4E8F" w14:textId="77777777" w:rsidR="000B5F55" w:rsidRPr="002F3A37" w:rsidRDefault="000B5F55" w:rsidP="003D703C">
            <w:pPr>
              <w:spacing w:after="0"/>
              <w:jc w:val="right"/>
              <w:rPr>
                <w:b/>
                <w:bCs/>
                <w:i/>
                <w:iCs/>
                <w:color w:val="FFFFFF" w:themeColor="background1"/>
                <w:sz w:val="18"/>
                <w:szCs w:val="20"/>
              </w:rPr>
            </w:pPr>
            <w:r w:rsidRPr="002F3A37">
              <w:rPr>
                <w:b/>
                <w:bCs/>
                <w:i/>
                <w:iCs/>
                <w:color w:val="FFFFFF" w:themeColor="background1"/>
                <w:sz w:val="18"/>
                <w:szCs w:val="20"/>
              </w:rPr>
              <w:t>2</w:t>
            </w:r>
          </w:p>
        </w:tc>
        <w:tc>
          <w:tcPr>
            <w:tcW w:w="861" w:type="dxa"/>
            <w:shd w:val="clear" w:color="auto" w:fill="4472C4" w:themeFill="accent1"/>
            <w:vAlign w:val="center"/>
          </w:tcPr>
          <w:p w14:paraId="74317F5D" w14:textId="77777777" w:rsidR="000B5F55" w:rsidRPr="002F3A37" w:rsidRDefault="000B5F55" w:rsidP="003D703C">
            <w:pPr>
              <w:spacing w:after="0"/>
              <w:jc w:val="right"/>
              <w:rPr>
                <w:b/>
                <w:bCs/>
                <w:i/>
                <w:iCs/>
                <w:color w:val="FFFFFF" w:themeColor="background1"/>
                <w:sz w:val="18"/>
                <w:szCs w:val="20"/>
              </w:rPr>
            </w:pPr>
            <w:r w:rsidRPr="002F3A37">
              <w:rPr>
                <w:b/>
                <w:bCs/>
                <w:i/>
                <w:iCs/>
                <w:color w:val="FFFFFF" w:themeColor="background1"/>
                <w:sz w:val="18"/>
                <w:szCs w:val="20"/>
              </w:rPr>
              <w:t>3</w:t>
            </w:r>
          </w:p>
        </w:tc>
        <w:tc>
          <w:tcPr>
            <w:tcW w:w="861" w:type="dxa"/>
            <w:shd w:val="clear" w:color="auto" w:fill="4472C4" w:themeFill="accent1"/>
            <w:vAlign w:val="center"/>
          </w:tcPr>
          <w:p w14:paraId="29F01490" w14:textId="77777777" w:rsidR="000B5F55" w:rsidRPr="002F3A37" w:rsidRDefault="000B5F55" w:rsidP="003D703C">
            <w:pPr>
              <w:spacing w:after="0"/>
              <w:jc w:val="right"/>
              <w:rPr>
                <w:b/>
                <w:bCs/>
                <w:i/>
                <w:iCs/>
                <w:color w:val="FFFFFF" w:themeColor="background1"/>
                <w:sz w:val="18"/>
                <w:szCs w:val="20"/>
              </w:rPr>
            </w:pPr>
            <w:r w:rsidRPr="002F3A37">
              <w:rPr>
                <w:b/>
                <w:bCs/>
                <w:i/>
                <w:iCs/>
                <w:color w:val="FFFFFF" w:themeColor="background1"/>
                <w:sz w:val="18"/>
                <w:szCs w:val="20"/>
              </w:rPr>
              <w:t>4</w:t>
            </w:r>
          </w:p>
        </w:tc>
        <w:tc>
          <w:tcPr>
            <w:tcW w:w="861" w:type="dxa"/>
            <w:shd w:val="clear" w:color="auto" w:fill="4472C4" w:themeFill="accent1"/>
            <w:vAlign w:val="center"/>
          </w:tcPr>
          <w:p w14:paraId="7A51A2DD" w14:textId="77777777" w:rsidR="000B5F55" w:rsidRPr="002F3A37" w:rsidRDefault="000B5F55" w:rsidP="003D703C">
            <w:pPr>
              <w:spacing w:after="0"/>
              <w:jc w:val="right"/>
              <w:rPr>
                <w:b/>
                <w:bCs/>
                <w:i/>
                <w:iCs/>
                <w:color w:val="FFFFFF" w:themeColor="background1"/>
                <w:sz w:val="18"/>
                <w:szCs w:val="20"/>
              </w:rPr>
            </w:pPr>
            <w:r w:rsidRPr="002F3A37">
              <w:rPr>
                <w:b/>
                <w:bCs/>
                <w:i/>
                <w:iCs/>
                <w:color w:val="FFFFFF" w:themeColor="background1"/>
                <w:sz w:val="18"/>
                <w:szCs w:val="20"/>
              </w:rPr>
              <w:t>5</w:t>
            </w:r>
          </w:p>
        </w:tc>
        <w:tc>
          <w:tcPr>
            <w:tcW w:w="861" w:type="dxa"/>
            <w:shd w:val="clear" w:color="auto" w:fill="4472C4" w:themeFill="accent1"/>
            <w:vAlign w:val="center"/>
          </w:tcPr>
          <w:p w14:paraId="28E1EE39" w14:textId="77777777" w:rsidR="000B5F55" w:rsidRPr="002F3A37" w:rsidRDefault="000B5F55" w:rsidP="003D703C">
            <w:pPr>
              <w:spacing w:after="0"/>
              <w:jc w:val="right"/>
              <w:rPr>
                <w:b/>
                <w:bCs/>
                <w:i/>
                <w:iCs/>
                <w:color w:val="FFFFFF" w:themeColor="background1"/>
                <w:sz w:val="18"/>
                <w:szCs w:val="20"/>
              </w:rPr>
            </w:pPr>
            <w:r w:rsidRPr="002F3A37">
              <w:rPr>
                <w:b/>
                <w:bCs/>
                <w:i/>
                <w:iCs/>
                <w:color w:val="FFFFFF" w:themeColor="background1"/>
                <w:sz w:val="18"/>
                <w:szCs w:val="20"/>
              </w:rPr>
              <w:t>6</w:t>
            </w:r>
          </w:p>
        </w:tc>
      </w:tr>
      <w:tr w:rsidR="000B5F55" w14:paraId="25352951" w14:textId="77777777" w:rsidTr="003D703C">
        <w:trPr>
          <w:trHeight w:val="350"/>
        </w:trPr>
        <w:tc>
          <w:tcPr>
            <w:tcW w:w="4077" w:type="dxa"/>
            <w:vAlign w:val="center"/>
          </w:tcPr>
          <w:p w14:paraId="164F04BE" w14:textId="77777777" w:rsidR="000B5F55" w:rsidRPr="00C24052" w:rsidRDefault="000B5F55" w:rsidP="003D703C">
            <w:pPr>
              <w:spacing w:after="0"/>
              <w:rPr>
                <w:i/>
                <w:iCs/>
                <w:color w:val="4472C4"/>
                <w:sz w:val="18"/>
                <w:szCs w:val="20"/>
              </w:rPr>
            </w:pPr>
            <w:r w:rsidRPr="00C24052">
              <w:rPr>
                <w:i/>
                <w:iCs/>
                <w:color w:val="4472C4"/>
                <w:sz w:val="18"/>
                <w:szCs w:val="20"/>
              </w:rPr>
              <w:t>Estimated use (litres per property per day)</w:t>
            </w:r>
          </w:p>
        </w:tc>
        <w:tc>
          <w:tcPr>
            <w:tcW w:w="860" w:type="dxa"/>
            <w:vAlign w:val="center"/>
          </w:tcPr>
          <w:p w14:paraId="7075A631" w14:textId="77777777" w:rsidR="000B5F55" w:rsidRPr="00C24052" w:rsidRDefault="000B5F55" w:rsidP="003D703C">
            <w:pPr>
              <w:spacing w:after="0"/>
              <w:jc w:val="right"/>
              <w:rPr>
                <w:i/>
                <w:iCs/>
                <w:color w:val="4472C4"/>
                <w:sz w:val="18"/>
                <w:szCs w:val="20"/>
              </w:rPr>
            </w:pPr>
            <w:r w:rsidRPr="00C24052">
              <w:rPr>
                <w:i/>
                <w:iCs/>
                <w:color w:val="4472C4"/>
                <w:sz w:val="18"/>
                <w:szCs w:val="20"/>
              </w:rPr>
              <w:t>178</w:t>
            </w:r>
          </w:p>
        </w:tc>
        <w:tc>
          <w:tcPr>
            <w:tcW w:w="861" w:type="dxa"/>
            <w:vAlign w:val="center"/>
          </w:tcPr>
          <w:p w14:paraId="6C759657" w14:textId="77777777" w:rsidR="000B5F55" w:rsidRPr="00C24052" w:rsidRDefault="000B5F55" w:rsidP="003D703C">
            <w:pPr>
              <w:spacing w:after="0"/>
              <w:jc w:val="right"/>
              <w:rPr>
                <w:i/>
                <w:iCs/>
                <w:color w:val="4472C4"/>
                <w:sz w:val="18"/>
                <w:szCs w:val="20"/>
              </w:rPr>
            </w:pPr>
            <w:r w:rsidRPr="00C24052">
              <w:rPr>
                <w:i/>
                <w:iCs/>
                <w:color w:val="4472C4"/>
                <w:sz w:val="18"/>
                <w:szCs w:val="20"/>
              </w:rPr>
              <w:t>274</w:t>
            </w:r>
          </w:p>
        </w:tc>
        <w:tc>
          <w:tcPr>
            <w:tcW w:w="861" w:type="dxa"/>
            <w:vAlign w:val="center"/>
          </w:tcPr>
          <w:p w14:paraId="76158136" w14:textId="77777777" w:rsidR="000B5F55" w:rsidRPr="00C24052" w:rsidRDefault="000B5F55" w:rsidP="003D703C">
            <w:pPr>
              <w:spacing w:after="0"/>
              <w:jc w:val="right"/>
              <w:rPr>
                <w:i/>
                <w:iCs/>
                <w:color w:val="4472C4"/>
                <w:sz w:val="18"/>
                <w:szCs w:val="20"/>
              </w:rPr>
            </w:pPr>
            <w:r w:rsidRPr="00C24052">
              <w:rPr>
                <w:i/>
                <w:iCs/>
                <w:color w:val="4472C4"/>
                <w:sz w:val="18"/>
                <w:szCs w:val="20"/>
              </w:rPr>
              <w:t>370</w:t>
            </w:r>
          </w:p>
        </w:tc>
        <w:tc>
          <w:tcPr>
            <w:tcW w:w="861" w:type="dxa"/>
            <w:vAlign w:val="center"/>
          </w:tcPr>
          <w:p w14:paraId="320AED54" w14:textId="77777777" w:rsidR="000B5F55" w:rsidRPr="00C24052" w:rsidRDefault="000B5F55" w:rsidP="003D703C">
            <w:pPr>
              <w:spacing w:after="0"/>
              <w:jc w:val="right"/>
              <w:rPr>
                <w:i/>
                <w:iCs/>
                <w:color w:val="4472C4"/>
                <w:sz w:val="18"/>
                <w:szCs w:val="20"/>
              </w:rPr>
            </w:pPr>
            <w:r w:rsidRPr="00C24052">
              <w:rPr>
                <w:i/>
                <w:iCs/>
                <w:color w:val="4472C4"/>
                <w:sz w:val="18"/>
                <w:szCs w:val="20"/>
              </w:rPr>
              <w:t>438</w:t>
            </w:r>
          </w:p>
        </w:tc>
        <w:tc>
          <w:tcPr>
            <w:tcW w:w="861" w:type="dxa"/>
            <w:vAlign w:val="center"/>
          </w:tcPr>
          <w:p w14:paraId="683F7AF7" w14:textId="77777777" w:rsidR="000B5F55" w:rsidRPr="00C24052" w:rsidRDefault="000B5F55" w:rsidP="003D703C">
            <w:pPr>
              <w:spacing w:after="0"/>
              <w:jc w:val="right"/>
              <w:rPr>
                <w:i/>
                <w:iCs/>
                <w:color w:val="4472C4"/>
                <w:sz w:val="18"/>
                <w:szCs w:val="20"/>
              </w:rPr>
            </w:pPr>
            <w:r w:rsidRPr="00C24052">
              <w:rPr>
                <w:i/>
                <w:iCs/>
                <w:color w:val="4472C4"/>
                <w:sz w:val="18"/>
                <w:szCs w:val="20"/>
              </w:rPr>
              <w:t>493</w:t>
            </w:r>
          </w:p>
        </w:tc>
        <w:tc>
          <w:tcPr>
            <w:tcW w:w="861" w:type="dxa"/>
            <w:vAlign w:val="center"/>
          </w:tcPr>
          <w:p w14:paraId="665D528F" w14:textId="77777777" w:rsidR="000B5F55" w:rsidRPr="00C24052" w:rsidRDefault="000B5F55" w:rsidP="003D703C">
            <w:pPr>
              <w:spacing w:after="0"/>
              <w:jc w:val="right"/>
              <w:rPr>
                <w:i/>
                <w:iCs/>
                <w:color w:val="4472C4"/>
                <w:sz w:val="18"/>
                <w:szCs w:val="20"/>
              </w:rPr>
            </w:pPr>
            <w:r w:rsidRPr="00C24052">
              <w:rPr>
                <w:i/>
                <w:iCs/>
                <w:color w:val="4472C4"/>
                <w:sz w:val="18"/>
                <w:szCs w:val="20"/>
              </w:rPr>
              <w:t>548</w:t>
            </w:r>
          </w:p>
        </w:tc>
      </w:tr>
      <w:tr w:rsidR="000B5F55" w14:paraId="229C20DB" w14:textId="77777777" w:rsidTr="003D703C">
        <w:trPr>
          <w:trHeight w:val="350"/>
        </w:trPr>
        <w:tc>
          <w:tcPr>
            <w:tcW w:w="4077" w:type="dxa"/>
            <w:vAlign w:val="center"/>
          </w:tcPr>
          <w:p w14:paraId="037EDB73" w14:textId="77777777" w:rsidR="000B5F55" w:rsidRPr="00C24052" w:rsidRDefault="000B5F55" w:rsidP="003D703C">
            <w:pPr>
              <w:spacing w:after="0"/>
              <w:rPr>
                <w:i/>
                <w:iCs/>
                <w:color w:val="4472C4"/>
                <w:sz w:val="18"/>
                <w:szCs w:val="20"/>
              </w:rPr>
            </w:pPr>
            <w:r w:rsidRPr="00C24052">
              <w:rPr>
                <w:i/>
                <w:iCs/>
                <w:color w:val="4472C4"/>
                <w:sz w:val="18"/>
                <w:szCs w:val="20"/>
              </w:rPr>
              <w:t>Estimated use (litres per person per day)</w:t>
            </w:r>
          </w:p>
        </w:tc>
        <w:tc>
          <w:tcPr>
            <w:tcW w:w="860" w:type="dxa"/>
            <w:vAlign w:val="center"/>
          </w:tcPr>
          <w:p w14:paraId="34B58825" w14:textId="77777777" w:rsidR="000B5F55" w:rsidRPr="00C24052" w:rsidRDefault="000B5F55" w:rsidP="003D703C">
            <w:pPr>
              <w:spacing w:after="0"/>
              <w:jc w:val="right"/>
              <w:rPr>
                <w:i/>
                <w:iCs/>
                <w:color w:val="4472C4"/>
                <w:sz w:val="18"/>
                <w:szCs w:val="20"/>
              </w:rPr>
            </w:pPr>
            <w:r w:rsidRPr="00C24052">
              <w:rPr>
                <w:i/>
                <w:iCs/>
                <w:color w:val="4472C4"/>
                <w:sz w:val="18"/>
                <w:szCs w:val="20"/>
              </w:rPr>
              <w:t>178</w:t>
            </w:r>
          </w:p>
        </w:tc>
        <w:tc>
          <w:tcPr>
            <w:tcW w:w="861" w:type="dxa"/>
            <w:vAlign w:val="center"/>
          </w:tcPr>
          <w:p w14:paraId="3334C437" w14:textId="77777777" w:rsidR="000B5F55" w:rsidRPr="00C24052" w:rsidRDefault="000B5F55" w:rsidP="003D703C">
            <w:pPr>
              <w:spacing w:after="0"/>
              <w:jc w:val="right"/>
              <w:rPr>
                <w:i/>
                <w:iCs/>
                <w:color w:val="4472C4"/>
                <w:sz w:val="18"/>
                <w:szCs w:val="20"/>
              </w:rPr>
            </w:pPr>
            <w:r w:rsidRPr="00C24052">
              <w:rPr>
                <w:i/>
                <w:iCs/>
                <w:color w:val="4472C4"/>
                <w:sz w:val="18"/>
                <w:szCs w:val="20"/>
              </w:rPr>
              <w:t>137</w:t>
            </w:r>
          </w:p>
        </w:tc>
        <w:tc>
          <w:tcPr>
            <w:tcW w:w="861" w:type="dxa"/>
            <w:vAlign w:val="center"/>
          </w:tcPr>
          <w:p w14:paraId="0A58447B" w14:textId="12096226" w:rsidR="000B5F55" w:rsidRPr="00C24052" w:rsidRDefault="00837430" w:rsidP="003D703C">
            <w:pPr>
              <w:spacing w:after="0"/>
              <w:jc w:val="right"/>
              <w:rPr>
                <w:i/>
                <w:iCs/>
                <w:color w:val="4472C4"/>
                <w:sz w:val="18"/>
                <w:szCs w:val="20"/>
              </w:rPr>
            </w:pPr>
            <w:r w:rsidRPr="00C24052">
              <w:rPr>
                <w:i/>
                <w:iCs/>
                <w:color w:val="4472C4"/>
                <w:sz w:val="18"/>
                <w:szCs w:val="20"/>
              </w:rPr>
              <w:t>123</w:t>
            </w:r>
          </w:p>
        </w:tc>
        <w:tc>
          <w:tcPr>
            <w:tcW w:w="861" w:type="dxa"/>
            <w:vAlign w:val="center"/>
          </w:tcPr>
          <w:p w14:paraId="7747D5A2" w14:textId="77777777" w:rsidR="000B5F55" w:rsidRPr="00C24052" w:rsidRDefault="000B5F55" w:rsidP="003D703C">
            <w:pPr>
              <w:spacing w:after="0"/>
              <w:jc w:val="right"/>
              <w:rPr>
                <w:i/>
                <w:iCs/>
                <w:color w:val="4472C4"/>
                <w:sz w:val="18"/>
                <w:szCs w:val="20"/>
              </w:rPr>
            </w:pPr>
            <w:r w:rsidRPr="00C24052">
              <w:rPr>
                <w:i/>
                <w:iCs/>
                <w:color w:val="4472C4"/>
                <w:sz w:val="18"/>
                <w:szCs w:val="20"/>
              </w:rPr>
              <w:t>110</w:t>
            </w:r>
          </w:p>
        </w:tc>
        <w:tc>
          <w:tcPr>
            <w:tcW w:w="861" w:type="dxa"/>
            <w:vAlign w:val="center"/>
          </w:tcPr>
          <w:p w14:paraId="19DB9579" w14:textId="77777777" w:rsidR="000B5F55" w:rsidRPr="00C24052" w:rsidRDefault="000B5F55" w:rsidP="003D703C">
            <w:pPr>
              <w:spacing w:after="0"/>
              <w:jc w:val="right"/>
              <w:rPr>
                <w:i/>
                <w:iCs/>
                <w:color w:val="4472C4"/>
                <w:sz w:val="18"/>
                <w:szCs w:val="20"/>
              </w:rPr>
            </w:pPr>
            <w:r w:rsidRPr="00C24052">
              <w:rPr>
                <w:i/>
                <w:iCs/>
                <w:color w:val="4472C4"/>
                <w:sz w:val="18"/>
                <w:szCs w:val="20"/>
              </w:rPr>
              <w:t>99</w:t>
            </w:r>
          </w:p>
        </w:tc>
        <w:tc>
          <w:tcPr>
            <w:tcW w:w="861" w:type="dxa"/>
            <w:vAlign w:val="center"/>
          </w:tcPr>
          <w:p w14:paraId="180212E9" w14:textId="77777777" w:rsidR="000B5F55" w:rsidRPr="00C24052" w:rsidRDefault="000B5F55" w:rsidP="003D703C">
            <w:pPr>
              <w:spacing w:after="0"/>
              <w:jc w:val="right"/>
              <w:rPr>
                <w:i/>
                <w:iCs/>
                <w:color w:val="4472C4"/>
                <w:sz w:val="18"/>
                <w:szCs w:val="20"/>
              </w:rPr>
            </w:pPr>
            <w:r w:rsidRPr="00C24052">
              <w:rPr>
                <w:i/>
                <w:iCs/>
                <w:color w:val="4472C4"/>
                <w:sz w:val="18"/>
                <w:szCs w:val="20"/>
              </w:rPr>
              <w:t>91</w:t>
            </w:r>
          </w:p>
        </w:tc>
      </w:tr>
    </w:tbl>
    <w:p w14:paraId="61BDA0C3" w14:textId="77777777" w:rsidR="00137EA5" w:rsidRDefault="00137EA5" w:rsidP="00F978F0">
      <w:pPr>
        <w:pStyle w:val="Heading3"/>
        <w:numPr>
          <w:ilvl w:val="0"/>
          <w:numId w:val="0"/>
        </w:numPr>
        <w:ind w:left="851"/>
      </w:pPr>
    </w:p>
    <w:p w14:paraId="56EB8ECA" w14:textId="014C2896" w:rsidR="009666C1" w:rsidRDefault="00F87437" w:rsidP="00D41EEA">
      <w:pPr>
        <w:pStyle w:val="Heading3"/>
      </w:pPr>
      <w:bookmarkStart w:id="31" w:name="_Toc160434458"/>
      <w:r>
        <w:t xml:space="preserve">Future </w:t>
      </w:r>
      <w:r w:rsidR="00E652B1">
        <w:t>growth projections</w:t>
      </w:r>
      <w:bookmarkEnd w:id="31"/>
    </w:p>
    <w:p w14:paraId="7B4B455E" w14:textId="07FD941E" w:rsidR="00752DA1" w:rsidRDefault="00D920A6" w:rsidP="00E9342E">
      <w:pPr>
        <w:jc w:val="both"/>
      </w:pPr>
      <w:r w:rsidRPr="00D920A6">
        <w:t>As part of our review, Ricardo focused on the approach and calculations undertaken for the predicted household growth and the headroom calculations assessment</w:t>
      </w:r>
      <w:r w:rsidR="00E652B1">
        <w:t xml:space="preserve">. </w:t>
      </w:r>
      <w:r w:rsidR="003C75CF" w:rsidRPr="003C75CF">
        <w:rPr>
          <w:b/>
          <w:bCs/>
        </w:rPr>
        <w:fldChar w:fldCharType="begin"/>
      </w:r>
      <w:r w:rsidR="003C75CF" w:rsidRPr="003C75CF">
        <w:rPr>
          <w:b/>
          <w:bCs/>
        </w:rPr>
        <w:instrText xml:space="preserve"> REF _Ref147970179 \h  \* MERGEFORMAT </w:instrText>
      </w:r>
      <w:r w:rsidR="003C75CF" w:rsidRPr="003C75CF">
        <w:rPr>
          <w:b/>
          <w:bCs/>
        </w:rPr>
      </w:r>
      <w:r w:rsidR="003C75CF" w:rsidRPr="003C75CF">
        <w:rPr>
          <w:b/>
          <w:bCs/>
        </w:rPr>
        <w:fldChar w:fldCharType="separate"/>
      </w:r>
      <w:r w:rsidR="008502A6" w:rsidRPr="008502A6">
        <w:rPr>
          <w:b/>
          <w:bCs/>
          <w:color w:val="4472C4"/>
        </w:rPr>
        <w:t xml:space="preserve">Table </w:t>
      </w:r>
      <w:r w:rsidR="008502A6" w:rsidRPr="008502A6">
        <w:rPr>
          <w:b/>
          <w:bCs/>
          <w:noProof/>
          <w:color w:val="4472C4"/>
        </w:rPr>
        <w:t>2</w:t>
      </w:r>
      <w:r w:rsidR="008502A6" w:rsidRPr="008502A6">
        <w:rPr>
          <w:b/>
          <w:bCs/>
          <w:noProof/>
          <w:color w:val="4472C4"/>
        </w:rPr>
        <w:noBreakHyphen/>
        <w:t>5</w:t>
      </w:r>
      <w:r w:rsidR="003C75CF" w:rsidRPr="003C75CF">
        <w:rPr>
          <w:b/>
          <w:bCs/>
        </w:rPr>
        <w:fldChar w:fldCharType="end"/>
      </w:r>
      <w:r w:rsidR="00D41EEA" w:rsidRPr="003C75CF">
        <w:rPr>
          <w:b/>
          <w:bCs/>
        </w:rPr>
        <w:t xml:space="preserve"> </w:t>
      </w:r>
      <w:r w:rsidR="00D41EEA">
        <w:t>presents the housing projections</w:t>
      </w:r>
      <w:r w:rsidR="003C75CF">
        <w:t xml:space="preserve"> for the </w:t>
      </w:r>
      <w:proofErr w:type="spellStart"/>
      <w:r w:rsidR="003C75CF">
        <w:t>Thornham</w:t>
      </w:r>
      <w:proofErr w:type="spellEnd"/>
      <w:r w:rsidR="003C75CF">
        <w:t xml:space="preserve"> WwTW catchment</w:t>
      </w:r>
      <w:r w:rsidR="00D41EEA">
        <w:t xml:space="preserve"> provided in the reports along with </w:t>
      </w:r>
      <w:r w:rsidR="003C75CF">
        <w:t>the</w:t>
      </w:r>
      <w:r w:rsidR="00D41EEA">
        <w:t xml:space="preserve"> estimate of</w:t>
      </w:r>
      <w:r w:rsidR="003C75CF">
        <w:t xml:space="preserve"> the associated</w:t>
      </w:r>
      <w:r w:rsidR="00D41EEA">
        <w:t xml:space="preserve"> DWF</w:t>
      </w:r>
      <w:r w:rsidR="003C75CF">
        <w:t xml:space="preserve"> </w:t>
      </w:r>
      <w:r w:rsidR="00D41EEA">
        <w:t>increase</w:t>
      </w:r>
      <w:r w:rsidR="003C75CF">
        <w:t xml:space="preserve"> and assumptions.</w:t>
      </w:r>
      <w:r w:rsidR="00F36270">
        <w:t xml:space="preserve"> It is noted that some of the housing projection figures included in </w:t>
      </w:r>
      <w:r w:rsidR="00F978F0" w:rsidRPr="00F978F0">
        <w:rPr>
          <w:color w:val="006BB7"/>
        </w:rPr>
        <w:fldChar w:fldCharType="begin"/>
      </w:r>
      <w:r w:rsidR="00F978F0" w:rsidRPr="00F978F0">
        <w:rPr>
          <w:color w:val="006BB7"/>
        </w:rPr>
        <w:instrText xml:space="preserve"> REF _Ref155617697 \h </w:instrText>
      </w:r>
      <w:r w:rsidR="00F978F0">
        <w:rPr>
          <w:color w:val="006BB7"/>
        </w:rPr>
        <w:instrText xml:space="preserve"> \* MERGEFORMAT </w:instrText>
      </w:r>
      <w:r w:rsidR="00F978F0" w:rsidRPr="00F978F0">
        <w:rPr>
          <w:color w:val="006BB7"/>
        </w:rPr>
      </w:r>
      <w:r w:rsidR="00F978F0" w:rsidRPr="00F978F0">
        <w:rPr>
          <w:color w:val="006BB7"/>
        </w:rPr>
        <w:fldChar w:fldCharType="separate"/>
      </w:r>
      <w:r w:rsidR="008502A6" w:rsidRPr="008502A6">
        <w:rPr>
          <w:b/>
          <w:bCs/>
          <w:color w:val="006BB7"/>
        </w:rPr>
        <w:t xml:space="preserve">Table </w:t>
      </w:r>
      <w:r w:rsidR="008502A6" w:rsidRPr="008502A6">
        <w:rPr>
          <w:b/>
          <w:bCs/>
          <w:noProof/>
          <w:color w:val="006BB7"/>
        </w:rPr>
        <w:t>2</w:t>
      </w:r>
      <w:r w:rsidR="008502A6" w:rsidRPr="008502A6">
        <w:rPr>
          <w:b/>
          <w:bCs/>
          <w:noProof/>
          <w:color w:val="006BB7"/>
        </w:rPr>
        <w:noBreakHyphen/>
        <w:t>5</w:t>
      </w:r>
      <w:r w:rsidR="00F978F0" w:rsidRPr="00F978F0">
        <w:rPr>
          <w:color w:val="006BB7"/>
        </w:rPr>
        <w:fldChar w:fldCharType="end"/>
      </w:r>
      <w:r w:rsidR="00F978F0">
        <w:t xml:space="preserve"> </w:t>
      </w:r>
      <w:r w:rsidR="00F36270">
        <w:t xml:space="preserve">are </w:t>
      </w:r>
      <w:r w:rsidR="00E9342E">
        <w:t xml:space="preserve">now </w:t>
      </w:r>
      <w:r w:rsidR="00F36270">
        <w:t xml:space="preserve">outdated </w:t>
      </w:r>
      <w:r w:rsidR="00E9342E">
        <w:t xml:space="preserve">and are only included </w:t>
      </w:r>
      <w:r w:rsidR="00C6597E">
        <w:t xml:space="preserve">to </w:t>
      </w:r>
      <w:r w:rsidR="00E9342E">
        <w:t xml:space="preserve">fully outline the results of the previous DWF headroom estimates. </w:t>
      </w:r>
    </w:p>
    <w:p w14:paraId="0EE203E9" w14:textId="66272759" w:rsidR="0060709B" w:rsidRDefault="00D41EEA" w:rsidP="00D41EEA">
      <w:pPr>
        <w:pStyle w:val="Caption"/>
      </w:pPr>
      <w:bookmarkStart w:id="32" w:name="_Ref155617697"/>
      <w:bookmarkStart w:id="33" w:name="_Ref147970179"/>
      <w:r>
        <w:t xml:space="preserve">Table </w:t>
      </w:r>
      <w:r w:rsidR="000B4DFF">
        <w:fldChar w:fldCharType="begin"/>
      </w:r>
      <w:r w:rsidR="000B4DFF">
        <w:instrText xml:space="preserve"> STYLEREF 1 \s </w:instrText>
      </w:r>
      <w:r w:rsidR="000B4DFF">
        <w:fldChar w:fldCharType="separate"/>
      </w:r>
      <w:r w:rsidR="008502A6">
        <w:rPr>
          <w:noProof/>
        </w:rPr>
        <w:t>2</w:t>
      </w:r>
      <w:r w:rsidR="000B4DFF">
        <w:rPr>
          <w:noProof/>
        </w:rPr>
        <w:fldChar w:fldCharType="end"/>
      </w:r>
      <w:r w:rsidR="003E1AD7">
        <w:noBreakHyphen/>
      </w:r>
      <w:r w:rsidR="000B4DFF">
        <w:fldChar w:fldCharType="begin"/>
      </w:r>
      <w:r w:rsidR="000B4DFF">
        <w:instrText xml:space="preserve"> SEQ Table \* ARABIC \s 1 </w:instrText>
      </w:r>
      <w:r w:rsidR="000B4DFF">
        <w:fldChar w:fldCharType="separate"/>
      </w:r>
      <w:r w:rsidR="008502A6">
        <w:rPr>
          <w:noProof/>
        </w:rPr>
        <w:t>5</w:t>
      </w:r>
      <w:r w:rsidR="000B4DFF">
        <w:rPr>
          <w:noProof/>
        </w:rPr>
        <w:fldChar w:fldCharType="end"/>
      </w:r>
      <w:bookmarkEnd w:id="32"/>
      <w:bookmarkEnd w:id="33"/>
      <w:r>
        <w:t xml:space="preserve"> </w:t>
      </w:r>
      <w:r w:rsidR="003C75CF">
        <w:t xml:space="preserve">Housing projections for </w:t>
      </w:r>
      <w:proofErr w:type="spellStart"/>
      <w:r w:rsidR="003C75CF">
        <w:t>Thornham</w:t>
      </w:r>
      <w:proofErr w:type="spellEnd"/>
      <w:r w:rsidR="003C75CF">
        <w:t xml:space="preserve"> WwTW catchment</w:t>
      </w:r>
    </w:p>
    <w:tbl>
      <w:tblPr>
        <w:tblStyle w:val="Ricardotable"/>
        <w:tblW w:w="9090" w:type="dxa"/>
        <w:tblLook w:val="0020" w:firstRow="1" w:lastRow="0" w:firstColumn="0" w:lastColumn="0" w:noHBand="0" w:noVBand="0"/>
      </w:tblPr>
      <w:tblGrid>
        <w:gridCol w:w="1904"/>
        <w:gridCol w:w="2032"/>
        <w:gridCol w:w="1350"/>
        <w:gridCol w:w="1626"/>
        <w:gridCol w:w="2178"/>
      </w:tblGrid>
      <w:tr w:rsidR="0059425B" w14:paraId="56A09981" w14:textId="77777777" w:rsidTr="00892AF5">
        <w:trPr>
          <w:cnfStyle w:val="100000000000" w:firstRow="1" w:lastRow="0" w:firstColumn="0" w:lastColumn="0" w:oddVBand="0" w:evenVBand="0" w:oddHBand="0" w:evenHBand="0" w:firstRowFirstColumn="0" w:firstRowLastColumn="0" w:lastRowFirstColumn="0" w:lastRowLastColumn="0"/>
        </w:trPr>
        <w:tc>
          <w:tcPr>
            <w:tcW w:w="1904" w:type="dxa"/>
            <w:shd w:val="clear" w:color="auto" w:fill="4472C4" w:themeFill="accent1"/>
          </w:tcPr>
          <w:p w14:paraId="0D12F47F" w14:textId="77777777" w:rsidR="0059425B" w:rsidRPr="002F3A37" w:rsidRDefault="0059425B" w:rsidP="003D703C">
            <w:pPr>
              <w:pStyle w:val="ListParagraph"/>
              <w:spacing w:after="0"/>
              <w:ind w:left="0"/>
              <w:jc w:val="both"/>
              <w:rPr>
                <w:b/>
                <w:bCs/>
                <w:sz w:val="18"/>
              </w:rPr>
            </w:pPr>
            <w:r w:rsidRPr="002F3A37">
              <w:rPr>
                <w:b/>
                <w:bCs/>
                <w:sz w:val="18"/>
              </w:rPr>
              <w:t>Document</w:t>
            </w:r>
          </w:p>
          <w:p w14:paraId="2B3A6D67" w14:textId="3433C2EF" w:rsidR="0059425B" w:rsidRPr="002F3A37" w:rsidRDefault="0059425B" w:rsidP="003D703C">
            <w:pPr>
              <w:pStyle w:val="ListParagraph"/>
              <w:spacing w:after="0"/>
              <w:ind w:left="0"/>
              <w:jc w:val="both"/>
              <w:rPr>
                <w:b/>
                <w:bCs/>
                <w:i/>
                <w:iCs/>
                <w:sz w:val="18"/>
              </w:rPr>
            </w:pPr>
          </w:p>
        </w:tc>
        <w:tc>
          <w:tcPr>
            <w:tcW w:w="2032" w:type="dxa"/>
            <w:shd w:val="clear" w:color="auto" w:fill="4472C4" w:themeFill="accent1"/>
          </w:tcPr>
          <w:p w14:paraId="7B83C3E8" w14:textId="56CA9144" w:rsidR="0059425B" w:rsidRPr="002F3A37" w:rsidRDefault="00836657" w:rsidP="003D703C">
            <w:pPr>
              <w:pStyle w:val="ListParagraph"/>
              <w:spacing w:after="0"/>
              <w:ind w:left="0"/>
              <w:jc w:val="both"/>
              <w:rPr>
                <w:b/>
                <w:bCs/>
                <w:sz w:val="18"/>
              </w:rPr>
            </w:pPr>
            <w:r w:rsidRPr="002F3A37">
              <w:rPr>
                <w:b/>
                <w:bCs/>
                <w:sz w:val="18"/>
              </w:rPr>
              <w:t>Source</w:t>
            </w:r>
          </w:p>
          <w:p w14:paraId="08FFA407" w14:textId="40CA0D83" w:rsidR="0059425B" w:rsidRPr="002F3A37" w:rsidRDefault="0059425B" w:rsidP="003D703C">
            <w:pPr>
              <w:pStyle w:val="ListParagraph"/>
              <w:spacing w:after="0"/>
              <w:ind w:left="0"/>
              <w:jc w:val="both"/>
              <w:rPr>
                <w:b/>
                <w:bCs/>
                <w:sz w:val="18"/>
              </w:rPr>
            </w:pPr>
          </w:p>
        </w:tc>
        <w:tc>
          <w:tcPr>
            <w:tcW w:w="1350" w:type="dxa"/>
            <w:shd w:val="clear" w:color="auto" w:fill="4472C4" w:themeFill="accent1"/>
          </w:tcPr>
          <w:p w14:paraId="353AC8DF" w14:textId="77777777" w:rsidR="0059425B" w:rsidRPr="002F3A37" w:rsidRDefault="0059425B" w:rsidP="003D703C">
            <w:pPr>
              <w:pStyle w:val="ListParagraph"/>
              <w:spacing w:after="0"/>
              <w:ind w:left="0"/>
              <w:jc w:val="both"/>
              <w:rPr>
                <w:b/>
                <w:bCs/>
                <w:sz w:val="18"/>
              </w:rPr>
            </w:pPr>
            <w:r w:rsidRPr="002F3A37">
              <w:rPr>
                <w:b/>
                <w:bCs/>
                <w:sz w:val="18"/>
              </w:rPr>
              <w:t>Housing projections</w:t>
            </w:r>
          </w:p>
          <w:p w14:paraId="02875E12" w14:textId="03750824" w:rsidR="0059425B" w:rsidRPr="002F3A37" w:rsidRDefault="0059425B" w:rsidP="003D703C">
            <w:pPr>
              <w:pStyle w:val="ListParagraph"/>
              <w:spacing w:after="0"/>
              <w:ind w:left="0"/>
              <w:rPr>
                <w:b/>
                <w:bCs/>
                <w:sz w:val="18"/>
              </w:rPr>
            </w:pPr>
            <w:r w:rsidRPr="002F3A37">
              <w:rPr>
                <w:b/>
                <w:bCs/>
                <w:i/>
                <w:iCs/>
                <w:sz w:val="18"/>
              </w:rPr>
              <w:t xml:space="preserve">note </w:t>
            </w:r>
            <w:r w:rsidR="00836657" w:rsidRPr="002F3A37">
              <w:rPr>
                <w:b/>
                <w:bCs/>
                <w:i/>
                <w:iCs/>
                <w:sz w:val="18"/>
              </w:rPr>
              <w:t>1</w:t>
            </w:r>
          </w:p>
        </w:tc>
        <w:tc>
          <w:tcPr>
            <w:tcW w:w="1626" w:type="dxa"/>
            <w:shd w:val="clear" w:color="auto" w:fill="4472C4" w:themeFill="accent1"/>
          </w:tcPr>
          <w:p w14:paraId="66C2D7FC" w14:textId="77777777" w:rsidR="0059425B" w:rsidRPr="002F3A37" w:rsidRDefault="003C75CF" w:rsidP="003D703C">
            <w:pPr>
              <w:pStyle w:val="ListParagraph"/>
              <w:spacing w:after="0"/>
              <w:ind w:left="0"/>
              <w:rPr>
                <w:b/>
                <w:bCs/>
                <w:sz w:val="18"/>
              </w:rPr>
            </w:pPr>
            <w:r w:rsidRPr="002F3A37">
              <w:rPr>
                <w:b/>
                <w:bCs/>
                <w:sz w:val="18"/>
              </w:rPr>
              <w:t xml:space="preserve">Associated </w:t>
            </w:r>
            <w:r w:rsidR="0059425B" w:rsidRPr="002F3A37">
              <w:rPr>
                <w:b/>
                <w:bCs/>
                <w:sz w:val="18"/>
              </w:rPr>
              <w:t>DWF</w:t>
            </w:r>
            <w:r w:rsidRPr="002F3A37">
              <w:rPr>
                <w:b/>
                <w:bCs/>
                <w:sz w:val="18"/>
              </w:rPr>
              <w:t xml:space="preserve"> increase</w:t>
            </w:r>
          </w:p>
          <w:p w14:paraId="2B277D59" w14:textId="652E194E" w:rsidR="00DF14B3" w:rsidRPr="002F3A37" w:rsidRDefault="00DF14B3" w:rsidP="003D703C">
            <w:pPr>
              <w:pStyle w:val="ListParagraph"/>
              <w:spacing w:after="0"/>
              <w:ind w:left="0"/>
              <w:rPr>
                <w:b/>
                <w:bCs/>
                <w:sz w:val="18"/>
              </w:rPr>
            </w:pPr>
            <w:r w:rsidRPr="002F3A37">
              <w:rPr>
                <w:b/>
                <w:bCs/>
                <w:i/>
                <w:iCs/>
                <w:sz w:val="18"/>
              </w:rPr>
              <w:t>note 2</w:t>
            </w:r>
          </w:p>
        </w:tc>
        <w:tc>
          <w:tcPr>
            <w:tcW w:w="2178" w:type="dxa"/>
            <w:shd w:val="clear" w:color="auto" w:fill="4472C4" w:themeFill="accent1"/>
          </w:tcPr>
          <w:p w14:paraId="5244670D" w14:textId="04AF4BE0" w:rsidR="0059425B" w:rsidRPr="002F3A37" w:rsidRDefault="003C75CF" w:rsidP="003D703C">
            <w:pPr>
              <w:pStyle w:val="ListParagraph"/>
              <w:spacing w:after="0"/>
              <w:ind w:left="0"/>
              <w:rPr>
                <w:b/>
                <w:bCs/>
                <w:sz w:val="18"/>
              </w:rPr>
            </w:pPr>
            <w:r w:rsidRPr="002F3A37">
              <w:rPr>
                <w:b/>
                <w:bCs/>
                <w:sz w:val="18"/>
              </w:rPr>
              <w:t>Methodological assumptions</w:t>
            </w:r>
          </w:p>
          <w:p w14:paraId="253234A4" w14:textId="2A7AE327" w:rsidR="0059425B" w:rsidRPr="002F3A37" w:rsidRDefault="0059425B" w:rsidP="003D703C">
            <w:pPr>
              <w:pStyle w:val="ListParagraph"/>
              <w:spacing w:after="0"/>
              <w:ind w:left="0"/>
              <w:jc w:val="both"/>
              <w:rPr>
                <w:b/>
                <w:bCs/>
                <w:sz w:val="18"/>
              </w:rPr>
            </w:pPr>
          </w:p>
        </w:tc>
      </w:tr>
      <w:tr w:rsidR="00F4406A" w14:paraId="51246CB0" w14:textId="77777777" w:rsidTr="00892AF5">
        <w:trPr>
          <w:trHeight w:val="963"/>
        </w:trPr>
        <w:tc>
          <w:tcPr>
            <w:tcW w:w="1904" w:type="dxa"/>
          </w:tcPr>
          <w:p w14:paraId="615C0C9F" w14:textId="792FB25D" w:rsidR="00F4406A" w:rsidRPr="00C24052" w:rsidRDefault="00F4406A" w:rsidP="003D703C">
            <w:pPr>
              <w:pStyle w:val="ListParagraph"/>
              <w:spacing w:after="0"/>
              <w:ind w:left="0"/>
              <w:rPr>
                <w:sz w:val="18"/>
              </w:rPr>
            </w:pPr>
            <w:r w:rsidRPr="00C24052">
              <w:rPr>
                <w:sz w:val="18"/>
              </w:rPr>
              <w:t>CDC &amp; HBC Housing Projections to 2039</w:t>
            </w:r>
          </w:p>
        </w:tc>
        <w:tc>
          <w:tcPr>
            <w:tcW w:w="2032" w:type="dxa"/>
          </w:tcPr>
          <w:p w14:paraId="235D0974" w14:textId="2A1ADA09" w:rsidR="00F4406A" w:rsidRPr="00C24052" w:rsidRDefault="00FF2E34" w:rsidP="003D703C">
            <w:pPr>
              <w:spacing w:after="0"/>
              <w:contextualSpacing/>
              <w:rPr>
                <w:sz w:val="18"/>
              </w:rPr>
            </w:pPr>
            <w:r>
              <w:rPr>
                <w:sz w:val="18"/>
              </w:rPr>
              <w:t>Chichester Local Plan 2021-2039</w:t>
            </w:r>
            <w:r w:rsidR="00D30351">
              <w:rPr>
                <w:sz w:val="18"/>
              </w:rPr>
              <w:t xml:space="preserve"> and HBC email</w:t>
            </w:r>
            <w:r w:rsidR="00F4406A" w:rsidRPr="00C24052">
              <w:rPr>
                <w:rStyle w:val="FootnoteReference"/>
                <w:sz w:val="18"/>
              </w:rPr>
              <w:footnoteReference w:id="17"/>
            </w:r>
            <w:r w:rsidR="00D30351">
              <w:rPr>
                <w:sz w:val="18"/>
              </w:rPr>
              <w:t>,</w:t>
            </w:r>
            <w:r w:rsidR="00D30351">
              <w:rPr>
                <w:rStyle w:val="FootnoteReference"/>
                <w:sz w:val="18"/>
              </w:rPr>
              <w:footnoteReference w:id="18"/>
            </w:r>
          </w:p>
        </w:tc>
        <w:tc>
          <w:tcPr>
            <w:tcW w:w="1350" w:type="dxa"/>
          </w:tcPr>
          <w:p w14:paraId="5ECDF25B" w14:textId="61CCE1BA" w:rsidR="00F4406A" w:rsidRPr="00C24052" w:rsidRDefault="00F4406A" w:rsidP="003D703C">
            <w:pPr>
              <w:pStyle w:val="ListParagraph"/>
              <w:spacing w:after="0"/>
              <w:ind w:left="0"/>
              <w:rPr>
                <w:sz w:val="18"/>
              </w:rPr>
            </w:pPr>
            <w:r w:rsidRPr="00C24052">
              <w:rPr>
                <w:sz w:val="18"/>
              </w:rPr>
              <w:t>2360</w:t>
            </w:r>
          </w:p>
          <w:p w14:paraId="43406AE0" w14:textId="49BAFD83" w:rsidR="00F4406A" w:rsidRPr="00C24052" w:rsidRDefault="00F4406A" w:rsidP="003D703C">
            <w:pPr>
              <w:pStyle w:val="ListParagraph"/>
              <w:spacing w:after="0"/>
              <w:ind w:left="0"/>
              <w:rPr>
                <w:sz w:val="18"/>
              </w:rPr>
            </w:pPr>
            <w:r w:rsidRPr="00C24052">
              <w:rPr>
                <w:sz w:val="18"/>
              </w:rPr>
              <w:t>(1638 CDC; 722 HBC)</w:t>
            </w:r>
          </w:p>
        </w:tc>
        <w:tc>
          <w:tcPr>
            <w:tcW w:w="1626" w:type="dxa"/>
          </w:tcPr>
          <w:p w14:paraId="1950F502" w14:textId="1842535F" w:rsidR="00F4406A" w:rsidRPr="00C24052" w:rsidRDefault="004C00C5" w:rsidP="003D703C">
            <w:pPr>
              <w:pStyle w:val="ListParagraph"/>
              <w:spacing w:after="0"/>
              <w:ind w:left="0"/>
              <w:rPr>
                <w:sz w:val="18"/>
              </w:rPr>
            </w:pPr>
            <w:r w:rsidRPr="00C24052">
              <w:rPr>
                <w:sz w:val="18"/>
              </w:rPr>
              <w:t>1181 m</w:t>
            </w:r>
            <w:r w:rsidRPr="00C24052">
              <w:rPr>
                <w:sz w:val="18"/>
                <w:vertAlign w:val="superscript"/>
              </w:rPr>
              <w:t>3</w:t>
            </w:r>
            <w:r w:rsidRPr="00C24052">
              <w:rPr>
                <w:sz w:val="18"/>
              </w:rPr>
              <w:t>/d</w:t>
            </w:r>
          </w:p>
        </w:tc>
        <w:tc>
          <w:tcPr>
            <w:tcW w:w="2178" w:type="dxa"/>
          </w:tcPr>
          <w:p w14:paraId="51D41B34" w14:textId="259EBC79" w:rsidR="00F4406A" w:rsidRPr="00C24052" w:rsidRDefault="00F36270" w:rsidP="003D703C">
            <w:pPr>
              <w:pStyle w:val="ListParagraph"/>
              <w:spacing w:after="0"/>
              <w:ind w:left="0"/>
              <w:rPr>
                <w:sz w:val="18"/>
              </w:rPr>
            </w:pPr>
            <w:r w:rsidRPr="00C24052">
              <w:rPr>
                <w:sz w:val="18"/>
              </w:rPr>
              <w:t>DWF estimated using 500 l/d per household</w:t>
            </w:r>
          </w:p>
        </w:tc>
      </w:tr>
      <w:tr w:rsidR="0059425B" w14:paraId="798B9699" w14:textId="77777777" w:rsidTr="00892AF5">
        <w:trPr>
          <w:cnfStyle w:val="000000010000" w:firstRow="0" w:lastRow="0" w:firstColumn="0" w:lastColumn="0" w:oddVBand="0" w:evenVBand="0" w:oddHBand="0" w:evenHBand="1" w:firstRowFirstColumn="0" w:firstRowLastColumn="0" w:lastRowFirstColumn="0" w:lastRowLastColumn="0"/>
          <w:trHeight w:val="963"/>
        </w:trPr>
        <w:tc>
          <w:tcPr>
            <w:tcW w:w="1904" w:type="dxa"/>
          </w:tcPr>
          <w:p w14:paraId="2DE4831A" w14:textId="72CE3C60" w:rsidR="0059425B" w:rsidRPr="00C24052" w:rsidRDefault="0059425B" w:rsidP="003D703C">
            <w:pPr>
              <w:pStyle w:val="ListParagraph"/>
              <w:spacing w:after="0"/>
              <w:ind w:left="0"/>
              <w:rPr>
                <w:sz w:val="18"/>
              </w:rPr>
            </w:pPr>
            <w:r w:rsidRPr="00C24052">
              <w:rPr>
                <w:sz w:val="18"/>
              </w:rPr>
              <w:t xml:space="preserve">CDC, </w:t>
            </w:r>
            <w:r w:rsidR="00793462" w:rsidRPr="00C24052">
              <w:rPr>
                <w:sz w:val="18"/>
              </w:rPr>
              <w:t>SWS</w:t>
            </w:r>
            <w:r w:rsidRPr="00C24052">
              <w:rPr>
                <w:sz w:val="18"/>
              </w:rPr>
              <w:t xml:space="preserve"> &amp; EA’s </w:t>
            </w:r>
            <w:proofErr w:type="spellStart"/>
            <w:r w:rsidRPr="00C24052">
              <w:rPr>
                <w:sz w:val="18"/>
              </w:rPr>
              <w:t>Thornham</w:t>
            </w:r>
            <w:proofErr w:type="spellEnd"/>
            <w:r w:rsidRPr="00C24052">
              <w:rPr>
                <w:sz w:val="18"/>
              </w:rPr>
              <w:t xml:space="preserve"> WwTW Position Statement </w:t>
            </w:r>
          </w:p>
        </w:tc>
        <w:tc>
          <w:tcPr>
            <w:tcW w:w="2032" w:type="dxa"/>
          </w:tcPr>
          <w:p w14:paraId="32863FF5" w14:textId="6CEF1C45" w:rsidR="0059425B" w:rsidRPr="00C24052" w:rsidRDefault="00445DD2" w:rsidP="003D703C">
            <w:pPr>
              <w:spacing w:after="0"/>
              <w:contextualSpacing/>
              <w:rPr>
                <w:sz w:val="18"/>
              </w:rPr>
            </w:pPr>
            <w:r w:rsidRPr="00C24052">
              <w:rPr>
                <w:sz w:val="18"/>
              </w:rPr>
              <w:t xml:space="preserve">CDC, HBC and </w:t>
            </w:r>
            <w:r w:rsidR="00793462" w:rsidRPr="00C24052">
              <w:rPr>
                <w:sz w:val="18"/>
              </w:rPr>
              <w:t>SWS</w:t>
            </w:r>
            <w:r w:rsidRPr="00C24052">
              <w:rPr>
                <w:sz w:val="18"/>
              </w:rPr>
              <w:t xml:space="preserve"> (2021)</w:t>
            </w:r>
          </w:p>
        </w:tc>
        <w:tc>
          <w:tcPr>
            <w:tcW w:w="1350" w:type="dxa"/>
          </w:tcPr>
          <w:p w14:paraId="7E82342D" w14:textId="01585D40" w:rsidR="00445DD2" w:rsidRPr="00C24052" w:rsidRDefault="00445DD2" w:rsidP="003D703C">
            <w:pPr>
              <w:pStyle w:val="ListParagraph"/>
              <w:spacing w:after="0"/>
              <w:ind w:left="0"/>
              <w:rPr>
                <w:sz w:val="18"/>
              </w:rPr>
            </w:pPr>
            <w:r w:rsidRPr="00C24052">
              <w:rPr>
                <w:sz w:val="18"/>
              </w:rPr>
              <w:t xml:space="preserve">1085 </w:t>
            </w:r>
          </w:p>
          <w:p w14:paraId="26AF0B3A" w14:textId="598328DA" w:rsidR="0059425B" w:rsidRPr="00C24052" w:rsidRDefault="002D4829" w:rsidP="003D703C">
            <w:pPr>
              <w:pStyle w:val="ListParagraph"/>
              <w:spacing w:after="0"/>
              <w:ind w:left="0"/>
              <w:rPr>
                <w:sz w:val="18"/>
              </w:rPr>
            </w:pPr>
            <w:r w:rsidRPr="00C24052">
              <w:rPr>
                <w:sz w:val="18"/>
              </w:rPr>
              <w:t xml:space="preserve">2185 </w:t>
            </w:r>
            <w:r w:rsidR="00445DD2" w:rsidRPr="00C24052">
              <w:rPr>
                <w:sz w:val="18"/>
              </w:rPr>
              <w:t xml:space="preserve">with </w:t>
            </w:r>
            <w:proofErr w:type="spellStart"/>
            <w:r w:rsidR="00445DD2" w:rsidRPr="00C24052">
              <w:rPr>
                <w:sz w:val="18"/>
              </w:rPr>
              <w:t>Southleigh</w:t>
            </w:r>
            <w:proofErr w:type="spellEnd"/>
          </w:p>
        </w:tc>
        <w:tc>
          <w:tcPr>
            <w:tcW w:w="1626" w:type="dxa"/>
          </w:tcPr>
          <w:p w14:paraId="10BFE2E7" w14:textId="4C8F0462" w:rsidR="0059425B" w:rsidRPr="00C24052" w:rsidRDefault="0059425B" w:rsidP="003D703C">
            <w:pPr>
              <w:pStyle w:val="ListParagraph"/>
              <w:spacing w:after="0"/>
              <w:ind w:left="0"/>
              <w:rPr>
                <w:sz w:val="18"/>
              </w:rPr>
            </w:pPr>
            <w:r w:rsidRPr="00C24052">
              <w:rPr>
                <w:sz w:val="18"/>
              </w:rPr>
              <w:t>543</w:t>
            </w:r>
            <w:r w:rsidR="00445DD2" w:rsidRPr="00C24052">
              <w:rPr>
                <w:sz w:val="18"/>
              </w:rPr>
              <w:t xml:space="preserve"> </w:t>
            </w:r>
            <w:r w:rsidR="00361815" w:rsidRPr="00C24052">
              <w:rPr>
                <w:sz w:val="18"/>
              </w:rPr>
              <w:t>m</w:t>
            </w:r>
            <w:r w:rsidR="00361815" w:rsidRPr="00C24052">
              <w:rPr>
                <w:sz w:val="18"/>
                <w:vertAlign w:val="superscript"/>
              </w:rPr>
              <w:t>3</w:t>
            </w:r>
            <w:r w:rsidR="00361815" w:rsidRPr="00C24052">
              <w:rPr>
                <w:sz w:val="18"/>
              </w:rPr>
              <w:t>/d</w:t>
            </w:r>
          </w:p>
          <w:p w14:paraId="09A32CE4" w14:textId="3A001AB9" w:rsidR="00445DD2" w:rsidRPr="00C24052" w:rsidRDefault="002D4829" w:rsidP="003D703C">
            <w:pPr>
              <w:pStyle w:val="ListParagraph"/>
              <w:spacing w:after="0"/>
              <w:ind w:left="0"/>
              <w:rPr>
                <w:sz w:val="18"/>
              </w:rPr>
            </w:pPr>
            <w:r w:rsidRPr="00C24052">
              <w:rPr>
                <w:sz w:val="18"/>
              </w:rPr>
              <w:t xml:space="preserve">1093 </w:t>
            </w:r>
            <w:r w:rsidR="00361815" w:rsidRPr="00C24052">
              <w:rPr>
                <w:sz w:val="18"/>
              </w:rPr>
              <w:t>m</w:t>
            </w:r>
            <w:r w:rsidR="00361815" w:rsidRPr="00C24052">
              <w:rPr>
                <w:sz w:val="18"/>
                <w:vertAlign w:val="superscript"/>
              </w:rPr>
              <w:t>3</w:t>
            </w:r>
            <w:r w:rsidR="00361815" w:rsidRPr="00C24052">
              <w:rPr>
                <w:sz w:val="18"/>
              </w:rPr>
              <w:t xml:space="preserve">/d </w:t>
            </w:r>
            <w:r w:rsidRPr="00C24052">
              <w:rPr>
                <w:sz w:val="18"/>
              </w:rPr>
              <w:t xml:space="preserve">(with </w:t>
            </w:r>
            <w:proofErr w:type="spellStart"/>
            <w:r w:rsidRPr="00C24052">
              <w:rPr>
                <w:sz w:val="18"/>
              </w:rPr>
              <w:t>Southleigh</w:t>
            </w:r>
            <w:proofErr w:type="spellEnd"/>
          </w:p>
        </w:tc>
        <w:tc>
          <w:tcPr>
            <w:tcW w:w="2178" w:type="dxa"/>
          </w:tcPr>
          <w:p w14:paraId="635066BB" w14:textId="254180AF" w:rsidR="0059425B" w:rsidRPr="00C24052" w:rsidRDefault="003C75CF" w:rsidP="003D703C">
            <w:pPr>
              <w:pStyle w:val="ListParagraph"/>
              <w:spacing w:after="0"/>
              <w:ind w:left="0"/>
              <w:rPr>
                <w:sz w:val="18"/>
              </w:rPr>
            </w:pPr>
            <w:r w:rsidRPr="00C24052">
              <w:rPr>
                <w:sz w:val="18"/>
              </w:rPr>
              <w:t xml:space="preserve">DWF estimated using </w:t>
            </w:r>
            <w:r w:rsidR="00913938" w:rsidRPr="00C24052">
              <w:rPr>
                <w:sz w:val="18"/>
              </w:rPr>
              <w:t>500 l/d per household</w:t>
            </w:r>
          </w:p>
        </w:tc>
      </w:tr>
      <w:tr w:rsidR="0059425B" w14:paraId="7924DAAC" w14:textId="77777777" w:rsidTr="00892AF5">
        <w:tc>
          <w:tcPr>
            <w:tcW w:w="1904" w:type="dxa"/>
          </w:tcPr>
          <w:p w14:paraId="7B1D6B55" w14:textId="58447518" w:rsidR="0059425B" w:rsidRPr="00C24052" w:rsidRDefault="0059425B" w:rsidP="003D703C">
            <w:pPr>
              <w:pStyle w:val="ListParagraph"/>
              <w:spacing w:after="0"/>
              <w:ind w:left="0"/>
              <w:rPr>
                <w:sz w:val="18"/>
              </w:rPr>
            </w:pPr>
            <w:r w:rsidRPr="00C24052">
              <w:rPr>
                <w:sz w:val="18"/>
              </w:rPr>
              <w:t xml:space="preserve">Wood’s Integrated Water Management Study </w:t>
            </w:r>
            <w:r w:rsidR="00CC7C8B" w:rsidRPr="00C24052">
              <w:rPr>
                <w:sz w:val="18"/>
              </w:rPr>
              <w:t>Technical Note</w:t>
            </w:r>
          </w:p>
        </w:tc>
        <w:tc>
          <w:tcPr>
            <w:tcW w:w="2032" w:type="dxa"/>
          </w:tcPr>
          <w:p w14:paraId="44294CCE" w14:textId="79AF6347" w:rsidR="0059425B" w:rsidRPr="00C24052" w:rsidRDefault="0059425B" w:rsidP="003D703C">
            <w:pPr>
              <w:pStyle w:val="ListParagraph"/>
              <w:spacing w:after="0"/>
              <w:ind w:left="0"/>
              <w:rPr>
                <w:sz w:val="18"/>
              </w:rPr>
            </w:pPr>
            <w:r w:rsidRPr="00C24052">
              <w:rPr>
                <w:sz w:val="18"/>
              </w:rPr>
              <w:t xml:space="preserve">LPAs in the </w:t>
            </w:r>
            <w:proofErr w:type="spellStart"/>
            <w:r w:rsidRPr="00C24052">
              <w:rPr>
                <w:sz w:val="18"/>
              </w:rPr>
              <w:t>PfSH</w:t>
            </w:r>
            <w:proofErr w:type="spellEnd"/>
            <w:r w:rsidRPr="00C24052">
              <w:rPr>
                <w:sz w:val="18"/>
              </w:rPr>
              <w:t xml:space="preserve"> area projections of housing growth for </w:t>
            </w:r>
          </w:p>
          <w:p w14:paraId="32AB908B" w14:textId="538C0E55" w:rsidR="0059425B" w:rsidRPr="00C24052" w:rsidRDefault="0059425B" w:rsidP="003D703C">
            <w:pPr>
              <w:pStyle w:val="ListParagraph"/>
              <w:spacing w:after="0"/>
              <w:ind w:left="0"/>
              <w:rPr>
                <w:sz w:val="18"/>
              </w:rPr>
            </w:pPr>
            <w:r w:rsidRPr="00C24052">
              <w:rPr>
                <w:sz w:val="18"/>
              </w:rPr>
              <w:t>2018-2036</w:t>
            </w:r>
          </w:p>
        </w:tc>
        <w:tc>
          <w:tcPr>
            <w:tcW w:w="1350" w:type="dxa"/>
          </w:tcPr>
          <w:p w14:paraId="6EE05CEF" w14:textId="47015F68" w:rsidR="0059425B" w:rsidRPr="00C24052" w:rsidRDefault="00913938" w:rsidP="003D703C">
            <w:pPr>
              <w:pStyle w:val="ListParagraph"/>
              <w:spacing w:after="0"/>
              <w:ind w:left="0"/>
              <w:rPr>
                <w:sz w:val="18"/>
              </w:rPr>
            </w:pPr>
            <w:r w:rsidRPr="00C24052">
              <w:rPr>
                <w:sz w:val="18"/>
              </w:rPr>
              <w:t>2715</w:t>
            </w:r>
          </w:p>
        </w:tc>
        <w:tc>
          <w:tcPr>
            <w:tcW w:w="1626" w:type="dxa"/>
          </w:tcPr>
          <w:p w14:paraId="4E89DE8A" w14:textId="06E5149D" w:rsidR="0059425B" w:rsidRPr="00C24052" w:rsidRDefault="0059425B" w:rsidP="003D703C">
            <w:pPr>
              <w:pStyle w:val="ListParagraph"/>
              <w:spacing w:after="0"/>
              <w:ind w:left="0"/>
              <w:rPr>
                <w:sz w:val="18"/>
              </w:rPr>
            </w:pPr>
            <w:r w:rsidRPr="00C24052">
              <w:rPr>
                <w:sz w:val="18"/>
              </w:rPr>
              <w:t>717</w:t>
            </w:r>
            <w:r w:rsidR="00361815" w:rsidRPr="00C24052">
              <w:rPr>
                <w:sz w:val="18"/>
              </w:rPr>
              <w:t xml:space="preserve"> m</w:t>
            </w:r>
            <w:r w:rsidR="00361815" w:rsidRPr="00C24052">
              <w:rPr>
                <w:sz w:val="18"/>
                <w:vertAlign w:val="superscript"/>
              </w:rPr>
              <w:t>3</w:t>
            </w:r>
            <w:r w:rsidR="00361815" w:rsidRPr="00C24052">
              <w:rPr>
                <w:sz w:val="18"/>
              </w:rPr>
              <w:t>/d</w:t>
            </w:r>
          </w:p>
        </w:tc>
        <w:tc>
          <w:tcPr>
            <w:tcW w:w="2178" w:type="dxa"/>
          </w:tcPr>
          <w:p w14:paraId="7AD4F74A" w14:textId="47022634" w:rsidR="0059425B" w:rsidRPr="00C24052" w:rsidRDefault="003C75CF" w:rsidP="003D703C">
            <w:pPr>
              <w:pStyle w:val="ListParagraph"/>
              <w:spacing w:after="0"/>
              <w:ind w:left="0"/>
              <w:rPr>
                <w:sz w:val="18"/>
              </w:rPr>
            </w:pPr>
            <w:r w:rsidRPr="00C24052">
              <w:rPr>
                <w:sz w:val="18"/>
              </w:rPr>
              <w:t xml:space="preserve">DWF estimated using </w:t>
            </w:r>
            <w:r w:rsidR="00913938" w:rsidRPr="00C24052">
              <w:rPr>
                <w:sz w:val="18"/>
              </w:rPr>
              <w:t>110 l/person/day and occupancy per household of 2.4</w:t>
            </w:r>
            <w:r w:rsidR="00EB737F" w:rsidRPr="00C24052">
              <w:rPr>
                <w:sz w:val="18"/>
              </w:rPr>
              <w:t xml:space="preserve"> </w:t>
            </w:r>
            <w:r w:rsidR="00EB737F" w:rsidRPr="00C24052">
              <w:rPr>
                <w:b/>
                <w:bCs/>
                <w:i/>
                <w:iCs/>
                <w:color w:val="006BB7"/>
                <w:sz w:val="18"/>
              </w:rPr>
              <w:t>note 3</w:t>
            </w:r>
          </w:p>
        </w:tc>
      </w:tr>
      <w:tr w:rsidR="00445DD2" w14:paraId="63B94719" w14:textId="77777777" w:rsidTr="00892AF5">
        <w:trPr>
          <w:cnfStyle w:val="000000010000" w:firstRow="0" w:lastRow="0" w:firstColumn="0" w:lastColumn="0" w:oddVBand="0" w:evenVBand="0" w:oddHBand="0" w:evenHBand="1" w:firstRowFirstColumn="0" w:firstRowLastColumn="0" w:lastRowFirstColumn="0" w:lastRowLastColumn="0"/>
        </w:trPr>
        <w:tc>
          <w:tcPr>
            <w:tcW w:w="1904" w:type="dxa"/>
          </w:tcPr>
          <w:p w14:paraId="51EA970C" w14:textId="3B5BCE19" w:rsidR="00445DD2" w:rsidRPr="00C24052" w:rsidRDefault="00445DD2" w:rsidP="003D703C">
            <w:pPr>
              <w:pStyle w:val="ListParagraph"/>
              <w:spacing w:after="0"/>
              <w:ind w:left="0"/>
              <w:rPr>
                <w:sz w:val="18"/>
              </w:rPr>
            </w:pPr>
            <w:r w:rsidRPr="00C24052">
              <w:rPr>
                <w:sz w:val="18"/>
              </w:rPr>
              <w:t>CDC Water Quality Assessment</w:t>
            </w:r>
          </w:p>
        </w:tc>
        <w:tc>
          <w:tcPr>
            <w:tcW w:w="2032" w:type="dxa"/>
          </w:tcPr>
          <w:p w14:paraId="2FB19235" w14:textId="64184436" w:rsidR="00445DD2" w:rsidRPr="00C24052" w:rsidRDefault="00445DD2" w:rsidP="003D703C">
            <w:pPr>
              <w:pStyle w:val="ListParagraph"/>
              <w:spacing w:after="0"/>
              <w:ind w:left="0"/>
              <w:rPr>
                <w:sz w:val="18"/>
              </w:rPr>
            </w:pPr>
            <w:r w:rsidRPr="00C24052">
              <w:rPr>
                <w:sz w:val="18"/>
              </w:rPr>
              <w:t>CDC projections of household increases to 2036</w:t>
            </w:r>
            <w:r w:rsidR="00B31A7D" w:rsidRPr="00C24052">
              <w:rPr>
                <w:rStyle w:val="FootnoteReference"/>
                <w:sz w:val="18"/>
              </w:rPr>
              <w:footnoteReference w:id="19"/>
            </w:r>
            <w:r w:rsidRPr="00C24052">
              <w:rPr>
                <w:sz w:val="18"/>
              </w:rPr>
              <w:t xml:space="preserve"> (2017)</w:t>
            </w:r>
          </w:p>
        </w:tc>
        <w:tc>
          <w:tcPr>
            <w:tcW w:w="1350" w:type="dxa"/>
          </w:tcPr>
          <w:p w14:paraId="4A42D5D8" w14:textId="76404858" w:rsidR="00445DD2" w:rsidRPr="00C24052" w:rsidRDefault="00445DD2" w:rsidP="003D703C">
            <w:pPr>
              <w:pStyle w:val="ListParagraph"/>
              <w:spacing w:after="0"/>
              <w:ind w:left="0"/>
              <w:rPr>
                <w:sz w:val="18"/>
              </w:rPr>
            </w:pPr>
            <w:r w:rsidRPr="00C24052">
              <w:rPr>
                <w:sz w:val="18"/>
              </w:rPr>
              <w:t>1000 - 1500</w:t>
            </w:r>
          </w:p>
        </w:tc>
        <w:tc>
          <w:tcPr>
            <w:tcW w:w="1626" w:type="dxa"/>
          </w:tcPr>
          <w:p w14:paraId="01128A1A" w14:textId="1D547812" w:rsidR="00445DD2" w:rsidRPr="00C24052" w:rsidRDefault="00445DD2" w:rsidP="003D703C">
            <w:pPr>
              <w:pStyle w:val="ListParagraph"/>
              <w:spacing w:after="0"/>
              <w:ind w:left="0"/>
              <w:rPr>
                <w:sz w:val="18"/>
              </w:rPr>
            </w:pPr>
            <w:r w:rsidRPr="00C24052">
              <w:rPr>
                <w:sz w:val="18"/>
              </w:rPr>
              <w:t xml:space="preserve">880 </w:t>
            </w:r>
            <w:r w:rsidR="00361815" w:rsidRPr="00C24052">
              <w:rPr>
                <w:sz w:val="18"/>
              </w:rPr>
              <w:t>m</w:t>
            </w:r>
            <w:r w:rsidR="00361815" w:rsidRPr="00C24052">
              <w:rPr>
                <w:sz w:val="18"/>
                <w:vertAlign w:val="superscript"/>
              </w:rPr>
              <w:t>3</w:t>
            </w:r>
            <w:r w:rsidR="00361815" w:rsidRPr="00C24052">
              <w:rPr>
                <w:sz w:val="18"/>
              </w:rPr>
              <w:t>/d</w:t>
            </w:r>
          </w:p>
        </w:tc>
        <w:tc>
          <w:tcPr>
            <w:tcW w:w="2178" w:type="dxa"/>
          </w:tcPr>
          <w:p w14:paraId="3F48B7A0" w14:textId="5FF4C47D" w:rsidR="00445DD2" w:rsidRPr="00C24052" w:rsidRDefault="003D703C" w:rsidP="003D703C">
            <w:pPr>
              <w:pStyle w:val="ListParagraph"/>
              <w:spacing w:after="0"/>
              <w:ind w:left="0"/>
              <w:rPr>
                <w:sz w:val="18"/>
              </w:rPr>
            </w:pPr>
            <w:r w:rsidRPr="00C24052">
              <w:rPr>
                <w:sz w:val="18"/>
              </w:rPr>
              <w:t xml:space="preserve">Full assumptions behind DWF estimate </w:t>
            </w:r>
            <w:r w:rsidR="00C6597E">
              <w:rPr>
                <w:sz w:val="18"/>
              </w:rPr>
              <w:t>are</w:t>
            </w:r>
            <w:r w:rsidR="00C6597E" w:rsidRPr="00C24052">
              <w:rPr>
                <w:sz w:val="18"/>
              </w:rPr>
              <w:t xml:space="preserve"> </w:t>
            </w:r>
            <w:r w:rsidRPr="00C24052">
              <w:rPr>
                <w:sz w:val="18"/>
              </w:rPr>
              <w:t xml:space="preserve">not apparent.  </w:t>
            </w:r>
          </w:p>
        </w:tc>
      </w:tr>
    </w:tbl>
    <w:p w14:paraId="23A63016" w14:textId="77777777" w:rsidR="009E0AC1" w:rsidRDefault="009E0AC1" w:rsidP="0049434B">
      <w:pPr>
        <w:rPr>
          <w:b/>
          <w:bCs/>
          <w:i/>
          <w:iCs/>
          <w:color w:val="4472C4"/>
        </w:rPr>
      </w:pPr>
    </w:p>
    <w:p w14:paraId="69F8A1C4" w14:textId="3197B276" w:rsidR="00836657" w:rsidRPr="00DF14B3" w:rsidRDefault="00DF14B3" w:rsidP="0049434B">
      <w:pPr>
        <w:rPr>
          <w:i/>
          <w:iCs/>
          <w:color w:val="4472C4"/>
        </w:rPr>
      </w:pPr>
      <w:r w:rsidRPr="00DF14B3">
        <w:rPr>
          <w:b/>
          <w:bCs/>
          <w:i/>
          <w:iCs/>
          <w:color w:val="4472C4"/>
        </w:rPr>
        <w:t xml:space="preserve">note 1: </w:t>
      </w:r>
      <w:r w:rsidR="00836657" w:rsidRPr="00DF14B3">
        <w:rPr>
          <w:i/>
          <w:iCs/>
          <w:color w:val="4472C4"/>
        </w:rPr>
        <w:t>The housing projection</w:t>
      </w:r>
      <w:r w:rsidR="008458C8" w:rsidRPr="00DF14B3">
        <w:rPr>
          <w:i/>
          <w:iCs/>
          <w:color w:val="4472C4"/>
        </w:rPr>
        <w:t>s</w:t>
      </w:r>
      <w:r w:rsidR="00836657" w:rsidRPr="00DF14B3">
        <w:rPr>
          <w:i/>
          <w:iCs/>
          <w:color w:val="4472C4"/>
        </w:rPr>
        <w:t xml:space="preserve"> range from 1085 to 2715</w:t>
      </w:r>
      <w:r w:rsidR="00137EA5">
        <w:rPr>
          <w:i/>
          <w:iCs/>
          <w:color w:val="4472C4"/>
        </w:rPr>
        <w:t xml:space="preserve"> and</w:t>
      </w:r>
      <w:r w:rsidR="00C5638B" w:rsidRPr="00DF14B3">
        <w:rPr>
          <w:i/>
          <w:iCs/>
          <w:color w:val="4472C4"/>
        </w:rPr>
        <w:t xml:space="preserve"> as </w:t>
      </w:r>
      <w:r w:rsidR="005C6EA8">
        <w:rPr>
          <w:i/>
          <w:iCs/>
          <w:color w:val="4472C4"/>
        </w:rPr>
        <w:t>of</w:t>
      </w:r>
      <w:r w:rsidR="00C5638B" w:rsidRPr="00DF14B3">
        <w:rPr>
          <w:i/>
          <w:iCs/>
          <w:color w:val="4472C4"/>
        </w:rPr>
        <w:t xml:space="preserve"> 1 April 2021, there </w:t>
      </w:r>
      <w:r w:rsidRPr="00DF14B3">
        <w:rPr>
          <w:i/>
          <w:iCs/>
          <w:color w:val="4472C4"/>
        </w:rPr>
        <w:t xml:space="preserve">were </w:t>
      </w:r>
      <w:r w:rsidR="00C5638B" w:rsidRPr="00DF14B3">
        <w:rPr>
          <w:i/>
          <w:iCs/>
          <w:color w:val="4472C4"/>
        </w:rPr>
        <w:t>planning permission</w:t>
      </w:r>
      <w:r w:rsidRPr="00DF14B3">
        <w:rPr>
          <w:i/>
          <w:iCs/>
          <w:color w:val="4472C4"/>
        </w:rPr>
        <w:t>s</w:t>
      </w:r>
      <w:r w:rsidR="00C5638B" w:rsidRPr="00DF14B3">
        <w:rPr>
          <w:i/>
          <w:iCs/>
          <w:color w:val="4472C4"/>
        </w:rPr>
        <w:t xml:space="preserve"> for 575 </w:t>
      </w:r>
      <w:r w:rsidRPr="00DF14B3">
        <w:rPr>
          <w:i/>
          <w:iCs/>
          <w:color w:val="4472C4"/>
        </w:rPr>
        <w:t>of the 1085 projections given in the Joint Position Statement (2021).</w:t>
      </w:r>
    </w:p>
    <w:p w14:paraId="75EA585F" w14:textId="4B802F0B" w:rsidR="009017EA" w:rsidRDefault="00DF14B3" w:rsidP="00DF14B3">
      <w:pPr>
        <w:jc w:val="both"/>
        <w:rPr>
          <w:i/>
          <w:iCs/>
          <w:color w:val="4472C4"/>
        </w:rPr>
      </w:pPr>
      <w:r w:rsidRPr="00DF14B3">
        <w:rPr>
          <w:b/>
          <w:bCs/>
          <w:i/>
          <w:iCs/>
          <w:color w:val="4472C4"/>
        </w:rPr>
        <w:t xml:space="preserve">note </w:t>
      </w:r>
      <w:r>
        <w:rPr>
          <w:b/>
          <w:bCs/>
          <w:i/>
          <w:iCs/>
          <w:color w:val="4472C4"/>
        </w:rPr>
        <w:t>2</w:t>
      </w:r>
      <w:r w:rsidRPr="00DF14B3">
        <w:rPr>
          <w:b/>
          <w:bCs/>
          <w:i/>
          <w:iCs/>
          <w:color w:val="4472C4"/>
        </w:rPr>
        <w:t xml:space="preserve">: </w:t>
      </w:r>
      <w:r>
        <w:rPr>
          <w:i/>
          <w:iCs/>
          <w:color w:val="4472C4"/>
        </w:rPr>
        <w:t>The associated estimated</w:t>
      </w:r>
      <w:r w:rsidRPr="00DF14B3">
        <w:rPr>
          <w:i/>
          <w:iCs/>
          <w:color w:val="4472C4"/>
        </w:rPr>
        <w:t xml:space="preserve"> DWF</w:t>
      </w:r>
      <w:r>
        <w:rPr>
          <w:i/>
          <w:iCs/>
          <w:color w:val="4472C4"/>
        </w:rPr>
        <w:t xml:space="preserve"> </w:t>
      </w:r>
      <w:r w:rsidRPr="00DF14B3">
        <w:rPr>
          <w:i/>
          <w:iCs/>
          <w:color w:val="4472C4"/>
        </w:rPr>
        <w:t>increase range</w:t>
      </w:r>
      <w:r w:rsidR="005D3989">
        <w:rPr>
          <w:i/>
          <w:iCs/>
          <w:color w:val="4472C4"/>
        </w:rPr>
        <w:t>s</w:t>
      </w:r>
      <w:r w:rsidRPr="00DF14B3">
        <w:rPr>
          <w:i/>
          <w:iCs/>
          <w:color w:val="4472C4"/>
        </w:rPr>
        <w:t xml:space="preserve"> from </w:t>
      </w:r>
      <w:r w:rsidRPr="004C00C5">
        <w:rPr>
          <w:i/>
          <w:iCs/>
          <w:color w:val="4472C4"/>
        </w:rPr>
        <w:t>543 m</w:t>
      </w:r>
      <w:r w:rsidRPr="004C00C5">
        <w:rPr>
          <w:i/>
          <w:iCs/>
          <w:color w:val="4472C4"/>
          <w:vertAlign w:val="superscript"/>
        </w:rPr>
        <w:t>3</w:t>
      </w:r>
      <w:r w:rsidRPr="004C00C5">
        <w:rPr>
          <w:i/>
          <w:iCs/>
          <w:color w:val="4472C4"/>
        </w:rPr>
        <w:t xml:space="preserve">/d to </w:t>
      </w:r>
      <w:r w:rsidR="004C00C5" w:rsidRPr="004C00C5">
        <w:rPr>
          <w:i/>
          <w:iCs/>
          <w:color w:val="4472C4"/>
        </w:rPr>
        <w:t>1181</w:t>
      </w:r>
      <w:r w:rsidR="004C00C5" w:rsidRPr="00DF14B3">
        <w:rPr>
          <w:i/>
          <w:iCs/>
          <w:color w:val="4472C4"/>
        </w:rPr>
        <w:t xml:space="preserve"> </w:t>
      </w:r>
      <w:r w:rsidRPr="00DF14B3">
        <w:rPr>
          <w:i/>
          <w:iCs/>
          <w:color w:val="4472C4"/>
        </w:rPr>
        <w:t>m</w:t>
      </w:r>
      <w:r w:rsidRPr="00DF14B3">
        <w:rPr>
          <w:i/>
          <w:iCs/>
          <w:color w:val="4472C4"/>
          <w:vertAlign w:val="superscript"/>
        </w:rPr>
        <w:t>3</w:t>
      </w:r>
      <w:r w:rsidRPr="00DF14B3">
        <w:rPr>
          <w:i/>
          <w:iCs/>
          <w:color w:val="4472C4"/>
        </w:rPr>
        <w:t>/d</w:t>
      </w:r>
      <w:r w:rsidR="005D3989">
        <w:t xml:space="preserve">. </w:t>
      </w:r>
      <w:r w:rsidR="00836657" w:rsidRPr="00DF14B3">
        <w:rPr>
          <w:i/>
          <w:iCs/>
          <w:color w:val="4472C4"/>
        </w:rPr>
        <w:t>The remaining indicative headroom based on the most recent recorded flow data was 713 m</w:t>
      </w:r>
      <w:r w:rsidR="00836657" w:rsidRPr="00DF14B3">
        <w:rPr>
          <w:i/>
          <w:iCs/>
          <w:color w:val="4472C4"/>
          <w:vertAlign w:val="superscript"/>
        </w:rPr>
        <w:t>3</w:t>
      </w:r>
      <w:r w:rsidR="00836657" w:rsidRPr="00DF14B3">
        <w:rPr>
          <w:i/>
          <w:iCs/>
          <w:color w:val="4472C4"/>
        </w:rPr>
        <w:t>/d (see</w:t>
      </w:r>
      <w:r w:rsidR="00836657" w:rsidRPr="00A522FE">
        <w:rPr>
          <w:b/>
          <w:bCs/>
          <w:i/>
          <w:iCs/>
          <w:color w:val="4472C4"/>
        </w:rPr>
        <w:t xml:space="preserve"> </w:t>
      </w:r>
      <w:r w:rsidR="00A522FE" w:rsidRPr="00A522FE">
        <w:rPr>
          <w:b/>
          <w:bCs/>
          <w:i/>
          <w:iCs/>
          <w:color w:val="4472C4"/>
        </w:rPr>
        <w:fldChar w:fldCharType="begin"/>
      </w:r>
      <w:r w:rsidR="00A522FE" w:rsidRPr="00A522FE">
        <w:rPr>
          <w:b/>
          <w:bCs/>
          <w:i/>
          <w:iCs/>
          <w:color w:val="4472C4"/>
        </w:rPr>
        <w:instrText xml:space="preserve"> REF _Ref147968226 \h </w:instrText>
      </w:r>
      <w:r w:rsidR="00A522FE">
        <w:rPr>
          <w:b/>
          <w:bCs/>
          <w:i/>
          <w:iCs/>
          <w:color w:val="4472C4"/>
        </w:rPr>
        <w:instrText xml:space="preserve"> \* MERGEFORMAT </w:instrText>
      </w:r>
      <w:r w:rsidR="00A522FE" w:rsidRPr="00A522FE">
        <w:rPr>
          <w:b/>
          <w:bCs/>
          <w:i/>
          <w:iCs/>
          <w:color w:val="4472C4"/>
        </w:rPr>
      </w:r>
      <w:r w:rsidR="00A522FE" w:rsidRPr="00A522FE">
        <w:rPr>
          <w:b/>
          <w:bCs/>
          <w:i/>
          <w:iCs/>
          <w:color w:val="4472C4"/>
        </w:rPr>
        <w:fldChar w:fldCharType="separate"/>
      </w:r>
      <w:r w:rsidR="008502A6" w:rsidRPr="008502A6">
        <w:rPr>
          <w:b/>
          <w:bCs/>
        </w:rPr>
        <w:t xml:space="preserve">Table </w:t>
      </w:r>
      <w:r w:rsidR="008502A6" w:rsidRPr="008502A6">
        <w:rPr>
          <w:b/>
          <w:bCs/>
          <w:noProof/>
        </w:rPr>
        <w:t>2</w:t>
      </w:r>
      <w:r w:rsidR="008502A6" w:rsidRPr="008502A6">
        <w:rPr>
          <w:b/>
          <w:bCs/>
          <w:noProof/>
        </w:rPr>
        <w:noBreakHyphen/>
        <w:t>3</w:t>
      </w:r>
      <w:r w:rsidR="00A522FE" w:rsidRPr="00A522FE">
        <w:rPr>
          <w:b/>
          <w:bCs/>
          <w:i/>
          <w:iCs/>
          <w:color w:val="4472C4"/>
        </w:rPr>
        <w:fldChar w:fldCharType="end"/>
      </w:r>
      <w:r w:rsidR="00836657" w:rsidRPr="00DF14B3">
        <w:rPr>
          <w:i/>
          <w:iCs/>
          <w:color w:val="4472C4"/>
        </w:rPr>
        <w:t xml:space="preserve">). This suggests that most of the housing projections could not be accommodated within the existing headroom at </w:t>
      </w:r>
      <w:proofErr w:type="spellStart"/>
      <w:r w:rsidR="00836657" w:rsidRPr="00DF14B3">
        <w:rPr>
          <w:i/>
          <w:iCs/>
          <w:color w:val="4472C4"/>
        </w:rPr>
        <w:t>Thornham</w:t>
      </w:r>
      <w:proofErr w:type="spellEnd"/>
      <w:r w:rsidR="00836657" w:rsidRPr="00DF14B3">
        <w:rPr>
          <w:i/>
          <w:iCs/>
          <w:color w:val="4472C4"/>
        </w:rPr>
        <w:t xml:space="preserve"> WwTW</w:t>
      </w:r>
      <w:r w:rsidR="005D3989">
        <w:rPr>
          <w:i/>
          <w:iCs/>
          <w:color w:val="4472C4"/>
        </w:rPr>
        <w:t xml:space="preserve"> </w:t>
      </w:r>
      <w:r w:rsidR="002A00A7">
        <w:rPr>
          <w:i/>
          <w:iCs/>
          <w:color w:val="4472C4"/>
        </w:rPr>
        <w:t>although</w:t>
      </w:r>
      <w:r w:rsidR="006B4B7D">
        <w:rPr>
          <w:i/>
          <w:iCs/>
          <w:color w:val="4472C4"/>
        </w:rPr>
        <w:t xml:space="preserve"> it is noted that</w:t>
      </w:r>
      <w:r w:rsidR="00DE44B0">
        <w:rPr>
          <w:i/>
          <w:iCs/>
          <w:color w:val="4472C4"/>
        </w:rPr>
        <w:t>,</w:t>
      </w:r>
      <w:r w:rsidR="006B4B7D">
        <w:rPr>
          <w:i/>
          <w:iCs/>
          <w:color w:val="4472C4"/>
        </w:rPr>
        <w:t xml:space="preserve"> </w:t>
      </w:r>
      <w:proofErr w:type="gramStart"/>
      <w:r w:rsidR="006B4B7D">
        <w:rPr>
          <w:i/>
          <w:iCs/>
          <w:color w:val="4472C4"/>
        </w:rPr>
        <w:t>with the exception of</w:t>
      </w:r>
      <w:proofErr w:type="gramEnd"/>
      <w:r w:rsidR="006B4B7D">
        <w:rPr>
          <w:i/>
          <w:iCs/>
          <w:color w:val="4472C4"/>
        </w:rPr>
        <w:t xml:space="preserve"> the </w:t>
      </w:r>
      <w:r w:rsidR="00EF519A">
        <w:rPr>
          <w:i/>
          <w:iCs/>
          <w:color w:val="4472C4"/>
        </w:rPr>
        <w:t xml:space="preserve">January </w:t>
      </w:r>
      <w:r w:rsidR="006B4B7D">
        <w:rPr>
          <w:i/>
          <w:iCs/>
          <w:color w:val="4472C4"/>
        </w:rPr>
        <w:t>2023 dat</w:t>
      </w:r>
      <w:r w:rsidR="009017EA">
        <w:rPr>
          <w:i/>
          <w:iCs/>
          <w:color w:val="4472C4"/>
        </w:rPr>
        <w:t>a</w:t>
      </w:r>
      <w:r w:rsidR="006B4B7D">
        <w:rPr>
          <w:i/>
          <w:iCs/>
          <w:color w:val="4472C4"/>
        </w:rPr>
        <w:t>, all other housing projections are no</w:t>
      </w:r>
      <w:r w:rsidR="00851AA3">
        <w:rPr>
          <w:i/>
          <w:iCs/>
          <w:color w:val="4472C4"/>
        </w:rPr>
        <w:t>w no</w:t>
      </w:r>
      <w:r w:rsidR="006B4B7D">
        <w:rPr>
          <w:i/>
          <w:iCs/>
          <w:color w:val="4472C4"/>
        </w:rPr>
        <w:t xml:space="preserve"> longer up to date.</w:t>
      </w:r>
      <w:r w:rsidR="00836657" w:rsidRPr="00DF14B3">
        <w:rPr>
          <w:i/>
          <w:iCs/>
          <w:color w:val="4472C4"/>
        </w:rPr>
        <w:t xml:space="preserve">  However, </w:t>
      </w:r>
      <w:r w:rsidR="00851AA3">
        <w:rPr>
          <w:i/>
          <w:iCs/>
          <w:color w:val="4472C4"/>
        </w:rPr>
        <w:t>our review has also highlighted</w:t>
      </w:r>
      <w:r w:rsidR="00836657" w:rsidRPr="00DF14B3">
        <w:rPr>
          <w:i/>
          <w:iCs/>
          <w:color w:val="4472C4"/>
        </w:rPr>
        <w:t xml:space="preserve"> much variability in </w:t>
      </w:r>
      <w:r w:rsidR="004A23BE" w:rsidRPr="00DF14B3">
        <w:rPr>
          <w:i/>
          <w:iCs/>
          <w:color w:val="4472C4"/>
        </w:rPr>
        <w:t xml:space="preserve">the </w:t>
      </w:r>
      <w:r w:rsidR="00836657" w:rsidRPr="00DF14B3">
        <w:rPr>
          <w:i/>
          <w:iCs/>
          <w:color w:val="4472C4"/>
        </w:rPr>
        <w:t xml:space="preserve">methodology </w:t>
      </w:r>
      <w:r>
        <w:rPr>
          <w:i/>
          <w:iCs/>
          <w:color w:val="4472C4"/>
        </w:rPr>
        <w:t>for</w:t>
      </w:r>
      <w:r w:rsidR="004A23BE" w:rsidRPr="00DF14B3">
        <w:rPr>
          <w:i/>
          <w:iCs/>
          <w:color w:val="4472C4"/>
        </w:rPr>
        <w:t xml:space="preserve"> calculat</w:t>
      </w:r>
      <w:r>
        <w:rPr>
          <w:i/>
          <w:iCs/>
          <w:color w:val="4472C4"/>
        </w:rPr>
        <w:t>ing</w:t>
      </w:r>
      <w:r w:rsidR="004A23BE" w:rsidRPr="00DF14B3">
        <w:rPr>
          <w:i/>
          <w:iCs/>
          <w:color w:val="4472C4"/>
        </w:rPr>
        <w:t xml:space="preserve"> DWF which is </w:t>
      </w:r>
      <w:r w:rsidR="00836657" w:rsidRPr="00DF14B3">
        <w:rPr>
          <w:i/>
          <w:iCs/>
          <w:color w:val="4472C4"/>
        </w:rPr>
        <w:t>depend</w:t>
      </w:r>
      <w:r w:rsidR="004A23BE" w:rsidRPr="00DF14B3">
        <w:rPr>
          <w:i/>
          <w:iCs/>
          <w:color w:val="4472C4"/>
        </w:rPr>
        <w:t xml:space="preserve">ent </w:t>
      </w:r>
      <w:r w:rsidR="00836657" w:rsidRPr="00DF14B3">
        <w:rPr>
          <w:i/>
          <w:iCs/>
          <w:color w:val="4472C4"/>
        </w:rPr>
        <w:t xml:space="preserve">on occupancy rate and consumption </w:t>
      </w:r>
      <w:r w:rsidR="004A23BE" w:rsidRPr="00DF14B3">
        <w:rPr>
          <w:i/>
          <w:iCs/>
          <w:color w:val="4472C4"/>
        </w:rPr>
        <w:t>assumptions</w:t>
      </w:r>
      <w:r w:rsidR="00836657" w:rsidRPr="00DF14B3">
        <w:rPr>
          <w:i/>
          <w:iCs/>
          <w:color w:val="4472C4"/>
        </w:rPr>
        <w:t xml:space="preserve">. </w:t>
      </w:r>
      <w:r w:rsidR="00DE44B0">
        <w:rPr>
          <w:i/>
          <w:iCs/>
          <w:color w:val="4472C4"/>
        </w:rPr>
        <w:t xml:space="preserve"> Using the </w:t>
      </w:r>
      <w:r w:rsidR="009017EA">
        <w:rPr>
          <w:i/>
          <w:iCs/>
          <w:color w:val="4472C4"/>
        </w:rPr>
        <w:t>latest</w:t>
      </w:r>
      <w:r w:rsidR="00DE44B0">
        <w:rPr>
          <w:i/>
          <w:iCs/>
          <w:color w:val="4472C4"/>
        </w:rPr>
        <w:t xml:space="preserve"> housing projections</w:t>
      </w:r>
      <w:r w:rsidR="009017EA">
        <w:rPr>
          <w:i/>
          <w:iCs/>
          <w:color w:val="4472C4"/>
        </w:rPr>
        <w:t xml:space="preserve"> of 2360 units, </w:t>
      </w:r>
      <w:r w:rsidR="00851AA3">
        <w:rPr>
          <w:i/>
          <w:iCs/>
          <w:color w:val="4472C4"/>
        </w:rPr>
        <w:t>the national average</w:t>
      </w:r>
      <w:r w:rsidR="00DE44B0">
        <w:rPr>
          <w:i/>
          <w:iCs/>
          <w:color w:val="4472C4"/>
        </w:rPr>
        <w:t xml:space="preserve"> 2.4</w:t>
      </w:r>
      <w:r w:rsidR="009017EA">
        <w:rPr>
          <w:i/>
          <w:iCs/>
          <w:color w:val="4472C4"/>
        </w:rPr>
        <w:t xml:space="preserve"> occupancy rate and the range of water usage rates above, it can be observed there is a significant variation in the </w:t>
      </w:r>
      <w:r w:rsidR="00851AA3">
        <w:rPr>
          <w:i/>
          <w:iCs/>
          <w:color w:val="4472C4"/>
        </w:rPr>
        <w:t xml:space="preserve">overall </w:t>
      </w:r>
      <w:r w:rsidR="009017EA">
        <w:rPr>
          <w:i/>
          <w:iCs/>
          <w:color w:val="4472C4"/>
        </w:rPr>
        <w:t>DWF increase</w:t>
      </w:r>
      <w:r w:rsidR="00851AA3">
        <w:rPr>
          <w:i/>
          <w:iCs/>
          <w:color w:val="4472C4"/>
        </w:rPr>
        <w:t xml:space="preserve"> estimates</w:t>
      </w:r>
      <w:r w:rsidR="009017EA">
        <w:rPr>
          <w:i/>
          <w:iCs/>
          <w:color w:val="4472C4"/>
        </w:rPr>
        <w:t xml:space="preserve">. </w:t>
      </w:r>
      <w:r w:rsidR="00851AA3">
        <w:rPr>
          <w:i/>
          <w:iCs/>
          <w:color w:val="4472C4"/>
        </w:rPr>
        <w:t>A</w:t>
      </w:r>
      <w:r w:rsidR="009017EA">
        <w:rPr>
          <w:i/>
          <w:iCs/>
          <w:color w:val="4472C4"/>
        </w:rPr>
        <w:t xml:space="preserve"> 110 l/p/d (264 l/d per household) </w:t>
      </w:r>
      <w:r w:rsidR="00851AA3">
        <w:rPr>
          <w:i/>
          <w:iCs/>
          <w:color w:val="4472C4"/>
        </w:rPr>
        <w:t xml:space="preserve">water usage </w:t>
      </w:r>
      <w:r w:rsidR="009017EA">
        <w:rPr>
          <w:i/>
          <w:iCs/>
          <w:color w:val="4472C4"/>
        </w:rPr>
        <w:t>rate</w:t>
      </w:r>
      <w:r w:rsidR="00851AA3">
        <w:rPr>
          <w:i/>
          <w:iCs/>
          <w:color w:val="4472C4"/>
        </w:rPr>
        <w:t xml:space="preserve"> results in a</w:t>
      </w:r>
      <w:r w:rsidR="009017EA">
        <w:rPr>
          <w:i/>
          <w:iCs/>
          <w:color w:val="4472C4"/>
        </w:rPr>
        <w:t xml:space="preserve"> DWF </w:t>
      </w:r>
      <w:r w:rsidR="00851AA3">
        <w:rPr>
          <w:i/>
          <w:iCs/>
          <w:color w:val="4472C4"/>
        </w:rPr>
        <w:t>i</w:t>
      </w:r>
      <w:r w:rsidR="009017EA">
        <w:rPr>
          <w:i/>
          <w:iCs/>
          <w:color w:val="4472C4"/>
        </w:rPr>
        <w:t xml:space="preserve">ncrease </w:t>
      </w:r>
      <w:r w:rsidR="00851AA3">
        <w:rPr>
          <w:i/>
          <w:iCs/>
          <w:color w:val="4472C4"/>
        </w:rPr>
        <w:t>of</w:t>
      </w:r>
      <w:r w:rsidR="009017EA">
        <w:rPr>
          <w:i/>
          <w:iCs/>
          <w:color w:val="4472C4"/>
        </w:rPr>
        <w:t xml:space="preserve"> 680 m</w:t>
      </w:r>
      <w:r w:rsidR="009017EA" w:rsidRPr="00AB32A1">
        <w:rPr>
          <w:i/>
          <w:iCs/>
          <w:color w:val="4472C4"/>
          <w:vertAlign w:val="superscript"/>
        </w:rPr>
        <w:t>3</w:t>
      </w:r>
      <w:r w:rsidR="009017EA">
        <w:rPr>
          <w:i/>
          <w:iCs/>
          <w:color w:val="4472C4"/>
        </w:rPr>
        <w:t xml:space="preserve">/d, while the more </w:t>
      </w:r>
      <w:r w:rsidR="00D81794" w:rsidRPr="00D81794">
        <w:rPr>
          <w:i/>
          <w:iCs/>
          <w:color w:val="4472C4"/>
        </w:rPr>
        <w:t xml:space="preserve">precautionary </w:t>
      </w:r>
      <w:r w:rsidR="009017EA">
        <w:rPr>
          <w:i/>
          <w:iCs/>
          <w:color w:val="4472C4"/>
        </w:rPr>
        <w:t>500 l/d per household</w:t>
      </w:r>
      <w:r w:rsidR="00851AA3">
        <w:rPr>
          <w:i/>
          <w:iCs/>
          <w:color w:val="4472C4"/>
        </w:rPr>
        <w:t xml:space="preserve"> rate</w:t>
      </w:r>
      <w:r w:rsidR="009017EA">
        <w:rPr>
          <w:i/>
          <w:iCs/>
          <w:color w:val="4472C4"/>
        </w:rPr>
        <w:t xml:space="preserve"> results </w:t>
      </w:r>
      <w:r w:rsidR="009017EA">
        <w:rPr>
          <w:i/>
          <w:iCs/>
          <w:color w:val="4472C4"/>
        </w:rPr>
        <w:lastRenderedPageBreak/>
        <w:t>in an increase of 1181 m</w:t>
      </w:r>
      <w:r w:rsidR="009017EA" w:rsidRPr="00AB32A1">
        <w:rPr>
          <w:i/>
          <w:iCs/>
          <w:color w:val="4472C4"/>
          <w:vertAlign w:val="superscript"/>
        </w:rPr>
        <w:t>3</w:t>
      </w:r>
      <w:r w:rsidR="009017EA">
        <w:rPr>
          <w:i/>
          <w:iCs/>
          <w:color w:val="4472C4"/>
        </w:rPr>
        <w:t xml:space="preserve">/d. </w:t>
      </w:r>
      <w:r w:rsidR="00851AA3">
        <w:rPr>
          <w:i/>
          <w:iCs/>
          <w:color w:val="4472C4"/>
        </w:rPr>
        <w:t xml:space="preserve">The overall water usage rates used in the various assessments and the latest recent actuals, are further discussed in Section </w:t>
      </w:r>
      <w:r w:rsidR="00851AA3">
        <w:rPr>
          <w:i/>
          <w:iCs/>
          <w:color w:val="4472C4"/>
        </w:rPr>
        <w:fldChar w:fldCharType="begin"/>
      </w:r>
      <w:r w:rsidR="00851AA3">
        <w:rPr>
          <w:i/>
          <w:iCs/>
          <w:color w:val="4472C4"/>
        </w:rPr>
        <w:instrText xml:space="preserve"> REF _Ref153892813 \r \h </w:instrText>
      </w:r>
      <w:r w:rsidR="00851AA3">
        <w:rPr>
          <w:i/>
          <w:iCs/>
          <w:color w:val="4472C4"/>
        </w:rPr>
      </w:r>
      <w:r w:rsidR="00851AA3">
        <w:rPr>
          <w:i/>
          <w:iCs/>
          <w:color w:val="4472C4"/>
        </w:rPr>
        <w:fldChar w:fldCharType="separate"/>
      </w:r>
      <w:r w:rsidR="008502A6">
        <w:rPr>
          <w:i/>
          <w:iCs/>
          <w:color w:val="4472C4"/>
        </w:rPr>
        <w:t>2.2.4.1</w:t>
      </w:r>
      <w:r w:rsidR="00851AA3">
        <w:rPr>
          <w:i/>
          <w:iCs/>
          <w:color w:val="4472C4"/>
        </w:rPr>
        <w:fldChar w:fldCharType="end"/>
      </w:r>
      <w:r w:rsidR="00851AA3">
        <w:rPr>
          <w:i/>
          <w:iCs/>
          <w:color w:val="4472C4"/>
        </w:rPr>
        <w:t xml:space="preserve"> below.</w:t>
      </w:r>
    </w:p>
    <w:p w14:paraId="419A7DE2" w14:textId="57695EEE" w:rsidR="00836657" w:rsidRPr="00DF14B3" w:rsidRDefault="008458C8" w:rsidP="00DF14B3">
      <w:pPr>
        <w:jc w:val="both"/>
        <w:rPr>
          <w:i/>
          <w:iCs/>
          <w:color w:val="4472C4"/>
        </w:rPr>
      </w:pPr>
      <w:r w:rsidRPr="00DF14B3">
        <w:rPr>
          <w:i/>
          <w:iCs/>
          <w:color w:val="4472C4"/>
        </w:rPr>
        <w:t xml:space="preserve">The Wood assumptions </w:t>
      </w:r>
      <w:r w:rsidR="00DF14B3">
        <w:rPr>
          <w:i/>
          <w:iCs/>
          <w:color w:val="4472C4"/>
        </w:rPr>
        <w:t>are</w:t>
      </w:r>
      <w:r w:rsidRPr="00DF14B3">
        <w:rPr>
          <w:i/>
          <w:iCs/>
          <w:color w:val="4472C4"/>
        </w:rPr>
        <w:t xml:space="preserve"> in line with average occupancy rate the </w:t>
      </w:r>
      <w:r w:rsidR="00793462">
        <w:rPr>
          <w:i/>
          <w:iCs/>
          <w:color w:val="4472C4"/>
        </w:rPr>
        <w:t>SWS</w:t>
      </w:r>
      <w:r w:rsidR="00023BB5">
        <w:rPr>
          <w:i/>
          <w:iCs/>
          <w:color w:val="4472C4"/>
        </w:rPr>
        <w:t>’s</w:t>
      </w:r>
      <w:r w:rsidRPr="00DF14B3">
        <w:rPr>
          <w:i/>
          <w:iCs/>
          <w:color w:val="4472C4"/>
        </w:rPr>
        <w:t xml:space="preserve"> current and Target 100 initiative (see note under </w:t>
      </w:r>
      <w:r w:rsidR="00A522FE" w:rsidRPr="00A522FE">
        <w:rPr>
          <w:b/>
          <w:bCs/>
          <w:i/>
          <w:iCs/>
          <w:color w:val="4472C4"/>
        </w:rPr>
        <w:fldChar w:fldCharType="begin"/>
      </w:r>
      <w:r w:rsidR="00A522FE" w:rsidRPr="008428E6">
        <w:rPr>
          <w:b/>
          <w:bCs/>
          <w:i/>
          <w:iCs/>
          <w:color w:val="4472C4"/>
        </w:rPr>
        <w:instrText xml:space="preserve"> REF _Ref147968226 \h </w:instrText>
      </w:r>
      <w:r w:rsidR="00A522FE">
        <w:rPr>
          <w:b/>
          <w:bCs/>
          <w:i/>
          <w:iCs/>
          <w:color w:val="4472C4"/>
        </w:rPr>
        <w:instrText xml:space="preserve"> \* MERGEFORMAT </w:instrText>
      </w:r>
      <w:r w:rsidR="00A522FE" w:rsidRPr="00A522FE">
        <w:rPr>
          <w:b/>
          <w:bCs/>
          <w:i/>
          <w:iCs/>
          <w:color w:val="4472C4"/>
        </w:rPr>
      </w:r>
      <w:r w:rsidR="00A522FE" w:rsidRPr="00A522FE">
        <w:rPr>
          <w:b/>
          <w:bCs/>
          <w:i/>
          <w:iCs/>
          <w:color w:val="4472C4"/>
        </w:rPr>
        <w:fldChar w:fldCharType="separate"/>
      </w:r>
      <w:r w:rsidR="008502A6" w:rsidRPr="008502A6">
        <w:rPr>
          <w:b/>
          <w:bCs/>
        </w:rPr>
        <w:t xml:space="preserve">Table </w:t>
      </w:r>
      <w:r w:rsidR="008502A6" w:rsidRPr="008502A6">
        <w:rPr>
          <w:b/>
          <w:bCs/>
          <w:noProof/>
        </w:rPr>
        <w:t>2</w:t>
      </w:r>
      <w:r w:rsidR="008502A6" w:rsidRPr="008502A6">
        <w:rPr>
          <w:b/>
          <w:bCs/>
          <w:noProof/>
        </w:rPr>
        <w:noBreakHyphen/>
        <w:t>3</w:t>
      </w:r>
      <w:r w:rsidR="00A522FE" w:rsidRPr="00A522FE">
        <w:rPr>
          <w:b/>
          <w:bCs/>
          <w:i/>
          <w:iCs/>
          <w:color w:val="4472C4"/>
        </w:rPr>
        <w:fldChar w:fldCharType="end"/>
      </w:r>
      <w:r w:rsidRPr="00DF14B3">
        <w:rPr>
          <w:i/>
          <w:iCs/>
          <w:color w:val="4472C4"/>
        </w:rPr>
        <w:t>) but assumes no infiltration</w:t>
      </w:r>
      <w:r w:rsidR="00DF14B3">
        <w:rPr>
          <w:i/>
          <w:iCs/>
          <w:color w:val="4472C4"/>
        </w:rPr>
        <w:t xml:space="preserve"> and not consistent with </w:t>
      </w:r>
      <w:r w:rsidR="001E50C8">
        <w:rPr>
          <w:i/>
          <w:iCs/>
          <w:color w:val="4472C4"/>
        </w:rPr>
        <w:t xml:space="preserve"> </w:t>
      </w:r>
      <w:r w:rsidR="00793462">
        <w:rPr>
          <w:i/>
          <w:iCs/>
          <w:color w:val="4472C4"/>
        </w:rPr>
        <w:t>SWS</w:t>
      </w:r>
      <w:r w:rsidR="001E50C8">
        <w:rPr>
          <w:i/>
          <w:iCs/>
          <w:color w:val="4472C4"/>
        </w:rPr>
        <w:t>’s guidance</w:t>
      </w:r>
      <w:r w:rsidR="001E50C8" w:rsidRPr="001E50C8">
        <w:t xml:space="preserve"> </w:t>
      </w:r>
      <w:r w:rsidR="001E50C8" w:rsidRPr="001E50C8">
        <w:rPr>
          <w:i/>
          <w:iCs/>
          <w:color w:val="4472C4"/>
        </w:rPr>
        <w:t xml:space="preserve">on calculating </w:t>
      </w:r>
      <w:r w:rsidR="00023BB5">
        <w:rPr>
          <w:i/>
          <w:iCs/>
          <w:color w:val="4472C4"/>
        </w:rPr>
        <w:t>DWF</w:t>
      </w:r>
      <w:r w:rsidR="001E50C8" w:rsidRPr="001E50C8">
        <w:rPr>
          <w:i/>
          <w:iCs/>
          <w:color w:val="4472C4"/>
        </w:rPr>
        <w:t xml:space="preserve"> Headroom for Local Plans</w:t>
      </w:r>
      <w:r w:rsidR="001E50C8">
        <w:rPr>
          <w:i/>
          <w:iCs/>
          <w:color w:val="4472C4"/>
        </w:rPr>
        <w:t xml:space="preserve"> (CDC’s </w:t>
      </w:r>
      <w:r w:rsidR="001E50C8" w:rsidRPr="001E50C8">
        <w:rPr>
          <w:i/>
          <w:iCs/>
          <w:color w:val="4472C4"/>
        </w:rPr>
        <w:t>Wastewater treatment and remaining Headroom calculations</w:t>
      </w:r>
      <w:r w:rsidR="001E50C8">
        <w:rPr>
          <w:i/>
          <w:iCs/>
          <w:color w:val="4472C4"/>
        </w:rPr>
        <w:t>)</w:t>
      </w:r>
      <w:r w:rsidR="009E0AC1">
        <w:rPr>
          <w:i/>
          <w:iCs/>
          <w:color w:val="4472C4"/>
        </w:rPr>
        <w:t>.</w:t>
      </w:r>
    </w:p>
    <w:p w14:paraId="5A66F618" w14:textId="512C83D0" w:rsidR="00EB737F" w:rsidRDefault="00EB737F" w:rsidP="00EB737F">
      <w:pPr>
        <w:jc w:val="both"/>
        <w:rPr>
          <w:i/>
          <w:iCs/>
          <w:color w:val="4472C4"/>
        </w:rPr>
      </w:pPr>
      <w:r w:rsidRPr="00F8151F">
        <w:rPr>
          <w:b/>
          <w:bCs/>
          <w:i/>
          <w:iCs/>
          <w:color w:val="006BB7"/>
        </w:rPr>
        <w:t>note 3:</w:t>
      </w:r>
      <w:r>
        <w:t xml:space="preserve"> </w:t>
      </w:r>
      <w:r w:rsidRPr="00EB737F">
        <w:rPr>
          <w:i/>
          <w:iCs/>
          <w:color w:val="4472C4"/>
        </w:rPr>
        <w:t>Parameters in Wood</w:t>
      </w:r>
      <w:r w:rsidR="00BB1DA1">
        <w:rPr>
          <w:i/>
          <w:iCs/>
          <w:color w:val="4472C4"/>
        </w:rPr>
        <w:t>’</w:t>
      </w:r>
      <w:r w:rsidRPr="00EB737F">
        <w:rPr>
          <w:i/>
          <w:iCs/>
          <w:color w:val="4472C4"/>
        </w:rPr>
        <w:t>s 2020 Addendum were updated including projected population growth, occupancy rate, water consumption and nitrogen loading (2.5 to 2.4 for occupancy, and 120 l/p/d to 110 l/p/d) to account for advice from Natural England, and the assumption of increased water efficiency in the newest developments. It is noted that as of 2017-2018 the average water consumption per capita was 129 l/p/d, although this includes older developments as well as unmetered properties</w:t>
      </w:r>
      <w:r w:rsidR="009E0AC1">
        <w:rPr>
          <w:i/>
          <w:iCs/>
          <w:color w:val="4472C4"/>
        </w:rPr>
        <w:t>.</w:t>
      </w:r>
    </w:p>
    <w:p w14:paraId="2CB9AAA6" w14:textId="67F9ADB5" w:rsidR="00B12992" w:rsidRDefault="00B12992" w:rsidP="00B12992">
      <w:pPr>
        <w:pStyle w:val="Heading4"/>
      </w:pPr>
      <w:bookmarkStart w:id="35" w:name="_Ref153892813"/>
      <w:r>
        <w:t xml:space="preserve">Water usage </w:t>
      </w:r>
      <w:r w:rsidR="00BF69AF">
        <w:t xml:space="preserve">rates </w:t>
      </w:r>
      <w:r>
        <w:t>comparison</w:t>
      </w:r>
      <w:bookmarkEnd w:id="35"/>
      <w:r w:rsidR="004156B4">
        <w:t xml:space="preserve"> and projected DWF</w:t>
      </w:r>
      <w:r w:rsidR="00905361">
        <w:t xml:space="preserve"> growth</w:t>
      </w:r>
    </w:p>
    <w:p w14:paraId="5126D657" w14:textId="21DA86AE" w:rsidR="00386A62" w:rsidRDefault="00E100EE" w:rsidP="00EB737F">
      <w:pPr>
        <w:jc w:val="both"/>
      </w:pPr>
      <w:r>
        <w:t>Comparing the three</w:t>
      </w:r>
      <w:r w:rsidR="00B12992">
        <w:t xml:space="preserve"> DWF headroom estimates listed in </w:t>
      </w:r>
      <w:r w:rsidR="00B12992" w:rsidRPr="00A522FE">
        <w:rPr>
          <w:b/>
          <w:bCs/>
          <w:color w:val="006BB7"/>
        </w:rPr>
        <w:fldChar w:fldCharType="begin"/>
      </w:r>
      <w:r w:rsidR="00B12992" w:rsidRPr="008428E6">
        <w:rPr>
          <w:b/>
          <w:bCs/>
          <w:color w:val="006BB7"/>
        </w:rPr>
        <w:instrText xml:space="preserve"> REF _Ref147970179 \h </w:instrText>
      </w:r>
      <w:r w:rsidR="00BB1DA1" w:rsidRPr="008428E6">
        <w:rPr>
          <w:b/>
          <w:bCs/>
          <w:color w:val="006BB7"/>
        </w:rPr>
        <w:instrText xml:space="preserve"> \* MERGEFORMAT </w:instrText>
      </w:r>
      <w:r w:rsidR="00B12992" w:rsidRPr="00A522FE">
        <w:rPr>
          <w:b/>
          <w:bCs/>
          <w:color w:val="006BB7"/>
        </w:rPr>
      </w:r>
      <w:r w:rsidR="00B12992" w:rsidRPr="00A522FE">
        <w:rPr>
          <w:b/>
          <w:bCs/>
          <w:color w:val="006BB7"/>
        </w:rPr>
        <w:fldChar w:fldCharType="separate"/>
      </w:r>
      <w:r w:rsidR="008502A6" w:rsidRPr="008502A6">
        <w:rPr>
          <w:b/>
          <w:bCs/>
          <w:color w:val="006BB7"/>
        </w:rPr>
        <w:t xml:space="preserve">Table </w:t>
      </w:r>
      <w:r w:rsidR="008502A6" w:rsidRPr="008502A6">
        <w:rPr>
          <w:b/>
          <w:bCs/>
          <w:noProof/>
          <w:color w:val="006BB7"/>
        </w:rPr>
        <w:t>2</w:t>
      </w:r>
      <w:r w:rsidR="008502A6" w:rsidRPr="008502A6">
        <w:rPr>
          <w:b/>
          <w:bCs/>
          <w:noProof/>
          <w:color w:val="006BB7"/>
        </w:rPr>
        <w:noBreakHyphen/>
        <w:t>5</w:t>
      </w:r>
      <w:r w:rsidR="00B12992" w:rsidRPr="00A522FE">
        <w:rPr>
          <w:b/>
          <w:bCs/>
          <w:color w:val="006BB7"/>
        </w:rPr>
        <w:fldChar w:fldCharType="end"/>
      </w:r>
      <w:r>
        <w:t xml:space="preserve"> </w:t>
      </w:r>
      <w:r w:rsidR="00BF69AF">
        <w:t xml:space="preserve">as </w:t>
      </w:r>
      <w:r>
        <w:t>presented</w:t>
      </w:r>
      <w:r w:rsidR="00B12992">
        <w:t xml:space="preserve"> in </w:t>
      </w:r>
      <w:r>
        <w:t xml:space="preserve">Section </w:t>
      </w:r>
      <w:r>
        <w:fldChar w:fldCharType="begin"/>
      </w:r>
      <w:r>
        <w:instrText xml:space="preserve"> REF _Ref153189469 \r \h </w:instrText>
      </w:r>
      <w:r>
        <w:fldChar w:fldCharType="separate"/>
      </w:r>
      <w:r w:rsidR="008502A6">
        <w:t>2.2.2</w:t>
      </w:r>
      <w:r>
        <w:fldChar w:fldCharType="end"/>
      </w:r>
      <w:r w:rsidR="00B12992">
        <w:t xml:space="preserve">, </w:t>
      </w:r>
      <w:r>
        <w:t xml:space="preserve">it can be observed that each </w:t>
      </w:r>
      <w:r w:rsidR="00D65838">
        <w:t>headroom value</w:t>
      </w:r>
      <w:r>
        <w:t xml:space="preserve"> has been calculated using different water usage </w:t>
      </w:r>
      <w:r w:rsidR="00D65838">
        <w:t>rates</w:t>
      </w:r>
      <w:r>
        <w:t xml:space="preserve">. </w:t>
      </w:r>
      <w:r w:rsidR="00D65838">
        <w:t xml:space="preserve">These water usage values are </w:t>
      </w:r>
      <w:r w:rsidR="0031637F">
        <w:t xml:space="preserve">all based on the guidance documents that were available at the time of writing (2017 to </w:t>
      </w:r>
      <w:r w:rsidR="006B4B7D">
        <w:t>2023</w:t>
      </w:r>
      <w:r w:rsidR="0031637F">
        <w:t>), resulting in different assumptions being included in each</w:t>
      </w:r>
      <w:r w:rsidR="00BF69AF">
        <w:t xml:space="preserve"> of the</w:t>
      </w:r>
      <w:r w:rsidR="0031637F">
        <w:t xml:space="preserve"> headroom estimate</w:t>
      </w:r>
      <w:r w:rsidR="00BF69AF">
        <w:t>s</w:t>
      </w:r>
      <w:r w:rsidR="0031637F">
        <w:t xml:space="preserve">. For example, </w:t>
      </w:r>
      <w:r w:rsidR="00BF69AF">
        <w:t xml:space="preserve">in </w:t>
      </w:r>
      <w:r w:rsidR="0031637F">
        <w:t xml:space="preserve">both the 2017 and 2020 reports </w:t>
      </w:r>
      <w:r w:rsidR="00BF69AF">
        <w:t xml:space="preserve">the water usage rates are calculated as a function of household occupancy (average 2.4 </w:t>
      </w:r>
      <w:r w:rsidR="00886CDF">
        <w:t>and</w:t>
      </w:r>
      <w:r w:rsidR="00BF69AF">
        <w:t xml:space="preserve"> 2.5 people per home) and water consumption rate per person (110l/p/d </w:t>
      </w:r>
      <w:r w:rsidR="00886CDF">
        <w:t>and</w:t>
      </w:r>
      <w:r w:rsidR="00BF69AF">
        <w:t xml:space="preserve"> 120l/p/d</w:t>
      </w:r>
      <w:r w:rsidR="004118E8">
        <w:t xml:space="preserve">, </w:t>
      </w:r>
      <w:r w:rsidR="00D2577E">
        <w:t>equivalent to</w:t>
      </w:r>
      <w:r w:rsidR="00386A62">
        <w:t xml:space="preserve"> 264l/d to 300l/d per household</w:t>
      </w:r>
      <w:r w:rsidR="00BF69AF">
        <w:t xml:space="preserve">). </w:t>
      </w:r>
      <w:r w:rsidR="00D2577E">
        <w:t>However, t</w:t>
      </w:r>
      <w:r w:rsidR="00886CDF">
        <w:t>he most recent DWF estimates</w:t>
      </w:r>
      <w:r w:rsidR="00886CDF">
        <w:rPr>
          <w:rStyle w:val="FootnoteReference"/>
        </w:rPr>
        <w:footnoteReference w:id="20"/>
      </w:r>
      <w:r w:rsidR="00886CDF">
        <w:t xml:space="preserve"> </w:t>
      </w:r>
      <w:r w:rsidR="004118E8">
        <w:t>are based on</w:t>
      </w:r>
      <w:r w:rsidR="00886CDF">
        <w:t xml:space="preserve"> the </w:t>
      </w:r>
      <w:r w:rsidR="00793462">
        <w:t>SWS</w:t>
      </w:r>
      <w:r w:rsidR="00886CDF">
        <w:rPr>
          <w:rStyle w:val="FootnoteReference"/>
        </w:rPr>
        <w:footnoteReference w:id="21"/>
      </w:r>
      <w:r w:rsidR="00886CDF">
        <w:t xml:space="preserve"> guidance </w:t>
      </w:r>
      <w:r w:rsidR="00D2577E">
        <w:t>for local plans</w:t>
      </w:r>
      <w:r w:rsidR="00386A62">
        <w:t xml:space="preserve">, </w:t>
      </w:r>
      <w:r w:rsidR="00886CDF">
        <w:t xml:space="preserve">which </w:t>
      </w:r>
      <w:r w:rsidR="00386A62">
        <w:t>suggests using</w:t>
      </w:r>
      <w:r w:rsidR="00886CDF">
        <w:t xml:space="preserve"> a flat rate of 500l/d per household. </w:t>
      </w:r>
    </w:p>
    <w:p w14:paraId="7354E286" w14:textId="292557A7" w:rsidR="00544F3D" w:rsidRDefault="00E41367" w:rsidP="00EB737F">
      <w:pPr>
        <w:jc w:val="both"/>
      </w:pPr>
      <w:r>
        <w:t>If we use the</w:t>
      </w:r>
      <w:r w:rsidR="00386A62">
        <w:t xml:space="preserve"> latest </w:t>
      </w:r>
      <w:r w:rsidR="00D6546A">
        <w:t>publicly available</w:t>
      </w:r>
      <w:r w:rsidR="00386A62">
        <w:t xml:space="preserve"> </w:t>
      </w:r>
      <w:r w:rsidR="00793462">
        <w:t>SWS</w:t>
      </w:r>
      <w:r w:rsidR="00386A62">
        <w:t xml:space="preserve"> average water </w:t>
      </w:r>
      <w:r w:rsidR="00002A8B">
        <w:t>usage</w:t>
      </w:r>
      <w:r w:rsidR="00D6546A">
        <w:t xml:space="preserve"> rates</w:t>
      </w:r>
      <w:r w:rsidR="00386A62">
        <w:t xml:space="preserve"> per day presented in </w:t>
      </w:r>
      <w:r w:rsidR="00386A62" w:rsidRPr="00A522FE">
        <w:rPr>
          <w:b/>
          <w:bCs/>
          <w:color w:val="006BB7"/>
        </w:rPr>
        <w:fldChar w:fldCharType="begin"/>
      </w:r>
      <w:r w:rsidR="00386A62" w:rsidRPr="00A522FE">
        <w:rPr>
          <w:b/>
          <w:bCs/>
          <w:color w:val="006BB7"/>
        </w:rPr>
        <w:instrText xml:space="preserve"> REF _Ref147968603 \h </w:instrText>
      </w:r>
      <w:r w:rsidR="00A522FE" w:rsidRPr="00A522FE">
        <w:rPr>
          <w:b/>
          <w:bCs/>
          <w:color w:val="006BB7"/>
        </w:rPr>
        <w:instrText xml:space="preserve"> \* MERGEFORMAT </w:instrText>
      </w:r>
      <w:r w:rsidR="00386A62" w:rsidRPr="00A522FE">
        <w:rPr>
          <w:b/>
          <w:bCs/>
          <w:color w:val="006BB7"/>
        </w:rPr>
      </w:r>
      <w:r w:rsidR="00386A62" w:rsidRPr="00A522FE">
        <w:rPr>
          <w:b/>
          <w:bCs/>
          <w:color w:val="006BB7"/>
        </w:rPr>
        <w:fldChar w:fldCharType="separate"/>
      </w:r>
      <w:r w:rsidR="008502A6" w:rsidRPr="008502A6">
        <w:rPr>
          <w:b/>
          <w:bCs/>
          <w:iCs/>
          <w:color w:val="006BB7"/>
        </w:rPr>
        <w:t xml:space="preserve">Table </w:t>
      </w:r>
      <w:r w:rsidR="008502A6" w:rsidRPr="008502A6">
        <w:rPr>
          <w:b/>
          <w:bCs/>
          <w:iCs/>
          <w:noProof/>
          <w:color w:val="006BB7"/>
        </w:rPr>
        <w:t>2</w:t>
      </w:r>
      <w:r w:rsidR="008502A6" w:rsidRPr="008502A6">
        <w:rPr>
          <w:b/>
          <w:bCs/>
          <w:iCs/>
          <w:noProof/>
          <w:color w:val="006BB7"/>
        </w:rPr>
        <w:noBreakHyphen/>
        <w:t>4</w:t>
      </w:r>
      <w:r w:rsidR="00386A62" w:rsidRPr="00A522FE">
        <w:rPr>
          <w:b/>
          <w:bCs/>
          <w:color w:val="006BB7"/>
        </w:rPr>
        <w:fldChar w:fldCharType="end"/>
      </w:r>
      <w:r w:rsidR="00DE5FD0">
        <w:rPr>
          <w:rStyle w:val="FootnoteReference"/>
        </w:rPr>
        <w:footnoteReference w:id="22"/>
      </w:r>
      <w:r w:rsidR="00D6546A">
        <w:t>,</w:t>
      </w:r>
      <w:r w:rsidR="00386A62">
        <w:t xml:space="preserve"> </w:t>
      </w:r>
      <w:r>
        <w:t>it can be observed that for</w:t>
      </w:r>
      <w:r w:rsidR="00386A62">
        <w:t xml:space="preserve"> </w:t>
      </w:r>
      <w:r w:rsidR="00851AA3">
        <w:t xml:space="preserve">an </w:t>
      </w:r>
      <w:r w:rsidR="00386A62">
        <w:t>average occupancy rate of 2.</w:t>
      </w:r>
      <w:r w:rsidR="00851AA3">
        <w:t xml:space="preserve">4 </w:t>
      </w:r>
      <w:r w:rsidR="00386A62">
        <w:t>people per household, the resulting estimate water usage rate is 3</w:t>
      </w:r>
      <w:r w:rsidR="00CE3E40">
        <w:t>1</w:t>
      </w:r>
      <w:r w:rsidR="00386A62">
        <w:t>2</w:t>
      </w:r>
      <w:r w:rsidR="00CE3E40">
        <w:t>.4</w:t>
      </w:r>
      <w:r w:rsidR="00386A62">
        <w:t>l/d per dwelling</w:t>
      </w:r>
      <w:r w:rsidR="005D10B7">
        <w:t xml:space="preserve"> or 130l/d per person with a 2.4 household occupancy</w:t>
      </w:r>
      <w:r w:rsidR="00FF7018">
        <w:t xml:space="preserve"> (excluding infiltration)</w:t>
      </w:r>
      <w:r w:rsidR="00386A62">
        <w:t>.</w:t>
      </w:r>
      <w:r w:rsidR="00002A8B">
        <w:t xml:space="preserve"> It should be noted that for the purpose of this study, the water usage values in </w:t>
      </w:r>
      <w:r w:rsidR="00002A8B" w:rsidRPr="00A522FE">
        <w:rPr>
          <w:b/>
          <w:bCs/>
          <w:color w:val="006BB7"/>
        </w:rPr>
        <w:fldChar w:fldCharType="begin"/>
      </w:r>
      <w:r w:rsidR="00002A8B" w:rsidRPr="00A522FE">
        <w:rPr>
          <w:b/>
          <w:bCs/>
          <w:color w:val="006BB7"/>
        </w:rPr>
        <w:instrText xml:space="preserve"> REF _Ref147968603 \h </w:instrText>
      </w:r>
      <w:r w:rsidR="00A522FE">
        <w:rPr>
          <w:b/>
          <w:bCs/>
          <w:color w:val="006BB7"/>
        </w:rPr>
        <w:instrText xml:space="preserve"> \* MERGEFORMAT </w:instrText>
      </w:r>
      <w:r w:rsidR="00002A8B" w:rsidRPr="00A522FE">
        <w:rPr>
          <w:b/>
          <w:bCs/>
          <w:color w:val="006BB7"/>
        </w:rPr>
      </w:r>
      <w:r w:rsidR="00002A8B" w:rsidRPr="00A522FE">
        <w:rPr>
          <w:b/>
          <w:bCs/>
          <w:color w:val="006BB7"/>
        </w:rPr>
        <w:fldChar w:fldCharType="separate"/>
      </w:r>
      <w:r w:rsidR="008502A6" w:rsidRPr="008502A6">
        <w:rPr>
          <w:b/>
          <w:bCs/>
          <w:iCs/>
          <w:color w:val="006BB7"/>
        </w:rPr>
        <w:t xml:space="preserve">Table </w:t>
      </w:r>
      <w:r w:rsidR="008502A6" w:rsidRPr="008502A6">
        <w:rPr>
          <w:b/>
          <w:bCs/>
          <w:iCs/>
          <w:noProof/>
          <w:color w:val="006BB7"/>
        </w:rPr>
        <w:t>2</w:t>
      </w:r>
      <w:r w:rsidR="008502A6" w:rsidRPr="008502A6">
        <w:rPr>
          <w:b/>
          <w:bCs/>
          <w:iCs/>
          <w:noProof/>
          <w:color w:val="006BB7"/>
        </w:rPr>
        <w:noBreakHyphen/>
        <w:t>4</w:t>
      </w:r>
      <w:r w:rsidR="00002A8B" w:rsidRPr="00A522FE">
        <w:rPr>
          <w:b/>
          <w:bCs/>
          <w:color w:val="006BB7"/>
        </w:rPr>
        <w:fldChar w:fldCharType="end"/>
      </w:r>
      <w:r w:rsidR="00002A8B">
        <w:t xml:space="preserve"> are considered being equivalent to water discharged by the property (i.e., ignoring infiltration and water lost to gardening, car washing etc.).</w:t>
      </w:r>
      <w:r w:rsidR="009410DA">
        <w:t xml:space="preserve"> The SWS guidance for Baseline Risk and Vulnerability Assessment (BRAVA) for DWF Compliance</w:t>
      </w:r>
      <w:r w:rsidR="009410DA">
        <w:rPr>
          <w:rStyle w:val="FootnoteReference"/>
        </w:rPr>
        <w:footnoteReference w:id="23"/>
      </w:r>
      <w:r w:rsidR="009410DA">
        <w:t xml:space="preserve"> assumes that </w:t>
      </w:r>
      <w:bookmarkStart w:id="36" w:name="_Hlk157757464"/>
      <w:r w:rsidR="009410DA">
        <w:t xml:space="preserve">92.5% </w:t>
      </w:r>
      <w:bookmarkEnd w:id="36"/>
      <w:r w:rsidR="009410DA">
        <w:t>of the total water supply is returned to as wastewater to the sewer system. If the estimate water usage above is corrected by 0.925 it would result a per capita consumption of 120.25l/d per person or 28</w:t>
      </w:r>
      <w:r w:rsidR="002C2E0D">
        <w:t>9</w:t>
      </w:r>
      <w:r w:rsidR="009410DA">
        <w:t>l/d per dwelling.</w:t>
      </w:r>
      <w:r w:rsidR="00CE3E40" w:rsidRPr="00CE3E40">
        <w:t xml:space="preserve"> </w:t>
      </w:r>
      <w:r w:rsidR="00CE3E40">
        <w:t>Communication from Portsmouth Water</w:t>
      </w:r>
      <w:r w:rsidR="00CE3E40">
        <w:rPr>
          <w:rStyle w:val="FootnoteReference"/>
        </w:rPr>
        <w:footnoteReference w:id="24"/>
      </w:r>
      <w:r w:rsidR="00CE3E40">
        <w:t xml:space="preserve"> indicates that for their draft Water Resources Management Plan (WRMP) 2024, the average occupancy rate was 2.42 (2022-23) people per property and the estimate</w:t>
      </w:r>
      <w:r w:rsidR="00F7317F">
        <w:t>d</w:t>
      </w:r>
      <w:r w:rsidR="00CE3E40">
        <w:t xml:space="preserve"> water use was 152.5 l/p/d (or 369.5 l/d per property). This is slightly higher but still in line with the Southern Water data referenced in </w:t>
      </w:r>
      <w:r w:rsidR="00CE3E40" w:rsidRPr="008428E6">
        <w:rPr>
          <w:b/>
          <w:bCs/>
          <w:color w:val="006BB7"/>
        </w:rPr>
        <w:fldChar w:fldCharType="begin"/>
      </w:r>
      <w:r w:rsidR="00CE3E40" w:rsidRPr="008428E6">
        <w:rPr>
          <w:b/>
          <w:bCs/>
          <w:color w:val="006BB7"/>
        </w:rPr>
        <w:instrText xml:space="preserve"> REF _Ref147968603 \h </w:instrText>
      </w:r>
      <w:r w:rsidR="008428E6" w:rsidRPr="008428E6">
        <w:rPr>
          <w:b/>
          <w:bCs/>
          <w:color w:val="006BB7"/>
        </w:rPr>
        <w:instrText xml:space="preserve"> \* MERGEFORMAT </w:instrText>
      </w:r>
      <w:r w:rsidR="00CE3E40" w:rsidRPr="008428E6">
        <w:rPr>
          <w:b/>
          <w:bCs/>
          <w:color w:val="006BB7"/>
        </w:rPr>
      </w:r>
      <w:r w:rsidR="00CE3E40" w:rsidRPr="008428E6">
        <w:rPr>
          <w:b/>
          <w:bCs/>
          <w:color w:val="006BB7"/>
        </w:rPr>
        <w:fldChar w:fldCharType="separate"/>
      </w:r>
      <w:r w:rsidR="008502A6" w:rsidRPr="008502A6">
        <w:rPr>
          <w:b/>
          <w:bCs/>
          <w:iCs/>
          <w:color w:val="006BB7"/>
        </w:rPr>
        <w:t xml:space="preserve">Table </w:t>
      </w:r>
      <w:r w:rsidR="008502A6" w:rsidRPr="008502A6">
        <w:rPr>
          <w:b/>
          <w:bCs/>
          <w:iCs/>
          <w:noProof/>
          <w:color w:val="006BB7"/>
        </w:rPr>
        <w:t>2</w:t>
      </w:r>
      <w:r w:rsidR="008502A6" w:rsidRPr="008502A6">
        <w:rPr>
          <w:b/>
          <w:bCs/>
          <w:iCs/>
          <w:noProof/>
          <w:color w:val="006BB7"/>
        </w:rPr>
        <w:noBreakHyphen/>
        <w:t>4</w:t>
      </w:r>
      <w:r w:rsidR="00CE3E40" w:rsidRPr="008428E6">
        <w:rPr>
          <w:b/>
          <w:bCs/>
          <w:color w:val="006BB7"/>
        </w:rPr>
        <w:fldChar w:fldCharType="end"/>
      </w:r>
      <w:r w:rsidR="00CE3E40" w:rsidRPr="008428E6">
        <w:rPr>
          <w:color w:val="006BB7"/>
        </w:rPr>
        <w:t xml:space="preserve"> </w:t>
      </w:r>
      <w:r w:rsidR="00F7317F">
        <w:t>which may</w:t>
      </w:r>
      <w:r w:rsidR="00CE3E40">
        <w:t xml:space="preserve"> be used as</w:t>
      </w:r>
      <w:r w:rsidR="006B5E27">
        <w:t xml:space="preserve"> a</w:t>
      </w:r>
      <w:r w:rsidR="00CE3E40">
        <w:t xml:space="preserve"> proxy. It is noted the recent actuals also include older and/or unmetered properties, and the likely usage rates for new development will be lower. </w:t>
      </w:r>
      <w:r w:rsidR="00E3598A">
        <w:t xml:space="preserve">The </w:t>
      </w:r>
      <w:r w:rsidR="00793462">
        <w:t>SWS</w:t>
      </w:r>
      <w:r w:rsidR="00E3598A">
        <w:t xml:space="preserve"> draft WRMP</w:t>
      </w:r>
      <w:r w:rsidR="00E3598A">
        <w:rPr>
          <w:rStyle w:val="FootnoteReference"/>
        </w:rPr>
        <w:footnoteReference w:id="25"/>
      </w:r>
      <w:r w:rsidR="00E3598A">
        <w:t xml:space="preserve"> suggests an average occupancy rate of </w:t>
      </w:r>
      <w:r w:rsidR="005558DF">
        <w:t>2</w:t>
      </w:r>
      <w:r w:rsidR="005558DF" w:rsidRPr="00E3598A">
        <w:t>.</w:t>
      </w:r>
      <w:r w:rsidR="00E3598A">
        <w:t>33</w:t>
      </w:r>
      <w:r w:rsidR="005558DF" w:rsidRPr="00E3598A">
        <w:t xml:space="preserve"> </w:t>
      </w:r>
      <w:r w:rsidR="00E3598A" w:rsidRPr="00E3598A">
        <w:t>people</w:t>
      </w:r>
      <w:r w:rsidR="00E3598A">
        <w:t xml:space="preserve"> per household</w:t>
      </w:r>
      <w:r w:rsidR="00097120">
        <w:t>, however for the purpose of this report we have kept the national average rate as it’s closer to the one used by P</w:t>
      </w:r>
      <w:r w:rsidR="00BB1DA1">
        <w:t>ortsmouth Water</w:t>
      </w:r>
      <w:r w:rsidR="00097120">
        <w:t xml:space="preserve">. </w:t>
      </w:r>
    </w:p>
    <w:p w14:paraId="48A38C42" w14:textId="136378B0" w:rsidR="002A779C" w:rsidRDefault="002A779C" w:rsidP="00EB737F">
      <w:pPr>
        <w:jc w:val="both"/>
      </w:pPr>
      <w:proofErr w:type="gramStart"/>
      <w:r>
        <w:t>In order to</w:t>
      </w:r>
      <w:proofErr w:type="gramEnd"/>
      <w:r>
        <w:t xml:space="preserve"> estimate the DWF growth, the water usage value above should be corrected to take into account sewer infiltration. The current government DWF guidance</w:t>
      </w:r>
      <w:r>
        <w:rPr>
          <w:rStyle w:val="FootnoteReference"/>
        </w:rPr>
        <w:footnoteReference w:id="26"/>
      </w:r>
      <w:r>
        <w:t xml:space="preserve"> suggests using an </w:t>
      </w:r>
      <w:r w:rsidR="00544F3D">
        <w:t>infiltration rate of 50%</w:t>
      </w:r>
      <w:r>
        <w:t>, which would increase the recent actual rate of 312l/d per household to 469l/d per household</w:t>
      </w:r>
      <w:r w:rsidR="002C2E0D">
        <w:t>, or from 289 l/d per household to 433 l/d per household if using the 0.925 correction factor</w:t>
      </w:r>
      <w:r>
        <w:t xml:space="preserve">. </w:t>
      </w:r>
      <w:r w:rsidR="00386A62">
        <w:t xml:space="preserve">Comparing </w:t>
      </w:r>
      <w:r w:rsidR="00DE5FD0">
        <w:lastRenderedPageBreak/>
        <w:t>th</w:t>
      </w:r>
      <w:r w:rsidR="00BB1DA1">
        <w:t>e</w:t>
      </w:r>
      <w:r w:rsidR="00DE5FD0">
        <w:t xml:space="preserve"> </w:t>
      </w:r>
      <w:r>
        <w:t xml:space="preserve">new </w:t>
      </w:r>
      <w:r w:rsidR="00DE5FD0">
        <w:t>value</w:t>
      </w:r>
      <w:r w:rsidR="00002A8B">
        <w:t xml:space="preserve"> of </w:t>
      </w:r>
      <w:r>
        <w:t>469</w:t>
      </w:r>
      <w:r w:rsidR="00002A8B">
        <w:t>/d per dwelling</w:t>
      </w:r>
      <w:r w:rsidR="002C2E0D">
        <w:t xml:space="preserve"> (or 433 l/d per dwelling)</w:t>
      </w:r>
      <w:r w:rsidR="00386A62">
        <w:t xml:space="preserve"> to the water usage rates </w:t>
      </w:r>
      <w:r w:rsidR="007868F0">
        <w:t>used in the various headroom estimates,</w:t>
      </w:r>
      <w:r w:rsidR="00386A62">
        <w:t xml:space="preserve"> it can be observed that </w:t>
      </w:r>
      <w:r w:rsidR="00DE5FD0">
        <w:t xml:space="preserve">the values included in both the 2017 and 2020 reports fall </w:t>
      </w:r>
      <w:proofErr w:type="gramStart"/>
      <w:r w:rsidR="00DE5FD0">
        <w:t>short</w:t>
      </w:r>
      <w:r w:rsidR="00D6546A">
        <w:t xml:space="preserve"> </w:t>
      </w:r>
      <w:r w:rsidR="002C2E0D">
        <w:t xml:space="preserve"> of</w:t>
      </w:r>
      <w:proofErr w:type="gramEnd"/>
      <w:r w:rsidR="002C2E0D">
        <w:t xml:space="preserve"> it</w:t>
      </w:r>
      <w:r w:rsidR="00573E1A">
        <w:t xml:space="preserve">, </w:t>
      </w:r>
      <w:r w:rsidR="00002A8B">
        <w:t xml:space="preserve">and should be considered as the least </w:t>
      </w:r>
      <w:r w:rsidR="00D81794" w:rsidRPr="00D81794">
        <w:t>precautionary</w:t>
      </w:r>
      <w:r w:rsidR="00002A8B">
        <w:t xml:space="preserve"> values. W</w:t>
      </w:r>
      <w:r w:rsidR="00DE5FD0">
        <w:t xml:space="preserve">hereas the </w:t>
      </w:r>
      <w:r w:rsidR="00E41367">
        <w:t>500l/d per household</w:t>
      </w:r>
      <w:r w:rsidR="00D6546A">
        <w:t xml:space="preserve"> rate </w:t>
      </w:r>
      <w:r>
        <w:t xml:space="preserve">(which also </w:t>
      </w:r>
      <w:r w:rsidR="005D10B7">
        <w:t xml:space="preserve">accounts for </w:t>
      </w:r>
      <w:r>
        <w:t>40%</w:t>
      </w:r>
      <w:r w:rsidR="00AD68C9">
        <w:t xml:space="preserve"> infiltration</w:t>
      </w:r>
      <w:r>
        <w:t>)</w:t>
      </w:r>
      <w:r w:rsidR="005D10B7" w:rsidRPr="005D10B7">
        <w:t xml:space="preserve"> </w:t>
      </w:r>
      <w:r w:rsidR="005D10B7">
        <w:t>included in the current SWS DWF guidance</w:t>
      </w:r>
      <w:r>
        <w:t xml:space="preserve"> </w:t>
      </w:r>
      <w:r w:rsidR="00576628">
        <w:t xml:space="preserve">is only </w:t>
      </w:r>
      <w:r>
        <w:t xml:space="preserve">slightly </w:t>
      </w:r>
      <w:r w:rsidR="00576628">
        <w:t>higher</w:t>
      </w:r>
      <w:r>
        <w:t xml:space="preserve"> than the </w:t>
      </w:r>
      <w:r w:rsidR="005D10B7">
        <w:t>469l</w:t>
      </w:r>
      <w:r>
        <w:t>/d per household capacity</w:t>
      </w:r>
      <w:r w:rsidR="005D10B7">
        <w:t xml:space="preserve"> calculated above</w:t>
      </w:r>
      <w:r>
        <w:t>.</w:t>
      </w:r>
    </w:p>
    <w:p w14:paraId="2FB790D5" w14:textId="0504C6F0" w:rsidR="00F37FBA" w:rsidRDefault="00B95D77" w:rsidP="00EB737F">
      <w:pPr>
        <w:jc w:val="both"/>
      </w:pPr>
      <w:r>
        <w:t xml:space="preserve">The predicted DWF growth based on the latest available housing projections of </w:t>
      </w:r>
      <w:r w:rsidRPr="00A97753">
        <w:rPr>
          <w:b/>
          <w:bCs/>
        </w:rPr>
        <w:t>2360 units</w:t>
      </w:r>
      <w:r>
        <w:t xml:space="preserve"> and </w:t>
      </w:r>
      <w:r w:rsidR="0048610B">
        <w:t xml:space="preserve">a capacity of </w:t>
      </w:r>
      <w:r w:rsidR="0048610B" w:rsidRPr="00A97753">
        <w:rPr>
          <w:b/>
          <w:bCs/>
        </w:rPr>
        <w:t>4</w:t>
      </w:r>
      <w:r w:rsidR="00F95A44">
        <w:rPr>
          <w:b/>
          <w:bCs/>
        </w:rPr>
        <w:t>69</w:t>
      </w:r>
      <w:r w:rsidR="0048610B" w:rsidRPr="00A97753">
        <w:rPr>
          <w:b/>
          <w:bCs/>
        </w:rPr>
        <w:t>l/d per household</w:t>
      </w:r>
      <w:r w:rsidR="0048610B">
        <w:t xml:space="preserve">, </w:t>
      </w:r>
      <w:r w:rsidR="00A97753">
        <w:t xml:space="preserve">is equal to </w:t>
      </w:r>
      <w:r w:rsidR="00E117D0" w:rsidRPr="00C03222">
        <w:rPr>
          <w:b/>
          <w:bCs/>
        </w:rPr>
        <w:t>1</w:t>
      </w:r>
      <w:r w:rsidR="00F95A44">
        <w:rPr>
          <w:b/>
          <w:bCs/>
        </w:rPr>
        <w:t>106</w:t>
      </w:r>
      <w:r w:rsidR="00E117D0" w:rsidRPr="00C03222">
        <w:rPr>
          <w:b/>
          <w:bCs/>
        </w:rPr>
        <w:t xml:space="preserve"> m</w:t>
      </w:r>
      <w:r w:rsidR="00E117D0" w:rsidRPr="00C03222">
        <w:rPr>
          <w:b/>
          <w:bCs/>
          <w:vertAlign w:val="superscript"/>
        </w:rPr>
        <w:t>3</w:t>
      </w:r>
      <w:r w:rsidR="00E117D0" w:rsidRPr="00C03222">
        <w:rPr>
          <w:b/>
          <w:bCs/>
        </w:rPr>
        <w:t>/d</w:t>
      </w:r>
      <w:r w:rsidR="002C2E0D">
        <w:t xml:space="preserve">, or </w:t>
      </w:r>
      <w:r w:rsidR="002C2E0D" w:rsidRPr="00E61D99">
        <w:rPr>
          <w:b/>
          <w:bCs/>
        </w:rPr>
        <w:t>1023 m</w:t>
      </w:r>
      <w:r w:rsidR="002C2E0D" w:rsidRPr="00E61D99">
        <w:rPr>
          <w:b/>
          <w:bCs/>
          <w:vertAlign w:val="superscript"/>
        </w:rPr>
        <w:t>3</w:t>
      </w:r>
      <w:r w:rsidR="002C2E0D" w:rsidRPr="00E61D99">
        <w:rPr>
          <w:b/>
          <w:bCs/>
        </w:rPr>
        <w:t>/d</w:t>
      </w:r>
      <w:r w:rsidR="002C2E0D">
        <w:t xml:space="preserve"> if using the 0.925 correction</w:t>
      </w:r>
      <w:r w:rsidR="00E117D0">
        <w:t>.</w:t>
      </w:r>
      <w:r w:rsidR="00E117D0" w:rsidRPr="00E117D0">
        <w:t xml:space="preserve"> </w:t>
      </w:r>
      <w:r w:rsidR="00E117D0">
        <w:t xml:space="preserve">It should be noted however the value above is </w:t>
      </w:r>
      <w:r w:rsidR="005D10B7">
        <w:t xml:space="preserve">precautionary </w:t>
      </w:r>
      <w:r w:rsidR="00E117D0">
        <w:t xml:space="preserve">as </w:t>
      </w:r>
      <w:r w:rsidR="00576628">
        <w:t xml:space="preserve">it </w:t>
      </w:r>
      <w:r w:rsidR="00E117D0">
        <w:t>doesn’t account</w:t>
      </w:r>
      <w:r w:rsidR="002D2E2F">
        <w:t xml:space="preserve"> for </w:t>
      </w:r>
      <w:r w:rsidR="00E117D0">
        <w:t>either the more efficient water usage in newly built properties</w:t>
      </w:r>
      <w:r w:rsidR="00E61D99">
        <w:t xml:space="preserve">, lower infiltration rates of newly built sewers </w:t>
      </w:r>
      <w:r w:rsidR="00E117D0">
        <w:t>or the for the Target 100 initiatives which may further reduce the daily water consumption.</w:t>
      </w:r>
      <w:r w:rsidR="00C012D7">
        <w:t xml:space="preserve"> A revised </w:t>
      </w:r>
      <w:r w:rsidR="00576628">
        <w:t xml:space="preserve">DWF growth estimate is provided in the </w:t>
      </w:r>
      <w:r w:rsidR="00576628">
        <w:fldChar w:fldCharType="begin"/>
      </w:r>
      <w:r w:rsidR="00576628">
        <w:instrText xml:space="preserve"> REF _Ref155689001 \h  \* MERGEFORMAT </w:instrText>
      </w:r>
      <w:r w:rsidR="00576628">
        <w:fldChar w:fldCharType="separate"/>
      </w:r>
      <w:r w:rsidR="008502A6" w:rsidRPr="008502A6">
        <w:rPr>
          <w:b/>
          <w:bCs/>
          <w:color w:val="006BB7"/>
        </w:rPr>
        <w:t xml:space="preserve">Table </w:t>
      </w:r>
      <w:r w:rsidR="008502A6" w:rsidRPr="008502A6">
        <w:rPr>
          <w:b/>
          <w:bCs/>
          <w:noProof/>
          <w:color w:val="006BB7"/>
        </w:rPr>
        <w:t>2</w:t>
      </w:r>
      <w:r w:rsidR="008502A6" w:rsidRPr="008502A6">
        <w:rPr>
          <w:b/>
          <w:bCs/>
          <w:noProof/>
          <w:color w:val="006BB7"/>
        </w:rPr>
        <w:noBreakHyphen/>
        <w:t>6</w:t>
      </w:r>
      <w:r w:rsidR="00576628">
        <w:fldChar w:fldCharType="end"/>
      </w:r>
      <w:r w:rsidR="00576628">
        <w:t xml:space="preserve"> below.</w:t>
      </w:r>
    </w:p>
    <w:p w14:paraId="03BD5117" w14:textId="5BDD01CC" w:rsidR="00C012D7" w:rsidRDefault="00C012D7" w:rsidP="00C012D7">
      <w:pPr>
        <w:pStyle w:val="Caption"/>
      </w:pPr>
      <w:bookmarkStart w:id="37" w:name="_Ref155689001"/>
      <w:r>
        <w:t xml:space="preserve">Table </w:t>
      </w:r>
      <w:r w:rsidR="000B4DFF">
        <w:fldChar w:fldCharType="begin"/>
      </w:r>
      <w:r w:rsidR="000B4DFF">
        <w:instrText xml:space="preserve"> STYLEREF 1 \s </w:instrText>
      </w:r>
      <w:r w:rsidR="000B4DFF">
        <w:fldChar w:fldCharType="separate"/>
      </w:r>
      <w:r w:rsidR="008502A6">
        <w:rPr>
          <w:noProof/>
        </w:rPr>
        <w:t>2</w:t>
      </w:r>
      <w:r w:rsidR="000B4DFF">
        <w:rPr>
          <w:noProof/>
        </w:rPr>
        <w:fldChar w:fldCharType="end"/>
      </w:r>
      <w:r w:rsidR="003E1AD7">
        <w:noBreakHyphen/>
      </w:r>
      <w:r w:rsidR="000B4DFF">
        <w:fldChar w:fldCharType="begin"/>
      </w:r>
      <w:r w:rsidR="000B4DFF">
        <w:instrText xml:space="preserve"> SEQ Table \* ARABIC \s 1 </w:instrText>
      </w:r>
      <w:r w:rsidR="000B4DFF">
        <w:fldChar w:fldCharType="separate"/>
      </w:r>
      <w:r w:rsidR="008502A6">
        <w:rPr>
          <w:noProof/>
        </w:rPr>
        <w:t>6</w:t>
      </w:r>
      <w:r w:rsidR="000B4DFF">
        <w:rPr>
          <w:noProof/>
        </w:rPr>
        <w:fldChar w:fldCharType="end"/>
      </w:r>
      <w:bookmarkEnd w:id="37"/>
      <w:r>
        <w:t xml:space="preserve"> Revised h</w:t>
      </w:r>
      <w:r w:rsidRPr="00C012D7">
        <w:t xml:space="preserve">ousing projections for </w:t>
      </w:r>
      <w:proofErr w:type="spellStart"/>
      <w:r w:rsidRPr="00C012D7">
        <w:t>Thornham</w:t>
      </w:r>
      <w:proofErr w:type="spellEnd"/>
      <w:r w:rsidRPr="00C012D7">
        <w:t xml:space="preserve"> WwTW catchment</w:t>
      </w:r>
    </w:p>
    <w:tbl>
      <w:tblPr>
        <w:tblStyle w:val="Ricardotable"/>
        <w:tblW w:w="9090" w:type="dxa"/>
        <w:tblLook w:val="0020" w:firstRow="1" w:lastRow="0" w:firstColumn="0" w:lastColumn="0" w:noHBand="0" w:noVBand="0"/>
      </w:tblPr>
      <w:tblGrid>
        <w:gridCol w:w="1904"/>
        <w:gridCol w:w="2032"/>
        <w:gridCol w:w="1350"/>
        <w:gridCol w:w="1626"/>
        <w:gridCol w:w="2178"/>
      </w:tblGrid>
      <w:tr w:rsidR="00C012D7" w14:paraId="3C60F994" w14:textId="77777777" w:rsidTr="00892AF5">
        <w:trPr>
          <w:cnfStyle w:val="100000000000" w:firstRow="1" w:lastRow="0" w:firstColumn="0" w:lastColumn="0" w:oddVBand="0" w:evenVBand="0" w:oddHBand="0" w:evenHBand="0" w:firstRowFirstColumn="0" w:firstRowLastColumn="0" w:lastRowFirstColumn="0" w:lastRowLastColumn="0"/>
        </w:trPr>
        <w:tc>
          <w:tcPr>
            <w:tcW w:w="1904" w:type="dxa"/>
            <w:shd w:val="clear" w:color="auto" w:fill="4472C4" w:themeFill="accent1"/>
          </w:tcPr>
          <w:p w14:paraId="273A17A1" w14:textId="4BE2DFBE" w:rsidR="00C012D7" w:rsidRPr="002F3A37" w:rsidRDefault="00C012D7" w:rsidP="00523CFF">
            <w:pPr>
              <w:pStyle w:val="ListParagraph"/>
              <w:spacing w:after="0"/>
              <w:ind w:left="0"/>
              <w:jc w:val="both"/>
              <w:rPr>
                <w:b/>
                <w:bCs/>
                <w:sz w:val="18"/>
              </w:rPr>
            </w:pPr>
            <w:r w:rsidRPr="002F3A37">
              <w:rPr>
                <w:b/>
                <w:bCs/>
                <w:sz w:val="18"/>
              </w:rPr>
              <w:t>Document</w:t>
            </w:r>
          </w:p>
        </w:tc>
        <w:tc>
          <w:tcPr>
            <w:tcW w:w="2032" w:type="dxa"/>
            <w:shd w:val="clear" w:color="auto" w:fill="4472C4" w:themeFill="accent1"/>
          </w:tcPr>
          <w:p w14:paraId="4A474B33" w14:textId="59AE570F" w:rsidR="00C012D7" w:rsidRPr="002F3A37" w:rsidRDefault="00C012D7" w:rsidP="00523CFF">
            <w:pPr>
              <w:pStyle w:val="ListParagraph"/>
              <w:spacing w:after="0"/>
              <w:ind w:left="0"/>
              <w:jc w:val="both"/>
              <w:rPr>
                <w:b/>
                <w:bCs/>
                <w:sz w:val="18"/>
              </w:rPr>
            </w:pPr>
            <w:r w:rsidRPr="002F3A37">
              <w:rPr>
                <w:b/>
                <w:bCs/>
                <w:sz w:val="18"/>
              </w:rPr>
              <w:t>Source</w:t>
            </w:r>
          </w:p>
        </w:tc>
        <w:tc>
          <w:tcPr>
            <w:tcW w:w="1350" w:type="dxa"/>
            <w:shd w:val="clear" w:color="auto" w:fill="4472C4" w:themeFill="accent1"/>
          </w:tcPr>
          <w:p w14:paraId="66FE00C8" w14:textId="438E65EA" w:rsidR="00C012D7" w:rsidRPr="002F3A37" w:rsidRDefault="00C012D7" w:rsidP="00C012D7">
            <w:pPr>
              <w:pStyle w:val="ListParagraph"/>
              <w:spacing w:after="0"/>
              <w:ind w:left="0"/>
              <w:jc w:val="both"/>
              <w:rPr>
                <w:b/>
                <w:bCs/>
                <w:sz w:val="18"/>
              </w:rPr>
            </w:pPr>
            <w:r w:rsidRPr="002F3A37">
              <w:rPr>
                <w:b/>
                <w:bCs/>
                <w:sz w:val="18"/>
              </w:rPr>
              <w:t>Housing projections</w:t>
            </w:r>
          </w:p>
        </w:tc>
        <w:tc>
          <w:tcPr>
            <w:tcW w:w="1626" w:type="dxa"/>
            <w:shd w:val="clear" w:color="auto" w:fill="4472C4" w:themeFill="accent1"/>
          </w:tcPr>
          <w:p w14:paraId="3C1F3794" w14:textId="7824B3A4" w:rsidR="00C012D7" w:rsidRPr="002F3A37" w:rsidRDefault="00C012D7" w:rsidP="00523CFF">
            <w:pPr>
              <w:pStyle w:val="ListParagraph"/>
              <w:spacing w:after="0"/>
              <w:ind w:left="0"/>
              <w:rPr>
                <w:b/>
                <w:bCs/>
                <w:sz w:val="18"/>
              </w:rPr>
            </w:pPr>
            <w:r w:rsidRPr="002F3A37">
              <w:rPr>
                <w:b/>
                <w:bCs/>
                <w:sz w:val="18"/>
              </w:rPr>
              <w:t>Associated DWF increase</w:t>
            </w:r>
          </w:p>
        </w:tc>
        <w:tc>
          <w:tcPr>
            <w:tcW w:w="2178" w:type="dxa"/>
            <w:shd w:val="clear" w:color="auto" w:fill="4472C4" w:themeFill="accent1"/>
          </w:tcPr>
          <w:p w14:paraId="7474B56D" w14:textId="104ECEE4" w:rsidR="00C012D7" w:rsidRPr="002F3A37" w:rsidRDefault="00C012D7" w:rsidP="006E7A18">
            <w:pPr>
              <w:pStyle w:val="ListParagraph"/>
              <w:spacing w:after="0"/>
              <w:ind w:left="0"/>
              <w:jc w:val="left"/>
              <w:rPr>
                <w:b/>
                <w:bCs/>
                <w:sz w:val="18"/>
              </w:rPr>
            </w:pPr>
            <w:r w:rsidRPr="002F3A37">
              <w:rPr>
                <w:b/>
                <w:bCs/>
                <w:sz w:val="18"/>
              </w:rPr>
              <w:t>Methodological assumptions</w:t>
            </w:r>
          </w:p>
        </w:tc>
      </w:tr>
      <w:tr w:rsidR="00C012D7" w14:paraId="23EFEF92" w14:textId="77777777" w:rsidTr="00892AF5">
        <w:trPr>
          <w:trHeight w:val="963"/>
        </w:trPr>
        <w:tc>
          <w:tcPr>
            <w:tcW w:w="1904" w:type="dxa"/>
          </w:tcPr>
          <w:p w14:paraId="6F537AA7" w14:textId="77777777" w:rsidR="00C012D7" w:rsidRPr="00C24052" w:rsidRDefault="00C012D7" w:rsidP="00523CFF">
            <w:pPr>
              <w:pStyle w:val="ListParagraph"/>
              <w:spacing w:after="0"/>
              <w:ind w:left="0"/>
              <w:rPr>
                <w:sz w:val="18"/>
              </w:rPr>
            </w:pPr>
            <w:r w:rsidRPr="00C24052">
              <w:rPr>
                <w:sz w:val="18"/>
              </w:rPr>
              <w:t>CDC &amp; HBC Housing Projections to 2039</w:t>
            </w:r>
          </w:p>
        </w:tc>
        <w:tc>
          <w:tcPr>
            <w:tcW w:w="2032" w:type="dxa"/>
          </w:tcPr>
          <w:p w14:paraId="70955B57" w14:textId="27B34F9C" w:rsidR="00C012D7" w:rsidRPr="00C24052" w:rsidRDefault="00D30351" w:rsidP="00523CFF">
            <w:pPr>
              <w:spacing w:after="0"/>
              <w:contextualSpacing/>
              <w:rPr>
                <w:sz w:val="18"/>
              </w:rPr>
            </w:pPr>
            <w:r>
              <w:rPr>
                <w:sz w:val="18"/>
              </w:rPr>
              <w:t xml:space="preserve">Chichester Local Plan 2021-2039 and </w:t>
            </w:r>
            <w:r w:rsidR="00C012D7" w:rsidRPr="00C24052">
              <w:rPr>
                <w:sz w:val="18"/>
              </w:rPr>
              <w:t xml:space="preserve">HBC </w:t>
            </w:r>
            <w:r w:rsidR="00CB4AA9">
              <w:rPr>
                <w:sz w:val="18"/>
              </w:rPr>
              <w:t>email</w:t>
            </w:r>
            <w:r>
              <w:rPr>
                <w:rStyle w:val="FootnoteReference"/>
                <w:sz w:val="18"/>
              </w:rPr>
              <w:footnoteReference w:id="27"/>
            </w:r>
            <w:r>
              <w:rPr>
                <w:sz w:val="18"/>
              </w:rPr>
              <w:t>,</w:t>
            </w:r>
            <w:r w:rsidR="00C012D7" w:rsidRPr="00C24052">
              <w:rPr>
                <w:rStyle w:val="FootnoteReference"/>
                <w:sz w:val="18"/>
              </w:rPr>
              <w:footnoteReference w:id="28"/>
            </w:r>
          </w:p>
        </w:tc>
        <w:tc>
          <w:tcPr>
            <w:tcW w:w="1350" w:type="dxa"/>
          </w:tcPr>
          <w:p w14:paraId="2CDE106B" w14:textId="77777777" w:rsidR="00C012D7" w:rsidRPr="00C24052" w:rsidRDefault="00C012D7" w:rsidP="00523CFF">
            <w:pPr>
              <w:pStyle w:val="ListParagraph"/>
              <w:spacing w:after="0"/>
              <w:ind w:left="0"/>
              <w:rPr>
                <w:sz w:val="18"/>
              </w:rPr>
            </w:pPr>
            <w:r w:rsidRPr="00C24052">
              <w:rPr>
                <w:sz w:val="18"/>
              </w:rPr>
              <w:t>2360</w:t>
            </w:r>
          </w:p>
          <w:p w14:paraId="5E289D6E" w14:textId="77777777" w:rsidR="00C012D7" w:rsidRPr="00C24052" w:rsidRDefault="00C012D7" w:rsidP="00523CFF">
            <w:pPr>
              <w:pStyle w:val="ListParagraph"/>
              <w:spacing w:after="0"/>
              <w:ind w:left="0"/>
              <w:rPr>
                <w:sz w:val="18"/>
              </w:rPr>
            </w:pPr>
            <w:r w:rsidRPr="00C24052">
              <w:rPr>
                <w:sz w:val="18"/>
              </w:rPr>
              <w:t>(1638 CDC; 722 HBC)</w:t>
            </w:r>
          </w:p>
        </w:tc>
        <w:tc>
          <w:tcPr>
            <w:tcW w:w="1626" w:type="dxa"/>
          </w:tcPr>
          <w:p w14:paraId="572C6684" w14:textId="7F99BC69" w:rsidR="00C012D7" w:rsidRPr="00C24052" w:rsidRDefault="00C012D7" w:rsidP="00523CFF">
            <w:pPr>
              <w:pStyle w:val="ListParagraph"/>
              <w:spacing w:after="0"/>
              <w:ind w:left="0"/>
              <w:rPr>
                <w:sz w:val="18"/>
              </w:rPr>
            </w:pPr>
            <w:r w:rsidRPr="00C24052">
              <w:rPr>
                <w:sz w:val="18"/>
              </w:rPr>
              <w:t>1</w:t>
            </w:r>
            <w:r w:rsidR="00F95A44" w:rsidRPr="00C24052">
              <w:rPr>
                <w:sz w:val="18"/>
              </w:rPr>
              <w:t>106</w:t>
            </w:r>
            <w:r w:rsidRPr="00C24052">
              <w:rPr>
                <w:sz w:val="18"/>
              </w:rPr>
              <w:t xml:space="preserve"> m</w:t>
            </w:r>
            <w:r w:rsidRPr="00C24052">
              <w:rPr>
                <w:sz w:val="18"/>
                <w:vertAlign w:val="superscript"/>
              </w:rPr>
              <w:t>3</w:t>
            </w:r>
            <w:r w:rsidRPr="00C24052">
              <w:rPr>
                <w:sz w:val="18"/>
              </w:rPr>
              <w:t>/d</w:t>
            </w:r>
            <w:r w:rsidR="002C2E0D">
              <w:rPr>
                <w:sz w:val="18"/>
              </w:rPr>
              <w:t xml:space="preserve"> (1023 m</w:t>
            </w:r>
            <w:r w:rsidR="002C2E0D" w:rsidRPr="002C2E0D">
              <w:rPr>
                <w:sz w:val="18"/>
                <w:vertAlign w:val="superscript"/>
              </w:rPr>
              <w:t>3</w:t>
            </w:r>
            <w:r w:rsidR="002C2E0D">
              <w:rPr>
                <w:sz w:val="18"/>
              </w:rPr>
              <w:t>/d)</w:t>
            </w:r>
          </w:p>
        </w:tc>
        <w:tc>
          <w:tcPr>
            <w:tcW w:w="2178" w:type="dxa"/>
          </w:tcPr>
          <w:p w14:paraId="5D65C2D3" w14:textId="03BD862B" w:rsidR="00C012D7" w:rsidRPr="00C24052" w:rsidRDefault="00C012D7" w:rsidP="00523CFF">
            <w:pPr>
              <w:pStyle w:val="ListParagraph"/>
              <w:spacing w:after="0"/>
              <w:ind w:left="0"/>
              <w:rPr>
                <w:sz w:val="18"/>
              </w:rPr>
            </w:pPr>
            <w:r w:rsidRPr="00C24052">
              <w:rPr>
                <w:sz w:val="18"/>
              </w:rPr>
              <w:t>DWF estimated using 4</w:t>
            </w:r>
            <w:r w:rsidR="00F95A44" w:rsidRPr="00C24052">
              <w:rPr>
                <w:sz w:val="18"/>
              </w:rPr>
              <w:t>69</w:t>
            </w:r>
            <w:r w:rsidRPr="00C24052">
              <w:rPr>
                <w:sz w:val="18"/>
              </w:rPr>
              <w:t xml:space="preserve"> l/d per household</w:t>
            </w:r>
            <w:r w:rsidR="002C2E0D">
              <w:rPr>
                <w:sz w:val="18"/>
              </w:rPr>
              <w:t xml:space="preserve"> (433 l/d per household)</w:t>
            </w:r>
          </w:p>
        </w:tc>
      </w:tr>
    </w:tbl>
    <w:p w14:paraId="49D4E9CD" w14:textId="79DCBB9F" w:rsidR="00B12992" w:rsidRPr="00EB737F" w:rsidRDefault="00002A8B" w:rsidP="00573E1A">
      <w:pPr>
        <w:spacing w:before="240"/>
        <w:jc w:val="both"/>
        <w:rPr>
          <w:i/>
          <w:iCs/>
          <w:color w:val="4472C4"/>
        </w:rPr>
      </w:pPr>
      <w:r>
        <w:t xml:space="preserve">Whilst it </w:t>
      </w:r>
      <w:r w:rsidR="00D6546A">
        <w:t xml:space="preserve">can be argued </w:t>
      </w:r>
      <w:r>
        <w:t>that 500l/d is a</w:t>
      </w:r>
      <w:r w:rsidR="00D6546A">
        <w:t xml:space="preserve"> </w:t>
      </w:r>
      <w:r w:rsidR="00922AA3">
        <w:t xml:space="preserve">slightly more </w:t>
      </w:r>
      <w:r w:rsidR="00D81794" w:rsidRPr="00D81794">
        <w:t>precautionary</w:t>
      </w:r>
      <w:r w:rsidR="00D6546A">
        <w:t xml:space="preserve"> approach to calculating DWF head</w:t>
      </w:r>
      <w:r>
        <w:t>room</w:t>
      </w:r>
      <w:r w:rsidR="002D2E2F">
        <w:t xml:space="preserve"> than the 4</w:t>
      </w:r>
      <w:r w:rsidR="00576628">
        <w:t>69</w:t>
      </w:r>
      <w:r w:rsidR="002D2E2F">
        <w:t>l/d</w:t>
      </w:r>
      <w:r w:rsidR="00D6546A">
        <w:t xml:space="preserve"> it may</w:t>
      </w:r>
      <w:r>
        <w:t xml:space="preserve"> als</w:t>
      </w:r>
      <w:r w:rsidR="002D2E2F">
        <w:t>o be less</w:t>
      </w:r>
      <w:r w:rsidR="005B7567">
        <w:t xml:space="preserve"> </w:t>
      </w:r>
      <w:r w:rsidR="00D6546A">
        <w:t xml:space="preserve">representative of </w:t>
      </w:r>
      <w:r w:rsidR="00BF6357">
        <w:t xml:space="preserve">future </w:t>
      </w:r>
      <w:r w:rsidR="00D6546A">
        <w:t xml:space="preserve">water usage rates throughout the </w:t>
      </w:r>
      <w:proofErr w:type="spellStart"/>
      <w:r w:rsidR="00D6546A">
        <w:t>Thornham</w:t>
      </w:r>
      <w:proofErr w:type="spellEnd"/>
      <w:r w:rsidR="00D6546A">
        <w:t xml:space="preserve"> WwTW catchment. </w:t>
      </w:r>
    </w:p>
    <w:p w14:paraId="56158755" w14:textId="6F0DBE85" w:rsidR="00F87437" w:rsidRDefault="00AD68C9" w:rsidP="00AD68C9">
      <w:pPr>
        <w:pStyle w:val="Heading2"/>
      </w:pPr>
      <w:bookmarkStart w:id="38" w:name="_Ref152312943"/>
      <w:bookmarkStart w:id="39" w:name="_Toc160434459"/>
      <w:r>
        <w:t xml:space="preserve">Nitrate </w:t>
      </w:r>
      <w:r w:rsidR="003D703C">
        <w:t>Loading</w:t>
      </w:r>
      <w:bookmarkEnd w:id="38"/>
      <w:bookmarkEnd w:id="39"/>
    </w:p>
    <w:p w14:paraId="29B7B45C" w14:textId="2463AC05" w:rsidR="0091108D" w:rsidRDefault="0091108D" w:rsidP="0091108D">
      <w:r>
        <w:t xml:space="preserve">Nitrate loading from housing growth associated with the </w:t>
      </w:r>
      <w:proofErr w:type="spellStart"/>
      <w:r>
        <w:t>Thornham</w:t>
      </w:r>
      <w:proofErr w:type="spellEnd"/>
      <w:r>
        <w:t xml:space="preserve"> WwTW catchment was assessed in two reports</w:t>
      </w:r>
      <w:r w:rsidR="002D2E2F">
        <w:t xml:space="preserve"> as show </w:t>
      </w:r>
      <w:r w:rsidR="002D2E2F" w:rsidRPr="00573E1A">
        <w:t>in</w:t>
      </w:r>
      <w:r w:rsidRPr="00573E1A">
        <w:rPr>
          <w:b/>
          <w:bCs/>
          <w:color w:val="006BB7"/>
        </w:rPr>
        <w:t xml:space="preserve"> </w:t>
      </w:r>
      <w:r w:rsidR="00340BAF" w:rsidRPr="00573E1A">
        <w:rPr>
          <w:b/>
          <w:bCs/>
          <w:color w:val="006BB7"/>
        </w:rPr>
        <w:fldChar w:fldCharType="begin"/>
      </w:r>
      <w:r w:rsidR="00340BAF" w:rsidRPr="00573E1A">
        <w:rPr>
          <w:b/>
          <w:bCs/>
          <w:color w:val="006BB7"/>
        </w:rPr>
        <w:instrText xml:space="preserve"> REF _Ref148002932 \h  \* MERGEFORMAT </w:instrText>
      </w:r>
      <w:r w:rsidR="00340BAF" w:rsidRPr="00573E1A">
        <w:rPr>
          <w:b/>
          <w:bCs/>
          <w:color w:val="006BB7"/>
        </w:rPr>
      </w:r>
      <w:r w:rsidR="00340BAF" w:rsidRPr="00573E1A">
        <w:rPr>
          <w:b/>
          <w:bCs/>
          <w:color w:val="006BB7"/>
        </w:rPr>
        <w:fldChar w:fldCharType="separate"/>
      </w:r>
      <w:r w:rsidR="008502A6" w:rsidRPr="008502A6">
        <w:rPr>
          <w:b/>
          <w:bCs/>
          <w:color w:val="006BB7"/>
        </w:rPr>
        <w:t xml:space="preserve">Table </w:t>
      </w:r>
      <w:r w:rsidR="008502A6" w:rsidRPr="008502A6">
        <w:rPr>
          <w:b/>
          <w:bCs/>
          <w:noProof/>
          <w:color w:val="006BB7"/>
        </w:rPr>
        <w:t>2</w:t>
      </w:r>
      <w:r w:rsidR="008502A6" w:rsidRPr="008502A6">
        <w:rPr>
          <w:b/>
          <w:bCs/>
          <w:noProof/>
          <w:color w:val="006BB7"/>
        </w:rPr>
        <w:noBreakHyphen/>
        <w:t>7</w:t>
      </w:r>
      <w:r w:rsidR="00340BAF" w:rsidRPr="00573E1A">
        <w:rPr>
          <w:b/>
          <w:bCs/>
          <w:color w:val="006BB7"/>
        </w:rPr>
        <w:fldChar w:fldCharType="end"/>
      </w:r>
      <w:r w:rsidR="002D2E2F" w:rsidRPr="00573E1A">
        <w:rPr>
          <w:b/>
          <w:bCs/>
          <w:color w:val="006BB7"/>
        </w:rPr>
        <w:t xml:space="preserve"> </w:t>
      </w:r>
      <w:r w:rsidR="002D2E2F" w:rsidRPr="00573E1A">
        <w:t>below which</w:t>
      </w:r>
      <w:r w:rsidRPr="00573E1A">
        <w:t xml:space="preserve"> </w:t>
      </w:r>
      <w:r w:rsidRPr="002D2E2F">
        <w:t xml:space="preserve">provides </w:t>
      </w:r>
      <w:r>
        <w:t xml:space="preserve">a summary of the </w:t>
      </w:r>
      <w:r w:rsidR="00340BAF">
        <w:t xml:space="preserve">predicted </w:t>
      </w:r>
      <w:r w:rsidR="003739ED">
        <w:t xml:space="preserve">increase in </w:t>
      </w:r>
      <w:r>
        <w:t>Tota</w:t>
      </w:r>
      <w:r w:rsidR="00340BAF">
        <w:t xml:space="preserve">l Oxidised Nitrogen (TON) </w:t>
      </w:r>
      <w:r w:rsidR="003739ED">
        <w:t xml:space="preserve">loading from projected </w:t>
      </w:r>
      <w:proofErr w:type="spellStart"/>
      <w:r w:rsidR="00E74709">
        <w:t>Thornham</w:t>
      </w:r>
      <w:proofErr w:type="spellEnd"/>
      <w:r w:rsidR="00E74709">
        <w:t xml:space="preserve"> WwTW </w:t>
      </w:r>
      <w:r w:rsidR="003739ED">
        <w:t xml:space="preserve">growth </w:t>
      </w:r>
      <w:r w:rsidR="00E74709">
        <w:t>to 2036</w:t>
      </w:r>
      <w:r w:rsidR="00E74709" w:rsidRPr="00E74709">
        <w:t xml:space="preserve"> </w:t>
      </w:r>
      <w:r w:rsidR="003739ED">
        <w:t>provided in</w:t>
      </w:r>
      <w:r w:rsidR="002D2E2F">
        <w:t xml:space="preserve"> these</w:t>
      </w:r>
      <w:r w:rsidR="003739ED">
        <w:t xml:space="preserve"> two reports.</w:t>
      </w:r>
    </w:p>
    <w:p w14:paraId="57A9D70B" w14:textId="490BCA26" w:rsidR="00340BAF" w:rsidRPr="00E74709" w:rsidRDefault="00340BAF" w:rsidP="00340BAF">
      <w:pPr>
        <w:pStyle w:val="Caption"/>
      </w:pPr>
      <w:bookmarkStart w:id="40" w:name="_Ref148002932"/>
      <w:r w:rsidRPr="00E74709">
        <w:t xml:space="preserve">Table </w:t>
      </w:r>
      <w:r w:rsidR="000B4DFF">
        <w:fldChar w:fldCharType="begin"/>
      </w:r>
      <w:r w:rsidR="000B4DFF">
        <w:instrText xml:space="preserve"> STYLEREF </w:instrText>
      </w:r>
      <w:r w:rsidR="000B4DFF">
        <w:instrText xml:space="preserve">1 \s </w:instrText>
      </w:r>
      <w:r w:rsidR="000B4DFF">
        <w:fldChar w:fldCharType="separate"/>
      </w:r>
      <w:r w:rsidR="008502A6">
        <w:rPr>
          <w:noProof/>
        </w:rPr>
        <w:t>2</w:t>
      </w:r>
      <w:r w:rsidR="000B4DFF">
        <w:rPr>
          <w:noProof/>
        </w:rPr>
        <w:fldChar w:fldCharType="end"/>
      </w:r>
      <w:r w:rsidR="003E1AD7">
        <w:noBreakHyphen/>
      </w:r>
      <w:r w:rsidR="000B4DFF">
        <w:fldChar w:fldCharType="begin"/>
      </w:r>
      <w:r w:rsidR="000B4DFF">
        <w:instrText xml:space="preserve"> SEQ Table \* ARABIC \s 1 </w:instrText>
      </w:r>
      <w:r w:rsidR="000B4DFF">
        <w:fldChar w:fldCharType="separate"/>
      </w:r>
      <w:r w:rsidR="008502A6">
        <w:rPr>
          <w:noProof/>
        </w:rPr>
        <w:t>7</w:t>
      </w:r>
      <w:r w:rsidR="000B4DFF">
        <w:rPr>
          <w:noProof/>
        </w:rPr>
        <w:fldChar w:fldCharType="end"/>
      </w:r>
      <w:bookmarkEnd w:id="40"/>
      <w:r w:rsidRPr="00E74709">
        <w:t xml:space="preserve"> </w:t>
      </w:r>
      <w:r w:rsidR="00E74709" w:rsidRPr="00E74709">
        <w:t xml:space="preserve"> Summary of predicted increase in Total Oxidised Nitrogen (TON) loading from projected growth to 2036 </w:t>
      </w:r>
    </w:p>
    <w:tbl>
      <w:tblPr>
        <w:tblStyle w:val="Ricardotable"/>
        <w:tblW w:w="8330" w:type="dxa"/>
        <w:tblLayout w:type="fixed"/>
        <w:tblLook w:val="0020" w:firstRow="1" w:lastRow="0" w:firstColumn="0" w:lastColumn="0" w:noHBand="0" w:noVBand="0"/>
      </w:tblPr>
      <w:tblGrid>
        <w:gridCol w:w="3652"/>
        <w:gridCol w:w="2268"/>
        <w:gridCol w:w="2410"/>
      </w:tblGrid>
      <w:tr w:rsidR="003739ED" w14:paraId="49040F24" w14:textId="25074C71" w:rsidTr="00113DAB">
        <w:trPr>
          <w:cnfStyle w:val="100000000000" w:firstRow="1" w:lastRow="0" w:firstColumn="0" w:lastColumn="0" w:oddVBand="0" w:evenVBand="0" w:oddHBand="0" w:evenHBand="0" w:firstRowFirstColumn="0" w:firstRowLastColumn="0" w:lastRowFirstColumn="0" w:lastRowLastColumn="0"/>
        </w:trPr>
        <w:tc>
          <w:tcPr>
            <w:tcW w:w="3652" w:type="dxa"/>
            <w:shd w:val="clear" w:color="auto" w:fill="4472C4" w:themeFill="accent1"/>
          </w:tcPr>
          <w:p w14:paraId="0AC7CF9E" w14:textId="3A63BEA5" w:rsidR="003739ED" w:rsidRPr="002F3A37" w:rsidRDefault="003739ED" w:rsidP="00CE3E40">
            <w:pPr>
              <w:pStyle w:val="ListParagraph"/>
              <w:spacing w:after="0"/>
              <w:ind w:left="0"/>
              <w:jc w:val="both"/>
              <w:rPr>
                <w:b/>
                <w:bCs/>
                <w:sz w:val="18"/>
              </w:rPr>
            </w:pPr>
            <w:r w:rsidRPr="002F3A37">
              <w:rPr>
                <w:b/>
                <w:bCs/>
                <w:sz w:val="18"/>
              </w:rPr>
              <w:t>Document</w:t>
            </w:r>
          </w:p>
        </w:tc>
        <w:tc>
          <w:tcPr>
            <w:tcW w:w="2268" w:type="dxa"/>
            <w:shd w:val="clear" w:color="auto" w:fill="4472C4" w:themeFill="accent1"/>
          </w:tcPr>
          <w:p w14:paraId="7FBA6700" w14:textId="68B2EF98" w:rsidR="003739ED" w:rsidRPr="002F3A37" w:rsidRDefault="003739ED" w:rsidP="0091108D">
            <w:pPr>
              <w:pStyle w:val="ListParagraph"/>
              <w:spacing w:after="0"/>
              <w:ind w:left="-50"/>
              <w:rPr>
                <w:b/>
                <w:bCs/>
                <w:sz w:val="18"/>
              </w:rPr>
            </w:pPr>
            <w:r w:rsidRPr="002F3A37">
              <w:rPr>
                <w:b/>
                <w:bCs/>
                <w:sz w:val="18"/>
              </w:rPr>
              <w:t xml:space="preserve">Increase in </w:t>
            </w:r>
            <w:proofErr w:type="gramStart"/>
            <w:r w:rsidRPr="002F3A37">
              <w:rPr>
                <w:b/>
                <w:bCs/>
                <w:sz w:val="18"/>
              </w:rPr>
              <w:t>TON  (</w:t>
            </w:r>
            <w:proofErr w:type="gramEnd"/>
            <w:r w:rsidRPr="002F3A37">
              <w:rPr>
                <w:b/>
                <w:bCs/>
                <w:sz w:val="18"/>
              </w:rPr>
              <w:t>kg/</w:t>
            </w:r>
            <w:proofErr w:type="spellStart"/>
            <w:r w:rsidRPr="002F3A37">
              <w:rPr>
                <w:b/>
                <w:bCs/>
                <w:sz w:val="18"/>
              </w:rPr>
              <w:t>yr</w:t>
            </w:r>
            <w:proofErr w:type="spellEnd"/>
            <w:r w:rsidRPr="002F3A37">
              <w:rPr>
                <w:b/>
                <w:bCs/>
                <w:sz w:val="18"/>
              </w:rPr>
              <w:t xml:space="preserve">, 2036) </w:t>
            </w:r>
          </w:p>
        </w:tc>
        <w:tc>
          <w:tcPr>
            <w:tcW w:w="2410" w:type="dxa"/>
            <w:shd w:val="clear" w:color="auto" w:fill="4472C4" w:themeFill="accent1"/>
          </w:tcPr>
          <w:p w14:paraId="63EDDB63" w14:textId="77777777" w:rsidR="003739ED" w:rsidRPr="002F3A37" w:rsidRDefault="003739ED" w:rsidP="00340BAF">
            <w:pPr>
              <w:pStyle w:val="ListParagraph"/>
              <w:spacing w:after="0"/>
              <w:ind w:left="0"/>
              <w:rPr>
                <w:b/>
                <w:bCs/>
                <w:sz w:val="18"/>
              </w:rPr>
            </w:pPr>
            <w:r w:rsidRPr="002F3A37">
              <w:rPr>
                <w:b/>
                <w:bCs/>
                <w:sz w:val="18"/>
              </w:rPr>
              <w:t xml:space="preserve">Percentage </w:t>
            </w:r>
          </w:p>
          <w:p w14:paraId="1F66E24B" w14:textId="18F6087E" w:rsidR="003739ED" w:rsidRPr="002F3A37" w:rsidRDefault="003739ED" w:rsidP="00340BAF">
            <w:pPr>
              <w:pStyle w:val="ListParagraph"/>
              <w:spacing w:after="0"/>
              <w:ind w:left="0"/>
              <w:rPr>
                <w:b/>
                <w:bCs/>
                <w:sz w:val="18"/>
              </w:rPr>
            </w:pPr>
            <w:r w:rsidRPr="002F3A37">
              <w:rPr>
                <w:b/>
                <w:bCs/>
                <w:sz w:val="18"/>
              </w:rPr>
              <w:t>increase in TON (2036)</w:t>
            </w:r>
          </w:p>
        </w:tc>
      </w:tr>
      <w:tr w:rsidR="003739ED" w14:paraId="15B9C5B0" w14:textId="188D6508" w:rsidTr="00113DAB">
        <w:trPr>
          <w:trHeight w:val="279"/>
        </w:trPr>
        <w:tc>
          <w:tcPr>
            <w:tcW w:w="3652" w:type="dxa"/>
          </w:tcPr>
          <w:p w14:paraId="341CD943" w14:textId="2C49E1B5" w:rsidR="003739ED" w:rsidRPr="00C24052" w:rsidRDefault="003739ED" w:rsidP="00CE3E40">
            <w:pPr>
              <w:pStyle w:val="ListParagraph"/>
              <w:ind w:left="0"/>
              <w:rPr>
                <w:sz w:val="18"/>
              </w:rPr>
            </w:pPr>
            <w:r w:rsidRPr="00C24052">
              <w:rPr>
                <w:sz w:val="18"/>
              </w:rPr>
              <w:t>Wood’s Integrated Water Management Study addendum (2020)</w:t>
            </w:r>
          </w:p>
        </w:tc>
        <w:tc>
          <w:tcPr>
            <w:tcW w:w="2268" w:type="dxa"/>
          </w:tcPr>
          <w:p w14:paraId="0EBC174A" w14:textId="54407DA6" w:rsidR="003739ED" w:rsidRPr="00C24052" w:rsidRDefault="003739ED" w:rsidP="00CE3E40">
            <w:pPr>
              <w:pStyle w:val="ListParagraph"/>
              <w:ind w:left="0"/>
              <w:rPr>
                <w:sz w:val="18"/>
              </w:rPr>
            </w:pPr>
            <w:r w:rsidRPr="00C24052">
              <w:rPr>
                <w:sz w:val="18"/>
              </w:rPr>
              <w:t>2354.6 kg/</w:t>
            </w:r>
            <w:proofErr w:type="spellStart"/>
            <w:r w:rsidRPr="00C24052">
              <w:rPr>
                <w:sz w:val="18"/>
              </w:rPr>
              <w:t>yr</w:t>
            </w:r>
            <w:proofErr w:type="spellEnd"/>
          </w:p>
        </w:tc>
        <w:tc>
          <w:tcPr>
            <w:tcW w:w="2410" w:type="dxa"/>
          </w:tcPr>
          <w:p w14:paraId="60D63B9C" w14:textId="5472CB9C" w:rsidR="003739ED" w:rsidRPr="00C24052" w:rsidRDefault="003739ED" w:rsidP="00CE3E40">
            <w:pPr>
              <w:pStyle w:val="ListParagraph"/>
              <w:ind w:left="0"/>
              <w:rPr>
                <w:sz w:val="18"/>
              </w:rPr>
            </w:pPr>
            <w:r w:rsidRPr="00C24052">
              <w:rPr>
                <w:sz w:val="18"/>
              </w:rPr>
              <w:t>7.4%</w:t>
            </w:r>
          </w:p>
        </w:tc>
      </w:tr>
      <w:tr w:rsidR="003739ED" w14:paraId="6038571B" w14:textId="08C6CF67" w:rsidTr="00113DAB">
        <w:trPr>
          <w:cnfStyle w:val="000000010000" w:firstRow="0" w:lastRow="0" w:firstColumn="0" w:lastColumn="0" w:oddVBand="0" w:evenVBand="0" w:oddHBand="0" w:evenHBand="1" w:firstRowFirstColumn="0" w:firstRowLastColumn="0" w:lastRowFirstColumn="0" w:lastRowLastColumn="0"/>
        </w:trPr>
        <w:tc>
          <w:tcPr>
            <w:tcW w:w="3652" w:type="dxa"/>
          </w:tcPr>
          <w:p w14:paraId="12E1A7A3" w14:textId="68E19503" w:rsidR="003739ED" w:rsidRPr="00C24052" w:rsidRDefault="003739ED" w:rsidP="00CE3E40">
            <w:pPr>
              <w:pStyle w:val="ListParagraph"/>
              <w:ind w:left="0"/>
              <w:rPr>
                <w:sz w:val="18"/>
              </w:rPr>
            </w:pPr>
            <w:bookmarkStart w:id="41" w:name="_Hlk148003423"/>
            <w:r w:rsidRPr="00C24052">
              <w:rPr>
                <w:sz w:val="18"/>
              </w:rPr>
              <w:t>CDC Water Quality Assessment (2018)</w:t>
            </w:r>
            <w:bookmarkEnd w:id="41"/>
          </w:p>
        </w:tc>
        <w:tc>
          <w:tcPr>
            <w:tcW w:w="2268" w:type="dxa"/>
          </w:tcPr>
          <w:p w14:paraId="0637BA65" w14:textId="654D3B02" w:rsidR="003739ED" w:rsidRPr="00C24052" w:rsidRDefault="003739ED" w:rsidP="00CE3E40">
            <w:pPr>
              <w:pStyle w:val="ListParagraph"/>
              <w:ind w:left="0"/>
              <w:rPr>
                <w:sz w:val="18"/>
              </w:rPr>
            </w:pPr>
            <w:r w:rsidRPr="00C24052">
              <w:rPr>
                <w:sz w:val="18"/>
              </w:rPr>
              <w:t>2007.5 kg/</w:t>
            </w:r>
            <w:proofErr w:type="spellStart"/>
            <w:r w:rsidRPr="00C24052">
              <w:rPr>
                <w:sz w:val="18"/>
              </w:rPr>
              <w:t>yr</w:t>
            </w:r>
            <w:proofErr w:type="spellEnd"/>
          </w:p>
        </w:tc>
        <w:tc>
          <w:tcPr>
            <w:tcW w:w="2410" w:type="dxa"/>
          </w:tcPr>
          <w:p w14:paraId="22F65C1C" w14:textId="403262DC" w:rsidR="003739ED" w:rsidRPr="00C24052" w:rsidRDefault="003739ED" w:rsidP="00CE3E40">
            <w:pPr>
              <w:pStyle w:val="ListParagraph"/>
              <w:ind w:left="0"/>
              <w:rPr>
                <w:sz w:val="18"/>
              </w:rPr>
            </w:pPr>
            <w:r w:rsidRPr="00C24052">
              <w:rPr>
                <w:sz w:val="18"/>
              </w:rPr>
              <w:t>8.3%</w:t>
            </w:r>
          </w:p>
        </w:tc>
      </w:tr>
    </w:tbl>
    <w:p w14:paraId="433A8354" w14:textId="4C1303B4" w:rsidR="00E21AA4" w:rsidRDefault="00E74709" w:rsidP="00990CA4">
      <w:pPr>
        <w:spacing w:before="120"/>
        <w:jc w:val="both"/>
        <w:rPr>
          <w:i/>
          <w:iCs/>
          <w:color w:val="4472C4"/>
        </w:rPr>
      </w:pPr>
      <w:r w:rsidRPr="00F8151F">
        <w:rPr>
          <w:b/>
          <w:bCs/>
          <w:i/>
          <w:iCs/>
          <w:color w:val="4472C4"/>
        </w:rPr>
        <w:t>note:</w:t>
      </w:r>
      <w:r w:rsidRPr="00E74709">
        <w:rPr>
          <w:i/>
          <w:iCs/>
          <w:color w:val="4472C4"/>
        </w:rPr>
        <w:t xml:space="preserve"> The predicted increase in TON loadings and effluent TON concentrations are dependent on assumptions and methodologies associated with projected growth and DWFs which are highly variable (as discussed in previous sections). However, the C</w:t>
      </w:r>
      <w:r w:rsidR="003739ED" w:rsidRPr="00E74709">
        <w:rPr>
          <w:i/>
          <w:iCs/>
          <w:color w:val="4472C4"/>
        </w:rPr>
        <w:t>DC Water Quality Assessment (2018) stated that the current loading assessment</w:t>
      </w:r>
      <w:r w:rsidRPr="00E74709">
        <w:rPr>
          <w:i/>
          <w:iCs/>
          <w:color w:val="4472C4"/>
        </w:rPr>
        <w:t xml:space="preserve"> for </w:t>
      </w:r>
      <w:proofErr w:type="spellStart"/>
      <w:r w:rsidRPr="00E74709">
        <w:rPr>
          <w:i/>
          <w:iCs/>
          <w:color w:val="4472C4"/>
        </w:rPr>
        <w:t>Thornham</w:t>
      </w:r>
      <w:proofErr w:type="spellEnd"/>
      <w:r w:rsidRPr="00E74709">
        <w:rPr>
          <w:i/>
          <w:iCs/>
          <w:color w:val="4472C4"/>
        </w:rPr>
        <w:t xml:space="preserve"> WwTW</w:t>
      </w:r>
      <w:r w:rsidR="003739ED" w:rsidRPr="00E74709">
        <w:rPr>
          <w:i/>
          <w:iCs/>
          <w:color w:val="4472C4"/>
        </w:rPr>
        <w:t xml:space="preserve"> was 86 N kg/d which represents only 3% of the total nitrate loading reaching the receiving waters (EA data</w:t>
      </w:r>
      <w:r w:rsidR="00576628">
        <w:rPr>
          <w:rStyle w:val="FootnoteReference"/>
          <w:i/>
          <w:iCs/>
          <w:color w:val="4472C4"/>
        </w:rPr>
        <w:footnoteReference w:id="29"/>
      </w:r>
      <w:r w:rsidR="003739ED" w:rsidRPr="00E74709">
        <w:rPr>
          <w:i/>
          <w:iCs/>
          <w:color w:val="4472C4"/>
        </w:rPr>
        <w:t xml:space="preserve">).  It also states that the EA evidence indicates the 8.3% increase is not a significant contributor (8.3% of 3%) of nitrate to the </w:t>
      </w:r>
      <w:r w:rsidR="00AA7F7C">
        <w:rPr>
          <w:i/>
          <w:iCs/>
          <w:color w:val="4472C4"/>
        </w:rPr>
        <w:t xml:space="preserve">receiving watercourse (WFD waterbody </w:t>
      </w:r>
      <w:r w:rsidR="00990CA4">
        <w:rPr>
          <w:i/>
          <w:iCs/>
          <w:color w:val="4472C4"/>
        </w:rPr>
        <w:t>of Chichester Harbour</w:t>
      </w:r>
      <w:r w:rsidR="0078068D">
        <w:rPr>
          <w:i/>
          <w:iCs/>
          <w:color w:val="4472C4"/>
        </w:rPr>
        <w:t>)</w:t>
      </w:r>
      <w:r w:rsidR="00990CA4">
        <w:rPr>
          <w:i/>
          <w:iCs/>
          <w:color w:val="4472C4"/>
        </w:rPr>
        <w:t xml:space="preserve">. </w:t>
      </w:r>
      <w:r w:rsidR="00084474">
        <w:rPr>
          <w:i/>
          <w:iCs/>
          <w:color w:val="4472C4"/>
        </w:rPr>
        <w:t>It is noted these loading estimates are based on data included in the 2018 Water Quality Assessment report and as such might no</w:t>
      </w:r>
      <w:r w:rsidR="006B5E27">
        <w:rPr>
          <w:i/>
          <w:iCs/>
          <w:color w:val="4472C4"/>
        </w:rPr>
        <w:t>t</w:t>
      </w:r>
      <w:r w:rsidR="00084474">
        <w:rPr>
          <w:i/>
          <w:iCs/>
          <w:color w:val="4472C4"/>
        </w:rPr>
        <w:t xml:space="preserve"> be fully representative of the current conditions. </w:t>
      </w:r>
    </w:p>
    <w:p w14:paraId="05C89247" w14:textId="7772F6C0" w:rsidR="00A436A4" w:rsidRDefault="00AD0CF9" w:rsidP="00E4309C">
      <w:pPr>
        <w:pStyle w:val="Heading2"/>
      </w:pPr>
      <w:bookmarkStart w:id="42" w:name="_Toc160434460"/>
      <w:r>
        <w:t>Summary</w:t>
      </w:r>
      <w:bookmarkEnd w:id="42"/>
    </w:p>
    <w:p w14:paraId="21665EA4" w14:textId="53AC6223" w:rsidR="00562D2F" w:rsidRDefault="003C70A8" w:rsidP="00EA5655">
      <w:pPr>
        <w:jc w:val="both"/>
      </w:pPr>
      <w:r w:rsidRPr="003C70A8">
        <w:t xml:space="preserve">Following </w:t>
      </w:r>
      <w:r w:rsidR="00270BEF">
        <w:t>our</w:t>
      </w:r>
      <w:r w:rsidRPr="003C70A8">
        <w:t xml:space="preserve"> review of the technical </w:t>
      </w:r>
      <w:r w:rsidR="00270BEF">
        <w:t>reports and headroom estimates</w:t>
      </w:r>
      <w:r>
        <w:t xml:space="preserve"> discussed in the sections above,</w:t>
      </w:r>
      <w:r w:rsidR="00AD0CF9" w:rsidRPr="00AD0CF9">
        <w:t xml:space="preserve"> </w:t>
      </w:r>
      <w:r w:rsidR="00AD0CF9">
        <w:t>we not</w:t>
      </w:r>
      <w:r w:rsidR="000C36FC">
        <w:t>e</w:t>
      </w:r>
      <w:r w:rsidR="00AD0CF9">
        <w:t xml:space="preserve"> that due </w:t>
      </w:r>
      <w:r w:rsidR="00AD0CF9" w:rsidRPr="00AD0CF9">
        <w:t xml:space="preserve">to the various methodologies used in the headroom assessments, the net DWF </w:t>
      </w:r>
      <w:proofErr w:type="gramStart"/>
      <w:r w:rsidR="00AD0CF9" w:rsidRPr="00AD0CF9">
        <w:lastRenderedPageBreak/>
        <w:t>increase</w:t>
      </w:r>
      <w:proofErr w:type="gramEnd"/>
      <w:r w:rsidR="00AD0CF9" w:rsidRPr="00AD0CF9">
        <w:t xml:space="preserve"> and the remaining headroom </w:t>
      </w:r>
      <w:r w:rsidR="008E7047">
        <w:t>vary</w:t>
      </w:r>
      <w:r w:rsidR="00AD0CF9" w:rsidRPr="00AD0CF9">
        <w:t xml:space="preserve"> between the reports that were reviewed as part of this study. These </w:t>
      </w:r>
      <w:r w:rsidR="000C36FC">
        <w:t>differences</w:t>
      </w:r>
      <w:r w:rsidR="00AD0CF9" w:rsidRPr="00AD0CF9">
        <w:t xml:space="preserve"> are </w:t>
      </w:r>
      <w:r w:rsidR="000C36FC">
        <w:t xml:space="preserve">dependent on underlying assumptions such as occupancy rate, water consumption and future development plans. It </w:t>
      </w:r>
      <w:r w:rsidR="00AD68C9">
        <w:t>is</w:t>
      </w:r>
      <w:r w:rsidR="000C36FC">
        <w:t xml:space="preserve"> be expected that use of more recent data and latest guidance on methods would be more representative. For example, </w:t>
      </w:r>
      <w:r w:rsidR="000C36FC" w:rsidRPr="000C36FC">
        <w:t>the approach taken in the latest 2023 ‘</w:t>
      </w:r>
      <w:r w:rsidR="002D17DD" w:rsidRPr="000C36FC">
        <w:t>Wastewater</w:t>
      </w:r>
      <w:r w:rsidR="000C36FC" w:rsidRPr="000C36FC">
        <w:t xml:space="preserve"> and remaining Headroom Calculations’</w:t>
      </w:r>
      <w:r w:rsidR="000C36FC">
        <w:t xml:space="preserve"> </w:t>
      </w:r>
      <w:r w:rsidR="000C36FC" w:rsidRPr="000C36FC">
        <w:t xml:space="preserve">is based on the most recent available </w:t>
      </w:r>
      <w:r w:rsidR="00707BA3">
        <w:t>average</w:t>
      </w:r>
      <w:r w:rsidR="000C36FC" w:rsidRPr="000C36FC">
        <w:t xml:space="preserve"> DWF data</w:t>
      </w:r>
      <w:r w:rsidR="00707BA3">
        <w:t xml:space="preserve"> along with</w:t>
      </w:r>
      <w:r w:rsidR="000C36FC" w:rsidRPr="000C36FC">
        <w:t xml:space="preserve"> </w:t>
      </w:r>
      <w:r w:rsidR="00707BA3">
        <w:t xml:space="preserve">EA and </w:t>
      </w:r>
      <w:r w:rsidR="00793462">
        <w:t>SWS</w:t>
      </w:r>
      <w:r w:rsidR="00707BA3">
        <w:t xml:space="preserve">’s </w:t>
      </w:r>
      <w:r w:rsidR="001A2668">
        <w:t>current</w:t>
      </w:r>
      <w:r w:rsidR="00707BA3">
        <w:t xml:space="preserve"> guidance on DWF headroom calculations </w:t>
      </w:r>
      <w:r w:rsidR="000C36FC" w:rsidRPr="000C36FC">
        <w:t>and</w:t>
      </w:r>
      <w:r w:rsidR="00707BA3">
        <w:t xml:space="preserve"> therefore, could be considered to</w:t>
      </w:r>
      <w:r w:rsidR="000C36FC" w:rsidRPr="000C36FC">
        <w:t xml:space="preserve"> best represent the current conditions at the </w:t>
      </w:r>
      <w:proofErr w:type="spellStart"/>
      <w:r w:rsidR="000C36FC" w:rsidRPr="000C36FC">
        <w:t>Thornham</w:t>
      </w:r>
      <w:proofErr w:type="spellEnd"/>
      <w:r w:rsidR="000C36FC" w:rsidRPr="000C36FC">
        <w:t xml:space="preserve"> WwTW compared to the older datasets</w:t>
      </w:r>
      <w:r w:rsidR="000C36FC">
        <w:t xml:space="preserve"> and guidance.</w:t>
      </w:r>
      <w:r w:rsidR="00A15BAA" w:rsidRPr="00A15BAA">
        <w:rPr>
          <w:i/>
          <w:iCs/>
          <w:color w:val="4472C4" w:themeColor="accent1"/>
        </w:rPr>
        <w:t xml:space="preserve"> </w:t>
      </w:r>
      <w:r w:rsidR="00A15BAA" w:rsidRPr="00A15BAA">
        <w:t>However</w:t>
      </w:r>
      <w:r w:rsidR="00F55B16">
        <w:t>,</w:t>
      </w:r>
      <w:r w:rsidR="00A15BAA" w:rsidRPr="00A15BAA">
        <w:t xml:space="preserve"> there can be large fluctuations in the measured DWF from year to year and</w:t>
      </w:r>
      <w:r w:rsidR="00A82E26">
        <w:t xml:space="preserve"> therefore,</w:t>
      </w:r>
      <w:r w:rsidR="00A15BAA">
        <w:t xml:space="preserve"> as new </w:t>
      </w:r>
      <w:r w:rsidR="00A15BAA" w:rsidRPr="00A15BAA">
        <w:t>DWF becomes available</w:t>
      </w:r>
      <w:r w:rsidR="00A82E26">
        <w:t>, the p</w:t>
      </w:r>
      <w:r w:rsidR="00A15BAA">
        <w:t xml:space="preserve">osition can be </w:t>
      </w:r>
      <w:r w:rsidR="00A82E26">
        <w:t xml:space="preserve">continually </w:t>
      </w:r>
      <w:r w:rsidR="00A15BAA">
        <w:t>reviewed.</w:t>
      </w:r>
      <w:r w:rsidR="001A2668">
        <w:t xml:space="preserve"> Furthermore, some</w:t>
      </w:r>
      <w:r w:rsidR="00D95239">
        <w:t xml:space="preserve"> concerns were raised during</w:t>
      </w:r>
      <w:r w:rsidR="001A2668">
        <w:t xml:space="preserve"> the </w:t>
      </w:r>
      <w:r w:rsidR="00D95239">
        <w:t>review of the water consumption rates per-capita, including values included in the current guidance.</w:t>
      </w:r>
    </w:p>
    <w:p w14:paraId="4D0DA2A4" w14:textId="2416C60A" w:rsidR="00BA77FF" w:rsidRDefault="00F55B16" w:rsidP="00A15BAA">
      <w:pPr>
        <w:jc w:val="both"/>
      </w:pPr>
      <w:r>
        <w:t>The comparison of the water consumption rates in each of the reports reviewed as part of this study</w:t>
      </w:r>
      <w:r w:rsidR="005E41D5">
        <w:t xml:space="preserve"> has shown that the per-capita values used in the DWF headroom calculations are either </w:t>
      </w:r>
      <w:r w:rsidR="007D78DD">
        <w:t xml:space="preserve">significantly </w:t>
      </w:r>
      <w:r w:rsidR="005E41D5">
        <w:t>lower or higher than the actual water usage data from 2022/23. This is due to either including water efficiency assumptions in the overall assessment, or due to the existing guidance suggesting the use of a flat-rate value that is higher than observe</w:t>
      </w:r>
      <w:r w:rsidR="00D44C22">
        <w:t>d</w:t>
      </w:r>
      <w:r w:rsidR="005E41D5">
        <w:t xml:space="preserve"> water usage. Ultimately, the </w:t>
      </w:r>
      <w:r w:rsidR="001A2668">
        <w:t xml:space="preserve">decision on whether using the most </w:t>
      </w:r>
      <w:r w:rsidR="00D81794" w:rsidRPr="00D81794">
        <w:t>precautionary</w:t>
      </w:r>
      <w:r w:rsidR="001A2668">
        <w:t xml:space="preserve"> 500l/d per dwelling value will</w:t>
      </w:r>
      <w:r w:rsidR="005E41D5">
        <w:t xml:space="preserve"> lie with the Councils</w:t>
      </w:r>
      <w:r w:rsidR="001A2668">
        <w:t xml:space="preserve">. Our assessment however has highlighted that the existing DWF headroom assessment </w:t>
      </w:r>
      <w:r w:rsidR="00D44C22">
        <w:t>is</w:t>
      </w:r>
      <w:r w:rsidR="001A2668">
        <w:t xml:space="preserve"> utilising water consumption values that may not be fully representative of typical water use in the catchment or could be too low and not provide any level of buffer. </w:t>
      </w:r>
      <w:r w:rsidR="00A82E26">
        <w:t>Although m</w:t>
      </w:r>
      <w:r w:rsidR="00707BA3">
        <w:t xml:space="preserve">ore recent studies yield higher estimates of </w:t>
      </w:r>
      <w:r w:rsidR="00A15BAA">
        <w:t xml:space="preserve">available </w:t>
      </w:r>
      <w:r w:rsidR="00707BA3">
        <w:t xml:space="preserve">DWF headroom it is uncertain whether this could accommodate growth </w:t>
      </w:r>
      <w:r w:rsidR="00A82E26">
        <w:t xml:space="preserve">to </w:t>
      </w:r>
      <w:r w:rsidR="00F95A44">
        <w:t xml:space="preserve">2039 </w:t>
      </w:r>
      <w:r w:rsidR="00707BA3">
        <w:t xml:space="preserve">due to the variability in </w:t>
      </w:r>
      <w:r w:rsidR="00A15BAA">
        <w:t xml:space="preserve">household </w:t>
      </w:r>
      <w:r w:rsidR="00707BA3">
        <w:t>projections</w:t>
      </w:r>
      <w:r w:rsidR="00A15BAA">
        <w:t>, occupancy rate</w:t>
      </w:r>
      <w:r w:rsidR="00707BA3">
        <w:t xml:space="preserve"> and consumption values. </w:t>
      </w:r>
      <w:r w:rsidR="00A82E26">
        <w:t xml:space="preserve"> </w:t>
      </w:r>
    </w:p>
    <w:p w14:paraId="7B05C138" w14:textId="6FEE19D6" w:rsidR="002D2CC6" w:rsidRDefault="002D2CC6" w:rsidP="00A15BAA">
      <w:pPr>
        <w:jc w:val="both"/>
      </w:pPr>
      <w:r>
        <w:t xml:space="preserve">As part of our </w:t>
      </w:r>
      <w:r w:rsidR="005558DF">
        <w:t>assessment,</w:t>
      </w:r>
      <w:r>
        <w:t xml:space="preserve"> we have derived a water usage rate value</w:t>
      </w:r>
      <w:r w:rsidR="000E4B00">
        <w:t xml:space="preserve"> </w:t>
      </w:r>
      <w:r>
        <w:t xml:space="preserve">based on </w:t>
      </w:r>
      <w:r w:rsidR="007F10B5">
        <w:t xml:space="preserve">the publicly available </w:t>
      </w:r>
      <w:r w:rsidR="00393148">
        <w:t>rates</w:t>
      </w:r>
      <w:r w:rsidR="007F10B5">
        <w:t xml:space="preserve"> </w:t>
      </w:r>
      <w:r w:rsidR="001E42E4">
        <w:t>f</w:t>
      </w:r>
      <w:r w:rsidR="007F10B5">
        <w:t xml:space="preserve">rom </w:t>
      </w:r>
      <w:r w:rsidR="00793462">
        <w:t>SWS</w:t>
      </w:r>
      <w:r w:rsidR="000E4B00">
        <w:t xml:space="preserve"> (2022-2023) and the latest government guidance for</w:t>
      </w:r>
      <w:r w:rsidR="000167C8">
        <w:t xml:space="preserve"> estimating DWF. This results in a</w:t>
      </w:r>
      <w:r w:rsidR="00F2234C">
        <w:t xml:space="preserve">n overall </w:t>
      </w:r>
      <w:r w:rsidR="0033486C">
        <w:t>rate</w:t>
      </w:r>
      <w:r w:rsidR="00F2234C">
        <w:t xml:space="preserve"> of 4</w:t>
      </w:r>
      <w:r w:rsidR="00F95A44">
        <w:t>69</w:t>
      </w:r>
      <w:r w:rsidR="00F2234C">
        <w:t xml:space="preserve">l/d per household, and </w:t>
      </w:r>
      <w:r w:rsidR="00393148">
        <w:t xml:space="preserve">an estimate of </w:t>
      </w:r>
      <w:r w:rsidR="00F2234C">
        <w:t xml:space="preserve">DWF </w:t>
      </w:r>
      <w:r w:rsidR="00393148">
        <w:t>growth of 1</w:t>
      </w:r>
      <w:r w:rsidR="00F95A44">
        <w:t>106</w:t>
      </w:r>
      <w:r w:rsidR="00393148">
        <w:t xml:space="preserve"> m</w:t>
      </w:r>
      <w:r w:rsidR="00393148" w:rsidRPr="00393148">
        <w:rPr>
          <w:vertAlign w:val="superscript"/>
        </w:rPr>
        <w:t>3</w:t>
      </w:r>
      <w:r w:rsidR="00393148">
        <w:t>/d</w:t>
      </w:r>
      <w:r w:rsidR="00393148" w:rsidRPr="00393148">
        <w:t xml:space="preserve"> </w:t>
      </w:r>
      <w:r w:rsidR="00393148">
        <w:t>by 2039</w:t>
      </w:r>
      <w:r w:rsidR="002C2E0D">
        <w:t xml:space="preserve"> (or 433 l/d per household and DWF growth of 1023 m</w:t>
      </w:r>
      <w:r w:rsidR="002C2E0D" w:rsidRPr="002C2E0D">
        <w:rPr>
          <w:vertAlign w:val="superscript"/>
        </w:rPr>
        <w:t>3</w:t>
      </w:r>
      <w:r w:rsidR="002C2E0D">
        <w:t>/d by 2039 if the 0.925 correction is factored in)</w:t>
      </w:r>
      <w:r w:rsidR="00393148">
        <w:t xml:space="preserve">. Whilst based on the latest available data, the values above are also </w:t>
      </w:r>
      <w:r w:rsidR="00D81794" w:rsidRPr="00D81794">
        <w:t>precautionary</w:t>
      </w:r>
      <w:r w:rsidR="00393148">
        <w:t xml:space="preserve"> as they do not </w:t>
      </w:r>
      <w:proofErr w:type="gramStart"/>
      <w:r w:rsidR="00393148">
        <w:t>take into account</w:t>
      </w:r>
      <w:proofErr w:type="gramEnd"/>
      <w:r w:rsidR="00393148">
        <w:t xml:space="preserve"> factors such as the ongoing </w:t>
      </w:r>
      <w:r w:rsidR="00793462">
        <w:t>SWS</w:t>
      </w:r>
      <w:r w:rsidR="00393148">
        <w:t xml:space="preserve"> and PW Target 100 initiatives to reduce water consumptions or the fact that new constructions will have higher water use efficiency rates</w:t>
      </w:r>
      <w:r w:rsidR="00CB4AA9">
        <w:t xml:space="preserve"> and sewerage design leading to lower infiltration rates</w:t>
      </w:r>
      <w:r w:rsidR="00393148">
        <w:t>.</w:t>
      </w:r>
      <w:r w:rsidR="00CB4AA9">
        <w:t xml:space="preserve"> It is also noted that the increase in percentage of modern sewerage systems</w:t>
      </w:r>
      <w:r w:rsidR="00E61D99">
        <w:t xml:space="preserve"> resultant from new developments</w:t>
      </w:r>
      <w:r w:rsidR="00CB4AA9">
        <w:t xml:space="preserve"> will be evidenced in lower flows being received </w:t>
      </w:r>
      <w:r w:rsidR="00E61D99">
        <w:t>at the WWTW which will feed into future calculations.</w:t>
      </w:r>
      <w:r w:rsidR="00393148">
        <w:t xml:space="preserve"> Given the above,</w:t>
      </w:r>
      <w:r w:rsidR="00D65196">
        <w:t xml:space="preserve"> Havant and Chichester Councils may consider </w:t>
      </w:r>
      <w:r w:rsidR="00393148">
        <w:t xml:space="preserve">using </w:t>
      </w:r>
      <w:r w:rsidR="002C2E0D">
        <w:t>either</w:t>
      </w:r>
      <w:r w:rsidR="00393148">
        <w:t xml:space="preserve"> capacity rate</w:t>
      </w:r>
      <w:r w:rsidR="002C2E0D">
        <w:t>s</w:t>
      </w:r>
      <w:r w:rsidR="00393148">
        <w:t xml:space="preserve"> of 4</w:t>
      </w:r>
      <w:r w:rsidR="00F95A44">
        <w:t>69</w:t>
      </w:r>
      <w:r w:rsidR="00393148">
        <w:t xml:space="preserve">/d </w:t>
      </w:r>
      <w:r w:rsidR="002C2E0D">
        <w:t xml:space="preserve">or 433 l/d </w:t>
      </w:r>
      <w:r w:rsidR="00393148">
        <w:t xml:space="preserve">per household </w:t>
      </w:r>
      <w:r w:rsidR="00D410AA">
        <w:t xml:space="preserve">as </w:t>
      </w:r>
      <w:r w:rsidR="002C2E0D">
        <w:t xml:space="preserve">they’re </w:t>
      </w:r>
      <w:r w:rsidR="00D410AA">
        <w:t>likely to be the most representative of the latest catchment conditions and average water use, while still retaining a buffer to account for potential fluctuations.</w:t>
      </w:r>
      <w:r w:rsidR="003E1AD7">
        <w:t xml:space="preserve"> A summary of the various water usage rates and their associated risks and benefits are included in </w:t>
      </w:r>
      <w:r w:rsidR="003E1AD7">
        <w:fldChar w:fldCharType="begin"/>
      </w:r>
      <w:r w:rsidR="003E1AD7">
        <w:instrText xml:space="preserve"> REF _Ref155703447 \h </w:instrText>
      </w:r>
      <w:r w:rsidR="003E1AD7">
        <w:fldChar w:fldCharType="separate"/>
      </w:r>
      <w:r w:rsidR="008502A6">
        <w:t xml:space="preserve">Table </w:t>
      </w:r>
      <w:r w:rsidR="008502A6">
        <w:rPr>
          <w:noProof/>
        </w:rPr>
        <w:t>2</w:t>
      </w:r>
      <w:r w:rsidR="008502A6">
        <w:noBreakHyphen/>
      </w:r>
      <w:r w:rsidR="008502A6">
        <w:rPr>
          <w:noProof/>
        </w:rPr>
        <w:t>8</w:t>
      </w:r>
      <w:r w:rsidR="003E1AD7">
        <w:fldChar w:fldCharType="end"/>
      </w:r>
      <w:r w:rsidR="003E1AD7">
        <w:t xml:space="preserve"> below.</w:t>
      </w:r>
    </w:p>
    <w:p w14:paraId="222FA4E2" w14:textId="2DCD26BA" w:rsidR="003E1AD7" w:rsidRDefault="003E1AD7" w:rsidP="003E1AD7">
      <w:pPr>
        <w:pStyle w:val="Caption"/>
      </w:pPr>
      <w:bookmarkStart w:id="43" w:name="_Ref155703447"/>
      <w:r>
        <w:t xml:space="preserve">Table </w:t>
      </w:r>
      <w:r w:rsidR="000B4DFF">
        <w:fldChar w:fldCharType="begin"/>
      </w:r>
      <w:r w:rsidR="000B4DFF">
        <w:instrText xml:space="preserve"> STYLEREF 1 \s </w:instrText>
      </w:r>
      <w:r w:rsidR="000B4DFF">
        <w:fldChar w:fldCharType="separate"/>
      </w:r>
      <w:r w:rsidR="008502A6">
        <w:rPr>
          <w:noProof/>
        </w:rPr>
        <w:t>2</w:t>
      </w:r>
      <w:r w:rsidR="000B4DFF">
        <w:rPr>
          <w:noProof/>
        </w:rPr>
        <w:fldChar w:fldCharType="end"/>
      </w:r>
      <w:r>
        <w:noBreakHyphen/>
      </w:r>
      <w:r w:rsidR="000B4DFF">
        <w:fldChar w:fldCharType="begin"/>
      </w:r>
      <w:r w:rsidR="000B4DFF">
        <w:instrText xml:space="preserve"> SEQ Table \* ARABIC \s 1 </w:instrText>
      </w:r>
      <w:r w:rsidR="000B4DFF">
        <w:fldChar w:fldCharType="separate"/>
      </w:r>
      <w:r w:rsidR="008502A6">
        <w:rPr>
          <w:noProof/>
        </w:rPr>
        <w:t>8</w:t>
      </w:r>
      <w:r w:rsidR="000B4DFF">
        <w:rPr>
          <w:noProof/>
        </w:rPr>
        <w:fldChar w:fldCharType="end"/>
      </w:r>
      <w:bookmarkEnd w:id="43"/>
      <w:r>
        <w:t xml:space="preserve"> Summary of risks and benefits of the various water usage rates </w:t>
      </w:r>
    </w:p>
    <w:tbl>
      <w:tblPr>
        <w:tblStyle w:val="Mainbidtables"/>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1276"/>
        <w:gridCol w:w="1701"/>
        <w:gridCol w:w="1843"/>
        <w:gridCol w:w="1559"/>
      </w:tblGrid>
      <w:tr w:rsidR="003E1AD7" w14:paraId="00C97AEB" w14:textId="77777777" w:rsidTr="00CB4AA9">
        <w:trPr>
          <w:cnfStyle w:val="100000000000" w:firstRow="1" w:lastRow="0" w:firstColumn="0" w:lastColumn="0" w:oddVBand="0" w:evenVBand="0" w:oddHBand="0" w:evenHBand="0" w:firstRowFirstColumn="0" w:firstRowLastColumn="0" w:lastRowFirstColumn="0" w:lastRowLastColumn="0"/>
        </w:trPr>
        <w:tc>
          <w:tcPr>
            <w:tcW w:w="141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675B8B5" w14:textId="77777777" w:rsidR="003E1AD7" w:rsidRPr="00D96CB8" w:rsidRDefault="003E1AD7" w:rsidP="009161A9">
            <w:pPr>
              <w:rPr>
                <w:b/>
                <w:bCs/>
                <w:sz w:val="18"/>
                <w:szCs w:val="18"/>
              </w:rPr>
            </w:pPr>
            <w:r w:rsidRPr="00D96CB8">
              <w:rPr>
                <w:b/>
                <w:bCs/>
                <w:sz w:val="18"/>
                <w:szCs w:val="18"/>
              </w:rPr>
              <w:t>Key parameter</w:t>
            </w:r>
          </w:p>
        </w:tc>
        <w:tc>
          <w:tcPr>
            <w:tcW w:w="141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D3BEB11" w14:textId="05E49B38" w:rsidR="003E1AD7" w:rsidRPr="00D96CB8" w:rsidRDefault="003E1AD7" w:rsidP="009161A9">
            <w:pPr>
              <w:rPr>
                <w:b/>
                <w:bCs/>
                <w:sz w:val="18"/>
                <w:szCs w:val="18"/>
              </w:rPr>
            </w:pPr>
            <w:r w:rsidRPr="00D96CB8">
              <w:rPr>
                <w:b/>
                <w:bCs/>
                <w:sz w:val="18"/>
                <w:szCs w:val="18"/>
              </w:rPr>
              <w:t xml:space="preserve">Data </w:t>
            </w:r>
            <w:r w:rsidR="00F72800" w:rsidRPr="00D96CB8">
              <w:rPr>
                <w:b/>
                <w:bCs/>
                <w:sz w:val="18"/>
                <w:szCs w:val="18"/>
              </w:rPr>
              <w:t>Source</w:t>
            </w:r>
          </w:p>
        </w:tc>
        <w:tc>
          <w:tcPr>
            <w:tcW w:w="127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EB5D9EC" w14:textId="77777777" w:rsidR="003E1AD7" w:rsidRPr="00D96CB8" w:rsidRDefault="003E1AD7" w:rsidP="009161A9">
            <w:pPr>
              <w:rPr>
                <w:b/>
                <w:bCs/>
                <w:sz w:val="18"/>
                <w:szCs w:val="18"/>
              </w:rPr>
            </w:pPr>
            <w:r w:rsidRPr="00D96CB8">
              <w:rPr>
                <w:b/>
                <w:bCs/>
                <w:sz w:val="18"/>
                <w:szCs w:val="18"/>
              </w:rPr>
              <w:t>Rate (l/d)</w:t>
            </w:r>
          </w:p>
        </w:tc>
        <w:tc>
          <w:tcPr>
            <w:tcW w:w="170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175F80A" w14:textId="77777777" w:rsidR="003E1AD7" w:rsidRPr="00D96CB8" w:rsidRDefault="003E1AD7" w:rsidP="009161A9">
            <w:pPr>
              <w:rPr>
                <w:b/>
                <w:bCs/>
                <w:sz w:val="18"/>
                <w:szCs w:val="18"/>
              </w:rPr>
            </w:pPr>
            <w:r w:rsidRPr="00D96CB8">
              <w:rPr>
                <w:b/>
                <w:bCs/>
                <w:sz w:val="18"/>
                <w:szCs w:val="18"/>
              </w:rPr>
              <w:t>Risks</w:t>
            </w:r>
          </w:p>
        </w:tc>
        <w:tc>
          <w:tcPr>
            <w:tcW w:w="184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5B99882" w14:textId="77777777" w:rsidR="003E1AD7" w:rsidRPr="00D96CB8" w:rsidRDefault="003E1AD7" w:rsidP="009161A9">
            <w:pPr>
              <w:rPr>
                <w:b/>
                <w:bCs/>
                <w:sz w:val="18"/>
                <w:szCs w:val="18"/>
              </w:rPr>
            </w:pPr>
            <w:r w:rsidRPr="00D96CB8">
              <w:rPr>
                <w:b/>
                <w:bCs/>
                <w:sz w:val="18"/>
                <w:szCs w:val="18"/>
              </w:rPr>
              <w:t>Benefits</w:t>
            </w:r>
          </w:p>
        </w:tc>
        <w:tc>
          <w:tcPr>
            <w:tcW w:w="15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C1C9D40" w14:textId="1EAD2562" w:rsidR="003E1AD7" w:rsidRPr="00D96CB8" w:rsidRDefault="005B27BB" w:rsidP="009161A9">
            <w:pPr>
              <w:rPr>
                <w:b/>
                <w:bCs/>
                <w:sz w:val="18"/>
                <w:szCs w:val="18"/>
              </w:rPr>
            </w:pPr>
            <w:r>
              <w:rPr>
                <w:b/>
                <w:bCs/>
                <w:sz w:val="18"/>
                <w:szCs w:val="18"/>
              </w:rPr>
              <w:t>Consider</w:t>
            </w:r>
            <w:r w:rsidR="00D96CB8">
              <w:rPr>
                <w:b/>
                <w:bCs/>
                <w:sz w:val="18"/>
                <w:szCs w:val="18"/>
              </w:rPr>
              <w:t xml:space="preserve"> for use</w:t>
            </w:r>
            <w:r w:rsidR="001F3924">
              <w:rPr>
                <w:b/>
                <w:bCs/>
                <w:sz w:val="18"/>
                <w:szCs w:val="18"/>
              </w:rPr>
              <w:t>?</w:t>
            </w:r>
          </w:p>
        </w:tc>
      </w:tr>
      <w:tr w:rsidR="004A3BE8" w:rsidRPr="001F1BB1" w14:paraId="3DB05E25" w14:textId="77777777" w:rsidTr="00CB4AA9">
        <w:trPr>
          <w:cnfStyle w:val="000000100000" w:firstRow="0" w:lastRow="0" w:firstColumn="0" w:lastColumn="0" w:oddVBand="0" w:evenVBand="0" w:oddHBand="1" w:evenHBand="0" w:firstRowFirstColumn="0" w:firstRowLastColumn="0" w:lastRowFirstColumn="0" w:lastRowLastColumn="0"/>
        </w:trPr>
        <w:tc>
          <w:tcPr>
            <w:tcW w:w="1413" w:type="dxa"/>
            <w:vMerge w:val="restart"/>
          </w:tcPr>
          <w:p w14:paraId="77DED159" w14:textId="77777777" w:rsidR="004A3BE8" w:rsidRPr="00D96CB8" w:rsidRDefault="004A3BE8" w:rsidP="009161A9">
            <w:pPr>
              <w:rPr>
                <w:b/>
                <w:bCs/>
                <w:sz w:val="18"/>
                <w:szCs w:val="18"/>
              </w:rPr>
            </w:pPr>
            <w:r w:rsidRPr="00D96CB8">
              <w:rPr>
                <w:b/>
                <w:bCs/>
                <w:sz w:val="18"/>
                <w:szCs w:val="18"/>
              </w:rPr>
              <w:t>Water consumption rates</w:t>
            </w:r>
          </w:p>
        </w:tc>
        <w:tc>
          <w:tcPr>
            <w:tcW w:w="1417" w:type="dxa"/>
          </w:tcPr>
          <w:p w14:paraId="3A123AC5" w14:textId="77777777" w:rsidR="004A3BE8" w:rsidRPr="00D96CB8" w:rsidRDefault="004A3BE8" w:rsidP="009161A9">
            <w:pPr>
              <w:rPr>
                <w:sz w:val="18"/>
                <w:szCs w:val="18"/>
              </w:rPr>
            </w:pPr>
            <w:r w:rsidRPr="00D96CB8">
              <w:rPr>
                <w:sz w:val="18"/>
                <w:szCs w:val="18"/>
              </w:rPr>
              <w:t>CDC Water Quality Assessment (2018)</w:t>
            </w:r>
          </w:p>
        </w:tc>
        <w:tc>
          <w:tcPr>
            <w:tcW w:w="1276" w:type="dxa"/>
          </w:tcPr>
          <w:p w14:paraId="68656B1C" w14:textId="77777777" w:rsidR="004A3BE8" w:rsidRPr="00D96CB8" w:rsidRDefault="004A3BE8" w:rsidP="009161A9">
            <w:pPr>
              <w:rPr>
                <w:sz w:val="18"/>
                <w:szCs w:val="18"/>
              </w:rPr>
            </w:pPr>
            <w:r w:rsidRPr="00D96CB8">
              <w:rPr>
                <w:sz w:val="18"/>
                <w:szCs w:val="18"/>
              </w:rPr>
              <w:t xml:space="preserve">120l/d per person </w:t>
            </w:r>
          </w:p>
          <w:p w14:paraId="15CAFF52" w14:textId="77777777" w:rsidR="004A3BE8" w:rsidRPr="00D96CB8" w:rsidRDefault="004A3BE8" w:rsidP="009161A9">
            <w:pPr>
              <w:rPr>
                <w:sz w:val="18"/>
                <w:szCs w:val="18"/>
              </w:rPr>
            </w:pPr>
            <w:r w:rsidRPr="00D96CB8">
              <w:rPr>
                <w:sz w:val="18"/>
                <w:szCs w:val="18"/>
              </w:rPr>
              <w:t>(2.5 people per dwelling)</w:t>
            </w:r>
          </w:p>
        </w:tc>
        <w:tc>
          <w:tcPr>
            <w:tcW w:w="1701" w:type="dxa"/>
          </w:tcPr>
          <w:p w14:paraId="27B1A0B7" w14:textId="77777777" w:rsidR="004A3BE8" w:rsidRPr="00D96CB8" w:rsidRDefault="004A3BE8" w:rsidP="009161A9">
            <w:pPr>
              <w:rPr>
                <w:sz w:val="18"/>
                <w:szCs w:val="18"/>
              </w:rPr>
            </w:pPr>
            <w:r w:rsidRPr="00D96CB8">
              <w:rPr>
                <w:sz w:val="18"/>
                <w:szCs w:val="18"/>
              </w:rPr>
              <w:t>Below the recent actual usage rates.</w:t>
            </w:r>
          </w:p>
        </w:tc>
        <w:tc>
          <w:tcPr>
            <w:tcW w:w="1843" w:type="dxa"/>
          </w:tcPr>
          <w:p w14:paraId="646F6199" w14:textId="77777777" w:rsidR="004A3BE8" w:rsidRPr="00D96CB8" w:rsidRDefault="004A3BE8" w:rsidP="009161A9">
            <w:pPr>
              <w:rPr>
                <w:sz w:val="18"/>
                <w:szCs w:val="18"/>
              </w:rPr>
            </w:pPr>
            <w:r w:rsidRPr="00D96CB8">
              <w:rPr>
                <w:sz w:val="18"/>
                <w:szCs w:val="18"/>
              </w:rPr>
              <w:t>Possibly in line with more water-efficient new properties and water use reduction measures.</w:t>
            </w:r>
          </w:p>
        </w:tc>
        <w:tc>
          <w:tcPr>
            <w:tcW w:w="1559" w:type="dxa"/>
          </w:tcPr>
          <w:p w14:paraId="2000119C" w14:textId="77777777" w:rsidR="004A3BE8" w:rsidRPr="00D96CB8" w:rsidRDefault="004A3BE8" w:rsidP="009161A9">
            <w:pPr>
              <w:rPr>
                <w:sz w:val="18"/>
                <w:szCs w:val="18"/>
              </w:rPr>
            </w:pPr>
            <w:r w:rsidRPr="00D96CB8">
              <w:rPr>
                <w:sz w:val="18"/>
                <w:szCs w:val="18"/>
              </w:rPr>
              <w:t>No – does not allow for any buffer.</w:t>
            </w:r>
          </w:p>
        </w:tc>
      </w:tr>
      <w:tr w:rsidR="004A3BE8" w:rsidRPr="001F1BB1" w14:paraId="0C220874" w14:textId="77777777" w:rsidTr="00CB4AA9">
        <w:trPr>
          <w:cnfStyle w:val="000000010000" w:firstRow="0" w:lastRow="0" w:firstColumn="0" w:lastColumn="0" w:oddVBand="0" w:evenVBand="0" w:oddHBand="0" w:evenHBand="1" w:firstRowFirstColumn="0" w:firstRowLastColumn="0" w:lastRowFirstColumn="0" w:lastRowLastColumn="0"/>
        </w:trPr>
        <w:tc>
          <w:tcPr>
            <w:tcW w:w="1413" w:type="dxa"/>
            <w:vMerge/>
            <w:tcBorders>
              <w:right w:val="none" w:sz="0" w:space="0" w:color="auto"/>
            </w:tcBorders>
          </w:tcPr>
          <w:p w14:paraId="32188E6E" w14:textId="77777777" w:rsidR="004A3BE8" w:rsidRPr="00D96CB8" w:rsidRDefault="004A3BE8" w:rsidP="009161A9">
            <w:pPr>
              <w:rPr>
                <w:sz w:val="18"/>
                <w:szCs w:val="18"/>
              </w:rPr>
            </w:pPr>
          </w:p>
        </w:tc>
        <w:tc>
          <w:tcPr>
            <w:tcW w:w="1417" w:type="dxa"/>
            <w:tcBorders>
              <w:left w:val="none" w:sz="0" w:space="0" w:color="auto"/>
              <w:right w:val="none" w:sz="0" w:space="0" w:color="auto"/>
            </w:tcBorders>
          </w:tcPr>
          <w:p w14:paraId="731CD565" w14:textId="77777777" w:rsidR="004A3BE8" w:rsidRPr="00D96CB8" w:rsidRDefault="004A3BE8" w:rsidP="009161A9">
            <w:pPr>
              <w:rPr>
                <w:sz w:val="18"/>
                <w:szCs w:val="18"/>
              </w:rPr>
            </w:pPr>
            <w:r w:rsidRPr="00D96CB8">
              <w:rPr>
                <w:sz w:val="18"/>
                <w:szCs w:val="18"/>
              </w:rPr>
              <w:t>IWMS Technical Note (2020)</w:t>
            </w:r>
          </w:p>
        </w:tc>
        <w:tc>
          <w:tcPr>
            <w:tcW w:w="1276" w:type="dxa"/>
            <w:tcBorders>
              <w:left w:val="none" w:sz="0" w:space="0" w:color="auto"/>
              <w:right w:val="none" w:sz="0" w:space="0" w:color="auto"/>
            </w:tcBorders>
          </w:tcPr>
          <w:p w14:paraId="34336FD0" w14:textId="77777777" w:rsidR="004A3BE8" w:rsidRPr="00D96CB8" w:rsidRDefault="004A3BE8" w:rsidP="009161A9">
            <w:pPr>
              <w:rPr>
                <w:sz w:val="18"/>
                <w:szCs w:val="18"/>
              </w:rPr>
            </w:pPr>
            <w:r w:rsidRPr="00D96CB8">
              <w:rPr>
                <w:sz w:val="18"/>
                <w:szCs w:val="18"/>
              </w:rPr>
              <w:t xml:space="preserve">110l/d per person </w:t>
            </w:r>
          </w:p>
          <w:p w14:paraId="34555C99" w14:textId="77777777" w:rsidR="004A3BE8" w:rsidRPr="00D96CB8" w:rsidRDefault="004A3BE8" w:rsidP="009161A9">
            <w:pPr>
              <w:rPr>
                <w:sz w:val="18"/>
                <w:szCs w:val="18"/>
              </w:rPr>
            </w:pPr>
            <w:r w:rsidRPr="00D96CB8">
              <w:rPr>
                <w:sz w:val="18"/>
                <w:szCs w:val="18"/>
              </w:rPr>
              <w:t>(2.4 people per dwelling)</w:t>
            </w:r>
          </w:p>
        </w:tc>
        <w:tc>
          <w:tcPr>
            <w:tcW w:w="1701" w:type="dxa"/>
            <w:tcBorders>
              <w:left w:val="none" w:sz="0" w:space="0" w:color="auto"/>
              <w:right w:val="none" w:sz="0" w:space="0" w:color="auto"/>
            </w:tcBorders>
          </w:tcPr>
          <w:p w14:paraId="49CE31D9" w14:textId="77777777" w:rsidR="004A3BE8" w:rsidRPr="00D96CB8" w:rsidRDefault="004A3BE8" w:rsidP="009161A9">
            <w:pPr>
              <w:rPr>
                <w:sz w:val="18"/>
                <w:szCs w:val="18"/>
              </w:rPr>
            </w:pPr>
            <w:r w:rsidRPr="00D96CB8">
              <w:rPr>
                <w:sz w:val="18"/>
                <w:szCs w:val="18"/>
              </w:rPr>
              <w:t>Below the recent actual usage rates.</w:t>
            </w:r>
          </w:p>
        </w:tc>
        <w:tc>
          <w:tcPr>
            <w:tcW w:w="1843" w:type="dxa"/>
            <w:tcBorders>
              <w:left w:val="none" w:sz="0" w:space="0" w:color="auto"/>
              <w:right w:val="none" w:sz="0" w:space="0" w:color="auto"/>
            </w:tcBorders>
          </w:tcPr>
          <w:p w14:paraId="065B2AA0" w14:textId="77777777" w:rsidR="004A3BE8" w:rsidRPr="00D96CB8" w:rsidRDefault="004A3BE8" w:rsidP="009161A9">
            <w:pPr>
              <w:rPr>
                <w:sz w:val="18"/>
                <w:szCs w:val="18"/>
              </w:rPr>
            </w:pPr>
            <w:r w:rsidRPr="00D96CB8">
              <w:rPr>
                <w:sz w:val="18"/>
                <w:szCs w:val="18"/>
              </w:rPr>
              <w:t>Possibly in line with more water-efficient new properties and water use reduction measures.</w:t>
            </w:r>
          </w:p>
        </w:tc>
        <w:tc>
          <w:tcPr>
            <w:tcW w:w="1559" w:type="dxa"/>
            <w:tcBorders>
              <w:left w:val="none" w:sz="0" w:space="0" w:color="auto"/>
            </w:tcBorders>
          </w:tcPr>
          <w:p w14:paraId="727EF8F7" w14:textId="77777777" w:rsidR="004A3BE8" w:rsidRPr="00D96CB8" w:rsidRDefault="004A3BE8" w:rsidP="009161A9">
            <w:pPr>
              <w:rPr>
                <w:sz w:val="18"/>
                <w:szCs w:val="18"/>
              </w:rPr>
            </w:pPr>
            <w:r w:rsidRPr="00D96CB8">
              <w:rPr>
                <w:sz w:val="18"/>
                <w:szCs w:val="18"/>
              </w:rPr>
              <w:t>No – does not allow for any buffer.</w:t>
            </w:r>
          </w:p>
        </w:tc>
      </w:tr>
      <w:tr w:rsidR="004A3BE8" w14:paraId="5D045928" w14:textId="77777777" w:rsidTr="00CB4AA9">
        <w:trPr>
          <w:cnfStyle w:val="000000100000" w:firstRow="0" w:lastRow="0" w:firstColumn="0" w:lastColumn="0" w:oddVBand="0" w:evenVBand="0" w:oddHBand="1" w:evenHBand="0" w:firstRowFirstColumn="0" w:firstRowLastColumn="0" w:lastRowFirstColumn="0" w:lastRowLastColumn="0"/>
        </w:trPr>
        <w:tc>
          <w:tcPr>
            <w:tcW w:w="1413" w:type="dxa"/>
            <w:vMerge/>
          </w:tcPr>
          <w:p w14:paraId="10AB1333" w14:textId="77777777" w:rsidR="004A3BE8" w:rsidRPr="00D96CB8" w:rsidRDefault="004A3BE8" w:rsidP="009161A9">
            <w:pPr>
              <w:rPr>
                <w:sz w:val="18"/>
                <w:szCs w:val="18"/>
              </w:rPr>
            </w:pPr>
          </w:p>
        </w:tc>
        <w:tc>
          <w:tcPr>
            <w:tcW w:w="1417" w:type="dxa"/>
          </w:tcPr>
          <w:p w14:paraId="0E0C42D4" w14:textId="77777777" w:rsidR="004A3BE8" w:rsidRPr="00D96CB8" w:rsidRDefault="004A3BE8" w:rsidP="009161A9">
            <w:pPr>
              <w:rPr>
                <w:sz w:val="18"/>
                <w:szCs w:val="18"/>
              </w:rPr>
            </w:pPr>
            <w:r w:rsidRPr="00D96CB8">
              <w:rPr>
                <w:sz w:val="18"/>
                <w:szCs w:val="18"/>
              </w:rPr>
              <w:t xml:space="preserve">Wastewater treatment and remaining Headroom </w:t>
            </w:r>
            <w:r w:rsidRPr="00D96CB8">
              <w:rPr>
                <w:sz w:val="18"/>
                <w:szCs w:val="18"/>
              </w:rPr>
              <w:lastRenderedPageBreak/>
              <w:t>calculations (2023)</w:t>
            </w:r>
          </w:p>
        </w:tc>
        <w:tc>
          <w:tcPr>
            <w:tcW w:w="1276" w:type="dxa"/>
          </w:tcPr>
          <w:p w14:paraId="076C7471" w14:textId="77777777" w:rsidR="004A3BE8" w:rsidRPr="00D96CB8" w:rsidRDefault="004A3BE8" w:rsidP="009161A9">
            <w:pPr>
              <w:rPr>
                <w:sz w:val="18"/>
                <w:szCs w:val="18"/>
              </w:rPr>
            </w:pPr>
            <w:r w:rsidRPr="00D96CB8">
              <w:rPr>
                <w:sz w:val="18"/>
                <w:szCs w:val="18"/>
              </w:rPr>
              <w:lastRenderedPageBreak/>
              <w:t>500l/d per dwelling</w:t>
            </w:r>
          </w:p>
        </w:tc>
        <w:tc>
          <w:tcPr>
            <w:tcW w:w="1701" w:type="dxa"/>
          </w:tcPr>
          <w:p w14:paraId="66BBDA15" w14:textId="77777777" w:rsidR="004A3BE8" w:rsidRPr="00D96CB8" w:rsidRDefault="004A3BE8" w:rsidP="009161A9">
            <w:pPr>
              <w:rPr>
                <w:sz w:val="18"/>
                <w:szCs w:val="18"/>
              </w:rPr>
            </w:pPr>
            <w:r w:rsidRPr="00D96CB8">
              <w:rPr>
                <w:sz w:val="18"/>
                <w:szCs w:val="18"/>
              </w:rPr>
              <w:t>Overestimating the water usage rates for new properties.</w:t>
            </w:r>
          </w:p>
        </w:tc>
        <w:tc>
          <w:tcPr>
            <w:tcW w:w="1843" w:type="dxa"/>
          </w:tcPr>
          <w:p w14:paraId="4FAA38F6" w14:textId="517D598E" w:rsidR="004A3BE8" w:rsidRPr="00D96CB8" w:rsidRDefault="004A3BE8" w:rsidP="009161A9">
            <w:pPr>
              <w:rPr>
                <w:sz w:val="18"/>
                <w:szCs w:val="18"/>
              </w:rPr>
            </w:pPr>
            <w:r w:rsidRPr="004A3BE8">
              <w:rPr>
                <w:sz w:val="18"/>
                <w:szCs w:val="18"/>
              </w:rPr>
              <w:t>precautionary</w:t>
            </w:r>
            <w:r w:rsidRPr="00D96CB8">
              <w:rPr>
                <w:sz w:val="18"/>
                <w:szCs w:val="18"/>
              </w:rPr>
              <w:t xml:space="preserve"> estimate – allowing for a significant buffer. </w:t>
            </w:r>
          </w:p>
        </w:tc>
        <w:tc>
          <w:tcPr>
            <w:tcW w:w="1559" w:type="dxa"/>
          </w:tcPr>
          <w:p w14:paraId="50580D55" w14:textId="50E16EB5" w:rsidR="004A3BE8" w:rsidRPr="00D96CB8" w:rsidRDefault="004A3BE8" w:rsidP="009161A9">
            <w:pPr>
              <w:rPr>
                <w:sz w:val="18"/>
                <w:szCs w:val="18"/>
              </w:rPr>
            </w:pPr>
            <w:r w:rsidRPr="00D96CB8">
              <w:rPr>
                <w:sz w:val="18"/>
                <w:szCs w:val="18"/>
              </w:rPr>
              <w:t xml:space="preserve">Yes - although possibly too </w:t>
            </w:r>
            <w:r w:rsidRPr="004A3BE8">
              <w:rPr>
                <w:sz w:val="18"/>
                <w:szCs w:val="18"/>
              </w:rPr>
              <w:t>precautionary</w:t>
            </w:r>
          </w:p>
        </w:tc>
      </w:tr>
      <w:tr w:rsidR="004A3BE8" w14:paraId="03E205B5" w14:textId="77777777" w:rsidTr="00CB4AA9">
        <w:trPr>
          <w:cnfStyle w:val="000000010000" w:firstRow="0" w:lastRow="0" w:firstColumn="0" w:lastColumn="0" w:oddVBand="0" w:evenVBand="0" w:oddHBand="0" w:evenHBand="1" w:firstRowFirstColumn="0" w:firstRowLastColumn="0" w:lastRowFirstColumn="0" w:lastRowLastColumn="0"/>
          <w:trHeight w:val="1020"/>
        </w:trPr>
        <w:tc>
          <w:tcPr>
            <w:tcW w:w="1413" w:type="dxa"/>
            <w:vMerge/>
            <w:tcBorders>
              <w:right w:val="none" w:sz="0" w:space="0" w:color="auto"/>
            </w:tcBorders>
          </w:tcPr>
          <w:p w14:paraId="0ADD4739" w14:textId="77777777" w:rsidR="004A3BE8" w:rsidRPr="00D96CB8" w:rsidRDefault="004A3BE8" w:rsidP="009161A9">
            <w:pPr>
              <w:rPr>
                <w:sz w:val="18"/>
                <w:szCs w:val="18"/>
              </w:rPr>
            </w:pPr>
          </w:p>
        </w:tc>
        <w:tc>
          <w:tcPr>
            <w:tcW w:w="1417" w:type="dxa"/>
            <w:vMerge w:val="restart"/>
            <w:tcBorders>
              <w:left w:val="none" w:sz="0" w:space="0" w:color="auto"/>
              <w:right w:val="none" w:sz="0" w:space="0" w:color="auto"/>
            </w:tcBorders>
          </w:tcPr>
          <w:p w14:paraId="66021A90" w14:textId="43668AF2" w:rsidR="004A3BE8" w:rsidRPr="00D96CB8" w:rsidRDefault="004A3BE8" w:rsidP="009161A9">
            <w:pPr>
              <w:rPr>
                <w:sz w:val="18"/>
                <w:szCs w:val="18"/>
              </w:rPr>
            </w:pPr>
            <w:r w:rsidRPr="00D96CB8">
              <w:rPr>
                <w:sz w:val="18"/>
                <w:szCs w:val="18"/>
              </w:rPr>
              <w:t>Calculations based on SWS recent actuals</w:t>
            </w:r>
          </w:p>
        </w:tc>
        <w:tc>
          <w:tcPr>
            <w:tcW w:w="1276" w:type="dxa"/>
            <w:tcBorders>
              <w:left w:val="none" w:sz="0" w:space="0" w:color="auto"/>
              <w:right w:val="none" w:sz="0" w:space="0" w:color="auto"/>
            </w:tcBorders>
          </w:tcPr>
          <w:p w14:paraId="79C203BD" w14:textId="50F08643" w:rsidR="004A3BE8" w:rsidRPr="00D96CB8" w:rsidRDefault="004A3BE8" w:rsidP="009161A9">
            <w:pPr>
              <w:rPr>
                <w:sz w:val="18"/>
                <w:szCs w:val="18"/>
              </w:rPr>
            </w:pPr>
            <w:r w:rsidRPr="00D96CB8">
              <w:rPr>
                <w:sz w:val="18"/>
                <w:szCs w:val="18"/>
              </w:rPr>
              <w:t>469l/d per dwelling</w:t>
            </w:r>
            <w:r>
              <w:rPr>
                <w:sz w:val="18"/>
                <w:szCs w:val="18"/>
              </w:rPr>
              <w:t xml:space="preserve">* </w:t>
            </w:r>
          </w:p>
        </w:tc>
        <w:tc>
          <w:tcPr>
            <w:tcW w:w="1701" w:type="dxa"/>
            <w:vMerge w:val="restart"/>
            <w:tcBorders>
              <w:left w:val="none" w:sz="0" w:space="0" w:color="auto"/>
              <w:right w:val="none" w:sz="0" w:space="0" w:color="auto"/>
            </w:tcBorders>
          </w:tcPr>
          <w:p w14:paraId="23166C6A" w14:textId="77777777" w:rsidR="004A3BE8" w:rsidRPr="00D96CB8" w:rsidRDefault="004A3BE8" w:rsidP="009161A9">
            <w:pPr>
              <w:rPr>
                <w:sz w:val="18"/>
                <w:szCs w:val="18"/>
              </w:rPr>
            </w:pPr>
            <w:r w:rsidRPr="00D96CB8">
              <w:rPr>
                <w:sz w:val="18"/>
                <w:szCs w:val="18"/>
              </w:rPr>
              <w:t>Overestimating the water usage rates for new properties.</w:t>
            </w:r>
          </w:p>
        </w:tc>
        <w:tc>
          <w:tcPr>
            <w:tcW w:w="1843" w:type="dxa"/>
            <w:vMerge w:val="restart"/>
            <w:tcBorders>
              <w:left w:val="none" w:sz="0" w:space="0" w:color="auto"/>
              <w:right w:val="none" w:sz="0" w:space="0" w:color="auto"/>
            </w:tcBorders>
          </w:tcPr>
          <w:p w14:paraId="2E49D0A3" w14:textId="77777777" w:rsidR="004A3BE8" w:rsidRPr="00D96CB8" w:rsidRDefault="004A3BE8" w:rsidP="009161A9">
            <w:pPr>
              <w:rPr>
                <w:sz w:val="18"/>
                <w:szCs w:val="18"/>
              </w:rPr>
            </w:pPr>
            <w:r w:rsidRPr="00D96CB8">
              <w:rPr>
                <w:sz w:val="18"/>
                <w:szCs w:val="18"/>
              </w:rPr>
              <w:t xml:space="preserve">Based on the most recent water usage data from SWS. </w:t>
            </w:r>
          </w:p>
        </w:tc>
        <w:tc>
          <w:tcPr>
            <w:tcW w:w="1559" w:type="dxa"/>
            <w:vMerge w:val="restart"/>
            <w:tcBorders>
              <w:left w:val="none" w:sz="0" w:space="0" w:color="auto"/>
            </w:tcBorders>
          </w:tcPr>
          <w:p w14:paraId="60D5C48B" w14:textId="5386B3E6" w:rsidR="004A3BE8" w:rsidRPr="00D96CB8" w:rsidRDefault="004A3BE8" w:rsidP="009161A9">
            <w:pPr>
              <w:rPr>
                <w:sz w:val="18"/>
                <w:szCs w:val="18"/>
              </w:rPr>
            </w:pPr>
            <w:r w:rsidRPr="00D96CB8">
              <w:rPr>
                <w:sz w:val="18"/>
                <w:szCs w:val="18"/>
              </w:rPr>
              <w:t>Yes – but would require regular updates</w:t>
            </w:r>
            <w:r>
              <w:rPr>
                <w:sz w:val="18"/>
                <w:szCs w:val="18"/>
              </w:rPr>
              <w:t xml:space="preserve"> (i.e., recent actuals water usage values, effects of infiltration reduction plans etc.)</w:t>
            </w:r>
            <w:r w:rsidRPr="00D96CB8">
              <w:rPr>
                <w:sz w:val="18"/>
                <w:szCs w:val="18"/>
              </w:rPr>
              <w:t>.</w:t>
            </w:r>
          </w:p>
        </w:tc>
      </w:tr>
      <w:tr w:rsidR="004A3BE8" w14:paraId="7DBE252B" w14:textId="77777777" w:rsidTr="00CB4AA9">
        <w:trPr>
          <w:cnfStyle w:val="000000100000" w:firstRow="0" w:lastRow="0" w:firstColumn="0" w:lastColumn="0" w:oddVBand="0" w:evenVBand="0" w:oddHBand="1" w:evenHBand="0" w:firstRowFirstColumn="0" w:firstRowLastColumn="0" w:lastRowFirstColumn="0" w:lastRowLastColumn="0"/>
          <w:trHeight w:val="1020"/>
        </w:trPr>
        <w:tc>
          <w:tcPr>
            <w:tcW w:w="1413" w:type="dxa"/>
            <w:vMerge/>
            <w:shd w:val="clear" w:color="auto" w:fill="FFFFFF" w:themeFill="background1"/>
          </w:tcPr>
          <w:p w14:paraId="7A2B6F27" w14:textId="77777777" w:rsidR="004A3BE8" w:rsidRPr="00D96CB8" w:rsidRDefault="004A3BE8" w:rsidP="009161A9">
            <w:pPr>
              <w:rPr>
                <w:sz w:val="18"/>
                <w:szCs w:val="18"/>
              </w:rPr>
            </w:pPr>
          </w:p>
        </w:tc>
        <w:tc>
          <w:tcPr>
            <w:tcW w:w="1417" w:type="dxa"/>
            <w:vMerge/>
            <w:shd w:val="clear" w:color="auto" w:fill="FFFFFF" w:themeFill="background1"/>
          </w:tcPr>
          <w:p w14:paraId="6F541BA2" w14:textId="77777777" w:rsidR="004A3BE8" w:rsidRPr="00D96CB8" w:rsidRDefault="004A3BE8" w:rsidP="009161A9">
            <w:pPr>
              <w:rPr>
                <w:sz w:val="18"/>
                <w:szCs w:val="18"/>
              </w:rPr>
            </w:pPr>
          </w:p>
        </w:tc>
        <w:tc>
          <w:tcPr>
            <w:tcW w:w="1276" w:type="dxa"/>
            <w:shd w:val="clear" w:color="auto" w:fill="FFFFFF" w:themeFill="background1"/>
          </w:tcPr>
          <w:p w14:paraId="08B5086C" w14:textId="365B8B23" w:rsidR="004A3BE8" w:rsidRPr="00D96CB8" w:rsidRDefault="004A3BE8" w:rsidP="009161A9">
            <w:pPr>
              <w:rPr>
                <w:sz w:val="18"/>
                <w:szCs w:val="18"/>
              </w:rPr>
            </w:pPr>
            <w:r w:rsidRPr="004A3BE8">
              <w:rPr>
                <w:sz w:val="18"/>
                <w:szCs w:val="18"/>
              </w:rPr>
              <w:t>433 l/d per dwelling</w:t>
            </w:r>
            <w:r>
              <w:rPr>
                <w:sz w:val="18"/>
                <w:szCs w:val="18"/>
              </w:rPr>
              <w:t>**</w:t>
            </w:r>
          </w:p>
        </w:tc>
        <w:tc>
          <w:tcPr>
            <w:tcW w:w="1701" w:type="dxa"/>
            <w:vMerge/>
            <w:shd w:val="clear" w:color="auto" w:fill="FFFFFF" w:themeFill="background1"/>
          </w:tcPr>
          <w:p w14:paraId="2410C05F" w14:textId="77777777" w:rsidR="004A3BE8" w:rsidRPr="00D96CB8" w:rsidRDefault="004A3BE8" w:rsidP="009161A9">
            <w:pPr>
              <w:rPr>
                <w:sz w:val="18"/>
                <w:szCs w:val="18"/>
              </w:rPr>
            </w:pPr>
          </w:p>
        </w:tc>
        <w:tc>
          <w:tcPr>
            <w:tcW w:w="1843" w:type="dxa"/>
            <w:vMerge/>
            <w:shd w:val="clear" w:color="auto" w:fill="FFFFFF" w:themeFill="background1"/>
          </w:tcPr>
          <w:p w14:paraId="31B0CBA3" w14:textId="77777777" w:rsidR="004A3BE8" w:rsidRPr="00D96CB8" w:rsidRDefault="004A3BE8" w:rsidP="009161A9">
            <w:pPr>
              <w:rPr>
                <w:sz w:val="18"/>
                <w:szCs w:val="18"/>
              </w:rPr>
            </w:pPr>
          </w:p>
        </w:tc>
        <w:tc>
          <w:tcPr>
            <w:tcW w:w="1559" w:type="dxa"/>
            <w:vMerge/>
            <w:shd w:val="clear" w:color="auto" w:fill="FFFFFF" w:themeFill="background1"/>
          </w:tcPr>
          <w:p w14:paraId="6680FEDC" w14:textId="77777777" w:rsidR="004A3BE8" w:rsidRPr="00D96CB8" w:rsidRDefault="004A3BE8" w:rsidP="009161A9">
            <w:pPr>
              <w:rPr>
                <w:sz w:val="18"/>
                <w:szCs w:val="18"/>
              </w:rPr>
            </w:pPr>
          </w:p>
        </w:tc>
      </w:tr>
    </w:tbl>
    <w:p w14:paraId="2CE9B023" w14:textId="77B4305D" w:rsidR="00AD1CE3" w:rsidRPr="00CB4AA9" w:rsidRDefault="004A3BE8" w:rsidP="00CB4AA9">
      <w:pPr>
        <w:spacing w:after="0"/>
        <w:jc w:val="both"/>
        <w:rPr>
          <w:sz w:val="16"/>
          <w:szCs w:val="18"/>
        </w:rPr>
      </w:pPr>
      <w:r w:rsidRPr="00CB4AA9">
        <w:rPr>
          <w:sz w:val="16"/>
          <w:szCs w:val="18"/>
        </w:rPr>
        <w:t xml:space="preserve">* Using 100% </w:t>
      </w:r>
      <w:bookmarkStart w:id="44" w:name="_Hlk157757473"/>
      <w:r w:rsidRPr="00CB4AA9">
        <w:rPr>
          <w:sz w:val="16"/>
          <w:szCs w:val="18"/>
        </w:rPr>
        <w:t>supply returned to sewer</w:t>
      </w:r>
      <w:bookmarkEnd w:id="44"/>
    </w:p>
    <w:p w14:paraId="3FD562C7" w14:textId="541256D3" w:rsidR="004A3BE8" w:rsidRPr="00CB4AA9" w:rsidRDefault="004A3BE8" w:rsidP="00CB4AA9">
      <w:pPr>
        <w:spacing w:after="0"/>
        <w:jc w:val="both"/>
        <w:rPr>
          <w:sz w:val="16"/>
          <w:szCs w:val="18"/>
        </w:rPr>
      </w:pPr>
      <w:r w:rsidRPr="00CB4AA9">
        <w:rPr>
          <w:sz w:val="16"/>
          <w:szCs w:val="18"/>
        </w:rPr>
        <w:t>**Using 92.5% supply returned to sewer</w:t>
      </w:r>
    </w:p>
    <w:p w14:paraId="29696299" w14:textId="77777777" w:rsidR="00081ED5" w:rsidRDefault="00081ED5" w:rsidP="00A15BAA">
      <w:pPr>
        <w:jc w:val="both"/>
      </w:pPr>
    </w:p>
    <w:p w14:paraId="745D96AB" w14:textId="31F8BF8F" w:rsidR="00A15BAA" w:rsidRDefault="00393148" w:rsidP="00A15BAA">
      <w:pPr>
        <w:jc w:val="both"/>
      </w:pPr>
      <w:r>
        <w:t>We also note</w:t>
      </w:r>
      <w:r w:rsidR="00D410AA">
        <w:t xml:space="preserve"> </w:t>
      </w:r>
      <w:r>
        <w:t>that</w:t>
      </w:r>
      <w:r w:rsidR="00A82E26">
        <w:t xml:space="preserve"> o</w:t>
      </w:r>
      <w:r w:rsidR="00A15BAA">
        <w:t xml:space="preserve">ther </w:t>
      </w:r>
      <w:r w:rsidR="00A82E26">
        <w:t xml:space="preserve">relevant </w:t>
      </w:r>
      <w:r w:rsidR="00A15BAA">
        <w:t xml:space="preserve">factors </w:t>
      </w:r>
      <w:r w:rsidR="00A82E26">
        <w:t xml:space="preserve">including those </w:t>
      </w:r>
      <w:r w:rsidR="00A15BAA">
        <w:t>associated with development should also be considered such as:</w:t>
      </w:r>
    </w:p>
    <w:p w14:paraId="75918798" w14:textId="59A3740B" w:rsidR="00A15BAA" w:rsidRDefault="00A15BAA" w:rsidP="00A15BAA">
      <w:pPr>
        <w:pStyle w:val="ListParagraph"/>
        <w:numPr>
          <w:ilvl w:val="0"/>
          <w:numId w:val="44"/>
        </w:numPr>
        <w:jc w:val="both"/>
      </w:pPr>
      <w:r>
        <w:t xml:space="preserve">no surface water from new development will be discharged to the public foul or combined sewer </w:t>
      </w:r>
      <w:proofErr w:type="gramStart"/>
      <w:r>
        <w:t>system</w:t>
      </w:r>
      <w:r w:rsidR="004E5C78">
        <w:t>;</w:t>
      </w:r>
      <w:proofErr w:type="gramEnd"/>
    </w:p>
    <w:p w14:paraId="023AE91B" w14:textId="60067BA4" w:rsidR="00A15BAA" w:rsidRDefault="00A15BAA" w:rsidP="00A15BAA">
      <w:pPr>
        <w:pStyle w:val="ListParagraph"/>
        <w:numPr>
          <w:ilvl w:val="0"/>
          <w:numId w:val="44"/>
        </w:numPr>
        <w:jc w:val="both"/>
      </w:pPr>
      <w:r>
        <w:t>applicants should demonstrate that techniques such as</w:t>
      </w:r>
      <w:r w:rsidR="005C6EA8">
        <w:t xml:space="preserve"> Sustainable Drainage System</w:t>
      </w:r>
      <w:r w:rsidR="00BA77FF">
        <w:t>s</w:t>
      </w:r>
      <w:r>
        <w:t xml:space="preserve"> </w:t>
      </w:r>
      <w:r w:rsidR="005C6EA8">
        <w:t>(</w:t>
      </w:r>
      <w:proofErr w:type="spellStart"/>
      <w:r>
        <w:t>SuD</w:t>
      </w:r>
      <w:r w:rsidR="005C6EA8">
        <w:t>S</w:t>
      </w:r>
      <w:proofErr w:type="spellEnd"/>
      <w:r w:rsidR="005C6EA8">
        <w:t>)</w:t>
      </w:r>
      <w:r>
        <w:t xml:space="preserve"> have been used to minimise the flow to the treatment </w:t>
      </w:r>
      <w:proofErr w:type="gramStart"/>
      <w:r>
        <w:t>works</w:t>
      </w:r>
      <w:r w:rsidR="004E5C78">
        <w:t>;</w:t>
      </w:r>
      <w:proofErr w:type="gramEnd"/>
    </w:p>
    <w:p w14:paraId="503EDCD6" w14:textId="7D177C3D" w:rsidR="00A15BAA" w:rsidRDefault="00A15BAA" w:rsidP="00A15BAA">
      <w:pPr>
        <w:pStyle w:val="ListParagraph"/>
        <w:numPr>
          <w:ilvl w:val="0"/>
          <w:numId w:val="44"/>
        </w:numPr>
        <w:jc w:val="both"/>
      </w:pPr>
      <w:r>
        <w:t xml:space="preserve">applicants are encouraged to include water efficiency measures to achieve </w:t>
      </w:r>
      <w:r w:rsidR="00793462">
        <w:t>SWS</w:t>
      </w:r>
      <w:r w:rsidR="00023BB5">
        <w:t>’s</w:t>
      </w:r>
      <w:r>
        <w:t xml:space="preserve"> Target </w:t>
      </w:r>
      <w:proofErr w:type="gramStart"/>
      <w:r>
        <w:t>100</w:t>
      </w:r>
      <w:r w:rsidR="004E5C78">
        <w:t>;</w:t>
      </w:r>
      <w:proofErr w:type="gramEnd"/>
    </w:p>
    <w:p w14:paraId="1BD9E873" w14:textId="251A43BC" w:rsidR="00A15BAA" w:rsidRDefault="00A15BAA" w:rsidP="00A15BAA">
      <w:pPr>
        <w:pStyle w:val="ListParagraph"/>
        <w:numPr>
          <w:ilvl w:val="0"/>
          <w:numId w:val="44"/>
        </w:numPr>
        <w:jc w:val="both"/>
      </w:pPr>
      <w:r>
        <w:t>development in this catchment also needs to be nutrient neutral in line with Natural England guidance.</w:t>
      </w:r>
    </w:p>
    <w:p w14:paraId="1BD6035A" w14:textId="45C7160E" w:rsidR="00892AF5" w:rsidRDefault="00EB29FD" w:rsidP="00113DAB">
      <w:pPr>
        <w:spacing w:after="160"/>
      </w:pPr>
      <w:r>
        <w:t>E</w:t>
      </w:r>
      <w:r w:rsidRPr="00EB29FD">
        <w:t>ach new proposed development should be considered on a case-by-case basis considering location, property size and property type</w:t>
      </w:r>
      <w:r>
        <w:t xml:space="preserve"> and updated with the most recent data and information </w:t>
      </w:r>
      <w:proofErr w:type="gramStart"/>
      <w:r>
        <w:t>e.g.</w:t>
      </w:r>
      <w:proofErr w:type="gramEnd"/>
      <w:r>
        <w:t xml:space="preserve"> DWF data</w:t>
      </w:r>
      <w:r w:rsidR="00D65196">
        <w:t xml:space="preserve"> and recent actual data.</w:t>
      </w:r>
      <w:r w:rsidR="00126DCC">
        <w:rPr>
          <w:noProof/>
        </w:rPr>
        <mc:AlternateContent>
          <mc:Choice Requires="wps">
            <w:drawing>
              <wp:anchor distT="0" distB="0" distL="114300" distR="114300" simplePos="0" relativeHeight="251658240" behindDoc="0" locked="0" layoutInCell="1" allowOverlap="1" wp14:anchorId="684BC223" wp14:editId="6395CAD1">
                <wp:simplePos x="0" y="0"/>
                <wp:positionH relativeFrom="page">
                  <wp:posOffset>12700</wp:posOffset>
                </wp:positionH>
                <wp:positionV relativeFrom="paragraph">
                  <wp:posOffset>7277100</wp:posOffset>
                </wp:positionV>
                <wp:extent cx="3644265" cy="1501140"/>
                <wp:effectExtent l="0" t="0" r="0" b="3810"/>
                <wp:wrapNone/>
                <wp:docPr id="9"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44265" cy="1501140"/>
                        </a:xfrm>
                        <a:prstGeom prst="rect">
                          <a:avLst/>
                        </a:prstGeom>
                        <a:solidFill>
                          <a:srgbClr val="006BB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4DD78BE" id="Rectangle 9" o:spid="_x0000_s1026" alt="&quot;&quot;" style="position:absolute;margin-left:1pt;margin-top:573pt;width:286.95pt;height:118.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NjRhgIAAGEFAAAOAAAAZHJzL2Uyb0RvYy54bWysVE1v2zAMvQ/YfxB0X2xnSboZdYo0RYcB&#10;QVusHXpWZCk2JouapMTJfv0o+SNFV+wwzAdBNMnHR4rk5dWxUeQgrKtBFzSbpJQIzaGs9a6g359u&#10;P3yixHmmS6ZAi4KehKNXy/fvLluTiylUoEphCYJol7emoJX3Jk8SxyvRMDcBIzQqJdiGeRTtLikt&#10;axG9Uck0TRdJC7Y0FrhwDv/edEq6jPhSCu7vpXTCE1VQ5ObjaeO5DWeyvGT5zjJT1bynwf6BRcNq&#10;jUFHqBvmGdnb+g+opuYWHEg/4dAkIGXNRcwBs8nSV9k8VsyImAsWx5mxTO7/wfK7w6N5sIG6Mxvg&#10;PxxWJGmNy0dNEFxvc5S2CbZInBxjFU9jFcXRE44/Py5ms+liTglHXTZPs2wW65ywfHA31vkvAhoS&#10;LgW1+EyxeuywcT4QYPlgEpmBqsvbWqko2N12rSw5sPCk6eL6+iK8Irq4s1nMoCMd6fuTEsFZ6W9C&#10;krpEmtMYMTaaGPEY50L7rFNVrBRdmHmK3xAltGbwiDEjYECWSG/E7gEGyw5kwO7I9vbBVcQ+HZ3T&#10;vxHrnEePGBm0H52bWoN9C0BhVn3kzr5/ZteVJlRpC+XpwRIL3ZQ4w29rfJ8Nc/6BWRwLHCAcdX+P&#10;h1TQFhT6GyUV2F9v/Q/22K2opaTFMSuo+7lnVlCivmrs48/ZDLuD+CjM5hdTFOxLzfalRu+bNeCz&#10;Z7hUDI/XYO/VcJUWmmfcCKsQFVVMc4xdUO7tIKx9N/64U7hYraIZzqJhfqMfDQ/goaqh/56Oz8ya&#10;vkk99vcdDCPJ8le92tkGTw2rvQdZx0Y+17WvN85xbJx+54RF8VKOVufNuPwNAAD//wMAUEsDBBQA&#10;BgAIAAAAIQAUbnC34QAAAAsBAAAPAAAAZHJzL2Rvd25yZXYueG1sTI/NTsMwEITvSLyDtUjcqNPg&#10;/oU4FUIg9VBVonDpzYm3TtTYDrbbhrdnOcFtd3Y0+025Hm3PLhhi552E6SQDhq7xunNGwufH28MS&#10;WEzKadV7hxK+McK6ur0pVaH91b3jZZ8MoxAXCyWhTWkoOI9Ni1bFiR/Q0e3og1WJ1mC4DupK4bbn&#10;eZbNuVWdow+tGvClxea0P1sJh2DCdptvhPjamdNrvfACDxsp7+/G5ydgCcf0Z4ZffEKHiphqf3Y6&#10;sl5CTk0SyVMxp4kMs8VsBawm6XGZC+BVyf93qH4AAAD//wMAUEsBAi0AFAAGAAgAAAAhALaDOJL+&#10;AAAA4QEAABMAAAAAAAAAAAAAAAAAAAAAAFtDb250ZW50X1R5cGVzXS54bWxQSwECLQAUAAYACAAA&#10;ACEAOP0h/9YAAACUAQAACwAAAAAAAAAAAAAAAAAvAQAAX3JlbHMvLnJlbHNQSwECLQAUAAYACAAA&#10;ACEAsLzY0YYCAABhBQAADgAAAAAAAAAAAAAAAAAuAgAAZHJzL2Uyb0RvYy54bWxQSwECLQAUAAYA&#10;CAAAACEAFG5wt+EAAAALAQAADwAAAAAAAAAAAAAAAADgBAAAZHJzL2Rvd25yZXYueG1sUEsFBgAA&#10;AAAEAAQA8wAAAO4FAAAAAA==&#10;" fillcolor="#006bb7" strokecolor="#1f3763 [1604]" strokeweight="1pt">
                <v:path arrowok="t"/>
                <w10:wrap anchorx="page"/>
              </v:rect>
            </w:pict>
          </mc:Fallback>
        </mc:AlternateContent>
      </w:r>
      <w:r w:rsidR="00045EA2">
        <w:t xml:space="preserve"> Guidance and Legislation may also change and should always be considered.</w:t>
      </w:r>
    </w:p>
    <w:p w14:paraId="72548DDB" w14:textId="77777777" w:rsidR="00892AF5" w:rsidRDefault="00892AF5" w:rsidP="00B62026">
      <w:pPr>
        <w:spacing w:after="160"/>
      </w:pPr>
    </w:p>
    <w:p w14:paraId="29F7BC1B" w14:textId="77777777" w:rsidR="00892AF5" w:rsidRDefault="00892AF5" w:rsidP="00113DAB">
      <w:pPr>
        <w:spacing w:before="3240" w:after="1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67"/>
      </w:tblGrid>
      <w:tr w:rsidR="00892AF5" w14:paraId="52F1C258" w14:textId="77777777" w:rsidTr="00892AF5">
        <w:trPr>
          <w:trHeight w:val="1451"/>
        </w:trPr>
        <w:tc>
          <w:tcPr>
            <w:tcW w:w="5949" w:type="dxa"/>
          </w:tcPr>
          <w:p w14:paraId="1C0FD796" w14:textId="249D792E" w:rsidR="00892AF5" w:rsidRDefault="00892AF5" w:rsidP="00B62026">
            <w:pPr>
              <w:spacing w:after="160"/>
            </w:pPr>
            <w:r>
              <w:rPr>
                <w:noProof/>
              </w:rPr>
              <w:drawing>
                <wp:inline distT="0" distB="0" distL="0" distR="0" wp14:anchorId="483E92CE" wp14:editId="46E667EF">
                  <wp:extent cx="1312320" cy="844361"/>
                  <wp:effectExtent l="0" t="0" r="2540" b="0"/>
                  <wp:docPr id="5" name="Picture 5" descr="Ricardo 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icardo company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12320" cy="844361"/>
                          </a:xfrm>
                          <a:prstGeom prst="rect">
                            <a:avLst/>
                          </a:prstGeom>
                          <a:noFill/>
                          <a:ln>
                            <a:noFill/>
                          </a:ln>
                        </pic:spPr>
                      </pic:pic>
                    </a:graphicData>
                  </a:graphic>
                </wp:inline>
              </w:drawing>
            </w:r>
          </w:p>
        </w:tc>
        <w:tc>
          <w:tcPr>
            <w:tcW w:w="3067" w:type="dxa"/>
          </w:tcPr>
          <w:p w14:paraId="7D2A69C0" w14:textId="77777777" w:rsidR="00892AF5" w:rsidRPr="00D20668" w:rsidRDefault="00892AF5" w:rsidP="00892AF5">
            <w:pPr>
              <w:rPr>
                <w:sz w:val="24"/>
                <w:lang w:val="it-IT"/>
              </w:rPr>
            </w:pPr>
            <w:r w:rsidRPr="00D20668">
              <w:rPr>
                <w:sz w:val="24"/>
                <w:lang w:val="it-IT"/>
              </w:rPr>
              <w:t>T: +44 (0) 1235 753000</w:t>
            </w:r>
          </w:p>
          <w:p w14:paraId="5F27D5EF" w14:textId="77777777" w:rsidR="00892AF5" w:rsidRPr="00D20668" w:rsidRDefault="00892AF5" w:rsidP="00892AF5">
            <w:pPr>
              <w:rPr>
                <w:sz w:val="24"/>
                <w:lang w:val="it-IT"/>
              </w:rPr>
            </w:pPr>
            <w:r w:rsidRPr="00D20668">
              <w:rPr>
                <w:sz w:val="24"/>
                <w:lang w:val="it-IT"/>
              </w:rPr>
              <w:t>E: enquiry@ricardo.com</w:t>
            </w:r>
          </w:p>
          <w:p w14:paraId="164718B4" w14:textId="77777777" w:rsidR="00892AF5" w:rsidRPr="00D20668" w:rsidRDefault="00892AF5" w:rsidP="00892AF5">
            <w:pPr>
              <w:rPr>
                <w:sz w:val="24"/>
                <w:lang w:val="it-IT"/>
              </w:rPr>
            </w:pPr>
            <w:r w:rsidRPr="00D20668">
              <w:rPr>
                <w:sz w:val="24"/>
                <w:lang w:val="it-IT"/>
              </w:rPr>
              <w:t>W: ee.ricardo.com</w:t>
            </w:r>
          </w:p>
          <w:p w14:paraId="26CE49CB" w14:textId="77777777" w:rsidR="00892AF5" w:rsidRDefault="00892AF5" w:rsidP="00B62026">
            <w:pPr>
              <w:spacing w:after="160"/>
            </w:pPr>
          </w:p>
        </w:tc>
      </w:tr>
    </w:tbl>
    <w:p w14:paraId="0FEE9AF8" w14:textId="7FD81ED1" w:rsidR="00892AF5" w:rsidRDefault="00892AF5" w:rsidP="00B62026">
      <w:pPr>
        <w:spacing w:after="160"/>
      </w:pPr>
    </w:p>
    <w:sectPr w:rsidR="00892AF5" w:rsidSect="009D0B93">
      <w:headerReference w:type="default" r:id="rId17"/>
      <w:footerReference w:type="default" r:id="rId1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56C38" w14:textId="77777777" w:rsidR="00B03AFB" w:rsidRDefault="00B03AFB" w:rsidP="00EE08B1">
      <w:r>
        <w:separator/>
      </w:r>
    </w:p>
  </w:endnote>
  <w:endnote w:type="continuationSeparator" w:id="0">
    <w:p w14:paraId="5E77EFB5" w14:textId="77777777" w:rsidR="00B03AFB" w:rsidRDefault="00B03AFB" w:rsidP="00EE08B1">
      <w:r>
        <w:continuationSeparator/>
      </w:r>
    </w:p>
  </w:endnote>
  <w:endnote w:type="continuationNotice" w:id="1">
    <w:p w14:paraId="7489A35B" w14:textId="77777777" w:rsidR="00B03AFB" w:rsidRDefault="00B03A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EA51" w14:textId="55BBF6A9" w:rsidR="00EA787B" w:rsidRDefault="00126DCC" w:rsidP="00EE08B1">
    <w:pPr>
      <w:pStyle w:val="Footer"/>
    </w:pPr>
    <w:r>
      <w:rPr>
        <w:noProof/>
      </w:rPr>
      <mc:AlternateContent>
        <mc:Choice Requires="wps">
          <w:drawing>
            <wp:anchor distT="45720" distB="45720" distL="114300" distR="114300" simplePos="0" relativeHeight="251658241" behindDoc="0" locked="0" layoutInCell="1" allowOverlap="1" wp14:anchorId="337DDF8C" wp14:editId="690395F3">
              <wp:simplePos x="0" y="0"/>
              <wp:positionH relativeFrom="rightMargin">
                <wp:posOffset>-93345</wp:posOffset>
              </wp:positionH>
              <wp:positionV relativeFrom="bottomMargin">
                <wp:posOffset>214630</wp:posOffset>
              </wp:positionV>
              <wp:extent cx="388620" cy="316865"/>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16865"/>
                      </a:xfrm>
                      <a:prstGeom prst="rect">
                        <a:avLst/>
                      </a:prstGeom>
                      <a:solidFill>
                        <a:srgbClr val="FFFFFF"/>
                      </a:solidFill>
                      <a:ln w="9525">
                        <a:noFill/>
                        <a:miter lim="800000"/>
                        <a:headEnd/>
                        <a:tailEnd/>
                      </a:ln>
                    </wps:spPr>
                    <wps:txbx>
                      <w:txbxContent>
                        <w:p w14:paraId="1944562F" w14:textId="77777777" w:rsidR="00EA787B" w:rsidRDefault="00EA787B" w:rsidP="00116C9C">
                          <w:r>
                            <w:fldChar w:fldCharType="begin"/>
                          </w:r>
                          <w:r>
                            <w:instrText xml:space="preserve"> PAGE   \* MERGEFORMAT </w:instrText>
                          </w:r>
                          <w:r>
                            <w:fldChar w:fldCharType="separate"/>
                          </w:r>
                          <w:r>
                            <w:rPr>
                              <w:noProof/>
                            </w:rPr>
                            <w:t>1</w:t>
                          </w:r>
                          <w:r>
                            <w:rPr>
                              <w:noProo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7DDF8C" id="_x0000_t202" coordsize="21600,21600" o:spt="202" path="m,l,21600r21600,l21600,xe">
              <v:stroke joinstyle="miter"/>
              <v:path gradientshapeok="t" o:connecttype="rect"/>
            </v:shapetype>
            <v:shape id="Text Box 8" o:spid="_x0000_s1029" type="#_x0000_t202" style="position:absolute;margin-left:-7.35pt;margin-top:16.9pt;width:30.6pt;height:24.95pt;z-index:251658241;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5bkDAIAAPUDAAAOAAAAZHJzL2Uyb0RvYy54bWysU9tu2zAMfR+wfxD0vjhJkyw14hRdugwD&#10;ugvQ7QNkWY6FyaJGKbG7ry8lu2m2vQ3TgyCK1CF5eLS56VvDTgq9Blvw2WTKmbISKm0PBf/+bf9m&#10;zZkPwlbCgFUFf1Se32xfv9p0LldzaMBUChmBWJ93ruBNCC7PMi8b1Qo/AacsOWvAVgQy8ZBVKDpC&#10;b002n05XWQdYOQSpvKfbu8HJtwm/rpUMX+raq8BMwam2kHZMexn3bLsR+QGFa7QcyxD/UEUrtKWk&#10;Z6g7EQQ7ov4LqtUSwUMdJhLaDOpaS5V6oG5m0z+6eWiEU6kXIse7M03+/8HKz6cH9xVZ6N9BTwNM&#10;TXh3D/KHZxZ2jbAHdYsIXaNERYlnkbKscz4fn0aqfe4jSNl9goqGLI4BElBfYxtZoT4ZodMAHs+k&#10;qz4wSZdX6/VqTh5JrqvZar1apgwif37s0IcPCloWDwVHmmkCF6d7H2IxIn8Oibk8GF3ttTHJwEO5&#10;M8hOgua/T2tE/y3MWNYV/Ho5XyZkC/F9kkarA+nT6Lbg62lcg2IiGe9tlUKC0GY4UyXGjuxEQgZq&#10;Ql/2FBhZKqF6JJ4QBh3Sv6FDA/iLs440WHD/8yhQcWY+WuL6erZYRNEmY7F8G2nCS0956RFWElTB&#10;A2fDcReS0CMPFm5pJrVOfL1UMtZK2ko0jv8givfSTlEvv3X7BAAA//8DAFBLAwQUAAYACAAAACEA&#10;icRQuN4AAAAIAQAADwAAAGRycy9kb3ducmV2LnhtbEyP0U6DQBBF3038h82Y+GLapUKhUoZGTTS+&#10;tvYDFnYLpOwsYbeF/r3jkz5O5uTec4vdbHtxNaPvHCGslhEIQ7XTHTUIx++PxQaED4q06h0ZhJvx&#10;sCvv7wqVazfR3lwPoREcQj5XCG0IQy6lr1tjlV+6wRD/Tm60KvA5NlKPauJw28vnKEqlVR1xQ6sG&#10;896a+ny4WITT1/S0fpmqz3DM9kn6prqscjfEx4f5dQsimDn8wfCrz+pQslPlLqS96BEWqyRjFCGO&#10;eQIDSboGUSFs4gxkWcj/A8ofAAAA//8DAFBLAQItABQABgAIAAAAIQC2gziS/gAAAOEBAAATAAAA&#10;AAAAAAAAAAAAAAAAAABbQ29udGVudF9UeXBlc10ueG1sUEsBAi0AFAAGAAgAAAAhADj9If/WAAAA&#10;lAEAAAsAAAAAAAAAAAAAAAAALwEAAF9yZWxzLy5yZWxzUEsBAi0AFAAGAAgAAAAhAIW7luQMAgAA&#10;9QMAAA4AAAAAAAAAAAAAAAAALgIAAGRycy9lMm9Eb2MueG1sUEsBAi0AFAAGAAgAAAAhAInEULje&#10;AAAACAEAAA8AAAAAAAAAAAAAAAAAZgQAAGRycy9kb3ducmV2LnhtbFBLBQYAAAAABAAEAPMAAABx&#10;BQAAAAA=&#10;" stroked="f">
              <v:textbox>
                <w:txbxContent>
                  <w:p w14:paraId="1944562F" w14:textId="77777777" w:rsidR="00EA787B" w:rsidRDefault="00EA787B" w:rsidP="00116C9C">
                    <w:r>
                      <w:fldChar w:fldCharType="begin"/>
                    </w:r>
                    <w:r>
                      <w:instrText xml:space="preserve"> PAGE   \* MERGEFORMAT </w:instrText>
                    </w:r>
                    <w:r>
                      <w:fldChar w:fldCharType="separate"/>
                    </w:r>
                    <w:r>
                      <w:rPr>
                        <w:noProof/>
                      </w:rPr>
                      <w:t>1</w:t>
                    </w:r>
                    <w:r>
                      <w:rPr>
                        <w:noProof/>
                      </w:rPr>
                      <w:fldChar w:fldCharType="end"/>
                    </w:r>
                  </w:p>
                </w:txbxContent>
              </v:textbox>
              <w10:wrap type="square" anchorx="margin" anchory="margin"/>
            </v:shape>
          </w:pict>
        </mc:Fallback>
      </mc:AlternateContent>
    </w:r>
    <w:r w:rsidR="00EA787B">
      <w:rPr>
        <w:noProof/>
      </w:rPr>
      <w:drawing>
        <wp:anchor distT="0" distB="0" distL="114300" distR="114300" simplePos="0" relativeHeight="251658240" behindDoc="0" locked="0" layoutInCell="1" allowOverlap="1" wp14:anchorId="31420F72" wp14:editId="0A334159">
          <wp:simplePos x="0" y="0"/>
          <wp:positionH relativeFrom="margin">
            <wp:align>center</wp:align>
          </wp:positionH>
          <wp:positionV relativeFrom="paragraph">
            <wp:posOffset>-109836</wp:posOffset>
          </wp:positionV>
          <wp:extent cx="463138" cy="298266"/>
          <wp:effectExtent l="0" t="0" r="0" b="6985"/>
          <wp:wrapNone/>
          <wp:docPr id="29" name="Picture 29" descr="Ricardo company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Ricardo company logo&#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138" cy="298266"/>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972106"/>
      <w:docPartObj>
        <w:docPartGallery w:val="Page Numbers (Bottom of Page)"/>
        <w:docPartUnique/>
      </w:docPartObj>
    </w:sdtPr>
    <w:sdtEndPr>
      <w:rPr>
        <w:noProof/>
      </w:rPr>
    </w:sdtEndPr>
    <w:sdtContent>
      <w:p w14:paraId="090255A6" w14:textId="57BCC969" w:rsidR="00793462" w:rsidRDefault="00D20668">
        <w:pPr>
          <w:pStyle w:val="Footer"/>
          <w:jc w:val="right"/>
        </w:pPr>
        <w:r>
          <w:rPr>
            <w:noProof/>
          </w:rPr>
          <w:drawing>
            <wp:anchor distT="0" distB="0" distL="114300" distR="114300" simplePos="0" relativeHeight="251662337" behindDoc="0" locked="0" layoutInCell="1" allowOverlap="1" wp14:anchorId="40545A68" wp14:editId="3285CC73">
              <wp:simplePos x="0" y="0"/>
              <wp:positionH relativeFrom="margin">
                <wp:posOffset>152400</wp:posOffset>
              </wp:positionH>
              <wp:positionV relativeFrom="bottomMargin">
                <wp:posOffset>2919730</wp:posOffset>
              </wp:positionV>
              <wp:extent cx="1312320" cy="844361"/>
              <wp:effectExtent l="0" t="0" r="254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2320" cy="8443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3462">
          <w:fldChar w:fldCharType="begin"/>
        </w:r>
        <w:r w:rsidR="00793462">
          <w:instrText xml:space="preserve"> PAGE   \* MERGEFORMAT </w:instrText>
        </w:r>
        <w:r w:rsidR="00793462">
          <w:fldChar w:fldCharType="separate"/>
        </w:r>
        <w:r w:rsidR="00793462">
          <w:rPr>
            <w:noProof/>
          </w:rPr>
          <w:t>2</w:t>
        </w:r>
        <w:r w:rsidR="00793462">
          <w:rPr>
            <w:noProof/>
          </w:rPr>
          <w:fldChar w:fldCharType="end"/>
        </w:r>
      </w:p>
    </w:sdtContent>
  </w:sdt>
  <w:p w14:paraId="5152ECF4" w14:textId="77777777" w:rsidR="00EA787B" w:rsidRPr="004803F6" w:rsidRDefault="00EA787B" w:rsidP="00480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8C3A1" w14:textId="77777777" w:rsidR="00B03AFB" w:rsidRDefault="00B03AFB" w:rsidP="00EE08B1">
      <w:r>
        <w:separator/>
      </w:r>
    </w:p>
  </w:footnote>
  <w:footnote w:type="continuationSeparator" w:id="0">
    <w:p w14:paraId="49211605" w14:textId="77777777" w:rsidR="00B03AFB" w:rsidRDefault="00B03AFB" w:rsidP="00EE08B1">
      <w:r>
        <w:continuationSeparator/>
      </w:r>
    </w:p>
  </w:footnote>
  <w:footnote w:type="continuationNotice" w:id="1">
    <w:p w14:paraId="3697731C" w14:textId="77777777" w:rsidR="00B03AFB" w:rsidRDefault="00B03AFB">
      <w:pPr>
        <w:spacing w:after="0" w:line="240" w:lineRule="auto"/>
      </w:pPr>
    </w:p>
  </w:footnote>
  <w:footnote w:id="2">
    <w:p w14:paraId="0ADE2B75" w14:textId="36B643F4" w:rsidR="00EB2107" w:rsidRPr="00F208F1" w:rsidRDefault="00EB2107" w:rsidP="008808FF">
      <w:pPr>
        <w:pStyle w:val="FootnoteText"/>
        <w:rPr>
          <w:rFonts w:ascii="Arial Narrow" w:hAnsi="Arial Narrow"/>
          <w:sz w:val="18"/>
          <w:szCs w:val="18"/>
        </w:rPr>
      </w:pPr>
      <w:r w:rsidRPr="00551FEE">
        <w:rPr>
          <w:rStyle w:val="FootnoteReference"/>
          <w:rFonts w:ascii="Arial Narrow" w:hAnsi="Arial Narrow"/>
          <w:sz w:val="18"/>
          <w:szCs w:val="18"/>
        </w:rPr>
        <w:footnoteRef/>
      </w:r>
      <w:r w:rsidRPr="00551FEE">
        <w:rPr>
          <w:rFonts w:ascii="Arial Narrow" w:hAnsi="Arial Narrow"/>
          <w:sz w:val="18"/>
          <w:szCs w:val="18"/>
        </w:rPr>
        <w:t xml:space="preserve"> </w:t>
      </w:r>
      <w:proofErr w:type="spellStart"/>
      <w:r w:rsidR="006F01B2" w:rsidRPr="00F208F1">
        <w:rPr>
          <w:rFonts w:ascii="Arial Narrow" w:hAnsi="Arial Narrow"/>
          <w:sz w:val="18"/>
          <w:szCs w:val="18"/>
        </w:rPr>
        <w:t>Amec</w:t>
      </w:r>
      <w:proofErr w:type="spellEnd"/>
      <w:r w:rsidR="006F01B2" w:rsidRPr="00F208F1">
        <w:rPr>
          <w:rFonts w:ascii="Arial Narrow" w:hAnsi="Arial Narrow"/>
          <w:sz w:val="18"/>
          <w:szCs w:val="18"/>
        </w:rPr>
        <w:t xml:space="preserve"> Foster Wheeler</w:t>
      </w:r>
      <w:r w:rsidR="00F852DC" w:rsidRPr="00F208F1">
        <w:rPr>
          <w:rFonts w:ascii="Arial Narrow" w:hAnsi="Arial Narrow"/>
          <w:sz w:val="18"/>
          <w:szCs w:val="18"/>
        </w:rPr>
        <w:t>,</w:t>
      </w:r>
      <w:r w:rsidRPr="00F208F1">
        <w:rPr>
          <w:rFonts w:ascii="Arial Narrow" w:hAnsi="Arial Narrow"/>
          <w:sz w:val="18"/>
          <w:szCs w:val="18"/>
        </w:rPr>
        <w:t xml:space="preserve"> </w:t>
      </w:r>
      <w:r w:rsidR="008808FF" w:rsidRPr="00F208F1">
        <w:rPr>
          <w:rFonts w:ascii="Arial Narrow" w:hAnsi="Arial Narrow"/>
          <w:sz w:val="18"/>
          <w:szCs w:val="18"/>
        </w:rPr>
        <w:t xml:space="preserve">Chichester District Council Water Quality Assessment. </w:t>
      </w:r>
      <w:r w:rsidR="00551FEE" w:rsidRPr="00F208F1">
        <w:rPr>
          <w:rFonts w:ascii="Arial Narrow" w:hAnsi="Arial Narrow"/>
          <w:sz w:val="18"/>
          <w:szCs w:val="18"/>
        </w:rPr>
        <w:t>Doc ref. ID 39151rr014i8</w:t>
      </w:r>
      <w:r w:rsidR="000F743B" w:rsidRPr="00F208F1">
        <w:rPr>
          <w:rFonts w:ascii="Arial Narrow" w:hAnsi="Arial Narrow"/>
          <w:sz w:val="18"/>
          <w:szCs w:val="18"/>
        </w:rPr>
        <w:t>, August 2018</w:t>
      </w:r>
      <w:r w:rsidR="00B6650A">
        <w:rPr>
          <w:rFonts w:ascii="Arial Narrow" w:hAnsi="Arial Narrow"/>
          <w:sz w:val="18"/>
          <w:szCs w:val="18"/>
        </w:rPr>
        <w:t xml:space="preserve"> </w:t>
      </w:r>
      <w:hyperlink r:id="rId1" w:history="1">
        <w:r w:rsidR="00B6650A" w:rsidRPr="00B6650A">
          <w:rPr>
            <w:rStyle w:val="Hyperlink"/>
            <w:rFonts w:ascii="Arial Narrow" w:hAnsi="Arial Narrow"/>
            <w:sz w:val="18"/>
            <w:szCs w:val="18"/>
          </w:rPr>
          <w:t>https://www.chichester.gov.uk/media/30900/Chichester-Water-Quality-Assessment/pdf/Chichester_Water_Quality_Assessment.pdf?m=1542884327060</w:t>
        </w:r>
      </w:hyperlink>
    </w:p>
  </w:footnote>
  <w:footnote w:id="3">
    <w:p w14:paraId="40736F9F" w14:textId="61439BAD" w:rsidR="004277A5" w:rsidRPr="00F208F1" w:rsidRDefault="004277A5" w:rsidP="004277A5">
      <w:pPr>
        <w:pStyle w:val="FootnoteText"/>
        <w:rPr>
          <w:rFonts w:ascii="Arial Narrow" w:hAnsi="Arial Narrow"/>
          <w:sz w:val="18"/>
          <w:szCs w:val="18"/>
        </w:rPr>
      </w:pPr>
      <w:r w:rsidRPr="00F208F1">
        <w:rPr>
          <w:rStyle w:val="FootnoteReference"/>
          <w:rFonts w:ascii="Arial Narrow" w:hAnsi="Arial Narrow"/>
          <w:sz w:val="18"/>
          <w:szCs w:val="18"/>
        </w:rPr>
        <w:footnoteRef/>
      </w:r>
      <w:r w:rsidRPr="00F208F1">
        <w:rPr>
          <w:rFonts w:ascii="Arial Narrow" w:hAnsi="Arial Narrow"/>
          <w:sz w:val="18"/>
          <w:szCs w:val="18"/>
        </w:rPr>
        <w:t xml:space="preserve"> </w:t>
      </w:r>
      <w:r w:rsidR="00F208F1" w:rsidRPr="00F208F1">
        <w:rPr>
          <w:rFonts w:ascii="Arial Narrow" w:hAnsi="Arial Narrow"/>
          <w:sz w:val="18"/>
          <w:szCs w:val="18"/>
        </w:rPr>
        <w:t>Wood (2020) Technical note: Updated calculation of nitrate loading from housing growth</w:t>
      </w:r>
      <w:r w:rsidR="00F208F1">
        <w:rPr>
          <w:rFonts w:ascii="Arial Narrow" w:hAnsi="Arial Narrow"/>
          <w:sz w:val="18"/>
          <w:szCs w:val="18"/>
        </w:rPr>
        <w:t>, July 2020 D</w:t>
      </w:r>
      <w:r w:rsidR="00F208F1" w:rsidRPr="00F208F1">
        <w:rPr>
          <w:rFonts w:ascii="Arial Narrow" w:hAnsi="Arial Narrow"/>
          <w:sz w:val="18"/>
          <w:szCs w:val="18"/>
        </w:rPr>
        <w:t>oc Ref: 42345-WOOD-XX-XX-RP-K-0001_S3_P01.1</w:t>
      </w:r>
      <w:r w:rsidR="00F208F1" w:rsidRPr="00F208F1">
        <w:rPr>
          <w:sz w:val="18"/>
          <w:szCs w:val="18"/>
        </w:rPr>
        <w:t xml:space="preserve"> </w:t>
      </w:r>
      <w:hyperlink r:id="rId2" w:history="1">
        <w:r w:rsidR="00F208F1" w:rsidRPr="00F208F1">
          <w:rPr>
            <w:rStyle w:val="Hyperlink"/>
            <w:rFonts w:ascii="Arial Narrow" w:hAnsi="Arial Narrow"/>
            <w:sz w:val="18"/>
            <w:szCs w:val="18"/>
          </w:rPr>
          <w:t>https://www.push.gov.uk/wp-content/uploads/2020/10/Wood-Technical-Note-July-2020.pdf</w:t>
        </w:r>
      </w:hyperlink>
      <w:r w:rsidR="00F208F1" w:rsidRPr="00F208F1">
        <w:rPr>
          <w:rFonts w:ascii="Arial Narrow" w:hAnsi="Arial Narrow"/>
          <w:sz w:val="18"/>
          <w:szCs w:val="18"/>
        </w:rPr>
        <w:t xml:space="preserve"> </w:t>
      </w:r>
      <w:r w:rsidR="00D954F4">
        <w:rPr>
          <w:rFonts w:ascii="Arial Narrow" w:hAnsi="Arial Narrow"/>
          <w:sz w:val="18"/>
          <w:szCs w:val="18"/>
        </w:rPr>
        <w:t>(accessed 15/09/2023)</w:t>
      </w:r>
    </w:p>
  </w:footnote>
  <w:footnote w:id="4">
    <w:p w14:paraId="3284B514" w14:textId="243B9F83" w:rsidR="00F15185" w:rsidRPr="00F852DC" w:rsidRDefault="00F15185" w:rsidP="00C331A0">
      <w:pPr>
        <w:pStyle w:val="FootnoteText"/>
        <w:rPr>
          <w:rFonts w:ascii="Arial Narrow" w:hAnsi="Arial Narrow"/>
          <w:sz w:val="18"/>
          <w:szCs w:val="18"/>
        </w:rPr>
      </w:pPr>
      <w:r w:rsidRPr="00F852DC">
        <w:rPr>
          <w:rStyle w:val="FootnoteReference"/>
          <w:rFonts w:ascii="Arial Narrow" w:hAnsi="Arial Narrow"/>
          <w:sz w:val="18"/>
          <w:szCs w:val="18"/>
        </w:rPr>
        <w:footnoteRef/>
      </w:r>
      <w:r w:rsidRPr="00F852DC">
        <w:rPr>
          <w:rFonts w:ascii="Arial Narrow" w:hAnsi="Arial Narrow"/>
          <w:sz w:val="18"/>
          <w:szCs w:val="18"/>
        </w:rPr>
        <w:t xml:space="preserve"> CDC &amp; HBC (202</w:t>
      </w:r>
      <w:r w:rsidR="00C331A0" w:rsidRPr="00F852DC">
        <w:rPr>
          <w:rFonts w:ascii="Arial Narrow" w:hAnsi="Arial Narrow"/>
          <w:sz w:val="18"/>
          <w:szCs w:val="18"/>
        </w:rPr>
        <w:t>1</w:t>
      </w:r>
      <w:r w:rsidRPr="00F852DC">
        <w:rPr>
          <w:rFonts w:ascii="Arial Narrow" w:hAnsi="Arial Narrow"/>
          <w:sz w:val="18"/>
          <w:szCs w:val="18"/>
        </w:rPr>
        <w:t xml:space="preserve">). </w:t>
      </w:r>
      <w:r w:rsidR="00C331A0" w:rsidRPr="00F852DC">
        <w:rPr>
          <w:rFonts w:ascii="Arial Narrow" w:hAnsi="Arial Narrow"/>
          <w:sz w:val="18"/>
          <w:szCs w:val="18"/>
        </w:rPr>
        <w:t>Statement of Common Ground, February 2021.</w:t>
      </w:r>
    </w:p>
  </w:footnote>
  <w:footnote w:id="5">
    <w:p w14:paraId="0FFA827D" w14:textId="67DB0AC0" w:rsidR="006F5233" w:rsidRPr="00F852DC" w:rsidRDefault="006F5233">
      <w:pPr>
        <w:pStyle w:val="FootnoteText"/>
        <w:rPr>
          <w:rFonts w:ascii="Arial Narrow" w:hAnsi="Arial Narrow"/>
          <w:sz w:val="18"/>
          <w:szCs w:val="18"/>
        </w:rPr>
      </w:pPr>
      <w:r w:rsidRPr="00F852DC">
        <w:rPr>
          <w:rStyle w:val="FootnoteReference"/>
          <w:rFonts w:ascii="Arial Narrow" w:hAnsi="Arial Narrow"/>
          <w:sz w:val="18"/>
          <w:szCs w:val="18"/>
        </w:rPr>
        <w:footnoteRef/>
      </w:r>
      <w:r w:rsidRPr="00F852DC">
        <w:rPr>
          <w:rFonts w:ascii="Arial Narrow" w:hAnsi="Arial Narrow"/>
          <w:sz w:val="18"/>
          <w:szCs w:val="18"/>
        </w:rPr>
        <w:t xml:space="preserve"> CDC, SW</w:t>
      </w:r>
      <w:r w:rsidR="00D95239">
        <w:rPr>
          <w:rFonts w:ascii="Arial Narrow" w:hAnsi="Arial Narrow"/>
          <w:sz w:val="18"/>
          <w:szCs w:val="18"/>
        </w:rPr>
        <w:t>S</w:t>
      </w:r>
      <w:r w:rsidRPr="00F852DC">
        <w:rPr>
          <w:rFonts w:ascii="Arial Narrow" w:hAnsi="Arial Narrow"/>
          <w:sz w:val="18"/>
          <w:szCs w:val="18"/>
        </w:rPr>
        <w:t xml:space="preserve"> &amp; EA</w:t>
      </w:r>
      <w:r w:rsidR="00F852DC" w:rsidRPr="00F852DC">
        <w:rPr>
          <w:rFonts w:ascii="Arial Narrow" w:hAnsi="Arial Narrow"/>
          <w:sz w:val="18"/>
          <w:szCs w:val="18"/>
        </w:rPr>
        <w:t xml:space="preserve">, </w:t>
      </w:r>
      <w:r w:rsidR="00C00187">
        <w:rPr>
          <w:rFonts w:ascii="Arial Narrow" w:hAnsi="Arial Narrow"/>
          <w:sz w:val="18"/>
          <w:szCs w:val="18"/>
        </w:rPr>
        <w:t>A</w:t>
      </w:r>
      <w:r w:rsidRPr="00F852DC">
        <w:rPr>
          <w:rFonts w:ascii="Arial Narrow" w:hAnsi="Arial Narrow"/>
          <w:sz w:val="18"/>
          <w:szCs w:val="18"/>
        </w:rPr>
        <w:t xml:space="preserve"> Statement on managing new housing development in the Thornham </w:t>
      </w:r>
      <w:r w:rsidR="00023BB5">
        <w:rPr>
          <w:rFonts w:ascii="Arial Narrow" w:hAnsi="Arial Narrow"/>
          <w:sz w:val="18"/>
          <w:szCs w:val="18"/>
        </w:rPr>
        <w:t>WwTW</w:t>
      </w:r>
      <w:r w:rsidRPr="00F852DC">
        <w:rPr>
          <w:rFonts w:ascii="Arial Narrow" w:hAnsi="Arial Narrow"/>
          <w:sz w:val="18"/>
          <w:szCs w:val="18"/>
        </w:rPr>
        <w:t xml:space="preserve"> catchment</w:t>
      </w:r>
      <w:r w:rsidR="00F852DC" w:rsidRPr="00F852DC">
        <w:rPr>
          <w:rFonts w:ascii="Arial Narrow" w:hAnsi="Arial Narrow"/>
          <w:sz w:val="18"/>
          <w:szCs w:val="18"/>
        </w:rPr>
        <w:t>, November 2021</w:t>
      </w:r>
    </w:p>
  </w:footnote>
  <w:footnote w:id="6">
    <w:p w14:paraId="400EC089" w14:textId="60CF106A" w:rsidR="00B93F9A" w:rsidRPr="00F852DC" w:rsidRDefault="00B93F9A">
      <w:pPr>
        <w:pStyle w:val="FootnoteText"/>
        <w:rPr>
          <w:rFonts w:ascii="Arial Narrow" w:hAnsi="Arial Narrow"/>
        </w:rPr>
      </w:pPr>
      <w:r w:rsidRPr="00F852DC">
        <w:rPr>
          <w:rStyle w:val="FootnoteReference"/>
          <w:rFonts w:ascii="Arial Narrow" w:hAnsi="Arial Narrow"/>
          <w:sz w:val="18"/>
          <w:szCs w:val="18"/>
        </w:rPr>
        <w:footnoteRef/>
      </w:r>
      <w:r w:rsidRPr="00F852DC">
        <w:rPr>
          <w:rStyle w:val="FootnoteReference"/>
          <w:rFonts w:ascii="Arial Narrow" w:hAnsi="Arial Narrow"/>
          <w:sz w:val="18"/>
          <w:szCs w:val="18"/>
        </w:rPr>
        <w:t xml:space="preserve"> </w:t>
      </w:r>
      <w:r w:rsidRPr="00F852DC">
        <w:rPr>
          <w:rFonts w:ascii="Arial Narrow" w:hAnsi="Arial Narrow"/>
          <w:sz w:val="18"/>
          <w:szCs w:val="18"/>
        </w:rPr>
        <w:t>CDC (2023) Waste Water Treatment and Remaining Headroom</w:t>
      </w:r>
      <w:r w:rsidR="00F852DC">
        <w:rPr>
          <w:rFonts w:ascii="Arial Narrow" w:hAnsi="Arial Narrow"/>
          <w:sz w:val="18"/>
          <w:szCs w:val="18"/>
        </w:rPr>
        <w:t xml:space="preserve">, </w:t>
      </w:r>
      <w:r w:rsidRPr="00F852DC">
        <w:rPr>
          <w:rFonts w:ascii="Arial Narrow" w:hAnsi="Arial Narrow"/>
          <w:sz w:val="18"/>
          <w:szCs w:val="18"/>
        </w:rPr>
        <w:t>Jan</w:t>
      </w:r>
      <w:r w:rsidR="00F852DC">
        <w:rPr>
          <w:rFonts w:ascii="Arial Narrow" w:hAnsi="Arial Narrow"/>
          <w:sz w:val="18"/>
          <w:szCs w:val="18"/>
        </w:rPr>
        <w:t>uary</w:t>
      </w:r>
      <w:r w:rsidRPr="00F852DC">
        <w:rPr>
          <w:rFonts w:ascii="Arial Narrow" w:hAnsi="Arial Narrow"/>
          <w:sz w:val="18"/>
          <w:szCs w:val="18"/>
        </w:rPr>
        <w:t xml:space="preserve"> 2023 </w:t>
      </w:r>
      <w:r w:rsidR="006F5233" w:rsidRPr="00F852DC">
        <w:rPr>
          <w:rFonts w:ascii="Arial Narrow" w:hAnsi="Arial Narrow"/>
          <w:sz w:val="18"/>
          <w:szCs w:val="18"/>
        </w:rPr>
        <w:t xml:space="preserve">update </w:t>
      </w:r>
      <w:hyperlink r:id="rId3" w:history="1">
        <w:r w:rsidR="006F5233" w:rsidRPr="00F852DC">
          <w:rPr>
            <w:rStyle w:val="Hyperlink"/>
            <w:rFonts w:ascii="Arial Narrow" w:hAnsi="Arial Narrow"/>
            <w:sz w:val="18"/>
            <w:szCs w:val="18"/>
          </w:rPr>
          <w:t>https://www.chichester.gov.uk/thelocalplanclimatechange</w:t>
        </w:r>
      </w:hyperlink>
      <w:r w:rsidRPr="00F852DC">
        <w:rPr>
          <w:rFonts w:ascii="Arial Narrow" w:hAnsi="Arial Narrow"/>
          <w:sz w:val="18"/>
          <w:szCs w:val="18"/>
        </w:rPr>
        <w:t xml:space="preserve"> </w:t>
      </w:r>
      <w:r w:rsidR="006F5233" w:rsidRPr="00F852DC">
        <w:rPr>
          <w:rFonts w:ascii="Arial Narrow" w:hAnsi="Arial Narrow"/>
          <w:sz w:val="18"/>
          <w:szCs w:val="18"/>
        </w:rPr>
        <w:t xml:space="preserve">(accessed </w:t>
      </w:r>
      <w:r w:rsidRPr="00F852DC">
        <w:rPr>
          <w:rFonts w:ascii="Arial Narrow" w:hAnsi="Arial Narrow"/>
          <w:sz w:val="18"/>
          <w:szCs w:val="18"/>
        </w:rPr>
        <w:t>on 15/09/2023)</w:t>
      </w:r>
    </w:p>
  </w:footnote>
  <w:footnote w:id="7">
    <w:p w14:paraId="28C40EE0" w14:textId="24B602BC" w:rsidR="000274A9" w:rsidRDefault="000274A9">
      <w:pPr>
        <w:pStyle w:val="FootnoteText"/>
      </w:pPr>
      <w:r>
        <w:rPr>
          <w:rStyle w:val="FootnoteReference"/>
        </w:rPr>
        <w:footnoteRef/>
      </w:r>
      <w:r>
        <w:t xml:space="preserve"> </w:t>
      </w:r>
      <w:r w:rsidRPr="00F852DC">
        <w:rPr>
          <w:rFonts w:ascii="Arial Narrow" w:hAnsi="Arial Narrow"/>
          <w:sz w:val="18"/>
          <w:szCs w:val="18"/>
        </w:rPr>
        <w:t>CDC (202</w:t>
      </w:r>
      <w:r w:rsidR="00431F81">
        <w:rPr>
          <w:rFonts w:ascii="Arial Narrow" w:hAnsi="Arial Narrow"/>
          <w:sz w:val="18"/>
          <w:szCs w:val="18"/>
        </w:rPr>
        <w:t>4</w:t>
      </w:r>
      <w:r w:rsidRPr="00F852DC">
        <w:rPr>
          <w:rFonts w:ascii="Arial Narrow" w:hAnsi="Arial Narrow"/>
          <w:sz w:val="18"/>
          <w:szCs w:val="18"/>
        </w:rPr>
        <w:t xml:space="preserve">) </w:t>
      </w:r>
      <w:hyperlink r:id="rId4" w:history="1">
        <w:r w:rsidR="00431F81" w:rsidRPr="00431F81">
          <w:rPr>
            <w:rStyle w:val="Hyperlink"/>
            <w:rFonts w:ascii="Arial Narrow" w:hAnsi="Arial Narrow"/>
            <w:sz w:val="18"/>
            <w:szCs w:val="18"/>
          </w:rPr>
          <w:t>Headroom Monitoring for Thornham WWTW</w:t>
        </w:r>
      </w:hyperlink>
    </w:p>
  </w:footnote>
  <w:footnote w:id="8">
    <w:p w14:paraId="72DA1C22" w14:textId="49495F9E" w:rsidR="00A522FE" w:rsidRPr="00BB755B" w:rsidRDefault="00A522FE">
      <w:pPr>
        <w:pStyle w:val="FootnoteText"/>
        <w:rPr>
          <w:rFonts w:ascii="Arial Narrow" w:hAnsi="Arial Narrow"/>
        </w:rPr>
      </w:pPr>
      <w:r w:rsidRPr="00A522FE">
        <w:rPr>
          <w:rStyle w:val="FootnoteReference"/>
          <w:rFonts w:ascii="Arial Narrow" w:hAnsi="Arial Narrow"/>
          <w:sz w:val="18"/>
          <w:szCs w:val="18"/>
        </w:rPr>
        <w:footnoteRef/>
      </w:r>
      <w:r w:rsidRPr="00A522FE">
        <w:rPr>
          <w:rFonts w:ascii="Arial Narrow" w:hAnsi="Arial Narrow"/>
          <w:sz w:val="18"/>
          <w:szCs w:val="18"/>
        </w:rPr>
        <w:t xml:space="preserve"> CDC (2023) Waste Water Treatment and Remaining Headroom, January 2023 update</w:t>
      </w:r>
      <w:r>
        <w:rPr>
          <w:rFonts w:ascii="Arial Narrow" w:hAnsi="Arial Narrow"/>
          <w:sz w:val="18"/>
          <w:szCs w:val="18"/>
        </w:rPr>
        <w:t xml:space="preserve"> </w:t>
      </w:r>
      <w:hyperlink r:id="rId5" w:history="1">
        <w:r w:rsidR="00D954F4" w:rsidRPr="00A35999">
          <w:rPr>
            <w:rStyle w:val="Hyperlink"/>
            <w:rFonts w:ascii="Arial Narrow" w:hAnsi="Arial Narrow"/>
            <w:sz w:val="18"/>
            <w:szCs w:val="18"/>
          </w:rPr>
          <w:t>https://www.chichester.gov.uk/thelocalplanclimatechange</w:t>
        </w:r>
      </w:hyperlink>
      <w:r w:rsidR="00D954F4">
        <w:rPr>
          <w:rFonts w:ascii="Arial Narrow" w:hAnsi="Arial Narrow"/>
          <w:sz w:val="18"/>
          <w:szCs w:val="18"/>
        </w:rPr>
        <w:t xml:space="preserve"> </w:t>
      </w:r>
      <w:r w:rsidRPr="00A522FE">
        <w:rPr>
          <w:rFonts w:ascii="Arial Narrow" w:hAnsi="Arial Narrow"/>
          <w:sz w:val="18"/>
          <w:szCs w:val="18"/>
        </w:rPr>
        <w:t>(accessed on 15/09/2023)</w:t>
      </w:r>
    </w:p>
  </w:footnote>
  <w:footnote w:id="9">
    <w:p w14:paraId="3BBEB4FF" w14:textId="51D88B6E" w:rsidR="00937CC1" w:rsidRPr="00F95540" w:rsidRDefault="00937CC1" w:rsidP="00937CC1">
      <w:pPr>
        <w:pStyle w:val="FootnoteText"/>
        <w:rPr>
          <w:rFonts w:ascii="Arial Narrow" w:hAnsi="Arial Narrow"/>
        </w:rPr>
      </w:pPr>
      <w:r w:rsidRPr="00F95540">
        <w:rPr>
          <w:rStyle w:val="FootnoteReference"/>
          <w:rFonts w:ascii="Arial Narrow" w:hAnsi="Arial Narrow"/>
        </w:rPr>
        <w:footnoteRef/>
      </w:r>
      <w:r w:rsidRPr="00F95540">
        <w:rPr>
          <w:rFonts w:ascii="Arial Narrow" w:hAnsi="Arial Narrow"/>
        </w:rPr>
        <w:t xml:space="preserve"> </w:t>
      </w:r>
      <w:hyperlink r:id="rId6" w:anchor="flow-measurement" w:history="1">
        <w:r w:rsidRPr="00F95540">
          <w:rPr>
            <w:rStyle w:val="Hyperlink"/>
            <w:rFonts w:ascii="Arial Narrow" w:hAnsi="Arial Narrow"/>
            <w:sz w:val="18"/>
            <w:szCs w:val="18"/>
          </w:rPr>
          <w:t>Monitoring discharges to water: guidance on selecting a monitoring approach - GOV.UK (www.gov.uk)</w:t>
        </w:r>
      </w:hyperlink>
      <w:r w:rsidRPr="00F95540">
        <w:rPr>
          <w:rFonts w:ascii="Arial Narrow" w:hAnsi="Arial Narrow"/>
          <w:sz w:val="18"/>
          <w:szCs w:val="18"/>
        </w:rPr>
        <w:t>, accessed November 2023.</w:t>
      </w:r>
    </w:p>
  </w:footnote>
  <w:footnote w:id="10">
    <w:p w14:paraId="0E3FAE00" w14:textId="263DF0D8" w:rsidR="0037316F" w:rsidRPr="00F95540" w:rsidRDefault="0037316F" w:rsidP="00F95540">
      <w:pPr>
        <w:spacing w:after="0"/>
        <w:contextualSpacing/>
        <w:rPr>
          <w:rFonts w:ascii="Arial Narrow" w:hAnsi="Arial Narrow"/>
          <w:b/>
          <w:bCs/>
          <w:sz w:val="18"/>
          <w:szCs w:val="18"/>
        </w:rPr>
      </w:pPr>
      <w:r w:rsidRPr="00F95540">
        <w:rPr>
          <w:rStyle w:val="FootnoteReference"/>
          <w:rFonts w:ascii="Arial Narrow" w:hAnsi="Arial Narrow"/>
        </w:rPr>
        <w:footnoteRef/>
      </w:r>
      <w:r w:rsidRPr="00F95540">
        <w:rPr>
          <w:rFonts w:ascii="Arial Narrow" w:hAnsi="Arial Narrow"/>
        </w:rPr>
        <w:t xml:space="preserve"> </w:t>
      </w:r>
      <w:hyperlink r:id="rId7" w:history="1">
        <w:r w:rsidR="00FF2E34">
          <w:rPr>
            <w:rStyle w:val="Hyperlink"/>
            <w:rFonts w:ascii="Arial Narrow" w:hAnsi="Arial Narrow"/>
            <w:sz w:val="18"/>
            <w:szCs w:val="18"/>
          </w:rPr>
          <w:t>Calculating dry weather flow (DWF) at waste water treatment works</w:t>
        </w:r>
      </w:hyperlink>
    </w:p>
  </w:footnote>
  <w:footnote w:id="11">
    <w:p w14:paraId="44C1E04E" w14:textId="77777777" w:rsidR="00F7317F" w:rsidRPr="00F95540" w:rsidRDefault="00F7317F" w:rsidP="00F7317F">
      <w:pPr>
        <w:pStyle w:val="FootnoteText"/>
        <w:rPr>
          <w:rFonts w:ascii="Arial Narrow" w:hAnsi="Arial Narrow"/>
          <w:sz w:val="18"/>
          <w:szCs w:val="18"/>
        </w:rPr>
      </w:pPr>
      <w:r w:rsidRPr="00F95540">
        <w:rPr>
          <w:rStyle w:val="FootnoteReference"/>
          <w:rFonts w:ascii="Arial Narrow" w:hAnsi="Arial Narrow"/>
        </w:rPr>
        <w:footnoteRef/>
      </w:r>
      <w:r w:rsidRPr="00F95540">
        <w:rPr>
          <w:rFonts w:ascii="Arial Narrow" w:hAnsi="Arial Narrow"/>
        </w:rPr>
        <w:t xml:space="preserve"> </w:t>
      </w:r>
      <w:r w:rsidRPr="00326945">
        <w:rPr>
          <w:rFonts w:ascii="Arial Narrow" w:hAnsi="Arial Narrow"/>
          <w:sz w:val="18"/>
          <w:szCs w:val="18"/>
        </w:rPr>
        <w:t xml:space="preserve">CDC (2023) Waste Water Treatment and Remaining Headroom, January 2023 </w:t>
      </w:r>
    </w:p>
  </w:footnote>
  <w:footnote w:id="12">
    <w:p w14:paraId="5CC6E527" w14:textId="77777777" w:rsidR="00F7317F" w:rsidRPr="00F95540" w:rsidRDefault="00F7317F" w:rsidP="00F7317F">
      <w:pPr>
        <w:pStyle w:val="FootnoteText"/>
        <w:rPr>
          <w:rFonts w:ascii="Arial Narrow" w:hAnsi="Arial Narrow"/>
        </w:rPr>
      </w:pPr>
      <w:r w:rsidRPr="00F95540">
        <w:rPr>
          <w:rStyle w:val="FootnoteReference"/>
          <w:rFonts w:ascii="Arial Narrow" w:hAnsi="Arial Narrow"/>
          <w:sz w:val="18"/>
          <w:szCs w:val="18"/>
        </w:rPr>
        <w:footnoteRef/>
      </w:r>
      <w:r w:rsidRPr="00F95540">
        <w:rPr>
          <w:rFonts w:ascii="Arial Narrow" w:hAnsi="Arial Narrow"/>
        </w:rPr>
        <w:t xml:space="preserve"> </w:t>
      </w:r>
      <w:r w:rsidRPr="00F95540">
        <w:rPr>
          <w:rFonts w:ascii="Arial Narrow" w:hAnsi="Arial Narrow"/>
          <w:sz w:val="18"/>
          <w:szCs w:val="18"/>
        </w:rPr>
        <w:t>SWS (2013). Estimation of dry weather flow Headroom at Wastewater Treatment Works for Local Planning Authorities</w:t>
      </w:r>
    </w:p>
  </w:footnote>
  <w:footnote w:id="13">
    <w:p w14:paraId="5551FAAF" w14:textId="77777777" w:rsidR="00F7317F" w:rsidRPr="00F95540" w:rsidRDefault="00F7317F" w:rsidP="00F7317F">
      <w:pPr>
        <w:pStyle w:val="FootnoteText"/>
        <w:rPr>
          <w:rFonts w:ascii="Arial Narrow" w:hAnsi="Arial Narrow"/>
          <w:sz w:val="18"/>
          <w:szCs w:val="18"/>
        </w:rPr>
      </w:pPr>
      <w:r w:rsidRPr="00F95540">
        <w:rPr>
          <w:rStyle w:val="FootnoteReference"/>
          <w:rFonts w:ascii="Arial Narrow" w:hAnsi="Arial Narrow"/>
          <w:sz w:val="18"/>
          <w:szCs w:val="18"/>
        </w:rPr>
        <w:footnoteRef/>
      </w:r>
      <w:r w:rsidRPr="00F95540">
        <w:rPr>
          <w:rFonts w:ascii="Arial Narrow" w:hAnsi="Arial Narrow"/>
          <w:sz w:val="18"/>
          <w:szCs w:val="18"/>
        </w:rPr>
        <w:t xml:space="preserve"> British Water (2015). Flows and Loads – 4 Sizing Criteria, Treatment Capacity for Sewage Treatment Systems, British Water. BW COP:18.11/14</w:t>
      </w:r>
    </w:p>
  </w:footnote>
  <w:footnote w:id="14">
    <w:p w14:paraId="450AEC88" w14:textId="52615D8E" w:rsidR="00F7317F" w:rsidRPr="00752DA1" w:rsidRDefault="00F7317F" w:rsidP="00F7317F">
      <w:pPr>
        <w:pStyle w:val="FootnoteText"/>
        <w:rPr>
          <w:rFonts w:ascii="Arial Narrow" w:hAnsi="Arial Narrow"/>
          <w:sz w:val="18"/>
          <w:szCs w:val="18"/>
        </w:rPr>
      </w:pPr>
      <w:r w:rsidRPr="00F95540">
        <w:rPr>
          <w:rStyle w:val="FootnoteReference"/>
          <w:rFonts w:ascii="Arial Narrow" w:hAnsi="Arial Narrow"/>
        </w:rPr>
        <w:footnoteRef/>
      </w:r>
      <w:r w:rsidRPr="00F95540">
        <w:rPr>
          <w:rFonts w:ascii="Arial Narrow" w:hAnsi="Arial Narrow"/>
        </w:rPr>
        <w:t xml:space="preserve"> </w:t>
      </w:r>
      <w:r w:rsidRPr="00F95540">
        <w:rPr>
          <w:rFonts w:ascii="Arial Narrow" w:hAnsi="Arial Narrow"/>
          <w:sz w:val="18"/>
          <w:szCs w:val="18"/>
        </w:rPr>
        <w:t>SW</w:t>
      </w:r>
      <w:r>
        <w:rPr>
          <w:rFonts w:ascii="Arial Narrow" w:hAnsi="Arial Narrow"/>
          <w:sz w:val="18"/>
          <w:szCs w:val="18"/>
        </w:rPr>
        <w:t>S</w:t>
      </w:r>
      <w:r w:rsidRPr="00752DA1">
        <w:rPr>
          <w:rFonts w:ascii="Arial Narrow" w:hAnsi="Arial Narrow"/>
          <w:sz w:val="18"/>
          <w:szCs w:val="18"/>
        </w:rPr>
        <w:t xml:space="preserve"> website accessed October 2023 </w:t>
      </w:r>
      <w:hyperlink r:id="rId8" w:history="1">
        <w:r w:rsidRPr="00752DA1">
          <w:rPr>
            <w:rStyle w:val="Hyperlink"/>
            <w:rFonts w:ascii="Arial Narrow" w:hAnsi="Arial Narrow"/>
            <w:sz w:val="18"/>
            <w:szCs w:val="18"/>
          </w:rPr>
          <w:t>https://www.southernwater.co.uk/account/average-water-use-and-cost</w:t>
        </w:r>
      </w:hyperlink>
    </w:p>
  </w:footnote>
  <w:footnote w:id="15">
    <w:p w14:paraId="4F20F8E5" w14:textId="7E6C7C43" w:rsidR="00F7317F" w:rsidRDefault="00F7317F" w:rsidP="00F7317F">
      <w:pPr>
        <w:pStyle w:val="FootnoteText"/>
      </w:pPr>
      <w:r>
        <w:rPr>
          <w:rStyle w:val="FootnoteReference"/>
        </w:rPr>
        <w:footnoteRef/>
      </w:r>
      <w:r>
        <w:t xml:space="preserve"> </w:t>
      </w:r>
      <w:r w:rsidRPr="00AA7F7C">
        <w:rPr>
          <w:rFonts w:ascii="Arial Narrow" w:hAnsi="Arial Narrow"/>
          <w:sz w:val="18"/>
          <w:szCs w:val="18"/>
        </w:rPr>
        <w:t>Office for National Statistics (ONS) Families and households in the UK: 2022 Section 3 (accessed October 2023</w:t>
      </w:r>
      <w:r>
        <w:rPr>
          <w:rFonts w:ascii="Arial Narrow" w:hAnsi="Arial Narrow"/>
          <w:sz w:val="18"/>
          <w:szCs w:val="18"/>
        </w:rPr>
        <w:t>)</w:t>
      </w:r>
      <w:r w:rsidRPr="00AA7F7C">
        <w:rPr>
          <w:rFonts w:ascii="Arial Narrow" w:hAnsi="Arial Narrow"/>
          <w:sz w:val="18"/>
          <w:szCs w:val="18"/>
        </w:rPr>
        <w:t xml:space="preserve"> </w:t>
      </w:r>
      <w:hyperlink r:id="rId9" w:history="1">
        <w:r w:rsidRPr="00AA7F7C">
          <w:rPr>
            <w:rStyle w:val="Hyperlink"/>
            <w:rFonts w:ascii="Arial Narrow" w:hAnsi="Arial Narrow"/>
            <w:sz w:val="18"/>
            <w:szCs w:val="18"/>
          </w:rPr>
          <w:t>https://www.ons.gov.uk/peoplepopulationandcommunity/birthsdeathsandmarriages/families/bulletins/familiesandhouseholds/2022</w:t>
        </w:r>
      </w:hyperlink>
    </w:p>
  </w:footnote>
  <w:footnote w:id="16">
    <w:p w14:paraId="6B7D3535" w14:textId="11F7DEE5" w:rsidR="00326945" w:rsidRPr="00326945" w:rsidRDefault="00326945">
      <w:pPr>
        <w:pStyle w:val="FootnoteText"/>
        <w:rPr>
          <w:rFonts w:ascii="Arial Narrow" w:hAnsi="Arial Narrow"/>
        </w:rPr>
      </w:pPr>
      <w:r w:rsidRPr="00326945">
        <w:rPr>
          <w:rStyle w:val="FootnoteReference"/>
          <w:rFonts w:ascii="Arial Narrow" w:hAnsi="Arial Narrow"/>
          <w:sz w:val="18"/>
          <w:szCs w:val="18"/>
        </w:rPr>
        <w:footnoteRef/>
      </w:r>
      <w:r w:rsidRPr="00326945">
        <w:rPr>
          <w:rFonts w:ascii="Arial Narrow" w:hAnsi="Arial Narrow"/>
          <w:sz w:val="18"/>
          <w:szCs w:val="18"/>
        </w:rPr>
        <w:t xml:space="preserve"> It is noted that these estimate average water use per day values are based on water supply charges for the SW</w:t>
      </w:r>
      <w:r w:rsidR="00D95239">
        <w:rPr>
          <w:rFonts w:ascii="Arial Narrow" w:hAnsi="Arial Narrow"/>
          <w:sz w:val="18"/>
          <w:szCs w:val="18"/>
        </w:rPr>
        <w:t>S</w:t>
      </w:r>
      <w:r w:rsidRPr="00326945">
        <w:rPr>
          <w:rFonts w:ascii="Arial Narrow" w:hAnsi="Arial Narrow"/>
          <w:sz w:val="18"/>
          <w:szCs w:val="18"/>
        </w:rPr>
        <w:t xml:space="preserve"> water, which does not include the Thornham catchment</w:t>
      </w:r>
      <w:r w:rsidR="00472BD1">
        <w:rPr>
          <w:rFonts w:ascii="Arial Narrow" w:hAnsi="Arial Narrow"/>
          <w:sz w:val="18"/>
          <w:szCs w:val="18"/>
        </w:rPr>
        <w:t xml:space="preserve"> that falls within the Portsmouth Water area</w:t>
      </w:r>
      <w:r w:rsidRPr="00326945">
        <w:rPr>
          <w:rFonts w:ascii="Arial Narrow" w:hAnsi="Arial Narrow"/>
          <w:sz w:val="18"/>
          <w:szCs w:val="18"/>
        </w:rPr>
        <w:t>. However, they are considered appropriate to be used as proxies</w:t>
      </w:r>
      <w:r w:rsidR="00472BD1">
        <w:rPr>
          <w:rFonts w:ascii="Arial Narrow" w:hAnsi="Arial Narrow"/>
          <w:sz w:val="18"/>
          <w:szCs w:val="18"/>
        </w:rPr>
        <w:t xml:space="preserve"> for the purpose of this report</w:t>
      </w:r>
      <w:r w:rsidRPr="00326945">
        <w:rPr>
          <w:rFonts w:ascii="Arial Narrow" w:hAnsi="Arial Narrow"/>
          <w:sz w:val="18"/>
          <w:szCs w:val="18"/>
        </w:rPr>
        <w:t xml:space="preserve">. </w:t>
      </w:r>
    </w:p>
  </w:footnote>
  <w:footnote w:id="17">
    <w:p w14:paraId="1B45EB4B" w14:textId="30983332" w:rsidR="00F4406A" w:rsidRPr="00F4406A" w:rsidRDefault="00F4406A">
      <w:pPr>
        <w:pStyle w:val="FootnoteText"/>
        <w:rPr>
          <w:rFonts w:ascii="Arial Narrow" w:hAnsi="Arial Narrow"/>
        </w:rPr>
      </w:pPr>
      <w:r w:rsidRPr="00F4406A">
        <w:rPr>
          <w:rStyle w:val="FootnoteReference"/>
          <w:rFonts w:ascii="Arial Narrow" w:hAnsi="Arial Narrow"/>
          <w:sz w:val="18"/>
          <w:szCs w:val="18"/>
        </w:rPr>
        <w:footnoteRef/>
      </w:r>
      <w:r w:rsidRPr="00F4406A">
        <w:rPr>
          <w:rFonts w:ascii="Arial Narrow" w:hAnsi="Arial Narrow"/>
          <w:sz w:val="18"/>
          <w:szCs w:val="18"/>
        </w:rPr>
        <w:t xml:space="preserve"> </w:t>
      </w:r>
      <w:bookmarkStart w:id="34" w:name="_Hlk159400106"/>
      <w:r>
        <w:fldChar w:fldCharType="begin"/>
      </w:r>
      <w:r>
        <w:instrText>HYPERLINK "https://chichester.oc2.uk/document/45"</w:instrText>
      </w:r>
      <w:r>
        <w:fldChar w:fldCharType="separate"/>
      </w:r>
      <w:r w:rsidR="00FF2E34">
        <w:rPr>
          <w:rStyle w:val="Hyperlink"/>
          <w:rFonts w:ascii="Arial Narrow" w:hAnsi="Arial Narrow"/>
          <w:sz w:val="18"/>
          <w:szCs w:val="18"/>
        </w:rPr>
        <w:t>Chichester</w:t>
      </w:r>
      <w:r w:rsidR="00FF2E34">
        <w:rPr>
          <w:rStyle w:val="Hyperlink"/>
          <w:rFonts w:ascii="Arial Narrow" w:hAnsi="Arial Narrow"/>
          <w:sz w:val="18"/>
          <w:szCs w:val="18"/>
        </w:rPr>
        <w:t xml:space="preserve"> District Council - Chichester Local Plan 2021 - 2039</w:t>
      </w:r>
      <w:r>
        <w:rPr>
          <w:rStyle w:val="Hyperlink"/>
          <w:rFonts w:ascii="Arial Narrow" w:hAnsi="Arial Narrow"/>
          <w:sz w:val="18"/>
          <w:szCs w:val="18"/>
        </w:rPr>
        <w:fldChar w:fldCharType="end"/>
      </w:r>
      <w:r w:rsidR="00FF2E34" w:rsidRPr="00FF2E34">
        <w:rPr>
          <w:sz w:val="18"/>
          <w:szCs w:val="18"/>
        </w:rPr>
        <w:t xml:space="preserve"> </w:t>
      </w:r>
      <w:bookmarkEnd w:id="34"/>
    </w:p>
  </w:footnote>
  <w:footnote w:id="18">
    <w:p w14:paraId="56E05F90" w14:textId="015261BC" w:rsidR="00D30351" w:rsidRDefault="00D30351">
      <w:pPr>
        <w:pStyle w:val="FootnoteText"/>
      </w:pPr>
      <w:r>
        <w:rPr>
          <w:rStyle w:val="FootnoteReference"/>
        </w:rPr>
        <w:footnoteRef/>
      </w:r>
      <w:r>
        <w:t xml:space="preserve"> </w:t>
      </w:r>
      <w:r w:rsidR="0054293F" w:rsidRPr="00F4406A">
        <w:rPr>
          <w:rFonts w:ascii="Arial Narrow" w:hAnsi="Arial Narrow"/>
          <w:sz w:val="18"/>
          <w:szCs w:val="18"/>
        </w:rPr>
        <w:t>Allgrove, M. (202</w:t>
      </w:r>
      <w:r w:rsidR="0054293F">
        <w:rPr>
          <w:rFonts w:ascii="Arial Narrow" w:hAnsi="Arial Narrow"/>
          <w:sz w:val="18"/>
          <w:szCs w:val="18"/>
        </w:rPr>
        <w:t>4</w:t>
      </w:r>
      <w:r w:rsidR="0054293F" w:rsidRPr="00F4406A">
        <w:rPr>
          <w:rFonts w:ascii="Arial Narrow" w:hAnsi="Arial Narrow"/>
          <w:sz w:val="18"/>
          <w:szCs w:val="18"/>
        </w:rPr>
        <w:t>). Havant Borough Council,</w:t>
      </w:r>
      <w:r w:rsidR="0054293F">
        <w:rPr>
          <w:rFonts w:ascii="Arial Narrow" w:hAnsi="Arial Narrow"/>
          <w:sz w:val="18"/>
          <w:szCs w:val="18"/>
        </w:rPr>
        <w:t xml:space="preserve"> email received </w:t>
      </w:r>
      <w:r w:rsidR="0054293F" w:rsidRPr="00CB4AA9">
        <w:rPr>
          <w:rFonts w:ascii="Arial Narrow" w:hAnsi="Arial Narrow"/>
          <w:sz w:val="18"/>
          <w:szCs w:val="18"/>
        </w:rPr>
        <w:t>Wed 31/01/2024 16:40</w:t>
      </w:r>
      <w:r w:rsidR="0054293F">
        <w:rPr>
          <w:rFonts w:ascii="Arial Narrow" w:hAnsi="Arial Narrow"/>
          <w:sz w:val="18"/>
          <w:szCs w:val="18"/>
        </w:rPr>
        <w:t>.</w:t>
      </w:r>
    </w:p>
  </w:footnote>
  <w:footnote w:id="19">
    <w:p w14:paraId="11FDC574" w14:textId="529C498C" w:rsidR="00B31A7D" w:rsidRPr="00B31A7D" w:rsidRDefault="00B31A7D">
      <w:pPr>
        <w:pStyle w:val="FootnoteText"/>
        <w:rPr>
          <w:rFonts w:ascii="Arial Narrow" w:hAnsi="Arial Narrow"/>
        </w:rPr>
      </w:pPr>
      <w:r w:rsidRPr="00B31A7D">
        <w:rPr>
          <w:rStyle w:val="FootnoteReference"/>
          <w:rFonts w:ascii="Arial Narrow" w:hAnsi="Arial Narrow"/>
          <w:sz w:val="18"/>
          <w:szCs w:val="18"/>
        </w:rPr>
        <w:footnoteRef/>
      </w:r>
      <w:r w:rsidRPr="00B31A7D">
        <w:rPr>
          <w:rFonts w:ascii="Arial Narrow" w:hAnsi="Arial Narrow"/>
          <w:sz w:val="18"/>
          <w:szCs w:val="18"/>
        </w:rPr>
        <w:t xml:space="preserve"> These housing projections do not include potential housing growth within the HBC area.</w:t>
      </w:r>
    </w:p>
  </w:footnote>
  <w:footnote w:id="20">
    <w:p w14:paraId="142DB896" w14:textId="3A76BE1C" w:rsidR="00886CDF" w:rsidRPr="00886CDF" w:rsidRDefault="00886CDF">
      <w:pPr>
        <w:pStyle w:val="FootnoteText"/>
        <w:rPr>
          <w:rFonts w:ascii="Arial Narrow" w:hAnsi="Arial Narrow"/>
          <w:sz w:val="18"/>
          <w:szCs w:val="18"/>
        </w:rPr>
      </w:pPr>
      <w:r w:rsidRPr="00886CDF">
        <w:rPr>
          <w:rStyle w:val="FootnoteReference"/>
          <w:rFonts w:ascii="Arial Narrow" w:hAnsi="Arial Narrow"/>
          <w:sz w:val="18"/>
          <w:szCs w:val="18"/>
        </w:rPr>
        <w:footnoteRef/>
      </w:r>
      <w:r w:rsidRPr="00886CDF">
        <w:rPr>
          <w:rFonts w:ascii="Arial Narrow" w:hAnsi="Arial Narrow"/>
          <w:sz w:val="18"/>
          <w:szCs w:val="18"/>
        </w:rPr>
        <w:t xml:space="preserve"> CDC (2023) </w:t>
      </w:r>
      <w:r w:rsidRPr="00886CDF">
        <w:rPr>
          <w:rFonts w:ascii="Arial Narrow" w:hAnsi="Arial Narrow"/>
          <w:sz w:val="18"/>
          <w:szCs w:val="18"/>
        </w:rPr>
        <w:t xml:space="preserve">Waste Water Treatment and Remaining Headroom, January 2023 update </w:t>
      </w:r>
      <w:hyperlink r:id="rId10" w:history="1">
        <w:r w:rsidRPr="00886CDF">
          <w:rPr>
            <w:rStyle w:val="Hyperlink"/>
            <w:rFonts w:ascii="Arial Narrow" w:hAnsi="Arial Narrow"/>
            <w:sz w:val="18"/>
            <w:szCs w:val="18"/>
          </w:rPr>
          <w:t>https://www.chichester.gov.uk/thelocalplanclimatechange</w:t>
        </w:r>
      </w:hyperlink>
      <w:r w:rsidRPr="00886CDF">
        <w:rPr>
          <w:rFonts w:ascii="Arial Narrow" w:hAnsi="Arial Narrow"/>
          <w:sz w:val="18"/>
          <w:szCs w:val="18"/>
        </w:rPr>
        <w:t xml:space="preserve"> (accessed on 15/09/2023)</w:t>
      </w:r>
    </w:p>
  </w:footnote>
  <w:footnote w:id="21">
    <w:p w14:paraId="2C3EE090" w14:textId="1A1994C3" w:rsidR="00886CDF" w:rsidRDefault="00886CDF">
      <w:pPr>
        <w:pStyle w:val="FootnoteText"/>
      </w:pPr>
      <w:r w:rsidRPr="00886CDF">
        <w:rPr>
          <w:rStyle w:val="FootnoteReference"/>
          <w:rFonts w:ascii="Arial Narrow" w:hAnsi="Arial Narrow"/>
          <w:sz w:val="18"/>
          <w:szCs w:val="18"/>
        </w:rPr>
        <w:footnoteRef/>
      </w:r>
      <w:r w:rsidRPr="00886CDF">
        <w:rPr>
          <w:rFonts w:ascii="Arial Narrow" w:hAnsi="Arial Narrow"/>
          <w:sz w:val="18"/>
          <w:szCs w:val="18"/>
        </w:rPr>
        <w:t xml:space="preserve"> SWS (2013). Estimation of dry weather flow Headroom at Wastewater Treatment Works for Local Planning Authorities</w:t>
      </w:r>
    </w:p>
  </w:footnote>
  <w:footnote w:id="22">
    <w:p w14:paraId="38D4C4D8" w14:textId="7CECFEB0" w:rsidR="00DE5FD0" w:rsidRPr="00DE5FD0" w:rsidRDefault="00DE5FD0">
      <w:pPr>
        <w:pStyle w:val="FootnoteText"/>
        <w:rPr>
          <w:rFonts w:ascii="Arial Narrow" w:hAnsi="Arial Narrow"/>
        </w:rPr>
      </w:pPr>
      <w:r w:rsidRPr="00DE5FD0">
        <w:rPr>
          <w:rStyle w:val="FootnoteReference"/>
          <w:rFonts w:ascii="Arial Narrow" w:hAnsi="Arial Narrow"/>
          <w:sz w:val="18"/>
          <w:szCs w:val="18"/>
        </w:rPr>
        <w:footnoteRef/>
      </w:r>
      <w:r w:rsidRPr="00DE5FD0">
        <w:rPr>
          <w:rFonts w:ascii="Arial Narrow" w:hAnsi="Arial Narrow"/>
          <w:sz w:val="18"/>
          <w:szCs w:val="18"/>
        </w:rPr>
        <w:t xml:space="preserve"> As </w:t>
      </w:r>
      <w:r w:rsidRPr="00DE5FD0">
        <w:rPr>
          <w:rFonts w:ascii="Arial Narrow" w:hAnsi="Arial Narrow"/>
          <w:sz w:val="18"/>
          <w:szCs w:val="18"/>
        </w:rPr>
        <w:t xml:space="preserve">noted in Section </w:t>
      </w:r>
      <w:r w:rsidRPr="00DE5FD0">
        <w:rPr>
          <w:rFonts w:ascii="Arial Narrow" w:hAnsi="Arial Narrow"/>
          <w:sz w:val="18"/>
          <w:szCs w:val="18"/>
        </w:rPr>
        <w:fldChar w:fldCharType="begin"/>
      </w:r>
      <w:r w:rsidRPr="00DE5FD0">
        <w:rPr>
          <w:rFonts w:ascii="Arial Narrow" w:hAnsi="Arial Narrow"/>
          <w:sz w:val="18"/>
          <w:szCs w:val="18"/>
        </w:rPr>
        <w:instrText xml:space="preserve"> REF _Ref153193594 \r \h  \* MERGEFORMAT </w:instrText>
      </w:r>
      <w:r w:rsidRPr="00DE5FD0">
        <w:rPr>
          <w:rFonts w:ascii="Arial Narrow" w:hAnsi="Arial Narrow"/>
          <w:sz w:val="18"/>
          <w:szCs w:val="18"/>
        </w:rPr>
      </w:r>
      <w:r w:rsidRPr="00DE5FD0">
        <w:rPr>
          <w:rFonts w:ascii="Arial Narrow" w:hAnsi="Arial Narrow"/>
          <w:sz w:val="18"/>
          <w:szCs w:val="18"/>
        </w:rPr>
        <w:fldChar w:fldCharType="separate"/>
      </w:r>
      <w:r w:rsidR="008502A6">
        <w:rPr>
          <w:rFonts w:ascii="Arial Narrow" w:hAnsi="Arial Narrow"/>
          <w:sz w:val="18"/>
          <w:szCs w:val="18"/>
        </w:rPr>
        <w:t>2.2.2</w:t>
      </w:r>
      <w:r w:rsidRPr="00DE5FD0">
        <w:rPr>
          <w:rFonts w:ascii="Arial Narrow" w:hAnsi="Arial Narrow"/>
          <w:sz w:val="18"/>
          <w:szCs w:val="18"/>
        </w:rPr>
        <w:fldChar w:fldCharType="end"/>
      </w:r>
      <w:r w:rsidRPr="00DE5FD0">
        <w:rPr>
          <w:rFonts w:ascii="Arial Narrow" w:hAnsi="Arial Narrow"/>
          <w:sz w:val="18"/>
          <w:szCs w:val="18"/>
        </w:rPr>
        <w:t xml:space="preserve"> we are assuming these values can be used as proxies for the Thornham catchment.</w:t>
      </w:r>
    </w:p>
  </w:footnote>
  <w:footnote w:id="23">
    <w:p w14:paraId="29609B16" w14:textId="1D6D92CE" w:rsidR="009410DA" w:rsidRPr="009410DA" w:rsidRDefault="009410DA" w:rsidP="009410DA">
      <w:pPr>
        <w:pStyle w:val="FootnoteText"/>
        <w:rPr>
          <w:rFonts w:ascii="Arial Narrow" w:hAnsi="Arial Narrow"/>
          <w:sz w:val="18"/>
          <w:szCs w:val="18"/>
        </w:rPr>
      </w:pPr>
      <w:r w:rsidRPr="009410DA">
        <w:rPr>
          <w:rStyle w:val="FootnoteReference"/>
          <w:sz w:val="18"/>
          <w:szCs w:val="18"/>
        </w:rPr>
        <w:footnoteRef/>
      </w:r>
      <w:r>
        <w:t xml:space="preserve"> </w:t>
      </w:r>
      <w:r w:rsidRPr="009410DA">
        <w:rPr>
          <w:rFonts w:ascii="Arial Narrow" w:hAnsi="Arial Narrow"/>
          <w:sz w:val="18"/>
          <w:szCs w:val="18"/>
        </w:rPr>
        <w:t>SWS (20</w:t>
      </w:r>
      <w:r>
        <w:rPr>
          <w:rFonts w:ascii="Arial Narrow" w:hAnsi="Arial Narrow"/>
          <w:sz w:val="18"/>
          <w:szCs w:val="18"/>
        </w:rPr>
        <w:t>21</w:t>
      </w:r>
      <w:r w:rsidRPr="009410DA">
        <w:rPr>
          <w:rFonts w:ascii="Arial Narrow" w:hAnsi="Arial Narrow"/>
          <w:sz w:val="18"/>
          <w:szCs w:val="18"/>
        </w:rPr>
        <w:t>). Drainage and Wastewater Management Plans (DWMPs) Summary of the methodology for the Baseline Risk and Vulnerability Assessment (BRAVA) on: Wastewater Treatment</w:t>
      </w:r>
      <w:r>
        <w:rPr>
          <w:rFonts w:ascii="Arial Narrow" w:hAnsi="Arial Narrow"/>
          <w:sz w:val="18"/>
          <w:szCs w:val="18"/>
        </w:rPr>
        <w:t xml:space="preserve"> </w:t>
      </w:r>
      <w:r w:rsidRPr="009410DA">
        <w:rPr>
          <w:rFonts w:ascii="Arial Narrow" w:hAnsi="Arial Narrow"/>
          <w:sz w:val="18"/>
          <w:szCs w:val="18"/>
        </w:rPr>
        <w:t>Works Dry Weather Flow Compliance</w:t>
      </w:r>
      <w:r>
        <w:rPr>
          <w:rFonts w:ascii="Arial Narrow" w:hAnsi="Arial Narrow"/>
          <w:sz w:val="18"/>
          <w:szCs w:val="18"/>
        </w:rPr>
        <w:t xml:space="preserve">. March 2021.Southern Water Services. </w:t>
      </w:r>
    </w:p>
  </w:footnote>
  <w:footnote w:id="24">
    <w:p w14:paraId="11DF7F09" w14:textId="1A44E266" w:rsidR="00CE3E40" w:rsidRDefault="00CE3E40" w:rsidP="00CE3E40">
      <w:pPr>
        <w:pStyle w:val="FootnoteText"/>
      </w:pPr>
      <w:r>
        <w:rPr>
          <w:rStyle w:val="FootnoteReference"/>
        </w:rPr>
        <w:footnoteRef/>
      </w:r>
      <w:r w:rsidR="009342A1">
        <w:rPr>
          <w:rFonts w:ascii="Arial Narrow" w:hAnsi="Arial Narrow"/>
          <w:sz w:val="18"/>
          <w:szCs w:val="18"/>
        </w:rPr>
        <w:t xml:space="preserve"> </w:t>
      </w:r>
      <w:r w:rsidR="0054293F" w:rsidRPr="00D30351">
        <w:rPr>
          <w:rFonts w:ascii="Arial Narrow" w:hAnsi="Arial Narrow"/>
          <w:sz w:val="18"/>
          <w:szCs w:val="18"/>
        </w:rPr>
        <w:t>Allgrove, M. (2023). Havant Borough Council, email correspondence received Wed 20/12/2023 15:45</w:t>
      </w:r>
    </w:p>
  </w:footnote>
  <w:footnote w:id="25">
    <w:p w14:paraId="0AFB6F59" w14:textId="330059A4" w:rsidR="00E3598A" w:rsidRPr="00E3598A" w:rsidRDefault="00E3598A">
      <w:pPr>
        <w:pStyle w:val="FootnoteText"/>
        <w:rPr>
          <w:rFonts w:ascii="Arial Narrow" w:hAnsi="Arial Narrow"/>
          <w:sz w:val="18"/>
          <w:szCs w:val="18"/>
        </w:rPr>
      </w:pPr>
      <w:r>
        <w:rPr>
          <w:rStyle w:val="FootnoteReference"/>
        </w:rPr>
        <w:footnoteRef/>
      </w:r>
      <w:r>
        <w:t xml:space="preserve"> </w:t>
      </w:r>
      <w:r w:rsidRPr="00E3598A">
        <w:rPr>
          <w:rFonts w:ascii="Arial Narrow" w:hAnsi="Arial Narrow"/>
          <w:sz w:val="18"/>
          <w:szCs w:val="18"/>
        </w:rPr>
        <w:t>SW (2022). Draft Water Resources Management Plan 2024.</w:t>
      </w:r>
      <w:r>
        <w:rPr>
          <w:rFonts w:ascii="Arial Narrow" w:hAnsi="Arial Narrow"/>
          <w:sz w:val="18"/>
          <w:szCs w:val="18"/>
        </w:rPr>
        <w:t xml:space="preserve"> Accessed December 2023 (</w:t>
      </w:r>
      <w:hyperlink r:id="rId11" w:history="1">
        <w:r w:rsidRPr="00E3598A">
          <w:rPr>
            <w:rFonts w:ascii="Arial Narrow" w:hAnsi="Arial Narrow"/>
            <w:sz w:val="18"/>
            <w:szCs w:val="18"/>
          </w:rPr>
          <w:t>6177_dWRMP_Sections_1_3_v1.7.indd (southernwater.co.uk)</w:t>
        </w:r>
      </w:hyperlink>
      <w:r>
        <w:rPr>
          <w:rFonts w:ascii="Arial Narrow" w:hAnsi="Arial Narrow"/>
          <w:sz w:val="18"/>
          <w:szCs w:val="18"/>
        </w:rPr>
        <w:t>)</w:t>
      </w:r>
    </w:p>
  </w:footnote>
  <w:footnote w:id="26">
    <w:p w14:paraId="31D7AE11" w14:textId="3890E38C" w:rsidR="002A779C" w:rsidRPr="005D10B7" w:rsidRDefault="002A779C" w:rsidP="002A779C">
      <w:pPr>
        <w:pStyle w:val="FootnoteText"/>
        <w:rPr>
          <w:rFonts w:ascii="Arial Narrow" w:hAnsi="Arial Narrow"/>
        </w:rPr>
      </w:pPr>
      <w:r w:rsidRPr="005D10B7">
        <w:rPr>
          <w:rStyle w:val="FootnoteReference"/>
          <w:rFonts w:ascii="Arial Narrow" w:hAnsi="Arial Narrow"/>
          <w:sz w:val="18"/>
          <w:szCs w:val="18"/>
        </w:rPr>
        <w:footnoteRef/>
      </w:r>
      <w:r w:rsidRPr="005D10B7">
        <w:rPr>
          <w:rFonts w:ascii="Arial Narrow" w:hAnsi="Arial Narrow"/>
          <w:sz w:val="18"/>
          <w:szCs w:val="18"/>
        </w:rPr>
        <w:t xml:space="preserve"> </w:t>
      </w:r>
      <w:hyperlink r:id="rId12" w:history="1">
        <w:r w:rsidR="005D10B7" w:rsidRPr="005D10B7">
          <w:rPr>
            <w:rFonts w:ascii="Arial Narrow" w:hAnsi="Arial Narrow"/>
            <w:color w:val="0000FF"/>
            <w:sz w:val="18"/>
            <w:u w:val="single"/>
          </w:rPr>
          <w:t>Calculating dry weather flow (DWF) at waste water treatment works - GOV.UK (www.gov.uk)</w:t>
        </w:r>
      </w:hyperlink>
    </w:p>
  </w:footnote>
  <w:footnote w:id="27">
    <w:p w14:paraId="3AF31175" w14:textId="4FFDC0E1" w:rsidR="00D30351" w:rsidRDefault="00D30351">
      <w:pPr>
        <w:pStyle w:val="FootnoteText"/>
      </w:pPr>
      <w:r>
        <w:rPr>
          <w:rStyle w:val="FootnoteReference"/>
        </w:rPr>
        <w:footnoteRef/>
      </w:r>
      <w:r>
        <w:t xml:space="preserve"> </w:t>
      </w:r>
      <w:hyperlink r:id="rId13" w:history="1">
        <w:r>
          <w:rPr>
            <w:rStyle w:val="Hyperlink"/>
            <w:rFonts w:ascii="Arial Narrow" w:hAnsi="Arial Narrow"/>
            <w:sz w:val="18"/>
            <w:szCs w:val="18"/>
          </w:rPr>
          <w:t>Chichester District Council - Chichester Local Plan 2021 - 2039</w:t>
        </w:r>
      </w:hyperlink>
    </w:p>
  </w:footnote>
  <w:footnote w:id="28">
    <w:p w14:paraId="0B4F781B" w14:textId="712BA478" w:rsidR="00C012D7" w:rsidRPr="00F4406A" w:rsidRDefault="00C012D7" w:rsidP="00C012D7">
      <w:pPr>
        <w:pStyle w:val="FootnoteText"/>
        <w:rPr>
          <w:rFonts w:ascii="Arial Narrow" w:hAnsi="Arial Narrow"/>
        </w:rPr>
      </w:pPr>
      <w:r w:rsidRPr="00F4406A">
        <w:rPr>
          <w:rStyle w:val="FootnoteReference"/>
          <w:rFonts w:ascii="Arial Narrow" w:hAnsi="Arial Narrow"/>
          <w:sz w:val="18"/>
          <w:szCs w:val="18"/>
        </w:rPr>
        <w:footnoteRef/>
      </w:r>
      <w:r w:rsidRPr="00F4406A">
        <w:rPr>
          <w:rFonts w:ascii="Arial Narrow" w:hAnsi="Arial Narrow"/>
          <w:sz w:val="18"/>
          <w:szCs w:val="18"/>
        </w:rPr>
        <w:t xml:space="preserve"> Allgrove, M. (202</w:t>
      </w:r>
      <w:r w:rsidR="00CB4AA9">
        <w:rPr>
          <w:rFonts w:ascii="Arial Narrow" w:hAnsi="Arial Narrow"/>
          <w:sz w:val="18"/>
          <w:szCs w:val="18"/>
        </w:rPr>
        <w:t>4</w:t>
      </w:r>
      <w:r w:rsidRPr="00F4406A">
        <w:rPr>
          <w:rFonts w:ascii="Arial Narrow" w:hAnsi="Arial Narrow"/>
          <w:sz w:val="18"/>
          <w:szCs w:val="18"/>
        </w:rPr>
        <w:t>). Havant Borough Council,</w:t>
      </w:r>
      <w:r w:rsidR="00CB4AA9">
        <w:rPr>
          <w:rFonts w:ascii="Arial Narrow" w:hAnsi="Arial Narrow"/>
          <w:sz w:val="18"/>
          <w:szCs w:val="18"/>
        </w:rPr>
        <w:t xml:space="preserve"> email </w:t>
      </w:r>
      <w:r w:rsidR="003C0470">
        <w:rPr>
          <w:rFonts w:ascii="Arial Narrow" w:hAnsi="Arial Narrow"/>
          <w:sz w:val="18"/>
          <w:szCs w:val="18"/>
        </w:rPr>
        <w:t>received</w:t>
      </w:r>
      <w:r w:rsidR="00CB4AA9">
        <w:rPr>
          <w:rFonts w:ascii="Arial Narrow" w:hAnsi="Arial Narrow"/>
          <w:sz w:val="18"/>
          <w:szCs w:val="18"/>
        </w:rPr>
        <w:t xml:space="preserve"> </w:t>
      </w:r>
      <w:r w:rsidR="00CB4AA9" w:rsidRPr="00CB4AA9">
        <w:rPr>
          <w:rFonts w:ascii="Arial Narrow" w:hAnsi="Arial Narrow"/>
          <w:sz w:val="18"/>
          <w:szCs w:val="18"/>
        </w:rPr>
        <w:t>Wed 31/01/2024 16:40</w:t>
      </w:r>
      <w:r w:rsidRPr="00F4406A">
        <w:rPr>
          <w:rFonts w:ascii="Arial Narrow" w:hAnsi="Arial Narrow"/>
          <w:sz w:val="18"/>
          <w:szCs w:val="18"/>
        </w:rPr>
        <w:t>.</w:t>
      </w:r>
    </w:p>
  </w:footnote>
  <w:footnote w:id="29">
    <w:p w14:paraId="1862F25F" w14:textId="2017BDD4" w:rsidR="00576628" w:rsidRPr="00576628" w:rsidRDefault="00576628">
      <w:pPr>
        <w:pStyle w:val="FootnoteText"/>
        <w:rPr>
          <w:rFonts w:ascii="Arial Narrow" w:hAnsi="Arial Narrow"/>
        </w:rPr>
      </w:pPr>
      <w:r w:rsidRPr="00576628">
        <w:rPr>
          <w:rStyle w:val="FootnoteReference"/>
          <w:rFonts w:ascii="Arial Narrow" w:hAnsi="Arial Narrow"/>
          <w:sz w:val="18"/>
          <w:szCs w:val="18"/>
        </w:rPr>
        <w:footnoteRef/>
      </w:r>
      <w:r w:rsidRPr="00576628">
        <w:rPr>
          <w:rFonts w:ascii="Arial Narrow" w:hAnsi="Arial Narrow"/>
          <w:sz w:val="18"/>
          <w:szCs w:val="18"/>
        </w:rPr>
        <w:t xml:space="preserve"> Amec Foster Wheeler, Chichester District Council Water Quality Assessment. Doc ref. ID 39151rr014i8, August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09344" w14:textId="77777777" w:rsidR="003D53EC" w:rsidRDefault="003D53EC">
    <w:pPr>
      <w:pStyle w:val="Header"/>
      <w:rPr>
        <w:sz w:val="16"/>
      </w:rPr>
    </w:pPr>
    <w:r w:rsidRPr="003D53EC">
      <w:rPr>
        <w:sz w:val="16"/>
      </w:rPr>
      <w:t xml:space="preserve">Review of the position statement for </w:t>
    </w:r>
    <w:proofErr w:type="spellStart"/>
    <w:r w:rsidRPr="003D53EC">
      <w:rPr>
        <w:sz w:val="16"/>
      </w:rPr>
      <w:t>Thornham</w:t>
    </w:r>
    <w:proofErr w:type="spellEnd"/>
  </w:p>
  <w:p w14:paraId="29ADC828" w14:textId="05CDEB6E" w:rsidR="00EA787B" w:rsidRPr="00E870B2" w:rsidRDefault="00EA787B">
    <w:pPr>
      <w:pStyle w:val="Header"/>
      <w:rPr>
        <w:sz w:val="16"/>
      </w:rPr>
    </w:pPr>
    <w:r w:rsidRPr="00E870B2">
      <w:rPr>
        <w:sz w:val="16"/>
      </w:rPr>
      <w:t xml:space="preserve">Ref: </w:t>
    </w:r>
    <w:r w:rsidR="00A049E9" w:rsidRPr="00A049E9">
      <w:rPr>
        <w:sz w:val="16"/>
      </w:rPr>
      <w:t>ED17</w:t>
    </w:r>
    <w:r w:rsidR="00C2140D">
      <w:rPr>
        <w:sz w:val="16"/>
      </w:rPr>
      <w:t>942100</w:t>
    </w:r>
    <w:r w:rsidR="00774BC6">
      <w:rPr>
        <w:sz w:val="16"/>
      </w:rPr>
      <w:t xml:space="preserve"> </w:t>
    </w:r>
    <w:proofErr w:type="gramStart"/>
    <w:r w:rsidRPr="00E870B2">
      <w:rPr>
        <w:sz w:val="16"/>
      </w:rPr>
      <w:t xml:space="preserve">|  </w:t>
    </w:r>
    <w:r w:rsidR="00D81794">
      <w:rPr>
        <w:sz w:val="16"/>
      </w:rPr>
      <w:t>Final</w:t>
    </w:r>
    <w:proofErr w:type="gramEnd"/>
    <w:r w:rsidRPr="00E870B2">
      <w:rPr>
        <w:sz w:val="16"/>
      </w:rPr>
      <w:t xml:space="preserve"> </w:t>
    </w:r>
    <w:r w:rsidR="00764E68">
      <w:rPr>
        <w:sz w:val="16"/>
      </w:rPr>
      <w:t>Technical Note</w:t>
    </w:r>
    <w:r w:rsidRPr="00E870B2">
      <w:rPr>
        <w:sz w:val="16"/>
      </w:rPr>
      <w:t xml:space="preserve">  |   Issue number </w:t>
    </w:r>
    <w:r w:rsidR="00D81794">
      <w:rPr>
        <w:sz w:val="16"/>
      </w:rPr>
      <w:t>1</w:t>
    </w:r>
    <w:r w:rsidRPr="00E870B2">
      <w:rPr>
        <w:sz w:val="16"/>
      </w:rPr>
      <w:t xml:space="preserve">  |  </w:t>
    </w:r>
    <w:r w:rsidR="00D81794">
      <w:rPr>
        <w:sz w:val="16"/>
      </w:rPr>
      <w:t>0</w:t>
    </w:r>
    <w:r w:rsidR="0036770F">
      <w:rPr>
        <w:sz w:val="16"/>
      </w:rPr>
      <w:t>4</w:t>
    </w:r>
    <w:r w:rsidR="000F232F">
      <w:rPr>
        <w:sz w:val="16"/>
      </w:rPr>
      <w:t>/0</w:t>
    </w:r>
    <w:r w:rsidR="0036770F">
      <w:rPr>
        <w:sz w:val="16"/>
      </w:rPr>
      <w:t>3</w:t>
    </w:r>
    <w:r w:rsidR="000F232F">
      <w:rPr>
        <w:sz w:val="16"/>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B375" w14:textId="77777777" w:rsidR="003D53EC" w:rsidRDefault="003D53EC" w:rsidP="000C5719">
    <w:pPr>
      <w:pStyle w:val="Header"/>
      <w:rPr>
        <w:sz w:val="16"/>
      </w:rPr>
    </w:pPr>
    <w:r w:rsidRPr="003D53EC">
      <w:rPr>
        <w:sz w:val="16"/>
      </w:rPr>
      <w:t xml:space="preserve">Review of the position statement for </w:t>
    </w:r>
    <w:proofErr w:type="spellStart"/>
    <w:r w:rsidRPr="003D53EC">
      <w:rPr>
        <w:sz w:val="16"/>
      </w:rPr>
      <w:t>Thornham</w:t>
    </w:r>
    <w:proofErr w:type="spellEnd"/>
  </w:p>
  <w:p w14:paraId="367269D6" w14:textId="7F1AA660" w:rsidR="000C5719" w:rsidRPr="00E870B2" w:rsidRDefault="000C5719" w:rsidP="000C5719">
    <w:pPr>
      <w:pStyle w:val="Header"/>
      <w:rPr>
        <w:sz w:val="16"/>
      </w:rPr>
    </w:pPr>
    <w:r w:rsidRPr="00E870B2">
      <w:rPr>
        <w:sz w:val="16"/>
      </w:rPr>
      <w:t>Ref:</w:t>
    </w:r>
    <w:r w:rsidRPr="00A049E9">
      <w:rPr>
        <w:sz w:val="16"/>
      </w:rPr>
      <w:t xml:space="preserve"> </w:t>
    </w:r>
    <w:r w:rsidR="00AD1A16" w:rsidRPr="00AD1A16">
      <w:rPr>
        <w:sz w:val="16"/>
      </w:rPr>
      <w:t>ED17942100</w:t>
    </w:r>
    <w:r w:rsidR="0008615C">
      <w:rPr>
        <w:sz w:val="16"/>
      </w:rPr>
      <w:t xml:space="preserve"> </w:t>
    </w:r>
    <w:r w:rsidRPr="00E870B2">
      <w:rPr>
        <w:sz w:val="16"/>
      </w:rPr>
      <w:t xml:space="preserve">| </w:t>
    </w:r>
    <w:r w:rsidR="004A3BE8">
      <w:rPr>
        <w:sz w:val="16"/>
      </w:rPr>
      <w:t>Final</w:t>
    </w:r>
    <w:r w:rsidR="004A3BE8" w:rsidRPr="00E870B2">
      <w:rPr>
        <w:sz w:val="16"/>
      </w:rPr>
      <w:t xml:space="preserve"> </w:t>
    </w:r>
    <w:r>
      <w:rPr>
        <w:sz w:val="16"/>
      </w:rPr>
      <w:t>Technical Note</w:t>
    </w:r>
    <w:r w:rsidRPr="00E870B2">
      <w:rPr>
        <w:sz w:val="16"/>
      </w:rPr>
      <w:t xml:space="preserve"> | Issue number </w:t>
    </w:r>
    <w:r w:rsidR="004A3BE8">
      <w:rPr>
        <w:sz w:val="16"/>
      </w:rPr>
      <w:t>1</w:t>
    </w:r>
    <w:r w:rsidRPr="00E870B2">
      <w:rPr>
        <w:sz w:val="16"/>
      </w:rPr>
      <w:t xml:space="preserve"> | </w:t>
    </w:r>
    <w:r w:rsidR="004A3BE8">
      <w:rPr>
        <w:sz w:val="16"/>
      </w:rPr>
      <w:t>0</w:t>
    </w:r>
    <w:r w:rsidR="0036770F">
      <w:rPr>
        <w:sz w:val="16"/>
      </w:rPr>
      <w:t>4</w:t>
    </w:r>
    <w:r w:rsidR="000F232F">
      <w:rPr>
        <w:sz w:val="16"/>
      </w:rPr>
      <w:t>/0</w:t>
    </w:r>
    <w:r w:rsidR="0036770F">
      <w:rPr>
        <w:sz w:val="16"/>
      </w:rPr>
      <w:t>3</w:t>
    </w:r>
    <w:r w:rsidR="000F232F">
      <w:rPr>
        <w:sz w:val="16"/>
      </w:rPr>
      <w:t>/2024</w:t>
    </w:r>
  </w:p>
  <w:p w14:paraId="1EFF0976" w14:textId="77777777" w:rsidR="00EA787B" w:rsidRDefault="00EA7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35A1"/>
    <w:multiLevelType w:val="hybridMultilevel"/>
    <w:tmpl w:val="4516E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A1302"/>
    <w:multiLevelType w:val="multilevel"/>
    <w:tmpl w:val="78E2DC7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19C395D"/>
    <w:multiLevelType w:val="hybridMultilevel"/>
    <w:tmpl w:val="F30A9232"/>
    <w:lvl w:ilvl="0" w:tplc="26448212">
      <w:start w:val="1"/>
      <w:numFmt w:val="lowerRoman"/>
      <w:lvlText w:val="%1."/>
      <w:lvlJc w:val="left"/>
      <w:pPr>
        <w:ind w:left="1140" w:hanging="720"/>
      </w:pPr>
      <w:rPr>
        <w:rFonts w:hint="default"/>
        <w:b w:val="0"/>
        <w:bCs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13863D04"/>
    <w:multiLevelType w:val="hybridMultilevel"/>
    <w:tmpl w:val="1972B0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B9540B"/>
    <w:multiLevelType w:val="hybridMultilevel"/>
    <w:tmpl w:val="D0A602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0756BE"/>
    <w:multiLevelType w:val="hybridMultilevel"/>
    <w:tmpl w:val="0144E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711E7E"/>
    <w:multiLevelType w:val="hybridMultilevel"/>
    <w:tmpl w:val="F0385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2C25EA"/>
    <w:multiLevelType w:val="hybridMultilevel"/>
    <w:tmpl w:val="C00E8A1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D7F1BA8"/>
    <w:multiLevelType w:val="hybridMultilevel"/>
    <w:tmpl w:val="D1EAA27A"/>
    <w:lvl w:ilvl="0" w:tplc="14EAD3DE">
      <w:start w:val="1"/>
      <w:numFmt w:val="bullet"/>
      <w:lvlText w:val=""/>
      <w:lvlJc w:val="left"/>
      <w:pPr>
        <w:ind w:left="720" w:hanging="360"/>
      </w:pPr>
      <w:rPr>
        <w:rFonts w:ascii="Symbol" w:hAnsi="Symbol" w:hint="default"/>
        <w:color w:val="006BB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F829FD"/>
    <w:multiLevelType w:val="hybridMultilevel"/>
    <w:tmpl w:val="05D8A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0239F4"/>
    <w:multiLevelType w:val="hybridMultilevel"/>
    <w:tmpl w:val="0038A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4383C"/>
    <w:multiLevelType w:val="hybridMultilevel"/>
    <w:tmpl w:val="65B41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5F52D6"/>
    <w:multiLevelType w:val="hybridMultilevel"/>
    <w:tmpl w:val="69C8B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433262"/>
    <w:multiLevelType w:val="hybridMultilevel"/>
    <w:tmpl w:val="5E5C8C32"/>
    <w:lvl w:ilvl="0" w:tplc="6A76B83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116D84"/>
    <w:multiLevelType w:val="hybridMultilevel"/>
    <w:tmpl w:val="65B2B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42659D"/>
    <w:multiLevelType w:val="hybridMultilevel"/>
    <w:tmpl w:val="E422A66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6" w15:restartNumberingAfterBreak="0">
    <w:nsid w:val="3D483C80"/>
    <w:multiLevelType w:val="hybridMultilevel"/>
    <w:tmpl w:val="8D4643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6E32C1"/>
    <w:multiLevelType w:val="hybridMultilevel"/>
    <w:tmpl w:val="B3C62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9C7289"/>
    <w:multiLevelType w:val="hybridMultilevel"/>
    <w:tmpl w:val="1E923402"/>
    <w:lvl w:ilvl="0" w:tplc="64905F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2143AE"/>
    <w:multiLevelType w:val="hybridMultilevel"/>
    <w:tmpl w:val="5420C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612AFF"/>
    <w:multiLevelType w:val="hybridMultilevel"/>
    <w:tmpl w:val="60D8C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613EE1"/>
    <w:multiLevelType w:val="hybridMultilevel"/>
    <w:tmpl w:val="DF66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7D4E47"/>
    <w:multiLevelType w:val="hybridMultilevel"/>
    <w:tmpl w:val="86888C44"/>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3" w15:restartNumberingAfterBreak="0">
    <w:nsid w:val="4F762023"/>
    <w:multiLevelType w:val="hybridMultilevel"/>
    <w:tmpl w:val="A8F8D95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2152976"/>
    <w:multiLevelType w:val="hybridMultilevel"/>
    <w:tmpl w:val="86D62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2667AA"/>
    <w:multiLevelType w:val="hybridMultilevel"/>
    <w:tmpl w:val="3702B7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7E23178"/>
    <w:multiLevelType w:val="hybridMultilevel"/>
    <w:tmpl w:val="2DD6C8A8"/>
    <w:lvl w:ilvl="0" w:tplc="9036EF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523073"/>
    <w:multiLevelType w:val="multilevel"/>
    <w:tmpl w:val="00120FD2"/>
    <w:lvl w:ilvl="0">
      <w:start w:val="1"/>
      <w:numFmt w:val="decimal"/>
      <w:pStyle w:val="AppendixHeadingLevel1"/>
      <w:lvlText w:val="A%1"/>
      <w:lvlJc w:val="left"/>
      <w:pPr>
        <w:tabs>
          <w:tab w:val="num" w:pos="851"/>
        </w:tabs>
        <w:ind w:left="851" w:hanging="851"/>
      </w:pPr>
      <w:rPr>
        <w:rFonts w:hint="default"/>
      </w:rPr>
    </w:lvl>
    <w:lvl w:ilvl="1">
      <w:start w:val="1"/>
      <w:numFmt w:val="decimal"/>
      <w:pStyle w:val="AppendixHeadingLevel2"/>
      <w:lvlText w:val="A%1.%2"/>
      <w:lvlJc w:val="left"/>
      <w:pPr>
        <w:tabs>
          <w:tab w:val="num" w:pos="851"/>
        </w:tabs>
        <w:ind w:left="851" w:hanging="851"/>
      </w:pPr>
      <w:rPr>
        <w:rFonts w:hint="default"/>
      </w:rPr>
    </w:lvl>
    <w:lvl w:ilvl="2">
      <w:start w:val="1"/>
      <w:numFmt w:val="decimal"/>
      <w:pStyle w:val="AppendixHeadingLevel3"/>
      <w:lvlText w:val="A%1.%2.%3"/>
      <w:lvlJc w:val="left"/>
      <w:pPr>
        <w:tabs>
          <w:tab w:val="num" w:pos="851"/>
        </w:tabs>
        <w:ind w:left="851" w:hanging="851"/>
      </w:pPr>
      <w:rPr>
        <w:rFonts w:hint="default"/>
      </w:rPr>
    </w:lvl>
    <w:lvl w:ilvl="3">
      <w:start w:val="1"/>
      <w:numFmt w:val="decimal"/>
      <w:pStyle w:val="AppendixHeadingLevel4"/>
      <w:lvlText w:val="A%1.%2.%3.%4"/>
      <w:lvlJc w:val="left"/>
      <w:pPr>
        <w:ind w:left="851" w:hanging="851"/>
      </w:pPr>
      <w:rPr>
        <w:rFonts w:hint="default"/>
      </w:rPr>
    </w:lvl>
    <w:lvl w:ilvl="4">
      <w:start w:val="1"/>
      <w:numFmt w:val="decimal"/>
      <w:pStyle w:val="AppendixHeadingLevel5"/>
      <w:lvlText w:val="A%1.%2.%3.%4.%5"/>
      <w:lvlJc w:val="left"/>
      <w:pPr>
        <w:ind w:left="992"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BA47D3C"/>
    <w:multiLevelType w:val="hybridMultilevel"/>
    <w:tmpl w:val="95D8F4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414DB9"/>
    <w:multiLevelType w:val="hybridMultilevel"/>
    <w:tmpl w:val="CA8C0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4B7A84"/>
    <w:multiLevelType w:val="hybridMultilevel"/>
    <w:tmpl w:val="DD98A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2B681A"/>
    <w:multiLevelType w:val="hybridMultilevel"/>
    <w:tmpl w:val="FFD2C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7D16E3"/>
    <w:multiLevelType w:val="hybridMultilevel"/>
    <w:tmpl w:val="819A6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05549A"/>
    <w:multiLevelType w:val="hybridMultilevel"/>
    <w:tmpl w:val="9B72E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90F7523"/>
    <w:multiLevelType w:val="hybridMultilevel"/>
    <w:tmpl w:val="443AC3A8"/>
    <w:lvl w:ilvl="0" w:tplc="B88C753A">
      <w:start w:val="1"/>
      <w:numFmt w:val="bullet"/>
      <w:lvlText w:val=""/>
      <w:lvlJc w:val="left"/>
      <w:pPr>
        <w:ind w:left="720" w:hanging="360"/>
      </w:pPr>
      <w:rPr>
        <w:rFonts w:ascii="Symbol" w:hAnsi="Symbol"/>
      </w:rPr>
    </w:lvl>
    <w:lvl w:ilvl="1" w:tplc="C5EC7DE2">
      <w:start w:val="1"/>
      <w:numFmt w:val="bullet"/>
      <w:lvlText w:val=""/>
      <w:lvlJc w:val="left"/>
      <w:pPr>
        <w:ind w:left="720" w:hanging="360"/>
      </w:pPr>
      <w:rPr>
        <w:rFonts w:ascii="Symbol" w:hAnsi="Symbol"/>
      </w:rPr>
    </w:lvl>
    <w:lvl w:ilvl="2" w:tplc="B9DE2AC4">
      <w:start w:val="1"/>
      <w:numFmt w:val="bullet"/>
      <w:lvlText w:val=""/>
      <w:lvlJc w:val="left"/>
      <w:pPr>
        <w:ind w:left="720" w:hanging="360"/>
      </w:pPr>
      <w:rPr>
        <w:rFonts w:ascii="Symbol" w:hAnsi="Symbol"/>
      </w:rPr>
    </w:lvl>
    <w:lvl w:ilvl="3" w:tplc="F3720254">
      <w:start w:val="1"/>
      <w:numFmt w:val="bullet"/>
      <w:lvlText w:val=""/>
      <w:lvlJc w:val="left"/>
      <w:pPr>
        <w:ind w:left="720" w:hanging="360"/>
      </w:pPr>
      <w:rPr>
        <w:rFonts w:ascii="Symbol" w:hAnsi="Symbol"/>
      </w:rPr>
    </w:lvl>
    <w:lvl w:ilvl="4" w:tplc="BB58D9F0">
      <w:start w:val="1"/>
      <w:numFmt w:val="bullet"/>
      <w:lvlText w:val=""/>
      <w:lvlJc w:val="left"/>
      <w:pPr>
        <w:ind w:left="720" w:hanging="360"/>
      </w:pPr>
      <w:rPr>
        <w:rFonts w:ascii="Symbol" w:hAnsi="Symbol"/>
      </w:rPr>
    </w:lvl>
    <w:lvl w:ilvl="5" w:tplc="59185020">
      <w:start w:val="1"/>
      <w:numFmt w:val="bullet"/>
      <w:lvlText w:val=""/>
      <w:lvlJc w:val="left"/>
      <w:pPr>
        <w:ind w:left="720" w:hanging="360"/>
      </w:pPr>
      <w:rPr>
        <w:rFonts w:ascii="Symbol" w:hAnsi="Symbol"/>
      </w:rPr>
    </w:lvl>
    <w:lvl w:ilvl="6" w:tplc="5B288430">
      <w:start w:val="1"/>
      <w:numFmt w:val="bullet"/>
      <w:lvlText w:val=""/>
      <w:lvlJc w:val="left"/>
      <w:pPr>
        <w:ind w:left="720" w:hanging="360"/>
      </w:pPr>
      <w:rPr>
        <w:rFonts w:ascii="Symbol" w:hAnsi="Symbol"/>
      </w:rPr>
    </w:lvl>
    <w:lvl w:ilvl="7" w:tplc="B4303C42">
      <w:start w:val="1"/>
      <w:numFmt w:val="bullet"/>
      <w:lvlText w:val=""/>
      <w:lvlJc w:val="left"/>
      <w:pPr>
        <w:ind w:left="720" w:hanging="360"/>
      </w:pPr>
      <w:rPr>
        <w:rFonts w:ascii="Symbol" w:hAnsi="Symbol"/>
      </w:rPr>
    </w:lvl>
    <w:lvl w:ilvl="8" w:tplc="12D4A74E">
      <w:start w:val="1"/>
      <w:numFmt w:val="bullet"/>
      <w:lvlText w:val=""/>
      <w:lvlJc w:val="left"/>
      <w:pPr>
        <w:ind w:left="720" w:hanging="360"/>
      </w:pPr>
      <w:rPr>
        <w:rFonts w:ascii="Symbol" w:hAnsi="Symbol"/>
      </w:rPr>
    </w:lvl>
  </w:abstractNum>
  <w:abstractNum w:abstractNumId="35" w15:restartNumberingAfterBreak="0">
    <w:nsid w:val="7A0F67CD"/>
    <w:multiLevelType w:val="hybridMultilevel"/>
    <w:tmpl w:val="F5509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1550A5"/>
    <w:multiLevelType w:val="hybridMultilevel"/>
    <w:tmpl w:val="7F6A63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693087"/>
    <w:multiLevelType w:val="hybridMultilevel"/>
    <w:tmpl w:val="CCAEE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D72F77"/>
    <w:multiLevelType w:val="hybridMultilevel"/>
    <w:tmpl w:val="835A7698"/>
    <w:lvl w:ilvl="0" w:tplc="6DC8EB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4765999">
    <w:abstractNumId w:val="6"/>
  </w:num>
  <w:num w:numId="2" w16cid:durableId="1155143896">
    <w:abstractNumId w:val="1"/>
  </w:num>
  <w:num w:numId="3" w16cid:durableId="240992914">
    <w:abstractNumId w:val="8"/>
  </w:num>
  <w:num w:numId="4" w16cid:durableId="590041705">
    <w:abstractNumId w:val="17"/>
  </w:num>
  <w:num w:numId="5" w16cid:durableId="2046756992">
    <w:abstractNumId w:val="4"/>
  </w:num>
  <w:num w:numId="6" w16cid:durableId="316305133">
    <w:abstractNumId w:val="15"/>
  </w:num>
  <w:num w:numId="7" w16cid:durableId="691881931">
    <w:abstractNumId w:val="27"/>
  </w:num>
  <w:num w:numId="8" w16cid:durableId="300117091">
    <w:abstractNumId w:val="26"/>
  </w:num>
  <w:num w:numId="9" w16cid:durableId="1591817410">
    <w:abstractNumId w:val="23"/>
  </w:num>
  <w:num w:numId="10" w16cid:durableId="409499883">
    <w:abstractNumId w:val="21"/>
  </w:num>
  <w:num w:numId="11" w16cid:durableId="1269582110">
    <w:abstractNumId w:val="25"/>
  </w:num>
  <w:num w:numId="12" w16cid:durableId="518618530">
    <w:abstractNumId w:val="35"/>
  </w:num>
  <w:num w:numId="13" w16cid:durableId="1367560363">
    <w:abstractNumId w:val="0"/>
  </w:num>
  <w:num w:numId="14" w16cid:durableId="1540236791">
    <w:abstractNumId w:val="9"/>
  </w:num>
  <w:num w:numId="15" w16cid:durableId="1291664195">
    <w:abstractNumId w:val="29"/>
  </w:num>
  <w:num w:numId="16" w16cid:durableId="764420154">
    <w:abstractNumId w:val="19"/>
  </w:num>
  <w:num w:numId="17" w16cid:durableId="645159052">
    <w:abstractNumId w:val="7"/>
  </w:num>
  <w:num w:numId="18" w16cid:durableId="2067338672">
    <w:abstractNumId w:val="31"/>
  </w:num>
  <w:num w:numId="19" w16cid:durableId="676465812">
    <w:abstractNumId w:val="38"/>
  </w:num>
  <w:num w:numId="20" w16cid:durableId="614295152">
    <w:abstractNumId w:val="2"/>
  </w:num>
  <w:num w:numId="21" w16cid:durableId="1293514785">
    <w:abstractNumId w:val="22"/>
  </w:num>
  <w:num w:numId="22" w16cid:durableId="1350567230">
    <w:abstractNumId w:val="20"/>
  </w:num>
  <w:num w:numId="23" w16cid:durableId="440807409">
    <w:abstractNumId w:val="30"/>
  </w:num>
  <w:num w:numId="24" w16cid:durableId="1565487145">
    <w:abstractNumId w:val="18"/>
  </w:num>
  <w:num w:numId="25" w16cid:durableId="1913199318">
    <w:abstractNumId w:val="14"/>
  </w:num>
  <w:num w:numId="26" w16cid:durableId="837965666">
    <w:abstractNumId w:val="32"/>
  </w:num>
  <w:num w:numId="27" w16cid:durableId="2139839104">
    <w:abstractNumId w:val="13"/>
  </w:num>
  <w:num w:numId="28" w16cid:durableId="345793213">
    <w:abstractNumId w:val="36"/>
  </w:num>
  <w:num w:numId="29" w16cid:durableId="382949527">
    <w:abstractNumId w:val="33"/>
  </w:num>
  <w:num w:numId="30" w16cid:durableId="1241983469">
    <w:abstractNumId w:val="11"/>
  </w:num>
  <w:num w:numId="31" w16cid:durableId="933631794">
    <w:abstractNumId w:val="37"/>
  </w:num>
  <w:num w:numId="32" w16cid:durableId="2009358883">
    <w:abstractNumId w:val="3"/>
  </w:num>
  <w:num w:numId="33" w16cid:durableId="291441940">
    <w:abstractNumId w:val="28"/>
  </w:num>
  <w:num w:numId="34" w16cid:durableId="261959600">
    <w:abstractNumId w:val="16"/>
  </w:num>
  <w:num w:numId="35" w16cid:durableId="401946244">
    <w:abstractNumId w:val="10"/>
  </w:num>
  <w:num w:numId="36" w16cid:durableId="1724524207">
    <w:abstractNumId w:val="12"/>
  </w:num>
  <w:num w:numId="37" w16cid:durableId="847057080">
    <w:abstractNumId w:val="5"/>
  </w:num>
  <w:num w:numId="38" w16cid:durableId="2746009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337307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98719490">
    <w:abstractNumId w:val="1"/>
  </w:num>
  <w:num w:numId="41" w16cid:durableId="17836483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68702303">
    <w:abstractNumId w:val="1"/>
  </w:num>
  <w:num w:numId="43" w16cid:durableId="17004930">
    <w:abstractNumId w:val="34"/>
  </w:num>
  <w:num w:numId="44" w16cid:durableId="57900349">
    <w:abstractNumId w:val="24"/>
  </w:num>
  <w:num w:numId="45" w16cid:durableId="18314803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38712856">
    <w:abstractNumId w:val="1"/>
  </w:num>
  <w:num w:numId="47" w16cid:durableId="17350048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681ED78-0B8C-469F-82D6-6E1537F37DD3}"/>
    <w:docVar w:name="dgnword-eventsink" w:val="1057997880"/>
  </w:docVars>
  <w:rsids>
    <w:rsidRoot w:val="00B62026"/>
    <w:rsid w:val="000011DB"/>
    <w:rsid w:val="0000196F"/>
    <w:rsid w:val="00001D4C"/>
    <w:rsid w:val="00002A8B"/>
    <w:rsid w:val="00011FBD"/>
    <w:rsid w:val="000167C8"/>
    <w:rsid w:val="00020CD5"/>
    <w:rsid w:val="00023064"/>
    <w:rsid w:val="0002336F"/>
    <w:rsid w:val="00023BB5"/>
    <w:rsid w:val="00025A33"/>
    <w:rsid w:val="00027293"/>
    <w:rsid w:val="000274A9"/>
    <w:rsid w:val="000328A9"/>
    <w:rsid w:val="00032920"/>
    <w:rsid w:val="0003467F"/>
    <w:rsid w:val="00035193"/>
    <w:rsid w:val="000368B7"/>
    <w:rsid w:val="000401FC"/>
    <w:rsid w:val="00040D3D"/>
    <w:rsid w:val="00041107"/>
    <w:rsid w:val="0004185D"/>
    <w:rsid w:val="0004292F"/>
    <w:rsid w:val="00043172"/>
    <w:rsid w:val="00043B26"/>
    <w:rsid w:val="00045A97"/>
    <w:rsid w:val="00045EA2"/>
    <w:rsid w:val="00046DD0"/>
    <w:rsid w:val="000474BB"/>
    <w:rsid w:val="00047AE9"/>
    <w:rsid w:val="00052C2D"/>
    <w:rsid w:val="00054CEB"/>
    <w:rsid w:val="00055149"/>
    <w:rsid w:val="00056189"/>
    <w:rsid w:val="00057A35"/>
    <w:rsid w:val="00060321"/>
    <w:rsid w:val="000622A0"/>
    <w:rsid w:val="00062E5C"/>
    <w:rsid w:val="00063189"/>
    <w:rsid w:val="00064642"/>
    <w:rsid w:val="000649DB"/>
    <w:rsid w:val="00064FBC"/>
    <w:rsid w:val="00066509"/>
    <w:rsid w:val="00066D2B"/>
    <w:rsid w:val="00066E64"/>
    <w:rsid w:val="0007158F"/>
    <w:rsid w:val="00072378"/>
    <w:rsid w:val="000746C0"/>
    <w:rsid w:val="0007495C"/>
    <w:rsid w:val="00081ED5"/>
    <w:rsid w:val="000838BA"/>
    <w:rsid w:val="00084474"/>
    <w:rsid w:val="0008615C"/>
    <w:rsid w:val="00091F2C"/>
    <w:rsid w:val="00092BB1"/>
    <w:rsid w:val="0009346F"/>
    <w:rsid w:val="00095B11"/>
    <w:rsid w:val="00096CAA"/>
    <w:rsid w:val="00097120"/>
    <w:rsid w:val="00097A21"/>
    <w:rsid w:val="00097DD4"/>
    <w:rsid w:val="000A0866"/>
    <w:rsid w:val="000A2675"/>
    <w:rsid w:val="000A5E78"/>
    <w:rsid w:val="000A77CA"/>
    <w:rsid w:val="000B1563"/>
    <w:rsid w:val="000B1929"/>
    <w:rsid w:val="000B2100"/>
    <w:rsid w:val="000B4DFF"/>
    <w:rsid w:val="000B5F55"/>
    <w:rsid w:val="000C07D1"/>
    <w:rsid w:val="000C36FC"/>
    <w:rsid w:val="000C5719"/>
    <w:rsid w:val="000D1817"/>
    <w:rsid w:val="000D2181"/>
    <w:rsid w:val="000D437B"/>
    <w:rsid w:val="000D4ABE"/>
    <w:rsid w:val="000D4AE0"/>
    <w:rsid w:val="000D7B1A"/>
    <w:rsid w:val="000E025A"/>
    <w:rsid w:val="000E1B9E"/>
    <w:rsid w:val="000E4B00"/>
    <w:rsid w:val="000F10C9"/>
    <w:rsid w:val="000F221D"/>
    <w:rsid w:val="000F232F"/>
    <w:rsid w:val="000F5B81"/>
    <w:rsid w:val="000F6598"/>
    <w:rsid w:val="000F6FF2"/>
    <w:rsid w:val="000F7237"/>
    <w:rsid w:val="000F743B"/>
    <w:rsid w:val="001024EB"/>
    <w:rsid w:val="001040DE"/>
    <w:rsid w:val="0010470E"/>
    <w:rsid w:val="00104EC7"/>
    <w:rsid w:val="001056DD"/>
    <w:rsid w:val="00107FB2"/>
    <w:rsid w:val="00110CB8"/>
    <w:rsid w:val="00110D70"/>
    <w:rsid w:val="00112C77"/>
    <w:rsid w:val="00112F2C"/>
    <w:rsid w:val="00113083"/>
    <w:rsid w:val="0011399E"/>
    <w:rsid w:val="00113DAB"/>
    <w:rsid w:val="00116C9C"/>
    <w:rsid w:val="00117EE4"/>
    <w:rsid w:val="001227D5"/>
    <w:rsid w:val="00124245"/>
    <w:rsid w:val="00124F04"/>
    <w:rsid w:val="00126DCC"/>
    <w:rsid w:val="001277D3"/>
    <w:rsid w:val="001306D5"/>
    <w:rsid w:val="00130A79"/>
    <w:rsid w:val="00132715"/>
    <w:rsid w:val="00133903"/>
    <w:rsid w:val="00134BC0"/>
    <w:rsid w:val="0013502C"/>
    <w:rsid w:val="00135350"/>
    <w:rsid w:val="00136AD7"/>
    <w:rsid w:val="00136AF8"/>
    <w:rsid w:val="00136D00"/>
    <w:rsid w:val="00137E07"/>
    <w:rsid w:val="00137EA5"/>
    <w:rsid w:val="00141573"/>
    <w:rsid w:val="00142ECA"/>
    <w:rsid w:val="00147C3E"/>
    <w:rsid w:val="00150BEC"/>
    <w:rsid w:val="0015287A"/>
    <w:rsid w:val="001532BA"/>
    <w:rsid w:val="001561F5"/>
    <w:rsid w:val="001567F9"/>
    <w:rsid w:val="00156BC9"/>
    <w:rsid w:val="00160205"/>
    <w:rsid w:val="00162EBF"/>
    <w:rsid w:val="00163B77"/>
    <w:rsid w:val="00171FCF"/>
    <w:rsid w:val="0017260D"/>
    <w:rsid w:val="00172ADB"/>
    <w:rsid w:val="001753B8"/>
    <w:rsid w:val="0017749A"/>
    <w:rsid w:val="00183AD7"/>
    <w:rsid w:val="00184A1A"/>
    <w:rsid w:val="00187DCD"/>
    <w:rsid w:val="0019351C"/>
    <w:rsid w:val="001942C9"/>
    <w:rsid w:val="001944A3"/>
    <w:rsid w:val="001946DE"/>
    <w:rsid w:val="00194E7D"/>
    <w:rsid w:val="001A079C"/>
    <w:rsid w:val="001A1263"/>
    <w:rsid w:val="001A1E70"/>
    <w:rsid w:val="001A229B"/>
    <w:rsid w:val="001A2668"/>
    <w:rsid w:val="001A2719"/>
    <w:rsid w:val="001A4678"/>
    <w:rsid w:val="001A5C38"/>
    <w:rsid w:val="001B0662"/>
    <w:rsid w:val="001B1936"/>
    <w:rsid w:val="001B1B0C"/>
    <w:rsid w:val="001B1FE6"/>
    <w:rsid w:val="001B7813"/>
    <w:rsid w:val="001C0CB7"/>
    <w:rsid w:val="001C447A"/>
    <w:rsid w:val="001C790A"/>
    <w:rsid w:val="001D1B31"/>
    <w:rsid w:val="001D5B39"/>
    <w:rsid w:val="001D61FF"/>
    <w:rsid w:val="001E15D9"/>
    <w:rsid w:val="001E2904"/>
    <w:rsid w:val="001E2E02"/>
    <w:rsid w:val="001E42E4"/>
    <w:rsid w:val="001E45AC"/>
    <w:rsid w:val="001E50C8"/>
    <w:rsid w:val="001E54DD"/>
    <w:rsid w:val="001E5CA5"/>
    <w:rsid w:val="001E5CD7"/>
    <w:rsid w:val="001E6742"/>
    <w:rsid w:val="001E6BB6"/>
    <w:rsid w:val="001E71A8"/>
    <w:rsid w:val="001E7CB6"/>
    <w:rsid w:val="001F1BB1"/>
    <w:rsid w:val="001F1D20"/>
    <w:rsid w:val="001F33C2"/>
    <w:rsid w:val="001F3924"/>
    <w:rsid w:val="001F3A8F"/>
    <w:rsid w:val="001F49C7"/>
    <w:rsid w:val="001F7243"/>
    <w:rsid w:val="00201B0B"/>
    <w:rsid w:val="00203153"/>
    <w:rsid w:val="002073F6"/>
    <w:rsid w:val="00210E33"/>
    <w:rsid w:val="0021244C"/>
    <w:rsid w:val="00216629"/>
    <w:rsid w:val="00216B5A"/>
    <w:rsid w:val="00221724"/>
    <w:rsid w:val="00221A21"/>
    <w:rsid w:val="002222F7"/>
    <w:rsid w:val="00222397"/>
    <w:rsid w:val="0022286D"/>
    <w:rsid w:val="00222EB9"/>
    <w:rsid w:val="00225B62"/>
    <w:rsid w:val="00233DAC"/>
    <w:rsid w:val="002410BF"/>
    <w:rsid w:val="00242041"/>
    <w:rsid w:val="00242679"/>
    <w:rsid w:val="002426C3"/>
    <w:rsid w:val="0024324C"/>
    <w:rsid w:val="0024594B"/>
    <w:rsid w:val="00245CC9"/>
    <w:rsid w:val="00246F3F"/>
    <w:rsid w:val="00251E2E"/>
    <w:rsid w:val="0025357F"/>
    <w:rsid w:val="002539EC"/>
    <w:rsid w:val="0025560B"/>
    <w:rsid w:val="0025582B"/>
    <w:rsid w:val="0025755B"/>
    <w:rsid w:val="0026007C"/>
    <w:rsid w:val="00260864"/>
    <w:rsid w:val="00263149"/>
    <w:rsid w:val="002631DA"/>
    <w:rsid w:val="00264200"/>
    <w:rsid w:val="00265B82"/>
    <w:rsid w:val="00270252"/>
    <w:rsid w:val="00270BEF"/>
    <w:rsid w:val="00272B41"/>
    <w:rsid w:val="002762AF"/>
    <w:rsid w:val="00276D9E"/>
    <w:rsid w:val="00276DD4"/>
    <w:rsid w:val="00281686"/>
    <w:rsid w:val="00281703"/>
    <w:rsid w:val="0028295E"/>
    <w:rsid w:val="00284200"/>
    <w:rsid w:val="00285945"/>
    <w:rsid w:val="00285A5F"/>
    <w:rsid w:val="00286548"/>
    <w:rsid w:val="00296079"/>
    <w:rsid w:val="00297410"/>
    <w:rsid w:val="002A00A7"/>
    <w:rsid w:val="002A11D6"/>
    <w:rsid w:val="002A30FC"/>
    <w:rsid w:val="002A43F1"/>
    <w:rsid w:val="002A5980"/>
    <w:rsid w:val="002A6057"/>
    <w:rsid w:val="002A631B"/>
    <w:rsid w:val="002A6651"/>
    <w:rsid w:val="002A682D"/>
    <w:rsid w:val="002A779C"/>
    <w:rsid w:val="002B0A7A"/>
    <w:rsid w:val="002B19D4"/>
    <w:rsid w:val="002B3053"/>
    <w:rsid w:val="002B3278"/>
    <w:rsid w:val="002B35CB"/>
    <w:rsid w:val="002B37E9"/>
    <w:rsid w:val="002C019A"/>
    <w:rsid w:val="002C195F"/>
    <w:rsid w:val="002C2E0D"/>
    <w:rsid w:val="002D1735"/>
    <w:rsid w:val="002D17DD"/>
    <w:rsid w:val="002D1919"/>
    <w:rsid w:val="002D1F2B"/>
    <w:rsid w:val="002D2CC6"/>
    <w:rsid w:val="002D2E2F"/>
    <w:rsid w:val="002D3ECF"/>
    <w:rsid w:val="002D4829"/>
    <w:rsid w:val="002D7BA3"/>
    <w:rsid w:val="002E6ACA"/>
    <w:rsid w:val="002F0421"/>
    <w:rsid w:val="002F205C"/>
    <w:rsid w:val="002F3A37"/>
    <w:rsid w:val="002F4127"/>
    <w:rsid w:val="002F48A2"/>
    <w:rsid w:val="002F4BA3"/>
    <w:rsid w:val="002F715A"/>
    <w:rsid w:val="002F7E8C"/>
    <w:rsid w:val="003022FA"/>
    <w:rsid w:val="00302645"/>
    <w:rsid w:val="003075BA"/>
    <w:rsid w:val="0031061E"/>
    <w:rsid w:val="003131AE"/>
    <w:rsid w:val="00314054"/>
    <w:rsid w:val="0031637F"/>
    <w:rsid w:val="00316C67"/>
    <w:rsid w:val="00316F48"/>
    <w:rsid w:val="003224D7"/>
    <w:rsid w:val="003249FC"/>
    <w:rsid w:val="00325EBB"/>
    <w:rsid w:val="00326945"/>
    <w:rsid w:val="0032713B"/>
    <w:rsid w:val="00327195"/>
    <w:rsid w:val="00327676"/>
    <w:rsid w:val="00333331"/>
    <w:rsid w:val="00333A2D"/>
    <w:rsid w:val="0033486C"/>
    <w:rsid w:val="00335518"/>
    <w:rsid w:val="0033566C"/>
    <w:rsid w:val="00335C98"/>
    <w:rsid w:val="0034078F"/>
    <w:rsid w:val="00340BAF"/>
    <w:rsid w:val="00345056"/>
    <w:rsid w:val="0035026F"/>
    <w:rsid w:val="00350F67"/>
    <w:rsid w:val="00352335"/>
    <w:rsid w:val="00353E79"/>
    <w:rsid w:val="00353E84"/>
    <w:rsid w:val="0035550A"/>
    <w:rsid w:val="00356398"/>
    <w:rsid w:val="003576EC"/>
    <w:rsid w:val="00361815"/>
    <w:rsid w:val="00363E75"/>
    <w:rsid w:val="00364F28"/>
    <w:rsid w:val="00365A6A"/>
    <w:rsid w:val="0036770F"/>
    <w:rsid w:val="003709C7"/>
    <w:rsid w:val="003710C3"/>
    <w:rsid w:val="00371761"/>
    <w:rsid w:val="0037316F"/>
    <w:rsid w:val="003739ED"/>
    <w:rsid w:val="00375337"/>
    <w:rsid w:val="00380CEC"/>
    <w:rsid w:val="00380E46"/>
    <w:rsid w:val="00385145"/>
    <w:rsid w:val="003858CC"/>
    <w:rsid w:val="00386A62"/>
    <w:rsid w:val="00390427"/>
    <w:rsid w:val="003916DA"/>
    <w:rsid w:val="0039186D"/>
    <w:rsid w:val="00393148"/>
    <w:rsid w:val="00395446"/>
    <w:rsid w:val="003A0DC0"/>
    <w:rsid w:val="003A1675"/>
    <w:rsid w:val="003A3733"/>
    <w:rsid w:val="003A692E"/>
    <w:rsid w:val="003A6CCA"/>
    <w:rsid w:val="003A77B6"/>
    <w:rsid w:val="003B3964"/>
    <w:rsid w:val="003B58F6"/>
    <w:rsid w:val="003B7197"/>
    <w:rsid w:val="003B7499"/>
    <w:rsid w:val="003B7C68"/>
    <w:rsid w:val="003C0240"/>
    <w:rsid w:val="003C0470"/>
    <w:rsid w:val="003C1DE0"/>
    <w:rsid w:val="003C2A9B"/>
    <w:rsid w:val="003C2B21"/>
    <w:rsid w:val="003C70A8"/>
    <w:rsid w:val="003C75CF"/>
    <w:rsid w:val="003C7EA2"/>
    <w:rsid w:val="003D07A9"/>
    <w:rsid w:val="003D1C63"/>
    <w:rsid w:val="003D32B7"/>
    <w:rsid w:val="003D4E32"/>
    <w:rsid w:val="003D53EC"/>
    <w:rsid w:val="003D600A"/>
    <w:rsid w:val="003D67ED"/>
    <w:rsid w:val="003D6F43"/>
    <w:rsid w:val="003D703C"/>
    <w:rsid w:val="003D7398"/>
    <w:rsid w:val="003E1AD7"/>
    <w:rsid w:val="003E2501"/>
    <w:rsid w:val="003E4B3D"/>
    <w:rsid w:val="003E52A6"/>
    <w:rsid w:val="003E5FBC"/>
    <w:rsid w:val="003E616B"/>
    <w:rsid w:val="003E756D"/>
    <w:rsid w:val="003F05C4"/>
    <w:rsid w:val="003F0BC5"/>
    <w:rsid w:val="004018F4"/>
    <w:rsid w:val="004036BD"/>
    <w:rsid w:val="00406CA1"/>
    <w:rsid w:val="00407CF8"/>
    <w:rsid w:val="004118E8"/>
    <w:rsid w:val="00414528"/>
    <w:rsid w:val="0041505C"/>
    <w:rsid w:val="004156B4"/>
    <w:rsid w:val="004218B0"/>
    <w:rsid w:val="00425B09"/>
    <w:rsid w:val="00426691"/>
    <w:rsid w:val="004277A5"/>
    <w:rsid w:val="00431DE3"/>
    <w:rsid w:val="00431F81"/>
    <w:rsid w:val="00434366"/>
    <w:rsid w:val="0043464F"/>
    <w:rsid w:val="004356D0"/>
    <w:rsid w:val="0044086D"/>
    <w:rsid w:val="00440876"/>
    <w:rsid w:val="00440EA5"/>
    <w:rsid w:val="004428AA"/>
    <w:rsid w:val="00443933"/>
    <w:rsid w:val="00443C29"/>
    <w:rsid w:val="00444FED"/>
    <w:rsid w:val="00445DD2"/>
    <w:rsid w:val="00447C45"/>
    <w:rsid w:val="00447EA2"/>
    <w:rsid w:val="004517B3"/>
    <w:rsid w:val="004521D3"/>
    <w:rsid w:val="00452301"/>
    <w:rsid w:val="004536D7"/>
    <w:rsid w:val="00454B82"/>
    <w:rsid w:val="004564F0"/>
    <w:rsid w:val="00457CCB"/>
    <w:rsid w:val="00457E9B"/>
    <w:rsid w:val="004605E8"/>
    <w:rsid w:val="00466EEE"/>
    <w:rsid w:val="00472BD1"/>
    <w:rsid w:val="004751A8"/>
    <w:rsid w:val="0047597D"/>
    <w:rsid w:val="004803B5"/>
    <w:rsid w:val="004803F6"/>
    <w:rsid w:val="004811CD"/>
    <w:rsid w:val="00481C86"/>
    <w:rsid w:val="00481E8F"/>
    <w:rsid w:val="00482905"/>
    <w:rsid w:val="00484970"/>
    <w:rsid w:val="004858DB"/>
    <w:rsid w:val="00485AAE"/>
    <w:rsid w:val="0048610B"/>
    <w:rsid w:val="004873B2"/>
    <w:rsid w:val="004914DB"/>
    <w:rsid w:val="004928F6"/>
    <w:rsid w:val="0049434B"/>
    <w:rsid w:val="00494382"/>
    <w:rsid w:val="0049543E"/>
    <w:rsid w:val="00496372"/>
    <w:rsid w:val="004A23BE"/>
    <w:rsid w:val="004A3BE8"/>
    <w:rsid w:val="004A5909"/>
    <w:rsid w:val="004A7663"/>
    <w:rsid w:val="004B0ECC"/>
    <w:rsid w:val="004B10C3"/>
    <w:rsid w:val="004B1943"/>
    <w:rsid w:val="004B1A96"/>
    <w:rsid w:val="004B5708"/>
    <w:rsid w:val="004B5C15"/>
    <w:rsid w:val="004B621C"/>
    <w:rsid w:val="004C00C5"/>
    <w:rsid w:val="004C0143"/>
    <w:rsid w:val="004C304A"/>
    <w:rsid w:val="004C4568"/>
    <w:rsid w:val="004C53C3"/>
    <w:rsid w:val="004C5739"/>
    <w:rsid w:val="004C5F0B"/>
    <w:rsid w:val="004D1276"/>
    <w:rsid w:val="004D1C7F"/>
    <w:rsid w:val="004D3CAA"/>
    <w:rsid w:val="004D3EFB"/>
    <w:rsid w:val="004D4CD9"/>
    <w:rsid w:val="004D52C0"/>
    <w:rsid w:val="004D6145"/>
    <w:rsid w:val="004E1119"/>
    <w:rsid w:val="004E160F"/>
    <w:rsid w:val="004E1DA7"/>
    <w:rsid w:val="004E2037"/>
    <w:rsid w:val="004E51CE"/>
    <w:rsid w:val="004E5490"/>
    <w:rsid w:val="004E5C78"/>
    <w:rsid w:val="004E6CD5"/>
    <w:rsid w:val="004F07E1"/>
    <w:rsid w:val="004F2B51"/>
    <w:rsid w:val="004F2C97"/>
    <w:rsid w:val="004F3BDA"/>
    <w:rsid w:val="004F50E2"/>
    <w:rsid w:val="004F5923"/>
    <w:rsid w:val="004F64B2"/>
    <w:rsid w:val="004F6B94"/>
    <w:rsid w:val="005017F3"/>
    <w:rsid w:val="00501FA5"/>
    <w:rsid w:val="0050293F"/>
    <w:rsid w:val="00503E7C"/>
    <w:rsid w:val="005063EE"/>
    <w:rsid w:val="00510328"/>
    <w:rsid w:val="00511130"/>
    <w:rsid w:val="0051126E"/>
    <w:rsid w:val="005125E8"/>
    <w:rsid w:val="00515123"/>
    <w:rsid w:val="00522CF1"/>
    <w:rsid w:val="00524677"/>
    <w:rsid w:val="00524800"/>
    <w:rsid w:val="00526DAA"/>
    <w:rsid w:val="0052723C"/>
    <w:rsid w:val="005308FD"/>
    <w:rsid w:val="00531D5C"/>
    <w:rsid w:val="00532C6D"/>
    <w:rsid w:val="00535BB3"/>
    <w:rsid w:val="00535DB0"/>
    <w:rsid w:val="0054293F"/>
    <w:rsid w:val="005433DF"/>
    <w:rsid w:val="005434E9"/>
    <w:rsid w:val="00544531"/>
    <w:rsid w:val="00544F3D"/>
    <w:rsid w:val="0054529A"/>
    <w:rsid w:val="00546C4D"/>
    <w:rsid w:val="0054798B"/>
    <w:rsid w:val="00547E17"/>
    <w:rsid w:val="00550590"/>
    <w:rsid w:val="00551403"/>
    <w:rsid w:val="00551FEE"/>
    <w:rsid w:val="00553FA1"/>
    <w:rsid w:val="005547FA"/>
    <w:rsid w:val="005558DF"/>
    <w:rsid w:val="0056232D"/>
    <w:rsid w:val="00562D2F"/>
    <w:rsid w:val="00562D4D"/>
    <w:rsid w:val="005632CB"/>
    <w:rsid w:val="00564D30"/>
    <w:rsid w:val="00570C5E"/>
    <w:rsid w:val="005714CC"/>
    <w:rsid w:val="005730A8"/>
    <w:rsid w:val="005738E8"/>
    <w:rsid w:val="00573E1A"/>
    <w:rsid w:val="00576530"/>
    <w:rsid w:val="00576628"/>
    <w:rsid w:val="00577B14"/>
    <w:rsid w:val="0058054E"/>
    <w:rsid w:val="0058099E"/>
    <w:rsid w:val="005822F7"/>
    <w:rsid w:val="005830F2"/>
    <w:rsid w:val="00583543"/>
    <w:rsid w:val="00584FE3"/>
    <w:rsid w:val="005902E1"/>
    <w:rsid w:val="00590F2E"/>
    <w:rsid w:val="00592BBE"/>
    <w:rsid w:val="0059425B"/>
    <w:rsid w:val="005A2C2C"/>
    <w:rsid w:val="005A3726"/>
    <w:rsid w:val="005A5A14"/>
    <w:rsid w:val="005B0991"/>
    <w:rsid w:val="005B27BB"/>
    <w:rsid w:val="005B5244"/>
    <w:rsid w:val="005B7567"/>
    <w:rsid w:val="005C02AF"/>
    <w:rsid w:val="005C0AC1"/>
    <w:rsid w:val="005C0BE7"/>
    <w:rsid w:val="005C0D47"/>
    <w:rsid w:val="005C6EA8"/>
    <w:rsid w:val="005D10B7"/>
    <w:rsid w:val="005D1FE6"/>
    <w:rsid w:val="005D2317"/>
    <w:rsid w:val="005D3989"/>
    <w:rsid w:val="005D67FC"/>
    <w:rsid w:val="005D701D"/>
    <w:rsid w:val="005E1260"/>
    <w:rsid w:val="005E134F"/>
    <w:rsid w:val="005E36C8"/>
    <w:rsid w:val="005E41D5"/>
    <w:rsid w:val="005E6C17"/>
    <w:rsid w:val="005F06D8"/>
    <w:rsid w:val="005F1A1A"/>
    <w:rsid w:val="005F36AC"/>
    <w:rsid w:val="005F5CF7"/>
    <w:rsid w:val="005F6765"/>
    <w:rsid w:val="005F6A5E"/>
    <w:rsid w:val="005F7425"/>
    <w:rsid w:val="005F7A66"/>
    <w:rsid w:val="00601774"/>
    <w:rsid w:val="0060279F"/>
    <w:rsid w:val="00604815"/>
    <w:rsid w:val="00606BF8"/>
    <w:rsid w:val="0060709B"/>
    <w:rsid w:val="00607A09"/>
    <w:rsid w:val="00607C5D"/>
    <w:rsid w:val="0062063D"/>
    <w:rsid w:val="00621B1D"/>
    <w:rsid w:val="00622D76"/>
    <w:rsid w:val="0062382C"/>
    <w:rsid w:val="00630563"/>
    <w:rsid w:val="006328EE"/>
    <w:rsid w:val="00633FC6"/>
    <w:rsid w:val="006369C1"/>
    <w:rsid w:val="00636E22"/>
    <w:rsid w:val="0064167C"/>
    <w:rsid w:val="0064178C"/>
    <w:rsid w:val="00646FF1"/>
    <w:rsid w:val="0064725F"/>
    <w:rsid w:val="00653E3C"/>
    <w:rsid w:val="006560F7"/>
    <w:rsid w:val="006604D8"/>
    <w:rsid w:val="00662540"/>
    <w:rsid w:val="0066279B"/>
    <w:rsid w:val="00662E0F"/>
    <w:rsid w:val="00663516"/>
    <w:rsid w:val="00664EF5"/>
    <w:rsid w:val="00664F26"/>
    <w:rsid w:val="00666EC4"/>
    <w:rsid w:val="00670C60"/>
    <w:rsid w:val="00673BC3"/>
    <w:rsid w:val="00674025"/>
    <w:rsid w:val="00674969"/>
    <w:rsid w:val="00681644"/>
    <w:rsid w:val="00682054"/>
    <w:rsid w:val="00683331"/>
    <w:rsid w:val="006840A2"/>
    <w:rsid w:val="00684B99"/>
    <w:rsid w:val="006870F0"/>
    <w:rsid w:val="006917A3"/>
    <w:rsid w:val="00692B48"/>
    <w:rsid w:val="00694623"/>
    <w:rsid w:val="00695E17"/>
    <w:rsid w:val="00697FC8"/>
    <w:rsid w:val="006A12CF"/>
    <w:rsid w:val="006A1BB4"/>
    <w:rsid w:val="006A21EA"/>
    <w:rsid w:val="006A7C3E"/>
    <w:rsid w:val="006B1C16"/>
    <w:rsid w:val="006B2372"/>
    <w:rsid w:val="006B3879"/>
    <w:rsid w:val="006B484C"/>
    <w:rsid w:val="006B4B7D"/>
    <w:rsid w:val="006B5E27"/>
    <w:rsid w:val="006C4050"/>
    <w:rsid w:val="006C42CD"/>
    <w:rsid w:val="006C58DD"/>
    <w:rsid w:val="006C740B"/>
    <w:rsid w:val="006D1025"/>
    <w:rsid w:val="006D5E1B"/>
    <w:rsid w:val="006D603A"/>
    <w:rsid w:val="006E19FA"/>
    <w:rsid w:val="006E277E"/>
    <w:rsid w:val="006E28B5"/>
    <w:rsid w:val="006E612F"/>
    <w:rsid w:val="006E7A18"/>
    <w:rsid w:val="006F01B2"/>
    <w:rsid w:val="006F02B1"/>
    <w:rsid w:val="006F06B0"/>
    <w:rsid w:val="006F1452"/>
    <w:rsid w:val="006F5009"/>
    <w:rsid w:val="006F5233"/>
    <w:rsid w:val="006F66A8"/>
    <w:rsid w:val="007016B3"/>
    <w:rsid w:val="00701B48"/>
    <w:rsid w:val="007025BC"/>
    <w:rsid w:val="00703481"/>
    <w:rsid w:val="00703519"/>
    <w:rsid w:val="00703E08"/>
    <w:rsid w:val="00704723"/>
    <w:rsid w:val="00707BA3"/>
    <w:rsid w:val="0071090B"/>
    <w:rsid w:val="0071236F"/>
    <w:rsid w:val="00721022"/>
    <w:rsid w:val="00721E07"/>
    <w:rsid w:val="00721EC1"/>
    <w:rsid w:val="00724BA2"/>
    <w:rsid w:val="00724C73"/>
    <w:rsid w:val="00726F71"/>
    <w:rsid w:val="0072714F"/>
    <w:rsid w:val="00727F8A"/>
    <w:rsid w:val="0073148D"/>
    <w:rsid w:val="00731576"/>
    <w:rsid w:val="00732006"/>
    <w:rsid w:val="00733237"/>
    <w:rsid w:val="00734493"/>
    <w:rsid w:val="007348F7"/>
    <w:rsid w:val="00736421"/>
    <w:rsid w:val="00737A8C"/>
    <w:rsid w:val="00737D33"/>
    <w:rsid w:val="00741C46"/>
    <w:rsid w:val="0074297F"/>
    <w:rsid w:val="00743802"/>
    <w:rsid w:val="007448E2"/>
    <w:rsid w:val="00744A7F"/>
    <w:rsid w:val="007454CD"/>
    <w:rsid w:val="00745D22"/>
    <w:rsid w:val="0074797C"/>
    <w:rsid w:val="00752B76"/>
    <w:rsid w:val="00752DA1"/>
    <w:rsid w:val="00754E9A"/>
    <w:rsid w:val="00755373"/>
    <w:rsid w:val="0075565E"/>
    <w:rsid w:val="007567D9"/>
    <w:rsid w:val="00756960"/>
    <w:rsid w:val="00757993"/>
    <w:rsid w:val="00761DA3"/>
    <w:rsid w:val="00764E68"/>
    <w:rsid w:val="00767500"/>
    <w:rsid w:val="007714D0"/>
    <w:rsid w:val="007718A8"/>
    <w:rsid w:val="00771C24"/>
    <w:rsid w:val="00774BC6"/>
    <w:rsid w:val="00776935"/>
    <w:rsid w:val="007800D9"/>
    <w:rsid w:val="0078068D"/>
    <w:rsid w:val="0078162F"/>
    <w:rsid w:val="007853C6"/>
    <w:rsid w:val="00786213"/>
    <w:rsid w:val="007868F0"/>
    <w:rsid w:val="00786E5F"/>
    <w:rsid w:val="007906C2"/>
    <w:rsid w:val="007913DB"/>
    <w:rsid w:val="00792214"/>
    <w:rsid w:val="00792C71"/>
    <w:rsid w:val="00793462"/>
    <w:rsid w:val="00794D26"/>
    <w:rsid w:val="00794E6A"/>
    <w:rsid w:val="007978E5"/>
    <w:rsid w:val="007A0AA2"/>
    <w:rsid w:val="007A2DEC"/>
    <w:rsid w:val="007A74FA"/>
    <w:rsid w:val="007B04FC"/>
    <w:rsid w:val="007B0FF1"/>
    <w:rsid w:val="007B2F3E"/>
    <w:rsid w:val="007B72F5"/>
    <w:rsid w:val="007C0A2C"/>
    <w:rsid w:val="007C1303"/>
    <w:rsid w:val="007C653F"/>
    <w:rsid w:val="007D0401"/>
    <w:rsid w:val="007D072B"/>
    <w:rsid w:val="007D1962"/>
    <w:rsid w:val="007D26A9"/>
    <w:rsid w:val="007D53D2"/>
    <w:rsid w:val="007D5709"/>
    <w:rsid w:val="007D6EE1"/>
    <w:rsid w:val="007D78DD"/>
    <w:rsid w:val="007E5190"/>
    <w:rsid w:val="007E61A1"/>
    <w:rsid w:val="007E7B06"/>
    <w:rsid w:val="007E7F57"/>
    <w:rsid w:val="007F10B5"/>
    <w:rsid w:val="007F2070"/>
    <w:rsid w:val="007F2791"/>
    <w:rsid w:val="007F32F4"/>
    <w:rsid w:val="007F3E1C"/>
    <w:rsid w:val="007F4C96"/>
    <w:rsid w:val="007F5F1D"/>
    <w:rsid w:val="007F695C"/>
    <w:rsid w:val="008035D8"/>
    <w:rsid w:val="008041A8"/>
    <w:rsid w:val="0080652B"/>
    <w:rsid w:val="008071E9"/>
    <w:rsid w:val="00812C5B"/>
    <w:rsid w:val="00815087"/>
    <w:rsid w:val="00815A6D"/>
    <w:rsid w:val="0081673A"/>
    <w:rsid w:val="008224B8"/>
    <w:rsid w:val="00822C12"/>
    <w:rsid w:val="00822D23"/>
    <w:rsid w:val="00823450"/>
    <w:rsid w:val="008240FA"/>
    <w:rsid w:val="00825E49"/>
    <w:rsid w:val="00827918"/>
    <w:rsid w:val="00830BC6"/>
    <w:rsid w:val="0083133F"/>
    <w:rsid w:val="0083440F"/>
    <w:rsid w:val="00835049"/>
    <w:rsid w:val="00835D43"/>
    <w:rsid w:val="00835D4C"/>
    <w:rsid w:val="00836657"/>
    <w:rsid w:val="00837430"/>
    <w:rsid w:val="008406E5"/>
    <w:rsid w:val="008428E6"/>
    <w:rsid w:val="0084301A"/>
    <w:rsid w:val="00845868"/>
    <w:rsid w:val="008458C8"/>
    <w:rsid w:val="008464CA"/>
    <w:rsid w:val="00846FA4"/>
    <w:rsid w:val="008502A6"/>
    <w:rsid w:val="00850589"/>
    <w:rsid w:val="00851AA3"/>
    <w:rsid w:val="00852F3F"/>
    <w:rsid w:val="008537F8"/>
    <w:rsid w:val="00853AA6"/>
    <w:rsid w:val="0085499A"/>
    <w:rsid w:val="00855B29"/>
    <w:rsid w:val="008574FD"/>
    <w:rsid w:val="00860F6C"/>
    <w:rsid w:val="00861670"/>
    <w:rsid w:val="0086212B"/>
    <w:rsid w:val="00862BB0"/>
    <w:rsid w:val="0086326E"/>
    <w:rsid w:val="00864926"/>
    <w:rsid w:val="00865146"/>
    <w:rsid w:val="00867B94"/>
    <w:rsid w:val="00870DC7"/>
    <w:rsid w:val="0087261C"/>
    <w:rsid w:val="00872DE5"/>
    <w:rsid w:val="00872E02"/>
    <w:rsid w:val="0087387C"/>
    <w:rsid w:val="008808FF"/>
    <w:rsid w:val="008827BD"/>
    <w:rsid w:val="00882AA5"/>
    <w:rsid w:val="008838E8"/>
    <w:rsid w:val="00884180"/>
    <w:rsid w:val="00884DC4"/>
    <w:rsid w:val="00886CDF"/>
    <w:rsid w:val="00887BEF"/>
    <w:rsid w:val="00891219"/>
    <w:rsid w:val="00892AF5"/>
    <w:rsid w:val="008943EB"/>
    <w:rsid w:val="008945C9"/>
    <w:rsid w:val="008966AC"/>
    <w:rsid w:val="008973D9"/>
    <w:rsid w:val="008A0798"/>
    <w:rsid w:val="008A2596"/>
    <w:rsid w:val="008A3CFB"/>
    <w:rsid w:val="008A3F3E"/>
    <w:rsid w:val="008A4EBF"/>
    <w:rsid w:val="008A6852"/>
    <w:rsid w:val="008B1B2D"/>
    <w:rsid w:val="008B2790"/>
    <w:rsid w:val="008B37EC"/>
    <w:rsid w:val="008B513F"/>
    <w:rsid w:val="008B613F"/>
    <w:rsid w:val="008C4BBC"/>
    <w:rsid w:val="008C5F58"/>
    <w:rsid w:val="008D015A"/>
    <w:rsid w:val="008D0B93"/>
    <w:rsid w:val="008D114D"/>
    <w:rsid w:val="008D189F"/>
    <w:rsid w:val="008D232D"/>
    <w:rsid w:val="008D29E1"/>
    <w:rsid w:val="008D42EB"/>
    <w:rsid w:val="008D48EB"/>
    <w:rsid w:val="008D6C8E"/>
    <w:rsid w:val="008D7D59"/>
    <w:rsid w:val="008E3DE7"/>
    <w:rsid w:val="008E438F"/>
    <w:rsid w:val="008E4450"/>
    <w:rsid w:val="008E4A31"/>
    <w:rsid w:val="008E582E"/>
    <w:rsid w:val="008E7047"/>
    <w:rsid w:val="008F1796"/>
    <w:rsid w:val="008F38AD"/>
    <w:rsid w:val="008F403C"/>
    <w:rsid w:val="008F5B95"/>
    <w:rsid w:val="009010EE"/>
    <w:rsid w:val="009017EA"/>
    <w:rsid w:val="009021D2"/>
    <w:rsid w:val="0090339C"/>
    <w:rsid w:val="00904DBA"/>
    <w:rsid w:val="00904EFC"/>
    <w:rsid w:val="00905059"/>
    <w:rsid w:val="00905361"/>
    <w:rsid w:val="00905372"/>
    <w:rsid w:val="00905B9A"/>
    <w:rsid w:val="00906D23"/>
    <w:rsid w:val="0090797E"/>
    <w:rsid w:val="00907A64"/>
    <w:rsid w:val="009102A6"/>
    <w:rsid w:val="0091054A"/>
    <w:rsid w:val="0091108D"/>
    <w:rsid w:val="009120C5"/>
    <w:rsid w:val="009125A8"/>
    <w:rsid w:val="0091292C"/>
    <w:rsid w:val="00912D26"/>
    <w:rsid w:val="00913938"/>
    <w:rsid w:val="00915943"/>
    <w:rsid w:val="00916517"/>
    <w:rsid w:val="00916A3B"/>
    <w:rsid w:val="00917BE5"/>
    <w:rsid w:val="00920C45"/>
    <w:rsid w:val="009215CB"/>
    <w:rsid w:val="00921E64"/>
    <w:rsid w:val="00922856"/>
    <w:rsid w:val="00922AA3"/>
    <w:rsid w:val="009230AB"/>
    <w:rsid w:val="00924359"/>
    <w:rsid w:val="00926F10"/>
    <w:rsid w:val="00931A77"/>
    <w:rsid w:val="00932F0B"/>
    <w:rsid w:val="009342A1"/>
    <w:rsid w:val="009343FA"/>
    <w:rsid w:val="00934E85"/>
    <w:rsid w:val="00937ABA"/>
    <w:rsid w:val="00937CC1"/>
    <w:rsid w:val="00937F24"/>
    <w:rsid w:val="009410DA"/>
    <w:rsid w:val="00943330"/>
    <w:rsid w:val="0094452C"/>
    <w:rsid w:val="00944698"/>
    <w:rsid w:val="00944D31"/>
    <w:rsid w:val="009452FD"/>
    <w:rsid w:val="009477F9"/>
    <w:rsid w:val="00951BE5"/>
    <w:rsid w:val="00953147"/>
    <w:rsid w:val="00953487"/>
    <w:rsid w:val="009540FD"/>
    <w:rsid w:val="009565B7"/>
    <w:rsid w:val="009567A9"/>
    <w:rsid w:val="00957956"/>
    <w:rsid w:val="00965194"/>
    <w:rsid w:val="009666C1"/>
    <w:rsid w:val="00972920"/>
    <w:rsid w:val="0097723E"/>
    <w:rsid w:val="00977590"/>
    <w:rsid w:val="00982469"/>
    <w:rsid w:val="009825D8"/>
    <w:rsid w:val="00990CA4"/>
    <w:rsid w:val="0099239B"/>
    <w:rsid w:val="00993D7A"/>
    <w:rsid w:val="00995F1A"/>
    <w:rsid w:val="009A1D72"/>
    <w:rsid w:val="009A36F4"/>
    <w:rsid w:val="009A3F84"/>
    <w:rsid w:val="009A4484"/>
    <w:rsid w:val="009A58AF"/>
    <w:rsid w:val="009A5FC4"/>
    <w:rsid w:val="009A6868"/>
    <w:rsid w:val="009A6C45"/>
    <w:rsid w:val="009A7039"/>
    <w:rsid w:val="009B0507"/>
    <w:rsid w:val="009B1802"/>
    <w:rsid w:val="009C0B13"/>
    <w:rsid w:val="009C2F4B"/>
    <w:rsid w:val="009C65B8"/>
    <w:rsid w:val="009D077D"/>
    <w:rsid w:val="009D0A5A"/>
    <w:rsid w:val="009D0B93"/>
    <w:rsid w:val="009D0D1C"/>
    <w:rsid w:val="009D2052"/>
    <w:rsid w:val="009D4764"/>
    <w:rsid w:val="009D66DE"/>
    <w:rsid w:val="009D73C0"/>
    <w:rsid w:val="009E072A"/>
    <w:rsid w:val="009E0AC1"/>
    <w:rsid w:val="009E3323"/>
    <w:rsid w:val="009E6050"/>
    <w:rsid w:val="009E7E7E"/>
    <w:rsid w:val="009E7F29"/>
    <w:rsid w:val="009F3DEB"/>
    <w:rsid w:val="009F54A5"/>
    <w:rsid w:val="009F735E"/>
    <w:rsid w:val="00A02E13"/>
    <w:rsid w:val="00A04328"/>
    <w:rsid w:val="00A049E9"/>
    <w:rsid w:val="00A07889"/>
    <w:rsid w:val="00A07BFD"/>
    <w:rsid w:val="00A07E8E"/>
    <w:rsid w:val="00A14ABA"/>
    <w:rsid w:val="00A15BAA"/>
    <w:rsid w:val="00A15CD8"/>
    <w:rsid w:val="00A206CB"/>
    <w:rsid w:val="00A21D5D"/>
    <w:rsid w:val="00A21F8C"/>
    <w:rsid w:val="00A22B23"/>
    <w:rsid w:val="00A25060"/>
    <w:rsid w:val="00A30A55"/>
    <w:rsid w:val="00A30EE4"/>
    <w:rsid w:val="00A339C4"/>
    <w:rsid w:val="00A4195D"/>
    <w:rsid w:val="00A41E83"/>
    <w:rsid w:val="00A436A4"/>
    <w:rsid w:val="00A43BE3"/>
    <w:rsid w:val="00A46560"/>
    <w:rsid w:val="00A51093"/>
    <w:rsid w:val="00A522FE"/>
    <w:rsid w:val="00A55759"/>
    <w:rsid w:val="00A600BE"/>
    <w:rsid w:val="00A602AA"/>
    <w:rsid w:val="00A65F8A"/>
    <w:rsid w:val="00A665F7"/>
    <w:rsid w:val="00A706FC"/>
    <w:rsid w:val="00A7118F"/>
    <w:rsid w:val="00A7417A"/>
    <w:rsid w:val="00A804AC"/>
    <w:rsid w:val="00A806FC"/>
    <w:rsid w:val="00A8110E"/>
    <w:rsid w:val="00A8225B"/>
    <w:rsid w:val="00A82E26"/>
    <w:rsid w:val="00A8525B"/>
    <w:rsid w:val="00A86F39"/>
    <w:rsid w:val="00A91746"/>
    <w:rsid w:val="00A97753"/>
    <w:rsid w:val="00A979B2"/>
    <w:rsid w:val="00AA2DDF"/>
    <w:rsid w:val="00AA3519"/>
    <w:rsid w:val="00AA3CC8"/>
    <w:rsid w:val="00AA5425"/>
    <w:rsid w:val="00AA7F7C"/>
    <w:rsid w:val="00AB148E"/>
    <w:rsid w:val="00AB32A1"/>
    <w:rsid w:val="00AB55CD"/>
    <w:rsid w:val="00AB698D"/>
    <w:rsid w:val="00AC06EC"/>
    <w:rsid w:val="00AC0F96"/>
    <w:rsid w:val="00AC0FCE"/>
    <w:rsid w:val="00AC15A1"/>
    <w:rsid w:val="00AC2B4B"/>
    <w:rsid w:val="00AC31BF"/>
    <w:rsid w:val="00AC3718"/>
    <w:rsid w:val="00AC4D3B"/>
    <w:rsid w:val="00AD0CF9"/>
    <w:rsid w:val="00AD1A16"/>
    <w:rsid w:val="00AD1CE3"/>
    <w:rsid w:val="00AD3EB4"/>
    <w:rsid w:val="00AD4013"/>
    <w:rsid w:val="00AD606D"/>
    <w:rsid w:val="00AD68C9"/>
    <w:rsid w:val="00AE17BF"/>
    <w:rsid w:val="00AE2EEB"/>
    <w:rsid w:val="00AE3393"/>
    <w:rsid w:val="00AE3F84"/>
    <w:rsid w:val="00AE495B"/>
    <w:rsid w:val="00AE6C7A"/>
    <w:rsid w:val="00AF0F75"/>
    <w:rsid w:val="00AF2461"/>
    <w:rsid w:val="00AF657D"/>
    <w:rsid w:val="00AF71FE"/>
    <w:rsid w:val="00B00099"/>
    <w:rsid w:val="00B01E27"/>
    <w:rsid w:val="00B03AFB"/>
    <w:rsid w:val="00B03D68"/>
    <w:rsid w:val="00B06B9E"/>
    <w:rsid w:val="00B12992"/>
    <w:rsid w:val="00B141AC"/>
    <w:rsid w:val="00B141BC"/>
    <w:rsid w:val="00B2403D"/>
    <w:rsid w:val="00B2443C"/>
    <w:rsid w:val="00B24B32"/>
    <w:rsid w:val="00B254E3"/>
    <w:rsid w:val="00B26CE8"/>
    <w:rsid w:val="00B307C5"/>
    <w:rsid w:val="00B31A7D"/>
    <w:rsid w:val="00B34F76"/>
    <w:rsid w:val="00B3714F"/>
    <w:rsid w:val="00B442A5"/>
    <w:rsid w:val="00B4557D"/>
    <w:rsid w:val="00B46E4E"/>
    <w:rsid w:val="00B47EDB"/>
    <w:rsid w:val="00B500CD"/>
    <w:rsid w:val="00B51348"/>
    <w:rsid w:val="00B5431F"/>
    <w:rsid w:val="00B559B8"/>
    <w:rsid w:val="00B56099"/>
    <w:rsid w:val="00B56534"/>
    <w:rsid w:val="00B57650"/>
    <w:rsid w:val="00B62026"/>
    <w:rsid w:val="00B64620"/>
    <w:rsid w:val="00B6574F"/>
    <w:rsid w:val="00B6650A"/>
    <w:rsid w:val="00B67EA3"/>
    <w:rsid w:val="00B70CA5"/>
    <w:rsid w:val="00B71434"/>
    <w:rsid w:val="00B7400B"/>
    <w:rsid w:val="00B76269"/>
    <w:rsid w:val="00B76655"/>
    <w:rsid w:val="00B76A76"/>
    <w:rsid w:val="00B801B4"/>
    <w:rsid w:val="00B808BA"/>
    <w:rsid w:val="00B8144C"/>
    <w:rsid w:val="00B82483"/>
    <w:rsid w:val="00B82C7F"/>
    <w:rsid w:val="00B83E7D"/>
    <w:rsid w:val="00B8463B"/>
    <w:rsid w:val="00B84663"/>
    <w:rsid w:val="00B84951"/>
    <w:rsid w:val="00B84B73"/>
    <w:rsid w:val="00B86E88"/>
    <w:rsid w:val="00B91517"/>
    <w:rsid w:val="00B93F9A"/>
    <w:rsid w:val="00B95D77"/>
    <w:rsid w:val="00BA145B"/>
    <w:rsid w:val="00BA2859"/>
    <w:rsid w:val="00BA4623"/>
    <w:rsid w:val="00BA492D"/>
    <w:rsid w:val="00BA4A6C"/>
    <w:rsid w:val="00BA77FF"/>
    <w:rsid w:val="00BB004F"/>
    <w:rsid w:val="00BB14DD"/>
    <w:rsid w:val="00BB1DA1"/>
    <w:rsid w:val="00BB25BA"/>
    <w:rsid w:val="00BB3C7D"/>
    <w:rsid w:val="00BB4017"/>
    <w:rsid w:val="00BB755B"/>
    <w:rsid w:val="00BB7DF7"/>
    <w:rsid w:val="00BC4083"/>
    <w:rsid w:val="00BC4277"/>
    <w:rsid w:val="00BC5515"/>
    <w:rsid w:val="00BC769B"/>
    <w:rsid w:val="00BD609D"/>
    <w:rsid w:val="00BE2470"/>
    <w:rsid w:val="00BE3587"/>
    <w:rsid w:val="00BE4128"/>
    <w:rsid w:val="00BE5E7E"/>
    <w:rsid w:val="00BF4F15"/>
    <w:rsid w:val="00BF6357"/>
    <w:rsid w:val="00BF69AF"/>
    <w:rsid w:val="00BF7F8E"/>
    <w:rsid w:val="00C00187"/>
    <w:rsid w:val="00C00728"/>
    <w:rsid w:val="00C00A2A"/>
    <w:rsid w:val="00C012D7"/>
    <w:rsid w:val="00C01E01"/>
    <w:rsid w:val="00C02866"/>
    <w:rsid w:val="00C03222"/>
    <w:rsid w:val="00C04AE9"/>
    <w:rsid w:val="00C0611C"/>
    <w:rsid w:val="00C10A43"/>
    <w:rsid w:val="00C10F16"/>
    <w:rsid w:val="00C136DE"/>
    <w:rsid w:val="00C17E12"/>
    <w:rsid w:val="00C2140D"/>
    <w:rsid w:val="00C24052"/>
    <w:rsid w:val="00C245CD"/>
    <w:rsid w:val="00C24E81"/>
    <w:rsid w:val="00C26A3F"/>
    <w:rsid w:val="00C30FEE"/>
    <w:rsid w:val="00C3153C"/>
    <w:rsid w:val="00C31617"/>
    <w:rsid w:val="00C331A0"/>
    <w:rsid w:val="00C33616"/>
    <w:rsid w:val="00C3380E"/>
    <w:rsid w:val="00C35E5D"/>
    <w:rsid w:val="00C3642A"/>
    <w:rsid w:val="00C36CF3"/>
    <w:rsid w:val="00C4096D"/>
    <w:rsid w:val="00C43F25"/>
    <w:rsid w:val="00C443A2"/>
    <w:rsid w:val="00C44718"/>
    <w:rsid w:val="00C44A91"/>
    <w:rsid w:val="00C450CE"/>
    <w:rsid w:val="00C4518C"/>
    <w:rsid w:val="00C5638B"/>
    <w:rsid w:val="00C61D87"/>
    <w:rsid w:val="00C63D8F"/>
    <w:rsid w:val="00C6597E"/>
    <w:rsid w:val="00C666D3"/>
    <w:rsid w:val="00C67CF5"/>
    <w:rsid w:val="00C704AB"/>
    <w:rsid w:val="00C71010"/>
    <w:rsid w:val="00C72494"/>
    <w:rsid w:val="00C72CA3"/>
    <w:rsid w:val="00C74916"/>
    <w:rsid w:val="00C754F6"/>
    <w:rsid w:val="00C75831"/>
    <w:rsid w:val="00C77A0E"/>
    <w:rsid w:val="00C90A8B"/>
    <w:rsid w:val="00C92A15"/>
    <w:rsid w:val="00C9495C"/>
    <w:rsid w:val="00C953BC"/>
    <w:rsid w:val="00C95FEF"/>
    <w:rsid w:val="00C96098"/>
    <w:rsid w:val="00CA0214"/>
    <w:rsid w:val="00CA230D"/>
    <w:rsid w:val="00CA239E"/>
    <w:rsid w:val="00CA3CDB"/>
    <w:rsid w:val="00CA48D8"/>
    <w:rsid w:val="00CA4906"/>
    <w:rsid w:val="00CA5EE5"/>
    <w:rsid w:val="00CA5FF1"/>
    <w:rsid w:val="00CB1114"/>
    <w:rsid w:val="00CB2A72"/>
    <w:rsid w:val="00CB4AA9"/>
    <w:rsid w:val="00CB55ED"/>
    <w:rsid w:val="00CC012E"/>
    <w:rsid w:val="00CC1164"/>
    <w:rsid w:val="00CC207A"/>
    <w:rsid w:val="00CC20CE"/>
    <w:rsid w:val="00CC2105"/>
    <w:rsid w:val="00CC3DC3"/>
    <w:rsid w:val="00CC68B9"/>
    <w:rsid w:val="00CC6F99"/>
    <w:rsid w:val="00CC7C8B"/>
    <w:rsid w:val="00CD06C2"/>
    <w:rsid w:val="00CD6293"/>
    <w:rsid w:val="00CE1987"/>
    <w:rsid w:val="00CE3E40"/>
    <w:rsid w:val="00CE3F54"/>
    <w:rsid w:val="00CE4C48"/>
    <w:rsid w:val="00CE5157"/>
    <w:rsid w:val="00CE567E"/>
    <w:rsid w:val="00CE61E1"/>
    <w:rsid w:val="00CF050D"/>
    <w:rsid w:val="00CF0729"/>
    <w:rsid w:val="00CF478B"/>
    <w:rsid w:val="00CF4B7A"/>
    <w:rsid w:val="00CF576C"/>
    <w:rsid w:val="00CF71B9"/>
    <w:rsid w:val="00CF7518"/>
    <w:rsid w:val="00CF7BB9"/>
    <w:rsid w:val="00D010B9"/>
    <w:rsid w:val="00D03DDC"/>
    <w:rsid w:val="00D04B07"/>
    <w:rsid w:val="00D06F2B"/>
    <w:rsid w:val="00D10315"/>
    <w:rsid w:val="00D104EF"/>
    <w:rsid w:val="00D1122D"/>
    <w:rsid w:val="00D12C07"/>
    <w:rsid w:val="00D12C0B"/>
    <w:rsid w:val="00D14066"/>
    <w:rsid w:val="00D15AE1"/>
    <w:rsid w:val="00D16708"/>
    <w:rsid w:val="00D171A4"/>
    <w:rsid w:val="00D20668"/>
    <w:rsid w:val="00D21D95"/>
    <w:rsid w:val="00D250E5"/>
    <w:rsid w:val="00D252B9"/>
    <w:rsid w:val="00D2577E"/>
    <w:rsid w:val="00D260B2"/>
    <w:rsid w:val="00D30351"/>
    <w:rsid w:val="00D3256A"/>
    <w:rsid w:val="00D34AA1"/>
    <w:rsid w:val="00D34D34"/>
    <w:rsid w:val="00D37691"/>
    <w:rsid w:val="00D410AA"/>
    <w:rsid w:val="00D416C7"/>
    <w:rsid w:val="00D41EEA"/>
    <w:rsid w:val="00D42350"/>
    <w:rsid w:val="00D44C22"/>
    <w:rsid w:val="00D44FBB"/>
    <w:rsid w:val="00D4559E"/>
    <w:rsid w:val="00D46EC5"/>
    <w:rsid w:val="00D60367"/>
    <w:rsid w:val="00D60AF9"/>
    <w:rsid w:val="00D6296A"/>
    <w:rsid w:val="00D62ABE"/>
    <w:rsid w:val="00D62C27"/>
    <w:rsid w:val="00D63E73"/>
    <w:rsid w:val="00D65196"/>
    <w:rsid w:val="00D6546A"/>
    <w:rsid w:val="00D65838"/>
    <w:rsid w:val="00D65FDC"/>
    <w:rsid w:val="00D7564D"/>
    <w:rsid w:val="00D803EF"/>
    <w:rsid w:val="00D8120D"/>
    <w:rsid w:val="00D81794"/>
    <w:rsid w:val="00D82BB2"/>
    <w:rsid w:val="00D875B4"/>
    <w:rsid w:val="00D920A6"/>
    <w:rsid w:val="00D944FD"/>
    <w:rsid w:val="00D947A1"/>
    <w:rsid w:val="00D9490F"/>
    <w:rsid w:val="00D94DCF"/>
    <w:rsid w:val="00D95187"/>
    <w:rsid w:val="00D95239"/>
    <w:rsid w:val="00D954F4"/>
    <w:rsid w:val="00D95CA1"/>
    <w:rsid w:val="00D96CB8"/>
    <w:rsid w:val="00D977A5"/>
    <w:rsid w:val="00DA0C1B"/>
    <w:rsid w:val="00DA15BD"/>
    <w:rsid w:val="00DA17A2"/>
    <w:rsid w:val="00DA5BDD"/>
    <w:rsid w:val="00DA73D5"/>
    <w:rsid w:val="00DB160B"/>
    <w:rsid w:val="00DB471B"/>
    <w:rsid w:val="00DB6C01"/>
    <w:rsid w:val="00DB6C32"/>
    <w:rsid w:val="00DB7094"/>
    <w:rsid w:val="00DB7E29"/>
    <w:rsid w:val="00DC0480"/>
    <w:rsid w:val="00DC0D0E"/>
    <w:rsid w:val="00DC1819"/>
    <w:rsid w:val="00DC22A6"/>
    <w:rsid w:val="00DC258B"/>
    <w:rsid w:val="00DC68EF"/>
    <w:rsid w:val="00DD0FDD"/>
    <w:rsid w:val="00DD485A"/>
    <w:rsid w:val="00DD6517"/>
    <w:rsid w:val="00DD65FF"/>
    <w:rsid w:val="00DE00E3"/>
    <w:rsid w:val="00DE44B0"/>
    <w:rsid w:val="00DE5FD0"/>
    <w:rsid w:val="00DF088C"/>
    <w:rsid w:val="00DF14B3"/>
    <w:rsid w:val="00DF3AFB"/>
    <w:rsid w:val="00DF4561"/>
    <w:rsid w:val="00DF5FAC"/>
    <w:rsid w:val="00E00DFC"/>
    <w:rsid w:val="00E012FC"/>
    <w:rsid w:val="00E036FB"/>
    <w:rsid w:val="00E042BB"/>
    <w:rsid w:val="00E052B2"/>
    <w:rsid w:val="00E100EE"/>
    <w:rsid w:val="00E10A2E"/>
    <w:rsid w:val="00E117D0"/>
    <w:rsid w:val="00E11B1E"/>
    <w:rsid w:val="00E122CD"/>
    <w:rsid w:val="00E12830"/>
    <w:rsid w:val="00E12C20"/>
    <w:rsid w:val="00E141B2"/>
    <w:rsid w:val="00E144B7"/>
    <w:rsid w:val="00E211B8"/>
    <w:rsid w:val="00E21AA4"/>
    <w:rsid w:val="00E21B34"/>
    <w:rsid w:val="00E2692C"/>
    <w:rsid w:val="00E26C1E"/>
    <w:rsid w:val="00E276DE"/>
    <w:rsid w:val="00E304F6"/>
    <w:rsid w:val="00E30B93"/>
    <w:rsid w:val="00E3113E"/>
    <w:rsid w:val="00E314E0"/>
    <w:rsid w:val="00E3209C"/>
    <w:rsid w:val="00E3598A"/>
    <w:rsid w:val="00E35D89"/>
    <w:rsid w:val="00E363EE"/>
    <w:rsid w:val="00E36F3B"/>
    <w:rsid w:val="00E37886"/>
    <w:rsid w:val="00E41367"/>
    <w:rsid w:val="00E4193E"/>
    <w:rsid w:val="00E41E77"/>
    <w:rsid w:val="00E4309C"/>
    <w:rsid w:val="00E43C2E"/>
    <w:rsid w:val="00E440CC"/>
    <w:rsid w:val="00E4583E"/>
    <w:rsid w:val="00E466D1"/>
    <w:rsid w:val="00E468DE"/>
    <w:rsid w:val="00E50A1B"/>
    <w:rsid w:val="00E601F4"/>
    <w:rsid w:val="00E61D99"/>
    <w:rsid w:val="00E62593"/>
    <w:rsid w:val="00E627BA"/>
    <w:rsid w:val="00E62CE6"/>
    <w:rsid w:val="00E64194"/>
    <w:rsid w:val="00E652B1"/>
    <w:rsid w:val="00E664FC"/>
    <w:rsid w:val="00E670B9"/>
    <w:rsid w:val="00E6770E"/>
    <w:rsid w:val="00E73BC6"/>
    <w:rsid w:val="00E74709"/>
    <w:rsid w:val="00E76CD5"/>
    <w:rsid w:val="00E82A73"/>
    <w:rsid w:val="00E8331F"/>
    <w:rsid w:val="00E84092"/>
    <w:rsid w:val="00E84FCC"/>
    <w:rsid w:val="00E854F9"/>
    <w:rsid w:val="00E85B32"/>
    <w:rsid w:val="00E8649D"/>
    <w:rsid w:val="00E870B2"/>
    <w:rsid w:val="00E909E5"/>
    <w:rsid w:val="00E90C5B"/>
    <w:rsid w:val="00E921ED"/>
    <w:rsid w:val="00E9342E"/>
    <w:rsid w:val="00E93B35"/>
    <w:rsid w:val="00E9490B"/>
    <w:rsid w:val="00E94977"/>
    <w:rsid w:val="00E96446"/>
    <w:rsid w:val="00EA1C0B"/>
    <w:rsid w:val="00EA4058"/>
    <w:rsid w:val="00EA5044"/>
    <w:rsid w:val="00EA543E"/>
    <w:rsid w:val="00EA5655"/>
    <w:rsid w:val="00EA6F74"/>
    <w:rsid w:val="00EA6FA4"/>
    <w:rsid w:val="00EA77C3"/>
    <w:rsid w:val="00EA787B"/>
    <w:rsid w:val="00EA7E6F"/>
    <w:rsid w:val="00EB2107"/>
    <w:rsid w:val="00EB29FD"/>
    <w:rsid w:val="00EB2FBB"/>
    <w:rsid w:val="00EB65E6"/>
    <w:rsid w:val="00EB737F"/>
    <w:rsid w:val="00EB7F71"/>
    <w:rsid w:val="00EC1330"/>
    <w:rsid w:val="00EC2393"/>
    <w:rsid w:val="00EC2FC5"/>
    <w:rsid w:val="00EC3DDF"/>
    <w:rsid w:val="00EC47B6"/>
    <w:rsid w:val="00EC4FD8"/>
    <w:rsid w:val="00EC6234"/>
    <w:rsid w:val="00ED00DD"/>
    <w:rsid w:val="00ED085E"/>
    <w:rsid w:val="00ED0BF9"/>
    <w:rsid w:val="00ED0E46"/>
    <w:rsid w:val="00ED3290"/>
    <w:rsid w:val="00ED56D2"/>
    <w:rsid w:val="00ED5F71"/>
    <w:rsid w:val="00ED6251"/>
    <w:rsid w:val="00ED6E20"/>
    <w:rsid w:val="00ED6F02"/>
    <w:rsid w:val="00ED7909"/>
    <w:rsid w:val="00ED7DF8"/>
    <w:rsid w:val="00EE08B1"/>
    <w:rsid w:val="00EE3CBC"/>
    <w:rsid w:val="00EE431A"/>
    <w:rsid w:val="00EF070D"/>
    <w:rsid w:val="00EF2525"/>
    <w:rsid w:val="00EF2DEF"/>
    <w:rsid w:val="00EF2FA3"/>
    <w:rsid w:val="00EF4352"/>
    <w:rsid w:val="00EF4D24"/>
    <w:rsid w:val="00EF506F"/>
    <w:rsid w:val="00EF519A"/>
    <w:rsid w:val="00EF563C"/>
    <w:rsid w:val="00EF5E23"/>
    <w:rsid w:val="00F0156A"/>
    <w:rsid w:val="00F01F25"/>
    <w:rsid w:val="00F03FE3"/>
    <w:rsid w:val="00F044BE"/>
    <w:rsid w:val="00F04502"/>
    <w:rsid w:val="00F070FB"/>
    <w:rsid w:val="00F075CE"/>
    <w:rsid w:val="00F107E5"/>
    <w:rsid w:val="00F123DC"/>
    <w:rsid w:val="00F14FCD"/>
    <w:rsid w:val="00F15185"/>
    <w:rsid w:val="00F1710E"/>
    <w:rsid w:val="00F206A9"/>
    <w:rsid w:val="00F208F1"/>
    <w:rsid w:val="00F2234C"/>
    <w:rsid w:val="00F22AC5"/>
    <w:rsid w:val="00F238F9"/>
    <w:rsid w:val="00F2421D"/>
    <w:rsid w:val="00F246AC"/>
    <w:rsid w:val="00F246F0"/>
    <w:rsid w:val="00F27283"/>
    <w:rsid w:val="00F316B2"/>
    <w:rsid w:val="00F3252E"/>
    <w:rsid w:val="00F330DB"/>
    <w:rsid w:val="00F35C4F"/>
    <w:rsid w:val="00F3607B"/>
    <w:rsid w:val="00F36270"/>
    <w:rsid w:val="00F37FBA"/>
    <w:rsid w:val="00F40427"/>
    <w:rsid w:val="00F43686"/>
    <w:rsid w:val="00F4406A"/>
    <w:rsid w:val="00F45AEE"/>
    <w:rsid w:val="00F50358"/>
    <w:rsid w:val="00F55B16"/>
    <w:rsid w:val="00F57C80"/>
    <w:rsid w:val="00F60DCC"/>
    <w:rsid w:val="00F6270C"/>
    <w:rsid w:val="00F63F1E"/>
    <w:rsid w:val="00F6403B"/>
    <w:rsid w:val="00F64391"/>
    <w:rsid w:val="00F67077"/>
    <w:rsid w:val="00F6779A"/>
    <w:rsid w:val="00F701A0"/>
    <w:rsid w:val="00F70539"/>
    <w:rsid w:val="00F70D1C"/>
    <w:rsid w:val="00F72800"/>
    <w:rsid w:val="00F73084"/>
    <w:rsid w:val="00F7317F"/>
    <w:rsid w:val="00F7484F"/>
    <w:rsid w:val="00F76958"/>
    <w:rsid w:val="00F80C08"/>
    <w:rsid w:val="00F81291"/>
    <w:rsid w:val="00F8151F"/>
    <w:rsid w:val="00F852DC"/>
    <w:rsid w:val="00F8613E"/>
    <w:rsid w:val="00F866F8"/>
    <w:rsid w:val="00F87437"/>
    <w:rsid w:val="00F9067D"/>
    <w:rsid w:val="00F91980"/>
    <w:rsid w:val="00F93513"/>
    <w:rsid w:val="00F94206"/>
    <w:rsid w:val="00F9466C"/>
    <w:rsid w:val="00F95540"/>
    <w:rsid w:val="00F95A44"/>
    <w:rsid w:val="00F978F0"/>
    <w:rsid w:val="00F97B49"/>
    <w:rsid w:val="00FA2967"/>
    <w:rsid w:val="00FA2DBE"/>
    <w:rsid w:val="00FA3F68"/>
    <w:rsid w:val="00FA464F"/>
    <w:rsid w:val="00FA6AD3"/>
    <w:rsid w:val="00FB0147"/>
    <w:rsid w:val="00FB05E1"/>
    <w:rsid w:val="00FB07E5"/>
    <w:rsid w:val="00FB0A23"/>
    <w:rsid w:val="00FB2646"/>
    <w:rsid w:val="00FB3479"/>
    <w:rsid w:val="00FB34C5"/>
    <w:rsid w:val="00FB3BF8"/>
    <w:rsid w:val="00FB69D9"/>
    <w:rsid w:val="00FB772D"/>
    <w:rsid w:val="00FC27C1"/>
    <w:rsid w:val="00FC4821"/>
    <w:rsid w:val="00FC56DA"/>
    <w:rsid w:val="00FC7697"/>
    <w:rsid w:val="00FC7C0B"/>
    <w:rsid w:val="00FD299C"/>
    <w:rsid w:val="00FD355F"/>
    <w:rsid w:val="00FD35F7"/>
    <w:rsid w:val="00FD50F0"/>
    <w:rsid w:val="00FD7306"/>
    <w:rsid w:val="00FE0427"/>
    <w:rsid w:val="00FE0443"/>
    <w:rsid w:val="00FE0D7E"/>
    <w:rsid w:val="00FE3D1B"/>
    <w:rsid w:val="00FE4094"/>
    <w:rsid w:val="00FE69BE"/>
    <w:rsid w:val="00FF1F24"/>
    <w:rsid w:val="00FF24C2"/>
    <w:rsid w:val="00FF2E34"/>
    <w:rsid w:val="00FF3BB6"/>
    <w:rsid w:val="00FF7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CA991"/>
  <w15:docId w15:val="{5D8158A8-E156-4505-A766-021FE388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146"/>
    <w:pPr>
      <w:spacing w:after="120"/>
    </w:pPr>
    <w:rPr>
      <w:rFonts w:ascii="Arial" w:hAnsi="Arial" w:cs="Arial"/>
      <w:sz w:val="20"/>
    </w:rPr>
  </w:style>
  <w:style w:type="paragraph" w:styleId="Heading1">
    <w:name w:val="heading 1"/>
    <w:basedOn w:val="Normal"/>
    <w:next w:val="Normal"/>
    <w:link w:val="Heading1Char"/>
    <w:uiPriority w:val="9"/>
    <w:qFormat/>
    <w:rsid w:val="00395446"/>
    <w:pPr>
      <w:keepNext/>
      <w:keepLines/>
      <w:numPr>
        <w:numId w:val="2"/>
      </w:numPr>
      <w:spacing w:before="120"/>
      <w:outlineLvl w:val="0"/>
    </w:pPr>
    <w:rPr>
      <w:rFonts w:eastAsiaTheme="majorEastAsia"/>
      <w:color w:val="006BB7"/>
      <w:sz w:val="36"/>
      <w:szCs w:val="32"/>
    </w:rPr>
  </w:style>
  <w:style w:type="paragraph" w:styleId="Heading2">
    <w:name w:val="heading 2"/>
    <w:basedOn w:val="Normal"/>
    <w:next w:val="Normal"/>
    <w:link w:val="Heading2Char"/>
    <w:uiPriority w:val="9"/>
    <w:unhideWhenUsed/>
    <w:qFormat/>
    <w:rsid w:val="00395446"/>
    <w:pPr>
      <w:keepNext/>
      <w:keepLines/>
      <w:numPr>
        <w:ilvl w:val="1"/>
        <w:numId w:val="2"/>
      </w:numPr>
      <w:spacing w:before="120"/>
      <w:outlineLvl w:val="1"/>
    </w:pPr>
    <w:rPr>
      <w:rFonts w:eastAsiaTheme="majorEastAsia"/>
      <w:color w:val="006BB7"/>
      <w:sz w:val="32"/>
      <w:szCs w:val="26"/>
    </w:rPr>
  </w:style>
  <w:style w:type="paragraph" w:styleId="Heading3">
    <w:name w:val="heading 3"/>
    <w:basedOn w:val="Normal"/>
    <w:next w:val="Normal"/>
    <w:link w:val="Heading3Char"/>
    <w:uiPriority w:val="9"/>
    <w:unhideWhenUsed/>
    <w:qFormat/>
    <w:rsid w:val="00D41EEA"/>
    <w:pPr>
      <w:keepNext/>
      <w:keepLines/>
      <w:numPr>
        <w:ilvl w:val="2"/>
        <w:numId w:val="2"/>
      </w:numPr>
      <w:spacing w:before="40"/>
      <w:ind w:left="851" w:hanging="709"/>
      <w:outlineLvl w:val="2"/>
    </w:pPr>
    <w:rPr>
      <w:rFonts w:eastAsiaTheme="majorEastAsia"/>
      <w:color w:val="006BB7"/>
      <w:sz w:val="24"/>
      <w:szCs w:val="24"/>
    </w:rPr>
  </w:style>
  <w:style w:type="paragraph" w:styleId="Heading4">
    <w:name w:val="heading 4"/>
    <w:basedOn w:val="Normal"/>
    <w:next w:val="Normal"/>
    <w:link w:val="Heading4Char"/>
    <w:uiPriority w:val="9"/>
    <w:unhideWhenUsed/>
    <w:qFormat/>
    <w:rsid w:val="00B442A5"/>
    <w:pPr>
      <w:keepNext/>
      <w:keepLines/>
      <w:numPr>
        <w:ilvl w:val="3"/>
        <w:numId w:val="2"/>
      </w:numPr>
      <w:spacing w:before="40"/>
      <w:outlineLvl w:val="3"/>
    </w:pPr>
    <w:rPr>
      <w:rFonts w:eastAsiaTheme="majorEastAsia"/>
      <w:iCs/>
      <w:color w:val="006BB7"/>
    </w:rPr>
  </w:style>
  <w:style w:type="paragraph" w:styleId="Heading5">
    <w:name w:val="heading 5"/>
    <w:basedOn w:val="Normal"/>
    <w:next w:val="Normal"/>
    <w:link w:val="Heading5Char"/>
    <w:uiPriority w:val="9"/>
    <w:semiHidden/>
    <w:unhideWhenUsed/>
    <w:rsid w:val="00ED6F02"/>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D6F02"/>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D6F02"/>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D6F0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D6F0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BB0"/>
    <w:rPr>
      <w:rFonts w:ascii="Segoe UI" w:hAnsi="Segoe UI" w:cs="Segoe UI"/>
      <w:sz w:val="18"/>
      <w:szCs w:val="18"/>
    </w:rPr>
  </w:style>
  <w:style w:type="paragraph" w:styleId="Header">
    <w:name w:val="header"/>
    <w:basedOn w:val="Normal"/>
    <w:link w:val="HeaderChar"/>
    <w:uiPriority w:val="99"/>
    <w:unhideWhenUsed/>
    <w:rsid w:val="005547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7FA"/>
  </w:style>
  <w:style w:type="paragraph" w:styleId="Footer">
    <w:name w:val="footer"/>
    <w:basedOn w:val="Normal"/>
    <w:link w:val="FooterChar"/>
    <w:uiPriority w:val="99"/>
    <w:unhideWhenUsed/>
    <w:rsid w:val="005547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7FA"/>
  </w:style>
  <w:style w:type="character" w:styleId="CommentReference">
    <w:name w:val="annotation reference"/>
    <w:basedOn w:val="DefaultParagraphFont"/>
    <w:unhideWhenUsed/>
    <w:rsid w:val="005547FA"/>
    <w:rPr>
      <w:sz w:val="16"/>
      <w:szCs w:val="16"/>
    </w:rPr>
  </w:style>
  <w:style w:type="paragraph" w:styleId="CommentText">
    <w:name w:val="annotation text"/>
    <w:basedOn w:val="Normal"/>
    <w:link w:val="CommentTextChar"/>
    <w:unhideWhenUsed/>
    <w:rsid w:val="005547FA"/>
    <w:pPr>
      <w:spacing w:line="240" w:lineRule="auto"/>
    </w:pPr>
    <w:rPr>
      <w:szCs w:val="20"/>
    </w:rPr>
  </w:style>
  <w:style w:type="character" w:customStyle="1" w:styleId="CommentTextChar">
    <w:name w:val="Comment Text Char"/>
    <w:basedOn w:val="DefaultParagraphFont"/>
    <w:link w:val="CommentText"/>
    <w:rsid w:val="005547FA"/>
    <w:rPr>
      <w:sz w:val="20"/>
      <w:szCs w:val="20"/>
    </w:rPr>
  </w:style>
  <w:style w:type="paragraph" w:styleId="CommentSubject">
    <w:name w:val="annotation subject"/>
    <w:basedOn w:val="CommentText"/>
    <w:next w:val="CommentText"/>
    <w:link w:val="CommentSubjectChar"/>
    <w:uiPriority w:val="99"/>
    <w:semiHidden/>
    <w:unhideWhenUsed/>
    <w:rsid w:val="005547FA"/>
    <w:rPr>
      <w:b/>
      <w:bCs/>
    </w:rPr>
  </w:style>
  <w:style w:type="character" w:customStyle="1" w:styleId="CommentSubjectChar">
    <w:name w:val="Comment Subject Char"/>
    <w:basedOn w:val="CommentTextChar"/>
    <w:link w:val="CommentSubject"/>
    <w:uiPriority w:val="99"/>
    <w:semiHidden/>
    <w:rsid w:val="005547FA"/>
    <w:rPr>
      <w:b/>
      <w:bCs/>
      <w:sz w:val="20"/>
      <w:szCs w:val="20"/>
    </w:rPr>
  </w:style>
  <w:style w:type="table" w:styleId="TableGrid">
    <w:name w:val="Table Grid"/>
    <w:basedOn w:val="TableNormal"/>
    <w:uiPriority w:val="39"/>
    <w:rsid w:val="00554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D6F02"/>
    <w:pPr>
      <w:ind w:left="720"/>
      <w:contextualSpacing/>
    </w:pPr>
  </w:style>
  <w:style w:type="character" w:customStyle="1" w:styleId="Heading1Char">
    <w:name w:val="Heading 1 Char"/>
    <w:basedOn w:val="DefaultParagraphFont"/>
    <w:link w:val="Heading1"/>
    <w:uiPriority w:val="9"/>
    <w:rsid w:val="00395446"/>
    <w:rPr>
      <w:rFonts w:ascii="Arial" w:eastAsiaTheme="majorEastAsia" w:hAnsi="Arial" w:cs="Arial"/>
      <w:color w:val="006BB7"/>
      <w:sz w:val="36"/>
      <w:szCs w:val="32"/>
    </w:rPr>
  </w:style>
  <w:style w:type="character" w:customStyle="1" w:styleId="Heading2Char">
    <w:name w:val="Heading 2 Char"/>
    <w:basedOn w:val="DefaultParagraphFont"/>
    <w:link w:val="Heading2"/>
    <w:uiPriority w:val="9"/>
    <w:rsid w:val="00395446"/>
    <w:rPr>
      <w:rFonts w:ascii="Arial" w:eastAsiaTheme="majorEastAsia" w:hAnsi="Arial" w:cs="Arial"/>
      <w:color w:val="006BB7"/>
      <w:sz w:val="32"/>
      <w:szCs w:val="26"/>
    </w:rPr>
  </w:style>
  <w:style w:type="character" w:customStyle="1" w:styleId="Heading3Char">
    <w:name w:val="Heading 3 Char"/>
    <w:basedOn w:val="DefaultParagraphFont"/>
    <w:link w:val="Heading3"/>
    <w:uiPriority w:val="9"/>
    <w:rsid w:val="00D41EEA"/>
    <w:rPr>
      <w:rFonts w:ascii="Arial" w:eastAsiaTheme="majorEastAsia" w:hAnsi="Arial" w:cs="Arial"/>
      <w:color w:val="006BB7"/>
      <w:sz w:val="24"/>
      <w:szCs w:val="24"/>
    </w:rPr>
  </w:style>
  <w:style w:type="character" w:customStyle="1" w:styleId="Heading4Char">
    <w:name w:val="Heading 4 Char"/>
    <w:basedOn w:val="DefaultParagraphFont"/>
    <w:link w:val="Heading4"/>
    <w:uiPriority w:val="9"/>
    <w:rsid w:val="00B442A5"/>
    <w:rPr>
      <w:rFonts w:ascii="Arial" w:eastAsiaTheme="majorEastAsia" w:hAnsi="Arial" w:cs="Arial"/>
      <w:iCs/>
      <w:color w:val="006BB7"/>
      <w:sz w:val="20"/>
    </w:rPr>
  </w:style>
  <w:style w:type="character" w:customStyle="1" w:styleId="Heading5Char">
    <w:name w:val="Heading 5 Char"/>
    <w:basedOn w:val="DefaultParagraphFont"/>
    <w:link w:val="Heading5"/>
    <w:uiPriority w:val="9"/>
    <w:semiHidden/>
    <w:rsid w:val="00ED6F02"/>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semiHidden/>
    <w:rsid w:val="00ED6F02"/>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semiHidden/>
    <w:rsid w:val="00ED6F02"/>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semiHidden/>
    <w:rsid w:val="00ED6F0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D6F02"/>
    <w:rPr>
      <w:rFonts w:asciiTheme="majorHAnsi" w:eastAsiaTheme="majorEastAsia" w:hAnsiTheme="majorHAnsi" w:cstheme="majorBidi"/>
      <w:i/>
      <w:iCs/>
      <w:color w:val="272727" w:themeColor="text1" w:themeTint="D8"/>
      <w:sz w:val="21"/>
      <w:szCs w:val="21"/>
    </w:rPr>
  </w:style>
  <w:style w:type="table" w:styleId="GridTable4-Accent5">
    <w:name w:val="Grid Table 4 Accent 5"/>
    <w:basedOn w:val="TableNormal"/>
    <w:uiPriority w:val="49"/>
    <w:rsid w:val="00B442A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Ricardotable">
    <w:name w:val="Ricardo table"/>
    <w:basedOn w:val="TableGrid1"/>
    <w:uiPriority w:val="99"/>
    <w:rsid w:val="00A8110E"/>
    <w:pPr>
      <w:spacing w:before="60" w:after="60" w:line="240" w:lineRule="auto"/>
      <w:jc w:val="center"/>
    </w:pPr>
    <w:rPr>
      <w:rFonts w:ascii="Arial" w:hAnsi="Arial"/>
      <w:sz w:val="18"/>
      <w:szCs w:val="20"/>
      <w:lang w:eastAsia="en-GB"/>
    </w:rPr>
    <w:tblPr>
      <w:tblStyleRowBandSize w:val="1"/>
      <w:tblBorders>
        <w:top w:val="single" w:sz="4" w:space="0" w:color="006BB7"/>
        <w:left w:val="single" w:sz="4" w:space="0" w:color="006BB7"/>
        <w:bottom w:val="single" w:sz="4" w:space="0" w:color="006BB7"/>
        <w:right w:val="single" w:sz="4" w:space="0" w:color="006BB7"/>
        <w:insideH w:val="none" w:sz="0" w:space="0" w:color="auto"/>
        <w:insideV w:val="single" w:sz="4" w:space="0" w:color="006BB7"/>
      </w:tblBorders>
    </w:tblPr>
    <w:tcPr>
      <w:shd w:val="clear" w:color="auto" w:fill="auto"/>
      <w:vAlign w:val="center"/>
    </w:tcPr>
    <w:tblStylePr w:type="firstRow">
      <w:rPr>
        <w:rFonts w:ascii="Arial" w:hAnsi="Arial"/>
        <w:color w:val="FFFFFF" w:themeColor="background1"/>
      </w:rPr>
      <w:tblPr/>
      <w:tcPr>
        <w:shd w:val="clear" w:color="auto" w:fill="006BB7"/>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2Horz">
      <w:tblPr/>
      <w:tcPr>
        <w:shd w:val="clear" w:color="auto" w:fill="EAF2FA"/>
      </w:tcPr>
    </w:tblStylePr>
  </w:style>
  <w:style w:type="paragraph" w:styleId="Caption">
    <w:name w:val="caption"/>
    <w:basedOn w:val="Normal"/>
    <w:next w:val="Normal"/>
    <w:uiPriority w:val="35"/>
    <w:unhideWhenUsed/>
    <w:qFormat/>
    <w:rsid w:val="00CA4906"/>
    <w:pPr>
      <w:keepNext/>
      <w:spacing w:line="240" w:lineRule="auto"/>
    </w:pPr>
    <w:rPr>
      <w:iCs/>
      <w:color w:val="006BB7"/>
      <w:szCs w:val="18"/>
    </w:rPr>
  </w:style>
  <w:style w:type="table" w:customStyle="1" w:styleId="Highlightbox">
    <w:name w:val="Highlight box"/>
    <w:basedOn w:val="TableNormal"/>
    <w:uiPriority w:val="99"/>
    <w:rsid w:val="00794E6A"/>
    <w:pPr>
      <w:spacing w:before="120" w:after="120" w:line="240" w:lineRule="auto"/>
    </w:pPr>
    <w:tblPr/>
    <w:tblStylePr w:type="firstRow">
      <w:pPr>
        <w:wordWrap/>
        <w:jc w:val="left"/>
      </w:pPr>
      <w:rPr>
        <w:rFonts w:ascii="Arial" w:hAnsi="Arial"/>
        <w:sz w:val="20"/>
      </w:rPr>
      <w:tblPr/>
      <w:tcPr>
        <w:tcBorders>
          <w:top w:val="single" w:sz="4" w:space="0" w:color="006BB7"/>
          <w:bottom w:val="single" w:sz="4" w:space="0" w:color="006BB7"/>
        </w:tcBorders>
        <w:shd w:val="clear" w:color="auto" w:fill="D9E2F3" w:themeFill="accent1" w:themeFillTint="33"/>
        <w:vAlign w:val="center"/>
      </w:tcPr>
    </w:tblStylePr>
    <w:tblStylePr w:type="lastRow">
      <w:tblPr/>
      <w:tcPr>
        <w:shd w:val="clear" w:color="auto" w:fill="D9E2F3" w:themeFill="accent1" w:themeFillTint="33"/>
      </w:tcPr>
    </w:tblStylePr>
  </w:style>
  <w:style w:type="table" w:styleId="TableGrid1">
    <w:name w:val="Table Grid 1"/>
    <w:basedOn w:val="TableNormal"/>
    <w:uiPriority w:val="99"/>
    <w:semiHidden/>
    <w:unhideWhenUsed/>
    <w:rsid w:val="00B442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OCHeading">
    <w:name w:val="TOC Heading"/>
    <w:aliases w:val="Exec sum / TOC Heading"/>
    <w:basedOn w:val="Normal"/>
    <w:next w:val="Normal"/>
    <w:uiPriority w:val="39"/>
    <w:unhideWhenUsed/>
    <w:qFormat/>
    <w:rsid w:val="00524800"/>
    <w:rPr>
      <w:color w:val="006BB7"/>
      <w:sz w:val="40"/>
    </w:rPr>
  </w:style>
  <w:style w:type="paragraph" w:styleId="TOC1">
    <w:name w:val="toc 1"/>
    <w:basedOn w:val="Normal"/>
    <w:next w:val="Normal"/>
    <w:autoRedefine/>
    <w:uiPriority w:val="39"/>
    <w:unhideWhenUsed/>
    <w:rsid w:val="006E19FA"/>
    <w:pPr>
      <w:tabs>
        <w:tab w:val="left" w:pos="440"/>
        <w:tab w:val="right" w:leader="dot" w:pos="9016"/>
      </w:tabs>
      <w:spacing w:after="100"/>
    </w:pPr>
    <w:rPr>
      <w:b/>
      <w:noProof/>
      <w:color w:val="006BB7"/>
      <w:sz w:val="24"/>
    </w:rPr>
  </w:style>
  <w:style w:type="paragraph" w:styleId="TOC2">
    <w:name w:val="toc 2"/>
    <w:basedOn w:val="Normal"/>
    <w:next w:val="Normal"/>
    <w:autoRedefine/>
    <w:uiPriority w:val="39"/>
    <w:unhideWhenUsed/>
    <w:rsid w:val="00E12C20"/>
    <w:pPr>
      <w:tabs>
        <w:tab w:val="left" w:pos="880"/>
        <w:tab w:val="right" w:leader="dot" w:pos="9016"/>
      </w:tabs>
      <w:spacing w:after="100"/>
      <w:ind w:left="200"/>
    </w:pPr>
  </w:style>
  <w:style w:type="paragraph" w:styleId="TOC3">
    <w:name w:val="toc 3"/>
    <w:basedOn w:val="Normal"/>
    <w:next w:val="Normal"/>
    <w:autoRedefine/>
    <w:uiPriority w:val="39"/>
    <w:unhideWhenUsed/>
    <w:rsid w:val="0091292C"/>
    <w:pPr>
      <w:tabs>
        <w:tab w:val="left" w:pos="1100"/>
        <w:tab w:val="right" w:leader="dot" w:pos="9016"/>
      </w:tabs>
      <w:spacing w:after="100"/>
      <w:ind w:left="400"/>
    </w:pPr>
  </w:style>
  <w:style w:type="character" w:styleId="Hyperlink">
    <w:name w:val="Hyperlink"/>
    <w:basedOn w:val="DefaultParagraphFont"/>
    <w:uiPriority w:val="99"/>
    <w:unhideWhenUsed/>
    <w:rsid w:val="00794E6A"/>
    <w:rPr>
      <w:color w:val="0563C1" w:themeColor="hyperlink"/>
      <w:u w:val="single"/>
    </w:rPr>
  </w:style>
  <w:style w:type="paragraph" w:styleId="FootnoteText">
    <w:name w:val="footnote text"/>
    <w:basedOn w:val="Normal"/>
    <w:link w:val="FootnoteTextChar"/>
    <w:uiPriority w:val="99"/>
    <w:semiHidden/>
    <w:unhideWhenUsed/>
    <w:rsid w:val="00043172"/>
    <w:pPr>
      <w:spacing w:after="0" w:line="240" w:lineRule="auto"/>
    </w:pPr>
    <w:rPr>
      <w:szCs w:val="20"/>
    </w:rPr>
  </w:style>
  <w:style w:type="character" w:customStyle="1" w:styleId="FootnoteTextChar">
    <w:name w:val="Footnote Text Char"/>
    <w:basedOn w:val="DefaultParagraphFont"/>
    <w:link w:val="FootnoteText"/>
    <w:uiPriority w:val="99"/>
    <w:semiHidden/>
    <w:rsid w:val="00043172"/>
    <w:rPr>
      <w:rFonts w:ascii="Arial" w:hAnsi="Arial" w:cs="Arial"/>
      <w:sz w:val="20"/>
      <w:szCs w:val="20"/>
    </w:rPr>
  </w:style>
  <w:style w:type="character" w:styleId="FootnoteReference">
    <w:name w:val="footnote reference"/>
    <w:basedOn w:val="DefaultParagraphFont"/>
    <w:uiPriority w:val="99"/>
    <w:semiHidden/>
    <w:unhideWhenUsed/>
    <w:rsid w:val="00043172"/>
    <w:rPr>
      <w:vertAlign w:val="superscript"/>
    </w:rPr>
  </w:style>
  <w:style w:type="character" w:styleId="UnresolvedMention">
    <w:name w:val="Unresolved Mention"/>
    <w:basedOn w:val="DefaultParagraphFont"/>
    <w:uiPriority w:val="99"/>
    <w:semiHidden/>
    <w:unhideWhenUsed/>
    <w:rsid w:val="004803F6"/>
    <w:rPr>
      <w:color w:val="605E5C"/>
      <w:shd w:val="clear" w:color="auto" w:fill="E1DFDD"/>
    </w:rPr>
  </w:style>
  <w:style w:type="table" w:customStyle="1" w:styleId="Style1">
    <w:name w:val="Style1"/>
    <w:basedOn w:val="TableNormal"/>
    <w:uiPriority w:val="99"/>
    <w:rsid w:val="00A8110E"/>
    <w:pPr>
      <w:spacing w:after="0" w:line="240" w:lineRule="auto"/>
    </w:pPr>
    <w:tblPr>
      <w:tblStyleRowBandSize w:val="1"/>
    </w:tblPr>
  </w:style>
  <w:style w:type="paragraph" w:styleId="TableofFigures">
    <w:name w:val="table of figures"/>
    <w:basedOn w:val="Normal"/>
    <w:next w:val="Normal"/>
    <w:uiPriority w:val="99"/>
    <w:unhideWhenUsed/>
    <w:rsid w:val="00524800"/>
    <w:pPr>
      <w:spacing w:after="0"/>
    </w:pPr>
  </w:style>
  <w:style w:type="paragraph" w:styleId="Bibliography">
    <w:name w:val="Bibliography"/>
    <w:basedOn w:val="Normal"/>
    <w:next w:val="Normal"/>
    <w:uiPriority w:val="37"/>
    <w:unhideWhenUsed/>
    <w:rsid w:val="000B1929"/>
  </w:style>
  <w:style w:type="paragraph" w:customStyle="1" w:styleId="TableFigureFootnote">
    <w:name w:val="TableFigure Footnote"/>
    <w:basedOn w:val="Normal"/>
    <w:link w:val="TableFigureFootnoteChar"/>
    <w:qFormat/>
    <w:rsid w:val="00116C9C"/>
    <w:pPr>
      <w:spacing w:before="60"/>
    </w:pPr>
    <w:rPr>
      <w:i/>
      <w:sz w:val="18"/>
    </w:rPr>
  </w:style>
  <w:style w:type="character" w:customStyle="1" w:styleId="TableFigureFootnoteChar">
    <w:name w:val="TableFigure Footnote Char"/>
    <w:basedOn w:val="DefaultParagraphFont"/>
    <w:link w:val="TableFigureFootnote"/>
    <w:rsid w:val="00116C9C"/>
    <w:rPr>
      <w:rFonts w:ascii="Arial" w:hAnsi="Arial" w:cs="Arial"/>
      <w:i/>
      <w:sz w:val="18"/>
    </w:rPr>
  </w:style>
  <w:style w:type="paragraph" w:customStyle="1" w:styleId="AppendixHeadingLevel1">
    <w:name w:val="Appendix Heading Level 1"/>
    <w:next w:val="Normal"/>
    <w:link w:val="AppendixHeadingLevel1Char"/>
    <w:uiPriority w:val="10"/>
    <w:qFormat/>
    <w:rsid w:val="00E62CE6"/>
    <w:pPr>
      <w:keepNext/>
      <w:pageBreakBefore/>
      <w:numPr>
        <w:numId w:val="7"/>
      </w:numPr>
      <w:spacing w:before="120" w:after="120"/>
      <w:ind w:left="431" w:hanging="431"/>
      <w:outlineLvl w:val="0"/>
    </w:pPr>
    <w:rPr>
      <w:rFonts w:ascii="Arial" w:eastAsia="Times New Roman" w:hAnsi="Arial" w:cs="Arial"/>
      <w:bCs/>
      <w:color w:val="006BB7"/>
      <w:sz w:val="36"/>
      <w:szCs w:val="32"/>
    </w:rPr>
  </w:style>
  <w:style w:type="character" w:customStyle="1" w:styleId="AppendixHeadingLevel1Char">
    <w:name w:val="Appendix Heading Level 1 Char"/>
    <w:basedOn w:val="Heading1Char"/>
    <w:link w:val="AppendixHeadingLevel1"/>
    <w:uiPriority w:val="10"/>
    <w:rsid w:val="00E62CE6"/>
    <w:rPr>
      <w:rFonts w:ascii="Arial" w:eastAsia="Times New Roman" w:hAnsi="Arial" w:cs="Arial"/>
      <w:bCs/>
      <w:color w:val="006BB7"/>
      <w:sz w:val="36"/>
      <w:szCs w:val="32"/>
    </w:rPr>
  </w:style>
  <w:style w:type="paragraph" w:customStyle="1" w:styleId="AppendixHeadingLevel2">
    <w:name w:val="Appendix Heading Level 2"/>
    <w:basedOn w:val="Heading2"/>
    <w:next w:val="Normal"/>
    <w:link w:val="AppendixHeadingLevel2Char"/>
    <w:uiPriority w:val="10"/>
    <w:qFormat/>
    <w:rsid w:val="00E62CE6"/>
    <w:pPr>
      <w:keepLines w:val="0"/>
      <w:numPr>
        <w:numId w:val="7"/>
      </w:numPr>
      <w:spacing w:before="240" w:line="240" w:lineRule="auto"/>
    </w:pPr>
    <w:rPr>
      <w:rFonts w:eastAsia="Times New Roman"/>
      <w:bCs/>
      <w:iCs/>
      <w:szCs w:val="28"/>
    </w:rPr>
  </w:style>
  <w:style w:type="character" w:customStyle="1" w:styleId="AppendixHeadingLevel2Char">
    <w:name w:val="Appendix Heading Level 2 Char"/>
    <w:basedOn w:val="Heading2Char"/>
    <w:link w:val="AppendixHeadingLevel2"/>
    <w:uiPriority w:val="10"/>
    <w:rsid w:val="00E62CE6"/>
    <w:rPr>
      <w:rFonts w:ascii="Arial" w:eastAsia="Times New Roman" w:hAnsi="Arial" w:cs="Arial"/>
      <w:bCs/>
      <w:iCs/>
      <w:color w:val="006BB7"/>
      <w:sz w:val="32"/>
      <w:szCs w:val="28"/>
    </w:rPr>
  </w:style>
  <w:style w:type="paragraph" w:customStyle="1" w:styleId="AppendixHeadingLevel3">
    <w:name w:val="Appendix Heading Level 3"/>
    <w:basedOn w:val="Heading3"/>
    <w:next w:val="Normal"/>
    <w:link w:val="AppendixHeadingLevel3Char"/>
    <w:uiPriority w:val="10"/>
    <w:qFormat/>
    <w:rsid w:val="00F60DCC"/>
    <w:pPr>
      <w:keepLines w:val="0"/>
      <w:numPr>
        <w:numId w:val="7"/>
      </w:numPr>
      <w:spacing w:before="120" w:line="305" w:lineRule="auto"/>
      <w:ind w:left="612" w:hanging="612"/>
    </w:pPr>
    <w:rPr>
      <w:rFonts w:eastAsia="Times New Roman"/>
      <w:bCs/>
      <w:szCs w:val="26"/>
    </w:rPr>
  </w:style>
  <w:style w:type="character" w:customStyle="1" w:styleId="AppendixHeadingLevel3Char">
    <w:name w:val="Appendix Heading Level 3 Char"/>
    <w:basedOn w:val="Heading4Char"/>
    <w:link w:val="AppendixHeadingLevel3"/>
    <w:uiPriority w:val="10"/>
    <w:rsid w:val="00F60DCC"/>
    <w:rPr>
      <w:rFonts w:ascii="Arial" w:eastAsia="Times New Roman" w:hAnsi="Arial" w:cs="Arial"/>
      <w:bCs/>
      <w:iCs w:val="0"/>
      <w:color w:val="006BB7"/>
      <w:sz w:val="24"/>
      <w:szCs w:val="26"/>
    </w:rPr>
  </w:style>
  <w:style w:type="paragraph" w:customStyle="1" w:styleId="AppendixHeadingLevel4">
    <w:name w:val="Appendix Heading Level 4"/>
    <w:basedOn w:val="AppendixHeadingLevel3"/>
    <w:next w:val="Normal"/>
    <w:link w:val="AppendixHeadingLevel4Char"/>
    <w:uiPriority w:val="10"/>
    <w:qFormat/>
    <w:rsid w:val="00C72CA3"/>
    <w:pPr>
      <w:numPr>
        <w:ilvl w:val="3"/>
      </w:numPr>
      <w:tabs>
        <w:tab w:val="left" w:pos="993"/>
      </w:tabs>
      <w:spacing w:before="40" w:line="259" w:lineRule="auto"/>
      <w:ind w:left="862" w:hanging="862"/>
      <w:outlineLvl w:val="3"/>
    </w:pPr>
    <w:rPr>
      <w:sz w:val="20"/>
    </w:rPr>
  </w:style>
  <w:style w:type="character" w:customStyle="1" w:styleId="AppendixHeadingLevel4Char">
    <w:name w:val="Appendix Heading Level 4 Char"/>
    <w:basedOn w:val="AppendixHeadingLevel3Char"/>
    <w:link w:val="AppendixHeadingLevel4"/>
    <w:uiPriority w:val="10"/>
    <w:rsid w:val="00C72CA3"/>
    <w:rPr>
      <w:rFonts w:ascii="Arial" w:eastAsia="Times New Roman" w:hAnsi="Arial" w:cs="Arial"/>
      <w:bCs/>
      <w:iCs w:val="0"/>
      <w:color w:val="006BB7"/>
      <w:sz w:val="20"/>
      <w:szCs w:val="26"/>
    </w:rPr>
  </w:style>
  <w:style w:type="paragraph" w:customStyle="1" w:styleId="AppendixHeadingLevel5">
    <w:name w:val="Appendix Heading Level 5"/>
    <w:basedOn w:val="AppendixHeadingLevel4"/>
    <w:next w:val="Normal"/>
    <w:uiPriority w:val="10"/>
    <w:unhideWhenUsed/>
    <w:qFormat/>
    <w:rsid w:val="00E62CE6"/>
    <w:pPr>
      <w:numPr>
        <w:ilvl w:val="4"/>
      </w:numPr>
      <w:tabs>
        <w:tab w:val="clear" w:pos="993"/>
        <w:tab w:val="num" w:pos="360"/>
        <w:tab w:val="left" w:pos="1134"/>
      </w:tabs>
      <w:ind w:left="1134" w:hanging="1134"/>
      <w:outlineLvl w:val="4"/>
    </w:pPr>
    <w:rPr>
      <w:b/>
      <w:bCs w:val="0"/>
      <w:i/>
      <w:iCs/>
      <w:color w:val="auto"/>
    </w:rPr>
  </w:style>
  <w:style w:type="paragraph" w:styleId="BodyText">
    <w:name w:val="Body Text"/>
    <w:basedOn w:val="Normal"/>
    <w:link w:val="BodyTextChar"/>
    <w:semiHidden/>
    <w:rsid w:val="00B62026"/>
    <w:pPr>
      <w:spacing w:after="0" w:line="276" w:lineRule="auto"/>
      <w:jc w:val="both"/>
    </w:pPr>
    <w:rPr>
      <w:rFonts w:eastAsia="Times New Roman"/>
      <w:sz w:val="22"/>
      <w:szCs w:val="24"/>
    </w:rPr>
  </w:style>
  <w:style w:type="character" w:customStyle="1" w:styleId="BodyTextChar">
    <w:name w:val="Body Text Char"/>
    <w:basedOn w:val="DefaultParagraphFont"/>
    <w:link w:val="BodyText"/>
    <w:semiHidden/>
    <w:rsid w:val="00B62026"/>
    <w:rPr>
      <w:rFonts w:ascii="Arial" w:eastAsia="Times New Roman" w:hAnsi="Arial" w:cs="Arial"/>
      <w:szCs w:val="24"/>
    </w:rPr>
  </w:style>
  <w:style w:type="table" w:customStyle="1" w:styleId="Mainbidtables">
    <w:name w:val="Main bid tables"/>
    <w:basedOn w:val="TableNormal"/>
    <w:uiPriority w:val="99"/>
    <w:rsid w:val="00B62026"/>
    <w:pPr>
      <w:spacing w:before="60" w:after="0" w:line="240" w:lineRule="auto"/>
    </w:pPr>
    <w:rPr>
      <w:rFonts w:ascii="Arial" w:eastAsia="Times New Roman" w:hAnsi="Arial" w:cs="Times New Roman"/>
      <w:sz w:val="20"/>
      <w:szCs w:val="20"/>
      <w:lang w:eastAsia="en-GB"/>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hemeFill="background1"/>
      </w:tcPr>
    </w:tblStylePr>
  </w:style>
  <w:style w:type="character" w:customStyle="1" w:styleId="ListParagraphChar">
    <w:name w:val="List Paragraph Char"/>
    <w:basedOn w:val="DefaultParagraphFont"/>
    <w:link w:val="ListParagraph"/>
    <w:uiPriority w:val="34"/>
    <w:rsid w:val="00B62026"/>
    <w:rPr>
      <w:rFonts w:ascii="Arial" w:hAnsi="Arial" w:cs="Arial"/>
      <w:sz w:val="20"/>
    </w:rPr>
  </w:style>
  <w:style w:type="paragraph" w:styleId="Revision">
    <w:name w:val="Revision"/>
    <w:hidden/>
    <w:uiPriority w:val="99"/>
    <w:semiHidden/>
    <w:rsid w:val="00E11B1E"/>
    <w:pPr>
      <w:spacing w:after="0" w:line="240" w:lineRule="auto"/>
    </w:pPr>
    <w:rPr>
      <w:rFonts w:ascii="Arial" w:hAnsi="Arial" w:cs="Arial"/>
      <w:sz w:val="20"/>
    </w:rPr>
  </w:style>
  <w:style w:type="paragraph" w:styleId="EndnoteText">
    <w:name w:val="endnote text"/>
    <w:basedOn w:val="Normal"/>
    <w:link w:val="EndnoteTextChar"/>
    <w:uiPriority w:val="99"/>
    <w:semiHidden/>
    <w:unhideWhenUsed/>
    <w:rsid w:val="00701B48"/>
    <w:pPr>
      <w:spacing w:after="0" w:line="240" w:lineRule="auto"/>
    </w:pPr>
    <w:rPr>
      <w:szCs w:val="20"/>
    </w:rPr>
  </w:style>
  <w:style w:type="character" w:customStyle="1" w:styleId="EndnoteTextChar">
    <w:name w:val="Endnote Text Char"/>
    <w:basedOn w:val="DefaultParagraphFont"/>
    <w:link w:val="EndnoteText"/>
    <w:uiPriority w:val="99"/>
    <w:semiHidden/>
    <w:rsid w:val="00701B48"/>
    <w:rPr>
      <w:rFonts w:ascii="Arial" w:hAnsi="Arial" w:cs="Arial"/>
      <w:sz w:val="20"/>
      <w:szCs w:val="20"/>
    </w:rPr>
  </w:style>
  <w:style w:type="character" w:styleId="EndnoteReference">
    <w:name w:val="endnote reference"/>
    <w:basedOn w:val="DefaultParagraphFont"/>
    <w:uiPriority w:val="99"/>
    <w:semiHidden/>
    <w:unhideWhenUsed/>
    <w:rsid w:val="00701B48"/>
    <w:rPr>
      <w:vertAlign w:val="superscript"/>
    </w:rPr>
  </w:style>
  <w:style w:type="paragraph" w:styleId="NormalWeb">
    <w:name w:val="Normal (Web)"/>
    <w:basedOn w:val="Normal"/>
    <w:uiPriority w:val="99"/>
    <w:semiHidden/>
    <w:unhideWhenUsed/>
    <w:rsid w:val="004D12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8224B8"/>
  </w:style>
  <w:style w:type="character" w:styleId="FollowedHyperlink">
    <w:name w:val="FollowedHyperlink"/>
    <w:basedOn w:val="DefaultParagraphFont"/>
    <w:uiPriority w:val="99"/>
    <w:semiHidden/>
    <w:unhideWhenUsed/>
    <w:rsid w:val="005F1A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93767">
      <w:bodyDiv w:val="1"/>
      <w:marLeft w:val="0"/>
      <w:marRight w:val="0"/>
      <w:marTop w:val="0"/>
      <w:marBottom w:val="0"/>
      <w:divBdr>
        <w:top w:val="none" w:sz="0" w:space="0" w:color="auto"/>
        <w:left w:val="none" w:sz="0" w:space="0" w:color="auto"/>
        <w:bottom w:val="none" w:sz="0" w:space="0" w:color="auto"/>
        <w:right w:val="none" w:sz="0" w:space="0" w:color="auto"/>
      </w:divBdr>
    </w:div>
    <w:div w:id="578297587">
      <w:bodyDiv w:val="1"/>
      <w:marLeft w:val="0"/>
      <w:marRight w:val="0"/>
      <w:marTop w:val="0"/>
      <w:marBottom w:val="0"/>
      <w:divBdr>
        <w:top w:val="none" w:sz="0" w:space="0" w:color="auto"/>
        <w:left w:val="none" w:sz="0" w:space="0" w:color="auto"/>
        <w:bottom w:val="none" w:sz="0" w:space="0" w:color="auto"/>
        <w:right w:val="none" w:sz="0" w:space="0" w:color="auto"/>
      </w:divBdr>
    </w:div>
    <w:div w:id="945232036">
      <w:bodyDiv w:val="1"/>
      <w:marLeft w:val="0"/>
      <w:marRight w:val="0"/>
      <w:marTop w:val="0"/>
      <w:marBottom w:val="0"/>
      <w:divBdr>
        <w:top w:val="none" w:sz="0" w:space="0" w:color="auto"/>
        <w:left w:val="none" w:sz="0" w:space="0" w:color="auto"/>
        <w:bottom w:val="none" w:sz="0" w:space="0" w:color="auto"/>
        <w:right w:val="none" w:sz="0" w:space="0" w:color="auto"/>
      </w:divBdr>
    </w:div>
    <w:div w:id="1098864583">
      <w:bodyDiv w:val="1"/>
      <w:marLeft w:val="0"/>
      <w:marRight w:val="0"/>
      <w:marTop w:val="0"/>
      <w:marBottom w:val="0"/>
      <w:divBdr>
        <w:top w:val="none" w:sz="0" w:space="0" w:color="auto"/>
        <w:left w:val="none" w:sz="0" w:space="0" w:color="auto"/>
        <w:bottom w:val="none" w:sz="0" w:space="0" w:color="auto"/>
        <w:right w:val="none" w:sz="0" w:space="0" w:color="auto"/>
      </w:divBdr>
    </w:div>
    <w:div w:id="1285693775">
      <w:bodyDiv w:val="1"/>
      <w:marLeft w:val="0"/>
      <w:marRight w:val="0"/>
      <w:marTop w:val="0"/>
      <w:marBottom w:val="0"/>
      <w:divBdr>
        <w:top w:val="none" w:sz="0" w:space="0" w:color="auto"/>
        <w:left w:val="none" w:sz="0" w:space="0" w:color="auto"/>
        <w:bottom w:val="none" w:sz="0" w:space="0" w:color="auto"/>
        <w:right w:val="none" w:sz="0" w:space="0" w:color="auto"/>
      </w:divBdr>
      <w:divsChild>
        <w:div w:id="441343662">
          <w:marLeft w:val="1282"/>
          <w:marRight w:val="0"/>
          <w:marTop w:val="100"/>
          <w:marBottom w:val="0"/>
          <w:divBdr>
            <w:top w:val="none" w:sz="0" w:space="0" w:color="auto"/>
            <w:left w:val="none" w:sz="0" w:space="0" w:color="auto"/>
            <w:bottom w:val="none" w:sz="0" w:space="0" w:color="auto"/>
            <w:right w:val="none" w:sz="0" w:space="0" w:color="auto"/>
          </w:divBdr>
        </w:div>
        <w:div w:id="458375174">
          <w:marLeft w:val="432"/>
          <w:marRight w:val="0"/>
          <w:marTop w:val="200"/>
          <w:marBottom w:val="0"/>
          <w:divBdr>
            <w:top w:val="none" w:sz="0" w:space="0" w:color="auto"/>
            <w:left w:val="none" w:sz="0" w:space="0" w:color="auto"/>
            <w:bottom w:val="none" w:sz="0" w:space="0" w:color="auto"/>
            <w:right w:val="none" w:sz="0" w:space="0" w:color="auto"/>
          </w:divBdr>
        </w:div>
        <w:div w:id="1322612191">
          <w:marLeft w:val="1282"/>
          <w:marRight w:val="0"/>
          <w:marTop w:val="100"/>
          <w:marBottom w:val="0"/>
          <w:divBdr>
            <w:top w:val="none" w:sz="0" w:space="0" w:color="auto"/>
            <w:left w:val="none" w:sz="0" w:space="0" w:color="auto"/>
            <w:bottom w:val="none" w:sz="0" w:space="0" w:color="auto"/>
            <w:right w:val="none" w:sz="0" w:space="0" w:color="auto"/>
          </w:divBdr>
        </w:div>
        <w:div w:id="1589388366">
          <w:marLeft w:val="1282"/>
          <w:marRight w:val="0"/>
          <w:marTop w:val="100"/>
          <w:marBottom w:val="0"/>
          <w:divBdr>
            <w:top w:val="none" w:sz="0" w:space="0" w:color="auto"/>
            <w:left w:val="none" w:sz="0" w:space="0" w:color="auto"/>
            <w:bottom w:val="none" w:sz="0" w:space="0" w:color="auto"/>
            <w:right w:val="none" w:sz="0" w:space="0" w:color="auto"/>
          </w:divBdr>
        </w:div>
        <w:div w:id="1887064346">
          <w:marLeft w:val="1282"/>
          <w:marRight w:val="0"/>
          <w:marTop w:val="100"/>
          <w:marBottom w:val="0"/>
          <w:divBdr>
            <w:top w:val="none" w:sz="0" w:space="0" w:color="auto"/>
            <w:left w:val="none" w:sz="0" w:space="0" w:color="auto"/>
            <w:bottom w:val="none" w:sz="0" w:space="0" w:color="auto"/>
            <w:right w:val="none" w:sz="0" w:space="0" w:color="auto"/>
          </w:divBdr>
        </w:div>
      </w:divsChild>
    </w:div>
    <w:div w:id="1366448429">
      <w:bodyDiv w:val="1"/>
      <w:marLeft w:val="0"/>
      <w:marRight w:val="0"/>
      <w:marTop w:val="0"/>
      <w:marBottom w:val="0"/>
      <w:divBdr>
        <w:top w:val="none" w:sz="0" w:space="0" w:color="auto"/>
        <w:left w:val="none" w:sz="0" w:space="0" w:color="auto"/>
        <w:bottom w:val="none" w:sz="0" w:space="0" w:color="auto"/>
        <w:right w:val="none" w:sz="0" w:space="0" w:color="auto"/>
      </w:divBdr>
    </w:div>
    <w:div w:id="1400208381">
      <w:bodyDiv w:val="1"/>
      <w:marLeft w:val="0"/>
      <w:marRight w:val="0"/>
      <w:marTop w:val="0"/>
      <w:marBottom w:val="0"/>
      <w:divBdr>
        <w:top w:val="none" w:sz="0" w:space="0" w:color="auto"/>
        <w:left w:val="none" w:sz="0" w:space="0" w:color="auto"/>
        <w:bottom w:val="none" w:sz="0" w:space="0" w:color="auto"/>
        <w:right w:val="none" w:sz="0" w:space="0" w:color="auto"/>
      </w:divBdr>
    </w:div>
    <w:div w:id="1441293970">
      <w:bodyDiv w:val="1"/>
      <w:marLeft w:val="0"/>
      <w:marRight w:val="0"/>
      <w:marTop w:val="0"/>
      <w:marBottom w:val="0"/>
      <w:divBdr>
        <w:top w:val="none" w:sz="0" w:space="0" w:color="auto"/>
        <w:left w:val="none" w:sz="0" w:space="0" w:color="auto"/>
        <w:bottom w:val="none" w:sz="0" w:space="0" w:color="auto"/>
        <w:right w:val="none" w:sz="0" w:space="0" w:color="auto"/>
      </w:divBdr>
    </w:div>
    <w:div w:id="1588536185">
      <w:bodyDiv w:val="1"/>
      <w:marLeft w:val="0"/>
      <w:marRight w:val="0"/>
      <w:marTop w:val="0"/>
      <w:marBottom w:val="0"/>
      <w:divBdr>
        <w:top w:val="none" w:sz="0" w:space="0" w:color="auto"/>
        <w:left w:val="none" w:sz="0" w:space="0" w:color="auto"/>
        <w:bottom w:val="none" w:sz="0" w:space="0" w:color="auto"/>
        <w:right w:val="none" w:sz="0" w:space="0" w:color="auto"/>
      </w:divBdr>
    </w:div>
    <w:div w:id="1917091064">
      <w:bodyDiv w:val="1"/>
      <w:marLeft w:val="0"/>
      <w:marRight w:val="0"/>
      <w:marTop w:val="0"/>
      <w:marBottom w:val="0"/>
      <w:divBdr>
        <w:top w:val="none" w:sz="0" w:space="0" w:color="auto"/>
        <w:left w:val="none" w:sz="0" w:space="0" w:color="auto"/>
        <w:bottom w:val="none" w:sz="0" w:space="0" w:color="auto"/>
        <w:right w:val="none" w:sz="0" w:space="0" w:color="auto"/>
      </w:divBdr>
    </w:div>
    <w:div w:id="1954481016">
      <w:bodyDiv w:val="1"/>
      <w:marLeft w:val="0"/>
      <w:marRight w:val="0"/>
      <w:marTop w:val="0"/>
      <w:marBottom w:val="0"/>
      <w:divBdr>
        <w:top w:val="none" w:sz="0" w:space="0" w:color="auto"/>
        <w:left w:val="none" w:sz="0" w:space="0" w:color="auto"/>
        <w:bottom w:val="none" w:sz="0" w:space="0" w:color="auto"/>
        <w:right w:val="none" w:sz="0" w:space="0" w:color="auto"/>
      </w:divBdr>
    </w:div>
    <w:div w:id="2047751937">
      <w:bodyDiv w:val="1"/>
      <w:marLeft w:val="0"/>
      <w:marRight w:val="0"/>
      <w:marTop w:val="0"/>
      <w:marBottom w:val="0"/>
      <w:divBdr>
        <w:top w:val="none" w:sz="0" w:space="0" w:color="auto"/>
        <w:left w:val="none" w:sz="0" w:space="0" w:color="auto"/>
        <w:bottom w:val="none" w:sz="0" w:space="0" w:color="auto"/>
        <w:right w:val="none" w:sz="0" w:space="0" w:color="auto"/>
      </w:divBdr>
    </w:div>
    <w:div w:id="2121410873">
      <w:bodyDiv w:val="1"/>
      <w:marLeft w:val="0"/>
      <w:marRight w:val="0"/>
      <w:marTop w:val="0"/>
      <w:marBottom w:val="0"/>
      <w:divBdr>
        <w:top w:val="none" w:sz="0" w:space="0" w:color="auto"/>
        <w:left w:val="none" w:sz="0" w:space="0" w:color="auto"/>
        <w:bottom w:val="none" w:sz="0" w:space="0" w:color="auto"/>
        <w:right w:val="none" w:sz="0" w:space="0" w:color="auto"/>
      </w:divBdr>
    </w:div>
    <w:div w:id="2121993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southernwater.co.uk/account/average-water-use-and-cost" TargetMode="External"/><Relationship Id="rId13" Type="http://schemas.openxmlformats.org/officeDocument/2006/relationships/hyperlink" Target="https://chichester.oc2.uk/document/45" TargetMode="External"/><Relationship Id="rId3" Type="http://schemas.openxmlformats.org/officeDocument/2006/relationships/hyperlink" Target="https://www.chichester.gov.uk/thelocalplanclimatechange" TargetMode="External"/><Relationship Id="rId7" Type="http://schemas.openxmlformats.org/officeDocument/2006/relationships/hyperlink" Target="https://www.gov.uk/government/publications/calculating-dry-weather-flow-dwf-at-waste-water-treatment-works/calculating-dry-weather-flow-dwf-at-waste-water-treatment-works" TargetMode="External"/><Relationship Id="rId12" Type="http://schemas.openxmlformats.org/officeDocument/2006/relationships/hyperlink" Target="https://www.gov.uk/government/publications/calculating-dry-weather-flow-dwf-at-waste-water-treatment-works/calculating-dry-weather-flow-dwf-at-waste-water-treatment-works" TargetMode="External"/><Relationship Id="rId2" Type="http://schemas.openxmlformats.org/officeDocument/2006/relationships/hyperlink" Target="https://www.push.gov.uk/wp-content/uploads/2020/10/Wood-Technical-Note-July-2020.pdf" TargetMode="External"/><Relationship Id="rId1" Type="http://schemas.openxmlformats.org/officeDocument/2006/relationships/hyperlink" Target="https://eur03.safelinks.protection.outlook.com/?url=https%3A%2F%2Fwww.chichester.gov.uk%2Fmedia%2F30900%2FChichester-Water-Quality-Assessment%2Fpdf%2FChichester_Water_Quality_Assessment.pdf%3Fm%3D1542884327060&amp;data=05%7C02%7Cfederico.tromboni%40ricardo.com%7Cdf537e23115e4a24f82808dc3c2bacd8%7C0b6675bca0cc4acf954f092a57ea13ea%7C0%7C0%7C638451405643510998%7CUnknown%7CTWFpbGZsb3d8eyJWIjoiMC4wLjAwMDAiLCJQIjoiV2luMzIiLCJBTiI6Ik1haWwiLCJXVCI6Mn0%3D%7C0%7C%7C%7C&amp;sdata=FuFQpMStTpVHhaTxmXainzY6YrgB5t9GiPrXnHrSxQw%3D&amp;reserved=0" TargetMode="External"/><Relationship Id="rId6" Type="http://schemas.openxmlformats.org/officeDocument/2006/relationships/hyperlink" Target="https://www.gov.uk/guidance/monitoring-discharges-to-water-guidance-on-selecting-a-monitoring-approach" TargetMode="External"/><Relationship Id="rId11" Type="http://schemas.openxmlformats.org/officeDocument/2006/relationships/hyperlink" Target="https://www.southernwater.co.uk/media/7597/southern_water_dwrmp24.pdf" TargetMode="External"/><Relationship Id="rId5" Type="http://schemas.openxmlformats.org/officeDocument/2006/relationships/hyperlink" Target="https://www.chichester.gov.uk/thelocalplanclimatechange" TargetMode="External"/><Relationship Id="rId10" Type="http://schemas.openxmlformats.org/officeDocument/2006/relationships/hyperlink" Target="https://www.chichester.gov.uk/thelocalplanclimatechange" TargetMode="External"/><Relationship Id="rId4" Type="http://schemas.openxmlformats.org/officeDocument/2006/relationships/hyperlink" Target="https://www.chichester.gov.uk/supplementaryplanningdocuments" TargetMode="External"/><Relationship Id="rId9" Type="http://schemas.openxmlformats.org/officeDocument/2006/relationships/hyperlink" Target="https://www.ons.gov.uk/peoplepopulationandcommunity/birthsdeathsandmarriages/families/bulletins/familiesandhouseholds/20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t9\OneDrive%20-%20Ricardo%20Plc\FT%20Folder\Projects\Carlile%20WWTW\Carlisle%20WwTW%20dewatering%20-%20HIA_Draft_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REE Project Document" ma:contentTypeID="0x010100A1A26C4BCFF240D5BC273ED44781910B00C47F990053B19E4B9C4C0909C042FF6A" ma:contentTypeVersion="6" ma:contentTypeDescription="REE Project Document" ma:contentTypeScope="" ma:versionID="e1e43d3e7fa210428354d5cba23b926b">
  <xsd:schema xmlns:xsd="http://www.w3.org/2001/XMLSchema" xmlns:xs="http://www.w3.org/2001/XMLSchema" xmlns:p="http://schemas.microsoft.com/office/2006/metadata/properties" xmlns:ns1="http://schemas.microsoft.com/sharepoint/v3" xmlns:ns2="75975772-6a6d-4c16-8090-d45d9e29473d" xmlns:ns3="b575a575-3fda-4ae9-b94e-f72497971c5e" xmlns:ns4="5300f511-d9eb-4ae4-8773-e4e19d0df42e" targetNamespace="http://schemas.microsoft.com/office/2006/metadata/properties" ma:root="true" ma:fieldsID="a909fd163e2e8df9001cf7a5da1c1032" ns1:_="" ns2:_="" ns3:_="" ns4:_="">
    <xsd:import namespace="http://schemas.microsoft.com/sharepoint/v3"/>
    <xsd:import namespace="75975772-6a6d-4c16-8090-d45d9e29473d"/>
    <xsd:import namespace="b575a575-3fda-4ae9-b94e-f72497971c5e"/>
    <xsd:import namespace="5300f511-d9eb-4ae4-8773-e4e19d0df42e"/>
    <xsd:element name="properties">
      <xsd:complexType>
        <xsd:sequence>
          <xsd:element name="documentManagement">
            <xsd:complexType>
              <xsd:all>
                <xsd:element ref="ns2:_dlc_DocId" minOccurs="0"/>
                <xsd:element ref="ns2:_dlc_DocIdUrl" minOccurs="0"/>
                <xsd:element ref="ns2:_dlc_DocIdPersistId" minOccurs="0"/>
                <xsd:element ref="ns1:Document_x0020_TypeTaxonomyTaxHTField0" minOccurs="0"/>
                <xsd:element ref="ns1:R_x002d_KeywordsTaxonomyTaxHTField0" minOccurs="0"/>
                <xsd:element ref="ns3:Generate_x0020_Keywords" minOccurs="0"/>
                <xsd:element ref="ns1:Project_x0020_Number" minOccurs="0"/>
                <xsd:element ref="ns1:AgressoCustomerTaxonomyTaxHTField0" minOccurs="0"/>
                <xsd:element ref="ns1:BusinessAreaTaxonomyTaxHTField0" minOccurs="0"/>
                <xsd:element ref="ns1:R-DivisionPolicyTaxonomyTaxHTField0" minOccurs="0"/>
                <xsd:element ref="ns1:Market_x0020_SectorTaxonomyTaxHTField0" minOccurs="0"/>
                <xsd:element ref="ns1:Document_x0020_Comments" minOccurs="0"/>
                <xsd:element ref="ns1:Folder_x0020_Structure" minOccurs="0"/>
                <xsd:element ref="ns2:TaxCatchAll" minOccurs="0"/>
                <xsd:element ref="ns2:TaxCatchAllLabel" minOccurs="0"/>
                <xsd:element ref="ns1:FileExtension" minOccurs="0"/>
                <xsd:element ref="ns3:KeyDocument" minOccurs="0"/>
                <xsd:element ref="ns3:AuthoredByCustomer" minOccurs="0"/>
                <xsd:element ref="ns1:Authors" minOccurs="0"/>
                <xsd:element ref="ns3:Authoring_x0020_Departments" minOccurs="0"/>
                <xsd:element ref="ns3:Document_x0020_Issued" minOccurs="0"/>
                <xsd:element ref="ns1:Document_x0020_Reference" minOccurs="0"/>
                <xsd:element ref="ns1:RootDocumentReference" minOccurs="0"/>
                <xsd:element ref="ns3:Issued_x0020_Date" minOccurs="0"/>
                <xsd:element ref="ns3:Document_x0020_Status" minOccurs="0"/>
                <xsd:element ref="ns1:Document_x0020_Approver" minOccurs="0"/>
                <xsd:element ref="ns1:ApprovalRecordedBy" minOccurs="0"/>
                <xsd:element ref="ns1:Version_x0020_No" minOccurs="0"/>
                <xsd:element ref="ns1:R-DivisionTaxonomyTaxHTField0" minOccurs="0"/>
                <xsd:element ref="ns4:HideEveryth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_x0020_TypeTaxonomyTaxHTField0" ma:index="12" ma:taxonomy="true" ma:internalName="Document_x0020_TypeTaxonomyTaxHTField0" ma:taxonomyFieldName="Document_x0020_Type" ma:displayName="Document Type" ma:default="1;#Project Document|df098213-6b74-42fc-9316-2f1a9531d8f9" ma:fieldId="{fd31b5d2-9459-4462-9e35-c51176d55d6c}" ma:sspId="02677147-8018-48bf-96e8-39add3f86844" ma:termSetId="80de7132-7744-4fa5-9cb1-6eeaa76d3251" ma:anchorId="00000000-0000-0000-0000-000000000000" ma:open="false" ma:isKeyword="false">
      <xsd:complexType>
        <xsd:sequence>
          <xsd:element ref="pc:Terms" minOccurs="0" maxOccurs="1"/>
        </xsd:sequence>
      </xsd:complexType>
    </xsd:element>
    <xsd:element name="R_x002d_KeywordsTaxonomyTaxHTField0" ma:index="14" nillable="true" ma:taxonomy="true" ma:internalName="R_x002d_KeywordsTaxonomyTaxHTField0" ma:taxonomyFieldName="R_x002d_Keywords" ma:displayName="R-Keywords" ma:fieldId="{1c42c021-f3aa-43e0-98ca-6790571791a9}" ma:sspId="02677147-8018-48bf-96e8-39add3f86844" ma:termSetId="3101ac92-b66e-4a17-9ea7-0976b491e8e5" ma:anchorId="00000000-0000-0000-0000-000000000000" ma:open="false" ma:isKeyword="false">
      <xsd:complexType>
        <xsd:sequence>
          <xsd:element ref="pc:Terms" minOccurs="0" maxOccurs="1"/>
        </xsd:sequence>
      </xsd:complexType>
    </xsd:element>
    <xsd:element name="Project_x0020_Number" ma:index="16" nillable="true" ma:displayName="Project Number" ma:internalName="Project_x0020_Number">
      <xsd:simpleType>
        <xsd:restriction base="dms:Text"/>
      </xsd:simpleType>
    </xsd:element>
    <xsd:element name="AgressoCustomerTaxonomyTaxHTField0" ma:index="18" nillable="true" ma:taxonomy="true" ma:internalName="AgressoCustomerTaxonomyTaxHTField0" ma:taxonomyFieldName="AgressoCustomer" ma:displayName="Customer" ma:fieldId="{1d3b52e4-1af7-4246-9c35-147842386b6c}" ma:sspId="02677147-8018-48bf-96e8-39add3f86844" ma:termSetId="923cec87-5f7b-42ba-9a57-d5efa69a4b84" ma:anchorId="00000000-0000-0000-0000-000000000000" ma:open="false" ma:isKeyword="false">
      <xsd:complexType>
        <xsd:sequence>
          <xsd:element ref="pc:Terms" minOccurs="0" maxOccurs="1"/>
        </xsd:sequence>
      </xsd:complexType>
    </xsd:element>
    <xsd:element name="BusinessAreaTaxonomyTaxHTField0" ma:index="20" nillable="true" ma:taxonomy="true" ma:internalName="BusinessAreaTaxonomyTaxHTField0" ma:taxonomyFieldName="BusinessArea" ma:displayName="Business Area" ma:fieldId="{4d2c5a62-cace-44d5-a5f6-13d3bee16938}" ma:sspId="02677147-8018-48bf-96e8-39add3f86844" ma:termSetId="b135ba22-1eea-4fc3-9293-1752ba7ea5f6" ma:anchorId="00000000-0000-0000-0000-000000000000" ma:open="false" ma:isKeyword="false">
      <xsd:complexType>
        <xsd:sequence>
          <xsd:element ref="pc:Terms" minOccurs="0" maxOccurs="1"/>
        </xsd:sequence>
      </xsd:complexType>
    </xsd:element>
    <xsd:element name="R-DivisionPolicyTaxonomyTaxHTField0" ma:index="22" nillable="true" ma:taxonomy="true" ma:internalName="R_x002d_DivisionPolicyTaxonomyTaxHTField0" ma:taxonomyFieldName="R_x002d_DivisionPolicy" ma:displayName="Division" ma:fieldId="{50ad19bc-2508-45c6-bb4f-781576d44aa2}" ma:sspId="02677147-8018-48bf-96e8-39add3f86844" ma:termSetId="f724f16d-ce9a-4784-adab-f98a1fd9d8e6" ma:anchorId="00000000-0000-0000-0000-000000000000" ma:open="false" ma:isKeyword="false">
      <xsd:complexType>
        <xsd:sequence>
          <xsd:element ref="pc:Terms" minOccurs="0" maxOccurs="1"/>
        </xsd:sequence>
      </xsd:complexType>
    </xsd:element>
    <xsd:element name="Market_x0020_SectorTaxonomyTaxHTField0" ma:index="25" nillable="true" ma:taxonomy="true" ma:internalName="Market_x0020_SectorTaxonomyTaxHTField0" ma:taxonomyFieldName="Market_x0020_Sector" ma:displayName="Market Sector" ma:fieldId="{91294c4a-0fea-4059-9ad9-cccc9ef86cba}" ma:sspId="02677147-8018-48bf-96e8-39add3f86844" ma:termSetId="08cfdd10-ef36-4030-98be-25f6a603bde4" ma:anchorId="00000000-0000-0000-0000-000000000000" ma:open="false" ma:isKeyword="false">
      <xsd:complexType>
        <xsd:sequence>
          <xsd:element ref="pc:Terms" minOccurs="0" maxOccurs="1"/>
        </xsd:sequence>
      </xsd:complexType>
    </xsd:element>
    <xsd:element name="Document_x0020_Comments" ma:index="26" nillable="true" ma:displayName="Document Comments" ma:internalName="Document_x0020_Comments">
      <xsd:simpleType>
        <xsd:restriction base="dms:Note">
          <xsd:maxLength value="255"/>
        </xsd:restriction>
      </xsd:simpleType>
    </xsd:element>
    <xsd:element name="Folder_x0020_Structure" ma:index="27" nillable="true" ma:displayName="Folder Structure" ma:internalName="Folder_x0020_Structure">
      <xsd:simpleType>
        <xsd:restriction base="dms:Note"/>
      </xsd:simpleType>
    </xsd:element>
    <xsd:element name="FileExtension" ma:index="30" nillable="true" ma:displayName="File Extension" ma:internalName="FileExtension" ma:readOnly="true">
      <xsd:simpleType>
        <xsd:restriction base="dms:Text"/>
      </xsd:simpleType>
    </xsd:element>
    <xsd:element name="Authors" ma:index="33" nillable="true" ma:displayName="Authors" ma:internalName="Auth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Reference" ma:index="36" nillable="true" ma:displayName="Document Reference" ma:indexed="true" ma:internalName="Document_x0020_Reference">
      <xsd:simpleType>
        <xsd:restriction base="dms:Text"/>
      </xsd:simpleType>
    </xsd:element>
    <xsd:element name="RootDocumentReference" ma:index="37" nillable="true" ma:displayName="Root Document Reference" ma:indexed="true" ma:internalName="RootDocumentReference">
      <xsd:simpleType>
        <xsd:restriction base="dms:Text"/>
      </xsd:simpleType>
    </xsd:element>
    <xsd:element name="Document_x0020_Approver" ma:index="40" nillable="true" ma:displayName="Document Approver" ma:internalName="Document_x0020_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cordedBy" ma:index="41" nillable="true" ma:displayName="Approval Recorded By" ma:internalName="ApprovalRecord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ersion_x0020_No" ma:index="42" nillable="true" ma:displayName="Version No" ma:internalName="Version_x0020_No" ma:readOnly="true">
      <xsd:simpleType>
        <xsd:restriction base="dms:Text"/>
      </xsd:simpleType>
    </xsd:element>
    <xsd:element name="R-DivisionTaxonomyTaxHTField0" ma:index="43" nillable="true" ma:taxonomy="true" ma:internalName="R_x002d_DivisionTaxonomyTaxHTField0" ma:taxonomyFieldName="R_x002d_Division" ma:displayName="Company" ma:fieldId="{a0b740e5-6a48-43d1-aea4-81fb22ff6c26}" ma:sspId="02677147-8018-48bf-96e8-39add3f86844" ma:termSetId="916500c3-4c6e-47cd-8039-34f4c1f6d9a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975772-6a6d-4c16-8090-d45d9e29473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description="" ma:hidden="true" ma:list="{e18e9592-4626-47e8-80c8-c7908d9cee53}" ma:internalName="TaxCatchAll" ma:showField="CatchAllData" ma:web="b575a575-3fda-4ae9-b94e-f72497971c5e">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description="" ma:hidden="true" ma:list="{e18e9592-4626-47e8-80c8-c7908d9cee53}" ma:internalName="TaxCatchAllLabel" ma:readOnly="true" ma:showField="CatchAllDataLabel" ma:web="b575a575-3fda-4ae9-b94e-f72497971c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75a575-3fda-4ae9-b94e-f72497971c5e" elementFormDefault="qualified">
    <xsd:import namespace="http://schemas.microsoft.com/office/2006/documentManagement/types"/>
    <xsd:import namespace="http://schemas.microsoft.com/office/infopath/2007/PartnerControls"/>
    <xsd:element name="Generate_x0020_Keywords" ma:index="15" nillable="true" ma:displayName="Generate Keywords" ma:default="1" ma:internalName="Generate_x0020_Keywords">
      <xsd:simpleType>
        <xsd:restriction base="dms:Boolean"/>
      </xsd:simpleType>
    </xsd:element>
    <xsd:element name="KeyDocument" ma:index="31" nillable="true" ma:displayName="Key Document" ma:default="0" ma:internalName="KeyDocument">
      <xsd:simpleType>
        <xsd:restriction base="dms:Boolean"/>
      </xsd:simpleType>
    </xsd:element>
    <xsd:element name="AuthoredByCustomer" ma:index="32" nillable="true" ma:displayName="Authored By Customer" ma:default="0" ma:internalName="AuthoredByCustomer">
      <xsd:simpleType>
        <xsd:restriction base="dms:Boolean"/>
      </xsd:simpleType>
    </xsd:element>
    <xsd:element name="Authoring_x0020_Departments" ma:index="34" nillable="true" ma:displayName="Authoring Departments" ma:internalName="Authoring_x0020_Departments">
      <xsd:complexType>
        <xsd:complexContent>
          <xsd:extension base="dms:MultiChoiceFillIn">
            <xsd:sequence>
              <xsd:element name="Value" maxOccurs="unbounded" minOccurs="0" nillable="true">
                <xsd:simpleType>
                  <xsd:union memberTypes="dms:Text">
                    <xsd:simpleType>
                      <xsd:restriction base="dms:Choice">
                        <xsd:enumeration value="No Department"/>
                      </xsd:restriction>
                    </xsd:simpleType>
                  </xsd:union>
                </xsd:simpleType>
              </xsd:element>
            </xsd:sequence>
          </xsd:extension>
        </xsd:complexContent>
      </xsd:complexType>
    </xsd:element>
    <xsd:element name="Document_x0020_Issued" ma:index="35" nillable="true" ma:displayName="Document Issued" ma:internalName="Document_x0020_Issued">
      <xsd:simpleType>
        <xsd:restriction base="dms:Choice">
          <xsd:enumeration value="Yes"/>
          <xsd:enumeration value="No"/>
        </xsd:restriction>
      </xsd:simpleType>
    </xsd:element>
    <xsd:element name="Issued_x0020_Date" ma:index="38" nillable="true" ma:displayName="Issued Date" ma:format="DateOnly" ma:internalName="Issued_x0020_Date">
      <xsd:simpleType>
        <xsd:restriction base="dms:DateTime"/>
      </xsd:simpleType>
    </xsd:element>
    <xsd:element name="Document_x0020_Status" ma:index="39" nillable="true" ma:displayName="Document Status" ma:internalName="Document_x0020_Status">
      <xsd:simpleType>
        <xsd:restriction base="dms:Choice">
          <xsd:enumeration value="Approv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5300f511-d9eb-4ae4-8773-e4e19d0df42e" elementFormDefault="qualified">
    <xsd:import namespace="http://schemas.microsoft.com/office/2006/documentManagement/types"/>
    <xsd:import namespace="http://schemas.microsoft.com/office/infopath/2007/PartnerControls"/>
    <xsd:element name="HideEverything" ma:index="44" nillable="true" ma:displayName="HideEverything" ma:internalName="HideEverything">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TaxonomyTaxHTField0 xmlns="http://schemas.microsoft.com/sharepoint/v3">
      <Terms xmlns="http://schemas.microsoft.com/office/infopath/2007/PartnerControls">
        <TermInfo xmlns="http://schemas.microsoft.com/office/infopath/2007/PartnerControls">
          <TermName xmlns="http://schemas.microsoft.com/office/infopath/2007/PartnerControls">Project Document</TermName>
          <TermId xmlns="http://schemas.microsoft.com/office/infopath/2007/PartnerControls">df098213-6b74-42fc-9316-2f1a9531d8f9</TermId>
        </TermInfo>
      </Terms>
    </Document_x0020_TypeTaxonomyTaxHTField0>
    <Document_x0020_Comments xmlns="http://schemas.microsoft.com/sharepoint/v3" xsi:nil="true"/>
    <Authors xmlns="http://schemas.microsoft.com/sharepoint/v3">
      <UserInfo>
        <DisplayName/>
        <AccountId xsi:nil="true"/>
        <AccountType/>
      </UserInfo>
    </Authors>
    <Document_x0020_Status xmlns="b575a575-3fda-4ae9-b94e-f72497971c5e" xsi:nil="true"/>
    <R-DivisionTaxonomyTaxHTField0 xmlns="http://schemas.microsoft.com/sharepoint/v3">
      <Terms xmlns="http://schemas.microsoft.com/office/infopath/2007/PartnerControls"/>
    </R-DivisionTaxonomyTaxHTField0>
    <Project_x0020_Number xmlns="http://schemas.microsoft.com/sharepoint/v3" xsi:nil="true"/>
    <Document_x0020_Approver xmlns="http://schemas.microsoft.com/sharepoint/v3">
      <UserInfo>
        <DisplayName/>
        <AccountId xsi:nil="true"/>
        <AccountType/>
      </UserInfo>
    </Document_x0020_Approver>
    <R_x002d_KeywordsTaxonomyTaxHTField0 xmlns="http://schemas.microsoft.com/sharepoint/v3">
      <Terms xmlns="http://schemas.microsoft.com/office/infopath/2007/PartnerControls"/>
    </R_x002d_KeywordsTaxonomyTaxHTField0>
    <KeyDocument xmlns="b575a575-3fda-4ae9-b94e-f72497971c5e">false</KeyDocument>
    <Generate_x0020_Keywords xmlns="b575a575-3fda-4ae9-b94e-f72497971c5e">true</Generate_x0020_Keywords>
    <BusinessAreaTaxonomyTaxHTField0 xmlns="http://schemas.microsoft.com/sharepoint/v3">
      <Terms xmlns="http://schemas.microsoft.com/office/infopath/2007/PartnerControls"/>
    </BusinessAreaTaxonomyTaxHTField0>
    <Authoring_x0020_Departments xmlns="b575a575-3fda-4ae9-b94e-f72497971c5e"/>
    <TaxCatchAll xmlns="75975772-6a6d-4c16-8090-d45d9e29473d">
      <Value>1</Value>
    </TaxCatchAll>
    <AuthoredByCustomer xmlns="b575a575-3fda-4ae9-b94e-f72497971c5e">false</AuthoredByCustomer>
    <Document_x0020_Issued xmlns="b575a575-3fda-4ae9-b94e-f72497971c5e" xsi:nil="true"/>
    <Document_x0020_Reference xmlns="http://schemas.microsoft.com/sharepoint/v3" xsi:nil="true"/>
    <RootDocumentReference xmlns="http://schemas.microsoft.com/sharepoint/v3" xsi:nil="true"/>
    <R-DivisionPolicyTaxonomyTaxHTField0 xmlns="http://schemas.microsoft.com/sharepoint/v3">
      <Terms xmlns="http://schemas.microsoft.com/office/infopath/2007/PartnerControls"/>
    </R-DivisionPolicyTaxonomyTaxHTField0>
    <HideEverything xmlns="5300f511-d9eb-4ae4-8773-e4e19d0df42e" xsi:nil="true"/>
    <Issued_x0020_Date xmlns="b575a575-3fda-4ae9-b94e-f72497971c5e" xsi:nil="true"/>
    <Folder_x0020_Structure xmlns="http://schemas.microsoft.com/sharepoint/v3">&lt;a href="/projects/ED17502/Documents"&gt;Documents&lt;/a&gt; &amp;gt; &lt;a href="/projects/ED17502/Documents/3%20Project%20delivery%20ED17502"&gt;3 Project delivery ED17502&lt;/a&gt; &amp;gt; &lt;a href="/projects/ED17502/Documents/3%20Project%20delivery%20ED17502/1%20Reports"&gt;1 Reports&lt;/a&gt; &amp;gt; &lt;a href="/projects/ED17502/Documents/3%20Project%20delivery%20ED17502/1%20Reports/Updated%20HIA%20review"&gt;Updated HIA review&lt;/a&gt; &amp;gt; &lt;a href="/projects/ED17502/Documents/3%20Project%20delivery%20ED17502/1%20Reports/Updated%20HIA%20review/Draft%20issued%20to%20BW%2024-05-2023"&gt;Draft issued to BW 24-05-2023&lt;/a&gt;</Folder_x0020_Structure>
    <Market_x0020_SectorTaxonomyTaxHTField0 xmlns="http://schemas.microsoft.com/sharepoint/v3">
      <Terms xmlns="http://schemas.microsoft.com/office/infopath/2007/PartnerControls"/>
    </Market_x0020_SectorTaxonomyTaxHTField0>
    <AgressoCustomerTaxonomyTaxHTField0 xmlns="http://schemas.microsoft.com/sharepoint/v3">
      <Terms xmlns="http://schemas.microsoft.com/office/infopath/2007/PartnerControls"/>
    </AgressoCustomerTaxonomyTaxHTField0>
    <ApprovalRecordedBy xmlns="http://schemas.microsoft.com/sharepoint/v3">
      <UserInfo>
        <DisplayName/>
        <AccountId xsi:nil="true"/>
        <AccountType/>
      </UserInfo>
    </ApprovalRecordedBy>
    <Version_x0020_No xmlns="http://schemas.microsoft.com/sharepoint/v3">0.9</Version_x0020_No>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Jan25</b:Tag>
    <b:SourceType>InternetSite</b:SourceType>
    <b:Guid>{1BC463E0-95BE-4F91-8384-17ECF4836614}</b:Guid>
    <b:Title>The joys of automatically referencing documents that you're allowed to reference</b:Title>
    <b:Year>2020</b:Year>
    <b:Author>
      <b:Author>
        <b:NameList>
          <b:Person>
            <b:Last>Smith</b:Last>
            <b:First>Jane</b:First>
            <b:Middle>and John</b:Middle>
          </b:Person>
        </b:NameList>
      </b:Author>
    </b:Author>
    <b:Publisher>Smithy Smith Smith</b:Publisher>
    <b:City>Anywhere</b:City>
    <b:InternetSiteTitle>website source name</b:InternetSiteTitle>
    <b:URL>www.referencelocation.com</b:URL>
    <b:RefOrder>1</b:RefOrder>
  </b:Source>
</b:Sources>
</file>

<file path=customXml/item5.xml><?xml version="1.0" encoding="utf-8"?>
<?mso-contentType ?>
<SharedContentType xmlns="Microsoft.SharePoint.Taxonomy.ContentTypeSync" SourceId="02677147-8018-48bf-96e8-39add3f86844" ContentTypeId="0x010100A1A26C4BCFF240D5BC273ED44781910B" PreviousValue="false"/>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D838BF10-67AE-4E6A-82B9-BE84F7D8C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975772-6a6d-4c16-8090-d45d9e29473d"/>
    <ds:schemaRef ds:uri="b575a575-3fda-4ae9-b94e-f72497971c5e"/>
    <ds:schemaRef ds:uri="5300f511-d9eb-4ae4-8773-e4e19d0df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C65EB8-BE33-461D-A83C-C9C68B299161}">
  <ds:schemaRefs>
    <ds:schemaRef ds:uri="http://schemas.microsoft.com/sharepoint/v3/contenttype/forms"/>
  </ds:schemaRefs>
</ds:datastoreItem>
</file>

<file path=customXml/itemProps3.xml><?xml version="1.0" encoding="utf-8"?>
<ds:datastoreItem xmlns:ds="http://schemas.openxmlformats.org/officeDocument/2006/customXml" ds:itemID="{562C4CBD-DA58-46B7-8F72-1FDE2BABEF14}">
  <ds:schemaRefs>
    <ds:schemaRef ds:uri="http://schemas.microsoft.com/office/2006/metadata/properties"/>
    <ds:schemaRef ds:uri="http://schemas.microsoft.com/office/infopath/2007/PartnerControls"/>
    <ds:schemaRef ds:uri="http://schemas.microsoft.com/sharepoint/v3"/>
    <ds:schemaRef ds:uri="b575a575-3fda-4ae9-b94e-f72497971c5e"/>
    <ds:schemaRef ds:uri="75975772-6a6d-4c16-8090-d45d9e29473d"/>
    <ds:schemaRef ds:uri="5300f511-d9eb-4ae4-8773-e4e19d0df42e"/>
  </ds:schemaRefs>
</ds:datastoreItem>
</file>

<file path=customXml/itemProps4.xml><?xml version="1.0" encoding="utf-8"?>
<ds:datastoreItem xmlns:ds="http://schemas.openxmlformats.org/officeDocument/2006/customXml" ds:itemID="{BD032573-E09D-4BE6-AF66-39695D49E914}">
  <ds:schemaRefs>
    <ds:schemaRef ds:uri="http://schemas.openxmlformats.org/officeDocument/2006/bibliography"/>
  </ds:schemaRefs>
</ds:datastoreItem>
</file>

<file path=customXml/itemProps5.xml><?xml version="1.0" encoding="utf-8"?>
<ds:datastoreItem xmlns:ds="http://schemas.openxmlformats.org/officeDocument/2006/customXml" ds:itemID="{B2853205-FAF0-457F-9564-97B4ADF2D6C4}">
  <ds:schemaRefs>
    <ds:schemaRef ds:uri="Microsoft.SharePoint.Taxonomy.ContentTypeSync"/>
  </ds:schemaRefs>
</ds:datastoreItem>
</file>

<file path=customXml/itemProps6.xml><?xml version="1.0" encoding="utf-8"?>
<ds:datastoreItem xmlns:ds="http://schemas.openxmlformats.org/officeDocument/2006/customXml" ds:itemID="{67583E06-FB25-420E-BF31-7ABB80F007B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Carlisle WwTW dewatering - HIA_Draft_FT</Template>
  <TotalTime>3</TotalTime>
  <Pages>13</Pages>
  <Words>5475</Words>
  <Characters>31212</Characters>
  <Application>Microsoft Office Word</Application>
  <DocSecurity>4</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Tromboni, Federico</dc:creator>
  <cp:keywords/>
  <dc:description/>
  <cp:lastModifiedBy>Vicky Owen</cp:lastModifiedBy>
  <cp:revision>2</cp:revision>
  <cp:lastPrinted>2024-03-05T08:25:00Z</cp:lastPrinted>
  <dcterms:created xsi:type="dcterms:W3CDTF">2024-04-11T11:41:00Z</dcterms:created>
  <dcterms:modified xsi:type="dcterms:W3CDTF">2024-04-11T11:41:00Z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0x010100A1A26C4BCFF240D5BC273ED44781910B00C47F990053B19E4B9C4C0909C042FF6A</vt:lpwstr>
  </property>
  <property fmtid="{D5CDD505-2E9C-101B-9397-08002B2CF9AE}" pid="3" name="Document Type">
    <vt:lpwstr>1;#Project Document|df098213-6b74-42fc-9316-2f1a9531d8f9</vt:lpwstr>
  </property>
  <property fmtid="{D5CDD505-2E9C-101B-9397-08002B2CF9AE}" pid="4" name="AgressoCustomer">
    <vt:lpwstr/>
  </property>
  <property fmtid="{D5CDD505-2E9C-101B-9397-08002B2CF9AE}" pid="5" name="R-DivisionPolicy">
    <vt:lpwstr/>
  </property>
  <property fmtid="{D5CDD505-2E9C-101B-9397-08002B2CF9AE}" pid="6" name="R-Keywords">
    <vt:lpwstr/>
  </property>
  <property fmtid="{D5CDD505-2E9C-101B-9397-08002B2CF9AE}" pid="7" name="Market Sector">
    <vt:lpwstr/>
  </property>
  <property fmtid="{D5CDD505-2E9C-101B-9397-08002B2CF9AE}" pid="8" name="R-Division">
    <vt:lpwstr/>
  </property>
  <property fmtid="{D5CDD505-2E9C-101B-9397-08002B2CF9AE}" pid="9" name="BusinessArea">
    <vt:lpwstr/>
  </property>
</Properties>
</file>