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D3847" w14:textId="77777777" w:rsidR="00D92C05" w:rsidRDefault="00D92C05" w:rsidP="00D92C05">
      <w:pPr>
        <w:jc w:val="center"/>
        <w:rPr>
          <w:rFonts w:ascii="Arial" w:hAnsi="Arial" w:cs="Arial"/>
          <w:b/>
          <w:bCs/>
          <w:sz w:val="44"/>
          <w:szCs w:val="44"/>
        </w:rPr>
      </w:pPr>
    </w:p>
    <w:p w14:paraId="34D4F747" w14:textId="77777777" w:rsidR="00D92C05" w:rsidRPr="00101F69" w:rsidRDefault="00D92C05" w:rsidP="00D92C05">
      <w:pPr>
        <w:jc w:val="center"/>
        <w:rPr>
          <w:rFonts w:ascii="Arial" w:hAnsi="Arial" w:cs="Arial"/>
          <w:b/>
          <w:bCs/>
          <w:sz w:val="44"/>
          <w:szCs w:val="44"/>
        </w:rPr>
      </w:pPr>
      <w:r w:rsidRPr="00101F69">
        <w:rPr>
          <w:rFonts w:ascii="Arial" w:hAnsi="Arial" w:cs="Arial"/>
          <w:b/>
          <w:bCs/>
          <w:sz w:val="44"/>
          <w:szCs w:val="44"/>
        </w:rPr>
        <w:t xml:space="preserve">Chichester District Council </w:t>
      </w:r>
    </w:p>
    <w:p w14:paraId="691F1F74" w14:textId="77777777" w:rsidR="00D92C05" w:rsidRPr="00101F69" w:rsidRDefault="00D92C05" w:rsidP="00D92C05">
      <w:pPr>
        <w:jc w:val="center"/>
        <w:rPr>
          <w:rFonts w:ascii="Arial" w:hAnsi="Arial" w:cs="Arial"/>
          <w:b/>
          <w:bCs/>
          <w:sz w:val="44"/>
          <w:szCs w:val="44"/>
        </w:rPr>
      </w:pPr>
      <w:r w:rsidRPr="00101F69">
        <w:rPr>
          <w:rFonts w:ascii="Arial" w:hAnsi="Arial" w:cs="Arial"/>
          <w:b/>
          <w:bCs/>
          <w:sz w:val="44"/>
          <w:szCs w:val="44"/>
        </w:rPr>
        <w:t xml:space="preserve">Local Plan </w:t>
      </w:r>
    </w:p>
    <w:p w14:paraId="6A069BFA" w14:textId="77777777" w:rsidR="00D92C05" w:rsidRDefault="00D92C05" w:rsidP="00D92C05">
      <w:pPr>
        <w:jc w:val="center"/>
        <w:rPr>
          <w:rFonts w:ascii="Arial" w:hAnsi="Arial" w:cs="Arial"/>
          <w:sz w:val="32"/>
          <w:szCs w:val="32"/>
        </w:rPr>
      </w:pPr>
    </w:p>
    <w:p w14:paraId="1A9AA2CF" w14:textId="77777777" w:rsidR="00D92C05" w:rsidRDefault="00D92C05" w:rsidP="00D92C05">
      <w:pPr>
        <w:jc w:val="center"/>
        <w:rPr>
          <w:rFonts w:ascii="Arial" w:hAnsi="Arial" w:cs="Arial"/>
          <w:sz w:val="32"/>
          <w:szCs w:val="32"/>
        </w:rPr>
      </w:pPr>
    </w:p>
    <w:p w14:paraId="3964A2A3" w14:textId="77777777" w:rsidR="00D92C05" w:rsidRPr="00101F69" w:rsidRDefault="00D92C05" w:rsidP="00D92C05">
      <w:pPr>
        <w:jc w:val="center"/>
        <w:rPr>
          <w:rFonts w:ascii="Arial" w:hAnsi="Arial" w:cs="Arial"/>
          <w:sz w:val="44"/>
          <w:szCs w:val="44"/>
        </w:rPr>
      </w:pPr>
    </w:p>
    <w:p w14:paraId="64C00CF9" w14:textId="77777777" w:rsidR="00D92C05" w:rsidRDefault="00D92C05" w:rsidP="00D92C05">
      <w:pPr>
        <w:jc w:val="center"/>
        <w:rPr>
          <w:rFonts w:ascii="Arial" w:hAnsi="Arial" w:cs="Arial"/>
          <w:b/>
          <w:bCs/>
          <w:sz w:val="44"/>
          <w:szCs w:val="44"/>
        </w:rPr>
      </w:pPr>
    </w:p>
    <w:p w14:paraId="46D0FC2B" w14:textId="63D47564" w:rsidR="00D92C05" w:rsidRDefault="00D92C05" w:rsidP="00D92C05">
      <w:pPr>
        <w:jc w:val="center"/>
        <w:rPr>
          <w:rFonts w:ascii="Arial" w:hAnsi="Arial" w:cs="Arial"/>
          <w:b/>
          <w:bCs/>
          <w:sz w:val="44"/>
          <w:szCs w:val="44"/>
        </w:rPr>
      </w:pPr>
      <w:r>
        <w:rPr>
          <w:rFonts w:ascii="Arial" w:hAnsi="Arial" w:cs="Arial"/>
          <w:b/>
          <w:bCs/>
          <w:sz w:val="44"/>
          <w:szCs w:val="44"/>
        </w:rPr>
        <w:t>Housing Density</w:t>
      </w:r>
    </w:p>
    <w:p w14:paraId="68A86E05" w14:textId="40F90587" w:rsidR="00D92C05" w:rsidRPr="00101F69" w:rsidRDefault="00537B52" w:rsidP="00D92C05">
      <w:pPr>
        <w:jc w:val="center"/>
        <w:rPr>
          <w:rFonts w:ascii="Arial" w:hAnsi="Arial" w:cs="Arial"/>
          <w:b/>
          <w:bCs/>
          <w:sz w:val="44"/>
          <w:szCs w:val="44"/>
        </w:rPr>
      </w:pPr>
      <w:r>
        <w:rPr>
          <w:rFonts w:ascii="Arial" w:hAnsi="Arial" w:cs="Arial"/>
          <w:b/>
          <w:bCs/>
          <w:sz w:val="44"/>
          <w:szCs w:val="44"/>
        </w:rPr>
        <w:t>Evidence Study</w:t>
      </w:r>
    </w:p>
    <w:p w14:paraId="5A66DA88" w14:textId="77777777" w:rsidR="00D92C05" w:rsidRDefault="00D92C05" w:rsidP="00D92C05">
      <w:pPr>
        <w:jc w:val="center"/>
        <w:rPr>
          <w:rFonts w:ascii="Arial" w:hAnsi="Arial" w:cs="Arial"/>
          <w:sz w:val="32"/>
          <w:szCs w:val="32"/>
        </w:rPr>
      </w:pPr>
    </w:p>
    <w:p w14:paraId="36DA763D" w14:textId="77777777" w:rsidR="00D92C05" w:rsidRDefault="00D92C05" w:rsidP="00D92C05">
      <w:pPr>
        <w:jc w:val="center"/>
        <w:rPr>
          <w:rFonts w:ascii="Arial" w:hAnsi="Arial" w:cs="Arial"/>
          <w:sz w:val="32"/>
          <w:szCs w:val="32"/>
        </w:rPr>
      </w:pPr>
    </w:p>
    <w:p w14:paraId="3F49A19E" w14:textId="16C92134" w:rsidR="00D92C05" w:rsidRDefault="00D92C05" w:rsidP="00D92C05">
      <w:pPr>
        <w:jc w:val="right"/>
        <w:rPr>
          <w:rFonts w:ascii="Arial" w:hAnsi="Arial" w:cs="Arial"/>
          <w:sz w:val="44"/>
          <w:szCs w:val="44"/>
        </w:rPr>
      </w:pPr>
      <w:r w:rsidRPr="00101F69">
        <w:rPr>
          <w:noProof/>
          <w:sz w:val="32"/>
          <w:szCs w:val="32"/>
        </w:rPr>
        <w:drawing>
          <wp:inline distT="0" distB="0" distL="0" distR="0" wp14:anchorId="17FE7939" wp14:editId="187D2E3E">
            <wp:extent cx="2115283" cy="1945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451" t="59388" r="40997" b="10262"/>
                    <a:stretch/>
                  </pic:blipFill>
                  <pic:spPr bwMode="auto">
                    <a:xfrm>
                      <a:off x="0" y="0"/>
                      <a:ext cx="2165633" cy="1992073"/>
                    </a:xfrm>
                    <a:prstGeom prst="rect">
                      <a:avLst/>
                    </a:prstGeom>
                    <a:ln>
                      <a:noFill/>
                    </a:ln>
                    <a:extLst>
                      <a:ext uri="{53640926-AAD7-44D8-BBD7-CCE9431645EC}">
                        <a14:shadowObscured xmlns:a14="http://schemas.microsoft.com/office/drawing/2010/main"/>
                      </a:ext>
                    </a:extLst>
                  </pic:spPr>
                </pic:pic>
              </a:graphicData>
            </a:graphic>
          </wp:inline>
        </w:drawing>
      </w:r>
    </w:p>
    <w:p w14:paraId="24225695" w14:textId="6A0F1C93" w:rsidR="00711EA8" w:rsidRDefault="00624681" w:rsidP="00D92C05">
      <w:pPr>
        <w:rPr>
          <w:rFonts w:ascii="Arial" w:hAnsi="Arial" w:cs="Arial"/>
          <w:sz w:val="44"/>
          <w:szCs w:val="44"/>
        </w:rPr>
      </w:pPr>
      <w:hyperlink r:id="rId9" w:history="1">
        <w:r w:rsidR="00D92C05" w:rsidRPr="00CC2C28">
          <w:rPr>
            <w:rFonts w:ascii="Arial" w:eastAsia="Times New Roman" w:hAnsi="Arial" w:cs="Arial"/>
            <w:b/>
            <w:bCs/>
            <w:color w:val="0000FF"/>
            <w:sz w:val="32"/>
            <w:szCs w:val="32"/>
            <w:u w:val="single"/>
          </w:rPr>
          <w:t>www.chichester.gov.uk</w:t>
        </w:r>
      </w:hyperlink>
      <w:r w:rsidR="00D92C05">
        <w:rPr>
          <w:rFonts w:ascii="Arial" w:hAnsi="Arial" w:cs="Arial"/>
          <w:sz w:val="44"/>
          <w:szCs w:val="44"/>
        </w:rPr>
        <w:t xml:space="preserve"> </w:t>
      </w:r>
      <w:r w:rsidR="00D92C05">
        <w:rPr>
          <w:rFonts w:ascii="Arial" w:hAnsi="Arial" w:cs="Arial"/>
          <w:sz w:val="44"/>
          <w:szCs w:val="44"/>
        </w:rPr>
        <w:tab/>
      </w:r>
      <w:r w:rsidR="00D92C05">
        <w:rPr>
          <w:rFonts w:ascii="Arial" w:hAnsi="Arial" w:cs="Arial"/>
          <w:sz w:val="44"/>
          <w:szCs w:val="44"/>
        </w:rPr>
        <w:tab/>
      </w:r>
      <w:r w:rsidR="00D92C05">
        <w:rPr>
          <w:rFonts w:ascii="Arial" w:hAnsi="Arial" w:cs="Arial"/>
          <w:sz w:val="44"/>
          <w:szCs w:val="44"/>
        </w:rPr>
        <w:tab/>
      </w:r>
      <w:r w:rsidR="00507364">
        <w:rPr>
          <w:rFonts w:ascii="Arial" w:hAnsi="Arial" w:cs="Arial"/>
          <w:sz w:val="44"/>
          <w:szCs w:val="44"/>
        </w:rPr>
        <w:t>April</w:t>
      </w:r>
      <w:r w:rsidR="00D92C05">
        <w:rPr>
          <w:rFonts w:ascii="Arial" w:hAnsi="Arial" w:cs="Arial"/>
          <w:sz w:val="44"/>
          <w:szCs w:val="44"/>
        </w:rPr>
        <w:t xml:space="preserve"> 202</w:t>
      </w:r>
      <w:r w:rsidR="00054D95">
        <w:rPr>
          <w:rFonts w:ascii="Arial" w:hAnsi="Arial" w:cs="Arial"/>
          <w:sz w:val="44"/>
          <w:szCs w:val="44"/>
        </w:rPr>
        <w:t>4</w:t>
      </w:r>
    </w:p>
    <w:p w14:paraId="4A38331A" w14:textId="77777777" w:rsidR="002B101E" w:rsidRDefault="002B101E" w:rsidP="002B101E">
      <w:pPr>
        <w:jc w:val="both"/>
        <w:rPr>
          <w:rFonts w:ascii="Arial" w:hAnsi="Arial" w:cs="Arial"/>
          <w:sz w:val="36"/>
          <w:szCs w:val="36"/>
        </w:rPr>
      </w:pPr>
    </w:p>
    <w:p w14:paraId="3BF25FD7" w14:textId="77777777" w:rsidR="002B101E" w:rsidRDefault="002B101E">
      <w:pPr>
        <w:rPr>
          <w:rFonts w:ascii="Arial" w:hAnsi="Arial" w:cs="Arial"/>
          <w:sz w:val="36"/>
          <w:szCs w:val="36"/>
        </w:rPr>
      </w:pPr>
      <w:r>
        <w:rPr>
          <w:rFonts w:ascii="Arial" w:hAnsi="Arial" w:cs="Arial"/>
          <w:sz w:val="36"/>
          <w:szCs w:val="36"/>
        </w:rPr>
        <w:br w:type="page"/>
      </w:r>
    </w:p>
    <w:sdt>
      <w:sdtPr>
        <w:rPr>
          <w:rFonts w:asciiTheme="minorHAnsi" w:eastAsiaTheme="minorHAnsi" w:hAnsiTheme="minorHAnsi" w:cstheme="minorBidi"/>
          <w:color w:val="auto"/>
          <w:sz w:val="22"/>
          <w:szCs w:val="22"/>
          <w:lang w:val="en-GB"/>
        </w:rPr>
        <w:id w:val="852699455"/>
        <w:docPartObj>
          <w:docPartGallery w:val="Table of Contents"/>
          <w:docPartUnique/>
        </w:docPartObj>
      </w:sdtPr>
      <w:sdtEndPr>
        <w:rPr>
          <w:b/>
          <w:bCs/>
          <w:noProof/>
        </w:rPr>
      </w:sdtEndPr>
      <w:sdtContent>
        <w:p w14:paraId="66B2C67B" w14:textId="33F60A97" w:rsidR="00EC0F33" w:rsidRDefault="00EC0F33">
          <w:pPr>
            <w:pStyle w:val="TOCHeading"/>
          </w:pPr>
          <w:r>
            <w:t>Contents</w:t>
          </w:r>
        </w:p>
        <w:p w14:paraId="2F84164F" w14:textId="77777777" w:rsidR="008949B3" w:rsidRPr="008949B3" w:rsidRDefault="008949B3" w:rsidP="008949B3">
          <w:pPr>
            <w:rPr>
              <w:lang w:val="en-US"/>
            </w:rPr>
          </w:pPr>
        </w:p>
        <w:p w14:paraId="42757367" w14:textId="15D22FE8" w:rsidR="00C04875" w:rsidRPr="008949B3" w:rsidRDefault="00EC0F33">
          <w:pPr>
            <w:pStyle w:val="TOC1"/>
            <w:tabs>
              <w:tab w:val="right" w:leader="dot" w:pos="9016"/>
            </w:tabs>
            <w:rPr>
              <w:rFonts w:ascii="Arial" w:eastAsiaTheme="minorEastAsia" w:hAnsi="Arial" w:cs="Arial"/>
              <w:noProof/>
              <w:kern w:val="2"/>
              <w:lang w:eastAsia="en-GB"/>
              <w14:ligatures w14:val="standardContextual"/>
            </w:rPr>
          </w:pPr>
          <w:r w:rsidRPr="008949B3">
            <w:rPr>
              <w:rFonts w:ascii="Arial" w:hAnsi="Arial" w:cs="Arial"/>
            </w:rPr>
            <w:fldChar w:fldCharType="begin"/>
          </w:r>
          <w:r w:rsidRPr="008949B3">
            <w:rPr>
              <w:rFonts w:ascii="Arial" w:hAnsi="Arial" w:cs="Arial"/>
            </w:rPr>
            <w:instrText xml:space="preserve"> TOC \o "1-3" \h \z \u </w:instrText>
          </w:r>
          <w:r w:rsidRPr="008949B3">
            <w:rPr>
              <w:rFonts w:ascii="Arial" w:hAnsi="Arial" w:cs="Arial"/>
            </w:rPr>
            <w:fldChar w:fldCharType="separate"/>
          </w:r>
          <w:hyperlink w:anchor="_Toc163590703" w:history="1">
            <w:r w:rsidR="00C04875" w:rsidRPr="008949B3">
              <w:rPr>
                <w:rStyle w:val="Hyperlink"/>
                <w:rFonts w:ascii="Arial" w:hAnsi="Arial" w:cs="Arial"/>
                <w:noProof/>
              </w:rPr>
              <w:t>Introduction</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_Toc163590703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3</w:t>
            </w:r>
            <w:r w:rsidR="00C04875" w:rsidRPr="008949B3">
              <w:rPr>
                <w:rFonts w:ascii="Arial" w:hAnsi="Arial" w:cs="Arial"/>
                <w:noProof/>
                <w:webHidden/>
              </w:rPr>
              <w:fldChar w:fldCharType="end"/>
            </w:r>
          </w:hyperlink>
        </w:p>
        <w:p w14:paraId="2ED911AF" w14:textId="61117228" w:rsidR="00C04875" w:rsidRPr="008949B3" w:rsidRDefault="00624681">
          <w:pPr>
            <w:pStyle w:val="TOC1"/>
            <w:tabs>
              <w:tab w:val="right" w:leader="dot" w:pos="9016"/>
            </w:tabs>
            <w:rPr>
              <w:rFonts w:ascii="Arial" w:eastAsiaTheme="minorEastAsia" w:hAnsi="Arial" w:cs="Arial"/>
              <w:noProof/>
              <w:kern w:val="2"/>
              <w:lang w:eastAsia="en-GB"/>
              <w14:ligatures w14:val="standardContextual"/>
            </w:rPr>
          </w:pPr>
          <w:hyperlink w:anchor="_Toc163590704" w:history="1">
            <w:r w:rsidR="00C04875" w:rsidRPr="008949B3">
              <w:rPr>
                <w:rStyle w:val="Hyperlink"/>
                <w:rFonts w:ascii="Arial" w:hAnsi="Arial" w:cs="Arial"/>
                <w:noProof/>
              </w:rPr>
              <w:t>National Policy Context</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_Toc163590704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3</w:t>
            </w:r>
            <w:r w:rsidR="00C04875" w:rsidRPr="008949B3">
              <w:rPr>
                <w:rFonts w:ascii="Arial" w:hAnsi="Arial" w:cs="Arial"/>
                <w:noProof/>
                <w:webHidden/>
              </w:rPr>
              <w:fldChar w:fldCharType="end"/>
            </w:r>
          </w:hyperlink>
        </w:p>
        <w:p w14:paraId="58882331" w14:textId="224CBC2F" w:rsidR="00C04875" w:rsidRPr="008949B3" w:rsidRDefault="00624681">
          <w:pPr>
            <w:pStyle w:val="TOC1"/>
            <w:tabs>
              <w:tab w:val="right" w:leader="dot" w:pos="9016"/>
            </w:tabs>
            <w:rPr>
              <w:rFonts w:ascii="Arial" w:eastAsiaTheme="minorEastAsia" w:hAnsi="Arial" w:cs="Arial"/>
              <w:noProof/>
              <w:kern w:val="2"/>
              <w:lang w:eastAsia="en-GB"/>
              <w14:ligatures w14:val="standardContextual"/>
            </w:rPr>
          </w:pPr>
          <w:hyperlink w:anchor="_Toc163590705" w:history="1">
            <w:r w:rsidR="00C04875" w:rsidRPr="008949B3">
              <w:rPr>
                <w:rStyle w:val="Hyperlink"/>
                <w:rFonts w:ascii="Arial" w:hAnsi="Arial" w:cs="Arial"/>
                <w:noProof/>
              </w:rPr>
              <w:t>Local Policy Context</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_Toc163590705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4</w:t>
            </w:r>
            <w:r w:rsidR="00C04875" w:rsidRPr="008949B3">
              <w:rPr>
                <w:rFonts w:ascii="Arial" w:hAnsi="Arial" w:cs="Arial"/>
                <w:noProof/>
                <w:webHidden/>
              </w:rPr>
              <w:fldChar w:fldCharType="end"/>
            </w:r>
          </w:hyperlink>
        </w:p>
        <w:p w14:paraId="79BAE69D" w14:textId="38054836" w:rsidR="00C04875" w:rsidRPr="008949B3" w:rsidRDefault="00624681">
          <w:pPr>
            <w:pStyle w:val="TOC1"/>
            <w:tabs>
              <w:tab w:val="right" w:leader="dot" w:pos="9016"/>
            </w:tabs>
            <w:rPr>
              <w:rFonts w:ascii="Arial" w:eastAsiaTheme="minorEastAsia" w:hAnsi="Arial" w:cs="Arial"/>
              <w:noProof/>
              <w:kern w:val="2"/>
              <w:lang w:eastAsia="en-GB"/>
              <w14:ligatures w14:val="standardContextual"/>
            </w:rPr>
          </w:pPr>
          <w:hyperlink w:anchor="_Toc163590706" w:history="1">
            <w:r w:rsidR="00C04875" w:rsidRPr="008949B3">
              <w:rPr>
                <w:rStyle w:val="Hyperlink"/>
                <w:rFonts w:ascii="Arial" w:hAnsi="Arial" w:cs="Arial"/>
                <w:noProof/>
              </w:rPr>
              <w:t>Local Spatial Profile</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_Toc163590706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5</w:t>
            </w:r>
            <w:r w:rsidR="00C04875" w:rsidRPr="008949B3">
              <w:rPr>
                <w:rFonts w:ascii="Arial" w:hAnsi="Arial" w:cs="Arial"/>
                <w:noProof/>
                <w:webHidden/>
              </w:rPr>
              <w:fldChar w:fldCharType="end"/>
            </w:r>
          </w:hyperlink>
        </w:p>
        <w:p w14:paraId="122E10BF" w14:textId="03A67540" w:rsidR="00C04875" w:rsidRPr="008949B3" w:rsidRDefault="00624681">
          <w:pPr>
            <w:pStyle w:val="TOC1"/>
            <w:tabs>
              <w:tab w:val="right" w:leader="dot" w:pos="9016"/>
            </w:tabs>
            <w:rPr>
              <w:rFonts w:ascii="Arial" w:eastAsiaTheme="minorEastAsia" w:hAnsi="Arial" w:cs="Arial"/>
              <w:noProof/>
              <w:kern w:val="2"/>
              <w:lang w:eastAsia="en-GB"/>
              <w14:ligatures w14:val="standardContextual"/>
            </w:rPr>
          </w:pPr>
          <w:hyperlink w:anchor="_Toc163590707" w:history="1">
            <w:r w:rsidR="00C04875" w:rsidRPr="008949B3">
              <w:rPr>
                <w:rStyle w:val="Hyperlink"/>
                <w:rFonts w:ascii="Arial" w:hAnsi="Arial" w:cs="Arial"/>
                <w:noProof/>
              </w:rPr>
              <w:t>Methodology</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_Toc163590707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6</w:t>
            </w:r>
            <w:r w:rsidR="00C04875" w:rsidRPr="008949B3">
              <w:rPr>
                <w:rFonts w:ascii="Arial" w:hAnsi="Arial" w:cs="Arial"/>
                <w:noProof/>
                <w:webHidden/>
              </w:rPr>
              <w:fldChar w:fldCharType="end"/>
            </w:r>
          </w:hyperlink>
        </w:p>
        <w:p w14:paraId="0C451EAC" w14:textId="1A49FB73" w:rsidR="00C04875" w:rsidRPr="008949B3" w:rsidRDefault="00624681">
          <w:pPr>
            <w:pStyle w:val="TOC2"/>
            <w:tabs>
              <w:tab w:val="right" w:leader="dot" w:pos="9016"/>
            </w:tabs>
            <w:rPr>
              <w:rFonts w:ascii="Arial" w:eastAsiaTheme="minorEastAsia" w:hAnsi="Arial" w:cs="Arial"/>
              <w:noProof/>
              <w:kern w:val="2"/>
              <w:lang w:eastAsia="en-GB"/>
              <w14:ligatures w14:val="standardContextual"/>
            </w:rPr>
          </w:pPr>
          <w:hyperlink w:anchor="_Toc163590708" w:history="1">
            <w:r w:rsidR="00C04875" w:rsidRPr="008949B3">
              <w:rPr>
                <w:rStyle w:val="Hyperlink"/>
                <w:rFonts w:ascii="Arial" w:hAnsi="Arial" w:cs="Arial"/>
                <w:noProof/>
              </w:rPr>
              <w:t>Stage 1: Recently Permitted Densities</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_Toc163590708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6</w:t>
            </w:r>
            <w:r w:rsidR="00C04875" w:rsidRPr="008949B3">
              <w:rPr>
                <w:rFonts w:ascii="Arial" w:hAnsi="Arial" w:cs="Arial"/>
                <w:noProof/>
                <w:webHidden/>
              </w:rPr>
              <w:fldChar w:fldCharType="end"/>
            </w:r>
          </w:hyperlink>
        </w:p>
        <w:p w14:paraId="52B65133" w14:textId="7526F388" w:rsidR="00C04875" w:rsidRPr="008949B3" w:rsidRDefault="00624681">
          <w:pPr>
            <w:pStyle w:val="TOC3"/>
            <w:tabs>
              <w:tab w:val="right" w:leader="dot" w:pos="9016"/>
            </w:tabs>
            <w:rPr>
              <w:rFonts w:ascii="Arial" w:eastAsiaTheme="minorEastAsia" w:hAnsi="Arial" w:cs="Arial"/>
              <w:noProof/>
              <w:kern w:val="2"/>
              <w:lang w:eastAsia="en-GB"/>
              <w14:ligatures w14:val="standardContextual"/>
            </w:rPr>
          </w:pPr>
          <w:hyperlink w:anchor="_Toc163590709" w:history="1">
            <w:r w:rsidR="00C04875" w:rsidRPr="008949B3">
              <w:rPr>
                <w:rStyle w:val="Hyperlink"/>
                <w:rFonts w:ascii="Arial" w:hAnsi="Arial" w:cs="Arial"/>
                <w:noProof/>
              </w:rPr>
              <w:t>Calculating Densities</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_Toc163590709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6</w:t>
            </w:r>
            <w:r w:rsidR="00C04875" w:rsidRPr="008949B3">
              <w:rPr>
                <w:rFonts w:ascii="Arial" w:hAnsi="Arial" w:cs="Arial"/>
                <w:noProof/>
                <w:webHidden/>
              </w:rPr>
              <w:fldChar w:fldCharType="end"/>
            </w:r>
          </w:hyperlink>
        </w:p>
        <w:p w14:paraId="3755EB84" w14:textId="04E7094E" w:rsidR="00C04875" w:rsidRPr="008949B3" w:rsidRDefault="00624681">
          <w:pPr>
            <w:pStyle w:val="TOC3"/>
            <w:tabs>
              <w:tab w:val="right" w:leader="dot" w:pos="9016"/>
            </w:tabs>
            <w:rPr>
              <w:rFonts w:ascii="Arial" w:eastAsiaTheme="minorEastAsia" w:hAnsi="Arial" w:cs="Arial"/>
              <w:noProof/>
              <w:kern w:val="2"/>
              <w:lang w:eastAsia="en-GB"/>
              <w14:ligatures w14:val="standardContextual"/>
            </w:rPr>
          </w:pPr>
          <w:hyperlink w:anchor="_Toc163590710" w:history="1">
            <w:r w:rsidR="00C04875" w:rsidRPr="008949B3">
              <w:rPr>
                <w:rStyle w:val="Hyperlink"/>
                <w:rFonts w:ascii="Arial" w:hAnsi="Arial" w:cs="Arial"/>
                <w:noProof/>
              </w:rPr>
              <w:t>Comparison Criteria</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_Toc163590710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7</w:t>
            </w:r>
            <w:r w:rsidR="00C04875" w:rsidRPr="008949B3">
              <w:rPr>
                <w:rFonts w:ascii="Arial" w:hAnsi="Arial" w:cs="Arial"/>
                <w:noProof/>
                <w:webHidden/>
              </w:rPr>
              <w:fldChar w:fldCharType="end"/>
            </w:r>
          </w:hyperlink>
        </w:p>
        <w:p w14:paraId="7639068F" w14:textId="0D49BADE" w:rsidR="00C04875" w:rsidRPr="008949B3" w:rsidRDefault="00624681">
          <w:pPr>
            <w:pStyle w:val="TOC2"/>
            <w:tabs>
              <w:tab w:val="right" w:leader="dot" w:pos="9016"/>
            </w:tabs>
            <w:rPr>
              <w:rFonts w:ascii="Arial" w:eastAsiaTheme="minorEastAsia" w:hAnsi="Arial" w:cs="Arial"/>
              <w:noProof/>
              <w:kern w:val="2"/>
              <w:lang w:eastAsia="en-GB"/>
              <w14:ligatures w14:val="standardContextual"/>
            </w:rPr>
          </w:pPr>
          <w:hyperlink w:anchor="_Toc163590711" w:history="1">
            <w:r w:rsidR="00C04875" w:rsidRPr="008949B3">
              <w:rPr>
                <w:rStyle w:val="Hyperlink"/>
                <w:rFonts w:ascii="Arial" w:hAnsi="Arial" w:cs="Arial"/>
                <w:noProof/>
              </w:rPr>
              <w:t>Stage 2: Existing Densities</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_Toc163590711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8</w:t>
            </w:r>
            <w:r w:rsidR="00C04875" w:rsidRPr="008949B3">
              <w:rPr>
                <w:rFonts w:ascii="Arial" w:hAnsi="Arial" w:cs="Arial"/>
                <w:noProof/>
                <w:webHidden/>
              </w:rPr>
              <w:fldChar w:fldCharType="end"/>
            </w:r>
          </w:hyperlink>
        </w:p>
        <w:p w14:paraId="04BD9377" w14:textId="61053865" w:rsidR="00C04875" w:rsidRPr="008949B3" w:rsidRDefault="00624681">
          <w:pPr>
            <w:pStyle w:val="TOC2"/>
            <w:tabs>
              <w:tab w:val="right" w:leader="dot" w:pos="9016"/>
            </w:tabs>
            <w:rPr>
              <w:rFonts w:ascii="Arial" w:eastAsiaTheme="minorEastAsia" w:hAnsi="Arial" w:cs="Arial"/>
              <w:noProof/>
              <w:kern w:val="2"/>
              <w:lang w:eastAsia="en-GB"/>
              <w14:ligatures w14:val="standardContextual"/>
            </w:rPr>
          </w:pPr>
          <w:hyperlink w:anchor="_Toc163590712" w:history="1">
            <w:r w:rsidR="00C04875" w:rsidRPr="008949B3">
              <w:rPr>
                <w:rStyle w:val="Hyperlink"/>
                <w:rFonts w:ascii="Arial" w:hAnsi="Arial" w:cs="Arial"/>
                <w:noProof/>
              </w:rPr>
              <w:t>Stage 3: Case Studies</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_Toc163590712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9</w:t>
            </w:r>
            <w:r w:rsidR="00C04875" w:rsidRPr="008949B3">
              <w:rPr>
                <w:rFonts w:ascii="Arial" w:hAnsi="Arial" w:cs="Arial"/>
                <w:noProof/>
                <w:webHidden/>
              </w:rPr>
              <w:fldChar w:fldCharType="end"/>
            </w:r>
          </w:hyperlink>
        </w:p>
        <w:p w14:paraId="77CEE4EA" w14:textId="49123C59" w:rsidR="00C04875" w:rsidRPr="008949B3" w:rsidRDefault="00624681">
          <w:pPr>
            <w:pStyle w:val="TOC1"/>
            <w:tabs>
              <w:tab w:val="right" w:leader="dot" w:pos="9016"/>
            </w:tabs>
            <w:rPr>
              <w:rFonts w:ascii="Arial" w:eastAsiaTheme="minorEastAsia" w:hAnsi="Arial" w:cs="Arial"/>
              <w:noProof/>
              <w:kern w:val="2"/>
              <w:lang w:eastAsia="en-GB"/>
              <w14:ligatures w14:val="standardContextual"/>
            </w:rPr>
          </w:pPr>
          <w:hyperlink w:anchor="_Toc163590713" w:history="1">
            <w:r w:rsidR="00C04875" w:rsidRPr="008949B3">
              <w:rPr>
                <w:rStyle w:val="Hyperlink"/>
                <w:rFonts w:ascii="Arial" w:hAnsi="Arial" w:cs="Arial"/>
                <w:noProof/>
              </w:rPr>
              <w:t>Analysis</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_Toc163590713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9</w:t>
            </w:r>
            <w:r w:rsidR="00C04875" w:rsidRPr="008949B3">
              <w:rPr>
                <w:rFonts w:ascii="Arial" w:hAnsi="Arial" w:cs="Arial"/>
                <w:noProof/>
                <w:webHidden/>
              </w:rPr>
              <w:fldChar w:fldCharType="end"/>
            </w:r>
          </w:hyperlink>
        </w:p>
        <w:p w14:paraId="5730D70C" w14:textId="055E17B5" w:rsidR="00C04875" w:rsidRPr="008949B3" w:rsidRDefault="00624681">
          <w:pPr>
            <w:pStyle w:val="TOC3"/>
            <w:tabs>
              <w:tab w:val="right" w:leader="dot" w:pos="9016"/>
            </w:tabs>
            <w:rPr>
              <w:rFonts w:ascii="Arial" w:eastAsiaTheme="minorEastAsia" w:hAnsi="Arial" w:cs="Arial"/>
              <w:noProof/>
              <w:kern w:val="2"/>
              <w:lang w:eastAsia="en-GB"/>
              <w14:ligatures w14:val="standardContextual"/>
            </w:rPr>
          </w:pPr>
          <w:hyperlink w:anchor="_Toc163590714" w:history="1">
            <w:r w:rsidR="00C04875" w:rsidRPr="008949B3">
              <w:rPr>
                <w:rStyle w:val="Hyperlink"/>
                <w:rFonts w:ascii="Arial" w:hAnsi="Arial" w:cs="Arial"/>
                <w:noProof/>
              </w:rPr>
              <w:t>Development Scale</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_Toc163590714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10</w:t>
            </w:r>
            <w:r w:rsidR="00C04875" w:rsidRPr="008949B3">
              <w:rPr>
                <w:rFonts w:ascii="Arial" w:hAnsi="Arial" w:cs="Arial"/>
                <w:noProof/>
                <w:webHidden/>
              </w:rPr>
              <w:fldChar w:fldCharType="end"/>
            </w:r>
          </w:hyperlink>
        </w:p>
        <w:p w14:paraId="07B6D2E3" w14:textId="45460673" w:rsidR="00C04875" w:rsidRPr="008949B3" w:rsidRDefault="00624681">
          <w:pPr>
            <w:pStyle w:val="TOC3"/>
            <w:tabs>
              <w:tab w:val="right" w:leader="dot" w:pos="9016"/>
            </w:tabs>
            <w:rPr>
              <w:rFonts w:ascii="Arial" w:eastAsiaTheme="minorEastAsia" w:hAnsi="Arial" w:cs="Arial"/>
              <w:noProof/>
              <w:kern w:val="2"/>
              <w:lang w:eastAsia="en-GB"/>
              <w14:ligatures w14:val="standardContextual"/>
            </w:rPr>
          </w:pPr>
          <w:hyperlink w:anchor="_Toc163590715" w:history="1">
            <w:r w:rsidR="00C04875" w:rsidRPr="008949B3">
              <w:rPr>
                <w:rStyle w:val="Hyperlink"/>
                <w:rFonts w:ascii="Arial" w:hAnsi="Arial" w:cs="Arial"/>
                <w:noProof/>
              </w:rPr>
              <w:t>Previously Developed Land and Development Types</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_Toc163590715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11</w:t>
            </w:r>
            <w:r w:rsidR="00C04875" w:rsidRPr="008949B3">
              <w:rPr>
                <w:rFonts w:ascii="Arial" w:hAnsi="Arial" w:cs="Arial"/>
                <w:noProof/>
                <w:webHidden/>
              </w:rPr>
              <w:fldChar w:fldCharType="end"/>
            </w:r>
          </w:hyperlink>
        </w:p>
        <w:p w14:paraId="0BC4F4AF" w14:textId="3FB84421" w:rsidR="00C04875" w:rsidRPr="008949B3" w:rsidRDefault="00624681">
          <w:pPr>
            <w:pStyle w:val="TOC3"/>
            <w:tabs>
              <w:tab w:val="right" w:leader="dot" w:pos="9016"/>
            </w:tabs>
            <w:rPr>
              <w:rFonts w:ascii="Arial" w:eastAsiaTheme="minorEastAsia" w:hAnsi="Arial" w:cs="Arial"/>
              <w:noProof/>
              <w:kern w:val="2"/>
              <w:lang w:eastAsia="en-GB"/>
              <w14:ligatures w14:val="standardContextual"/>
            </w:rPr>
          </w:pPr>
          <w:hyperlink w:anchor="_Toc163590716" w:history="1">
            <w:r w:rsidR="00C04875" w:rsidRPr="008949B3">
              <w:rPr>
                <w:rStyle w:val="Hyperlink"/>
                <w:rFonts w:ascii="Arial" w:hAnsi="Arial" w:cs="Arial"/>
                <w:noProof/>
              </w:rPr>
              <w:t>Housing Mix</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_Toc163590716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12</w:t>
            </w:r>
            <w:r w:rsidR="00C04875" w:rsidRPr="008949B3">
              <w:rPr>
                <w:rFonts w:ascii="Arial" w:hAnsi="Arial" w:cs="Arial"/>
                <w:noProof/>
                <w:webHidden/>
              </w:rPr>
              <w:fldChar w:fldCharType="end"/>
            </w:r>
          </w:hyperlink>
        </w:p>
        <w:p w14:paraId="1DEB831E" w14:textId="4CC7D013" w:rsidR="00C04875" w:rsidRPr="008949B3" w:rsidRDefault="00624681">
          <w:pPr>
            <w:pStyle w:val="TOC3"/>
            <w:tabs>
              <w:tab w:val="right" w:leader="dot" w:pos="9016"/>
            </w:tabs>
            <w:rPr>
              <w:rFonts w:ascii="Arial" w:eastAsiaTheme="minorEastAsia" w:hAnsi="Arial" w:cs="Arial"/>
              <w:noProof/>
              <w:kern w:val="2"/>
              <w:lang w:eastAsia="en-GB"/>
              <w14:ligatures w14:val="standardContextual"/>
            </w:rPr>
          </w:pPr>
          <w:hyperlink w:anchor="_Toc163590717" w:history="1">
            <w:r w:rsidR="00C04875" w:rsidRPr="008949B3">
              <w:rPr>
                <w:rStyle w:val="Hyperlink"/>
                <w:rFonts w:ascii="Arial" w:hAnsi="Arial" w:cs="Arial"/>
                <w:noProof/>
              </w:rPr>
              <w:t>Settlement Hierarchy and Proximity to Settlement Boundaries</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_Toc163590717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13</w:t>
            </w:r>
            <w:r w:rsidR="00C04875" w:rsidRPr="008949B3">
              <w:rPr>
                <w:rFonts w:ascii="Arial" w:hAnsi="Arial" w:cs="Arial"/>
                <w:noProof/>
                <w:webHidden/>
              </w:rPr>
              <w:fldChar w:fldCharType="end"/>
            </w:r>
          </w:hyperlink>
        </w:p>
        <w:p w14:paraId="6F11C972" w14:textId="1A77CDC5" w:rsidR="00C04875" w:rsidRPr="008949B3" w:rsidRDefault="00624681">
          <w:pPr>
            <w:pStyle w:val="TOC3"/>
            <w:tabs>
              <w:tab w:val="right" w:leader="dot" w:pos="9016"/>
            </w:tabs>
            <w:rPr>
              <w:rFonts w:ascii="Arial" w:eastAsiaTheme="minorEastAsia" w:hAnsi="Arial" w:cs="Arial"/>
              <w:noProof/>
              <w:kern w:val="2"/>
              <w:lang w:eastAsia="en-GB"/>
              <w14:ligatures w14:val="standardContextual"/>
            </w:rPr>
          </w:pPr>
          <w:hyperlink w:anchor="_Toc163590718" w:history="1">
            <w:r w:rsidR="00C04875" w:rsidRPr="008949B3">
              <w:rPr>
                <w:rStyle w:val="Hyperlink"/>
                <w:rFonts w:ascii="Arial" w:hAnsi="Arial" w:cs="Arial"/>
                <w:noProof/>
              </w:rPr>
              <w:t>Transport and Service Accessibility</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_Toc163590718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14</w:t>
            </w:r>
            <w:r w:rsidR="00C04875" w:rsidRPr="008949B3">
              <w:rPr>
                <w:rFonts w:ascii="Arial" w:hAnsi="Arial" w:cs="Arial"/>
                <w:noProof/>
                <w:webHidden/>
              </w:rPr>
              <w:fldChar w:fldCharType="end"/>
            </w:r>
          </w:hyperlink>
        </w:p>
        <w:p w14:paraId="186A196C" w14:textId="6C75ABFC" w:rsidR="00C04875" w:rsidRPr="008949B3" w:rsidRDefault="00624681">
          <w:pPr>
            <w:pStyle w:val="TOC3"/>
            <w:tabs>
              <w:tab w:val="right" w:leader="dot" w:pos="9016"/>
            </w:tabs>
            <w:rPr>
              <w:rFonts w:ascii="Arial" w:eastAsiaTheme="minorEastAsia" w:hAnsi="Arial" w:cs="Arial"/>
              <w:noProof/>
              <w:kern w:val="2"/>
              <w:lang w:eastAsia="en-GB"/>
              <w14:ligatures w14:val="standardContextual"/>
            </w:rPr>
          </w:pPr>
          <w:hyperlink w:anchor="_Toc163590719" w:history="1">
            <w:r w:rsidR="00C04875" w:rsidRPr="008949B3">
              <w:rPr>
                <w:rStyle w:val="Hyperlink"/>
                <w:rFonts w:ascii="Arial" w:hAnsi="Arial" w:cs="Arial"/>
                <w:noProof/>
              </w:rPr>
              <w:t>Comparison of Existing Built Densities with Recent Development Densities</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_Toc163590719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16</w:t>
            </w:r>
            <w:r w:rsidR="00C04875" w:rsidRPr="008949B3">
              <w:rPr>
                <w:rFonts w:ascii="Arial" w:hAnsi="Arial" w:cs="Arial"/>
                <w:noProof/>
                <w:webHidden/>
              </w:rPr>
              <w:fldChar w:fldCharType="end"/>
            </w:r>
          </w:hyperlink>
        </w:p>
        <w:p w14:paraId="395DF337" w14:textId="0A02B0EB" w:rsidR="00C04875" w:rsidRPr="008949B3" w:rsidRDefault="00624681">
          <w:pPr>
            <w:pStyle w:val="TOC2"/>
            <w:tabs>
              <w:tab w:val="right" w:leader="dot" w:pos="9016"/>
            </w:tabs>
            <w:rPr>
              <w:rFonts w:ascii="Arial" w:eastAsiaTheme="minorEastAsia" w:hAnsi="Arial" w:cs="Arial"/>
              <w:noProof/>
              <w:kern w:val="2"/>
              <w:lang w:eastAsia="en-GB"/>
              <w14:ligatures w14:val="standardContextual"/>
            </w:rPr>
          </w:pPr>
          <w:hyperlink w:anchor="_Toc163590720" w:history="1">
            <w:r w:rsidR="00C04875" w:rsidRPr="008949B3">
              <w:rPr>
                <w:rStyle w:val="Hyperlink"/>
                <w:rFonts w:ascii="Arial" w:hAnsi="Arial" w:cs="Arial"/>
                <w:noProof/>
              </w:rPr>
              <w:t>Case studies</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_Toc163590720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18</w:t>
            </w:r>
            <w:r w:rsidR="00C04875" w:rsidRPr="008949B3">
              <w:rPr>
                <w:rFonts w:ascii="Arial" w:hAnsi="Arial" w:cs="Arial"/>
                <w:noProof/>
                <w:webHidden/>
              </w:rPr>
              <w:fldChar w:fldCharType="end"/>
            </w:r>
          </w:hyperlink>
        </w:p>
        <w:p w14:paraId="64485A8C" w14:textId="655C99C3" w:rsidR="00C04875" w:rsidRPr="008949B3" w:rsidRDefault="00624681">
          <w:pPr>
            <w:pStyle w:val="TOC1"/>
            <w:tabs>
              <w:tab w:val="right" w:leader="dot" w:pos="9016"/>
            </w:tabs>
            <w:rPr>
              <w:rFonts w:ascii="Arial" w:eastAsiaTheme="minorEastAsia" w:hAnsi="Arial" w:cs="Arial"/>
              <w:noProof/>
              <w:kern w:val="2"/>
              <w:lang w:eastAsia="en-GB"/>
              <w14:ligatures w14:val="standardContextual"/>
            </w:rPr>
          </w:pPr>
          <w:hyperlink w:anchor="_Toc163590721" w:history="1">
            <w:r w:rsidR="00C04875" w:rsidRPr="008949B3">
              <w:rPr>
                <w:rStyle w:val="Hyperlink"/>
                <w:rFonts w:ascii="Arial" w:hAnsi="Arial" w:cs="Arial"/>
                <w:noProof/>
              </w:rPr>
              <w:t>Conclusions</w:t>
            </w:r>
            <w:r w:rsidR="00C04875" w:rsidRPr="008949B3">
              <w:rPr>
                <w:rFonts w:ascii="Arial" w:hAnsi="Arial" w:cs="Arial"/>
                <w:noProof/>
                <w:webHidden/>
              </w:rPr>
              <w:tab/>
            </w:r>
            <w:r w:rsidR="00C04875" w:rsidRPr="008949B3">
              <w:rPr>
                <w:rFonts w:ascii="Arial" w:hAnsi="Arial" w:cs="Arial"/>
                <w:noProof/>
                <w:webHidden/>
              </w:rPr>
              <w:fldChar w:fldCharType="begin"/>
            </w:r>
            <w:r w:rsidR="00C04875" w:rsidRPr="008949B3">
              <w:rPr>
                <w:rFonts w:ascii="Arial" w:hAnsi="Arial" w:cs="Arial"/>
                <w:noProof/>
                <w:webHidden/>
              </w:rPr>
              <w:instrText xml:space="preserve"> PAGEREF _Toc163590721 \h </w:instrText>
            </w:r>
            <w:r w:rsidR="00C04875" w:rsidRPr="008949B3">
              <w:rPr>
                <w:rFonts w:ascii="Arial" w:hAnsi="Arial" w:cs="Arial"/>
                <w:noProof/>
                <w:webHidden/>
              </w:rPr>
            </w:r>
            <w:r w:rsidR="00C04875" w:rsidRPr="008949B3">
              <w:rPr>
                <w:rFonts w:ascii="Arial" w:hAnsi="Arial" w:cs="Arial"/>
                <w:noProof/>
                <w:webHidden/>
              </w:rPr>
              <w:fldChar w:fldCharType="separate"/>
            </w:r>
            <w:r w:rsidR="00C04875" w:rsidRPr="008949B3">
              <w:rPr>
                <w:rFonts w:ascii="Arial" w:hAnsi="Arial" w:cs="Arial"/>
                <w:noProof/>
                <w:webHidden/>
              </w:rPr>
              <w:t>19</w:t>
            </w:r>
            <w:r w:rsidR="00C04875" w:rsidRPr="008949B3">
              <w:rPr>
                <w:rFonts w:ascii="Arial" w:hAnsi="Arial" w:cs="Arial"/>
                <w:noProof/>
                <w:webHidden/>
              </w:rPr>
              <w:fldChar w:fldCharType="end"/>
            </w:r>
          </w:hyperlink>
        </w:p>
        <w:p w14:paraId="73755265" w14:textId="46C69755" w:rsidR="00EC0F33" w:rsidRDefault="00EC0F33">
          <w:r w:rsidRPr="008949B3">
            <w:rPr>
              <w:rFonts w:ascii="Arial" w:hAnsi="Arial" w:cs="Arial"/>
              <w:b/>
              <w:bCs/>
              <w:noProof/>
            </w:rPr>
            <w:fldChar w:fldCharType="end"/>
          </w:r>
        </w:p>
      </w:sdtContent>
    </w:sdt>
    <w:p w14:paraId="09E36FE9" w14:textId="77777777" w:rsidR="008949B3" w:rsidRDefault="008949B3" w:rsidP="008949B3">
      <w:pPr>
        <w:pStyle w:val="Heading2"/>
      </w:pPr>
      <w:r>
        <w:t>Appendices</w:t>
      </w:r>
    </w:p>
    <w:p w14:paraId="28670C92" w14:textId="77777777" w:rsidR="008949B3" w:rsidRDefault="008949B3">
      <w:pPr>
        <w:rPr>
          <w:rFonts w:ascii="Arial" w:hAnsi="Arial" w:cs="Arial"/>
        </w:rPr>
      </w:pPr>
    </w:p>
    <w:p w14:paraId="3D9DE057" w14:textId="6FC55B4D" w:rsidR="008949B3" w:rsidRDefault="008949B3" w:rsidP="008949B3">
      <w:pPr>
        <w:spacing w:after="0"/>
        <w:rPr>
          <w:rFonts w:ascii="Arial" w:hAnsi="Arial" w:cs="Arial"/>
        </w:rPr>
      </w:pPr>
      <w:r>
        <w:rPr>
          <w:rFonts w:ascii="Arial" w:hAnsi="Arial" w:cs="Arial"/>
        </w:rPr>
        <w:t>Appendix A</w:t>
      </w:r>
      <w:r w:rsidR="002B0214">
        <w:rPr>
          <w:rFonts w:ascii="Arial" w:hAnsi="Arial" w:cs="Arial"/>
        </w:rPr>
        <w:tab/>
        <w:t>Permissions Data Analysis</w:t>
      </w:r>
    </w:p>
    <w:p w14:paraId="5C2FE9CF" w14:textId="175936B4" w:rsidR="008949B3" w:rsidRDefault="008949B3" w:rsidP="008949B3">
      <w:pPr>
        <w:spacing w:after="0"/>
        <w:rPr>
          <w:rFonts w:ascii="Arial" w:hAnsi="Arial" w:cs="Arial"/>
        </w:rPr>
      </w:pPr>
      <w:r>
        <w:rPr>
          <w:rFonts w:ascii="Arial" w:hAnsi="Arial" w:cs="Arial"/>
        </w:rPr>
        <w:t>Appendix B</w:t>
      </w:r>
      <w:r w:rsidR="002B0214">
        <w:rPr>
          <w:rFonts w:ascii="Arial" w:hAnsi="Arial" w:cs="Arial"/>
        </w:rPr>
        <w:tab/>
        <w:t>GIS Data Existing Density Analysis</w:t>
      </w:r>
    </w:p>
    <w:p w14:paraId="08A653AD" w14:textId="665BCFFF" w:rsidR="008949B3" w:rsidRDefault="008949B3" w:rsidP="008949B3">
      <w:pPr>
        <w:spacing w:after="0"/>
        <w:rPr>
          <w:rFonts w:ascii="Arial" w:hAnsi="Arial" w:cs="Arial"/>
        </w:rPr>
      </w:pPr>
      <w:r>
        <w:rPr>
          <w:rFonts w:ascii="Arial" w:hAnsi="Arial" w:cs="Arial"/>
        </w:rPr>
        <w:t>Appendix C</w:t>
      </w:r>
      <w:r w:rsidR="002B0214">
        <w:rPr>
          <w:rFonts w:ascii="Arial" w:hAnsi="Arial" w:cs="Arial"/>
        </w:rPr>
        <w:tab/>
        <w:t>Sustainable Location Maps</w:t>
      </w:r>
    </w:p>
    <w:p w14:paraId="6D9E952E" w14:textId="0D9DF18E" w:rsidR="008949B3" w:rsidRDefault="008949B3" w:rsidP="008949B3">
      <w:pPr>
        <w:spacing w:after="0"/>
        <w:rPr>
          <w:rFonts w:ascii="Arial" w:hAnsi="Arial" w:cs="Arial"/>
        </w:rPr>
      </w:pPr>
      <w:r>
        <w:rPr>
          <w:rFonts w:ascii="Arial" w:hAnsi="Arial" w:cs="Arial"/>
        </w:rPr>
        <w:t>Appendix D</w:t>
      </w:r>
      <w:r w:rsidR="002B0214">
        <w:rPr>
          <w:rFonts w:ascii="Arial" w:hAnsi="Arial" w:cs="Arial"/>
        </w:rPr>
        <w:tab/>
        <w:t>Case Studies Narratives</w:t>
      </w:r>
    </w:p>
    <w:p w14:paraId="16A4513A" w14:textId="22095729" w:rsidR="002B0214" w:rsidRDefault="002B0214" w:rsidP="008949B3">
      <w:pPr>
        <w:spacing w:after="0"/>
        <w:rPr>
          <w:rFonts w:ascii="Arial" w:hAnsi="Arial" w:cs="Arial"/>
        </w:rPr>
      </w:pPr>
      <w:r>
        <w:rPr>
          <w:rFonts w:ascii="Arial" w:hAnsi="Arial" w:cs="Arial"/>
        </w:rPr>
        <w:t>Appendix E</w:t>
      </w:r>
      <w:r>
        <w:rPr>
          <w:rFonts w:ascii="Arial" w:hAnsi="Arial" w:cs="Arial"/>
        </w:rPr>
        <w:tab/>
        <w:t>Case Study NDSS Analysis</w:t>
      </w:r>
    </w:p>
    <w:p w14:paraId="0FF59638" w14:textId="77777777" w:rsidR="008949B3" w:rsidRDefault="008949B3" w:rsidP="008949B3">
      <w:pPr>
        <w:spacing w:after="0"/>
        <w:rPr>
          <w:rFonts w:ascii="Arial" w:hAnsi="Arial" w:cs="Arial"/>
        </w:rPr>
      </w:pPr>
    </w:p>
    <w:p w14:paraId="61BD9CF5" w14:textId="45C55014" w:rsidR="00EC0F33" w:rsidRDefault="00EC0F33">
      <w:pPr>
        <w:rPr>
          <w:rFonts w:ascii="Arial" w:hAnsi="Arial" w:cs="Arial"/>
          <w:sz w:val="36"/>
          <w:szCs w:val="36"/>
        </w:rPr>
      </w:pPr>
      <w:r>
        <w:rPr>
          <w:rFonts w:ascii="Arial" w:hAnsi="Arial" w:cs="Arial"/>
          <w:sz w:val="36"/>
          <w:szCs w:val="36"/>
        </w:rPr>
        <w:br w:type="page"/>
      </w:r>
    </w:p>
    <w:p w14:paraId="5BD0B391" w14:textId="3D3EF4B6" w:rsidR="00B61093" w:rsidRDefault="00D92C05" w:rsidP="00EC0F33">
      <w:pPr>
        <w:pStyle w:val="Heading1"/>
      </w:pPr>
      <w:bookmarkStart w:id="0" w:name="_Toc163590703"/>
      <w:r w:rsidRPr="002B101E">
        <w:lastRenderedPageBreak/>
        <w:t>Introduction</w:t>
      </w:r>
      <w:bookmarkEnd w:id="0"/>
    </w:p>
    <w:p w14:paraId="1C2B0BBB" w14:textId="77777777" w:rsidR="00EC0F33" w:rsidRPr="00EC0F33" w:rsidRDefault="00EC0F33" w:rsidP="00EC0F33"/>
    <w:p w14:paraId="12AB94F4" w14:textId="5BC79C67" w:rsidR="002B101E" w:rsidRDefault="00CE3D88" w:rsidP="002B101E">
      <w:pPr>
        <w:pStyle w:val="ListParagraph"/>
        <w:numPr>
          <w:ilvl w:val="1"/>
          <w:numId w:val="16"/>
        </w:numPr>
        <w:jc w:val="both"/>
        <w:rPr>
          <w:rFonts w:ascii="Arial" w:hAnsi="Arial" w:cs="Arial"/>
        </w:rPr>
      </w:pPr>
      <w:r w:rsidRPr="00B61093">
        <w:rPr>
          <w:rFonts w:ascii="Arial" w:hAnsi="Arial" w:cs="Arial"/>
        </w:rPr>
        <w:t>The purpose of this paper is to provide and explain evidence that demonstrates and</w:t>
      </w:r>
      <w:r w:rsidR="002B101E">
        <w:rPr>
          <w:rFonts w:ascii="Arial" w:hAnsi="Arial" w:cs="Arial"/>
        </w:rPr>
        <w:t xml:space="preserve"> </w:t>
      </w:r>
      <w:r w:rsidRPr="00B61093">
        <w:rPr>
          <w:rFonts w:ascii="Arial" w:hAnsi="Arial" w:cs="Arial"/>
        </w:rPr>
        <w:t>justifies the policy position within the Chichester District Council Proposed Submission Local Plan 2021-2039 with regards to housing density.</w:t>
      </w:r>
      <w:r w:rsidR="00087241">
        <w:rPr>
          <w:rFonts w:ascii="Arial" w:hAnsi="Arial" w:cs="Arial"/>
        </w:rPr>
        <w:t xml:space="preserve"> The study entails an extensive</w:t>
      </w:r>
      <w:r w:rsidR="006D5CCA">
        <w:rPr>
          <w:rFonts w:ascii="Arial" w:hAnsi="Arial" w:cs="Arial"/>
        </w:rPr>
        <w:t xml:space="preserve"> statistical</w:t>
      </w:r>
      <w:r w:rsidR="00087241">
        <w:rPr>
          <w:rFonts w:ascii="Arial" w:hAnsi="Arial" w:cs="Arial"/>
        </w:rPr>
        <w:t xml:space="preserve"> review of recently </w:t>
      </w:r>
      <w:r w:rsidR="008C7BAA">
        <w:rPr>
          <w:rFonts w:ascii="Arial" w:hAnsi="Arial" w:cs="Arial"/>
        </w:rPr>
        <w:t>consented</w:t>
      </w:r>
      <w:r w:rsidR="00087241">
        <w:rPr>
          <w:rFonts w:ascii="Arial" w:hAnsi="Arial" w:cs="Arial"/>
        </w:rPr>
        <w:t xml:space="preserve"> development </w:t>
      </w:r>
      <w:r w:rsidR="00DF412B">
        <w:rPr>
          <w:rFonts w:ascii="Arial" w:hAnsi="Arial" w:cs="Arial"/>
        </w:rPr>
        <w:t>and</w:t>
      </w:r>
      <w:r w:rsidR="006D5CCA">
        <w:rPr>
          <w:rFonts w:ascii="Arial" w:hAnsi="Arial" w:cs="Arial"/>
        </w:rPr>
        <w:t xml:space="preserve"> </w:t>
      </w:r>
      <w:r w:rsidR="00DF412B">
        <w:rPr>
          <w:rFonts w:ascii="Arial" w:hAnsi="Arial" w:cs="Arial"/>
        </w:rPr>
        <w:t>establishes average</w:t>
      </w:r>
      <w:r w:rsidR="006D5CCA">
        <w:rPr>
          <w:rFonts w:ascii="Arial" w:hAnsi="Arial" w:cs="Arial"/>
        </w:rPr>
        <w:t xml:space="preserve"> </w:t>
      </w:r>
      <w:r w:rsidR="00DF412B">
        <w:rPr>
          <w:rFonts w:ascii="Arial" w:hAnsi="Arial" w:cs="Arial"/>
        </w:rPr>
        <w:t xml:space="preserve">existing densities within </w:t>
      </w:r>
      <w:r w:rsidR="006D5CCA">
        <w:rPr>
          <w:rFonts w:ascii="Arial" w:hAnsi="Arial" w:cs="Arial"/>
        </w:rPr>
        <w:t xml:space="preserve">the most sustainable parts of the </w:t>
      </w:r>
      <w:r w:rsidR="00DF0764">
        <w:rPr>
          <w:rFonts w:ascii="Arial" w:hAnsi="Arial" w:cs="Arial"/>
        </w:rPr>
        <w:t>P</w:t>
      </w:r>
      <w:r w:rsidR="006D5CCA">
        <w:rPr>
          <w:rFonts w:ascii="Arial" w:hAnsi="Arial" w:cs="Arial"/>
        </w:rPr>
        <w:t xml:space="preserve">lan </w:t>
      </w:r>
      <w:r w:rsidR="00DF0764">
        <w:rPr>
          <w:rFonts w:ascii="Arial" w:hAnsi="Arial" w:cs="Arial"/>
        </w:rPr>
        <w:t>A</w:t>
      </w:r>
      <w:r w:rsidR="006D5CCA">
        <w:rPr>
          <w:rFonts w:ascii="Arial" w:hAnsi="Arial" w:cs="Arial"/>
        </w:rPr>
        <w:t>rea. A number of case studies have also been conducted in order to gain a more nuanced unde</w:t>
      </w:r>
      <w:r w:rsidR="008C7BAA">
        <w:rPr>
          <w:rFonts w:ascii="Arial" w:hAnsi="Arial" w:cs="Arial"/>
        </w:rPr>
        <w:t xml:space="preserve">rstanding of </w:t>
      </w:r>
      <w:r w:rsidR="00755921">
        <w:rPr>
          <w:rFonts w:ascii="Arial" w:hAnsi="Arial" w:cs="Arial"/>
        </w:rPr>
        <w:t>density considerations.</w:t>
      </w:r>
    </w:p>
    <w:p w14:paraId="1E496462" w14:textId="558BFB68" w:rsidR="002B101E" w:rsidRPr="002B101E" w:rsidRDefault="002B101E" w:rsidP="00DF412B">
      <w:pPr>
        <w:pStyle w:val="ListParagraph"/>
        <w:ind w:left="0"/>
        <w:jc w:val="both"/>
        <w:rPr>
          <w:rFonts w:ascii="Arial" w:hAnsi="Arial" w:cs="Arial"/>
        </w:rPr>
      </w:pPr>
    </w:p>
    <w:p w14:paraId="38AACE2F" w14:textId="71ECB963" w:rsidR="00EC0F33" w:rsidRDefault="00D92C05" w:rsidP="00EC0F33">
      <w:pPr>
        <w:pStyle w:val="Heading1"/>
      </w:pPr>
      <w:bookmarkStart w:id="1" w:name="_Toc163590704"/>
      <w:r w:rsidRPr="002B101E">
        <w:t xml:space="preserve">National </w:t>
      </w:r>
      <w:r w:rsidR="0055015E" w:rsidRPr="002B101E">
        <w:t xml:space="preserve">Policy </w:t>
      </w:r>
      <w:r w:rsidRPr="002B101E">
        <w:t>Context</w:t>
      </w:r>
      <w:bookmarkEnd w:id="1"/>
    </w:p>
    <w:p w14:paraId="5066F068" w14:textId="77777777" w:rsidR="00EC0F33" w:rsidRPr="00EC0F33" w:rsidRDefault="00EC0F33" w:rsidP="00EC0F33"/>
    <w:p w14:paraId="1BA03592" w14:textId="2CB3345E" w:rsidR="00111747" w:rsidRPr="00111747" w:rsidRDefault="005C042E" w:rsidP="00EC0F33">
      <w:pPr>
        <w:jc w:val="both"/>
        <w:rPr>
          <w:rFonts w:ascii="Arial" w:hAnsi="Arial" w:cs="Arial"/>
        </w:rPr>
      </w:pPr>
      <w:r>
        <w:rPr>
          <w:rFonts w:ascii="Arial" w:hAnsi="Arial" w:cs="Arial"/>
        </w:rPr>
        <w:t>2.1</w:t>
      </w:r>
      <w:r>
        <w:rPr>
          <w:rFonts w:ascii="Arial" w:hAnsi="Arial" w:cs="Arial"/>
        </w:rPr>
        <w:tab/>
      </w:r>
      <w:r w:rsidR="00CE3D88" w:rsidRPr="002B101E">
        <w:rPr>
          <w:rFonts w:ascii="Arial" w:hAnsi="Arial" w:cs="Arial"/>
        </w:rPr>
        <w:t>The National Planning Policy Framework (NPPF)</w:t>
      </w:r>
      <w:r w:rsidR="00111747" w:rsidRPr="002B101E">
        <w:rPr>
          <w:rFonts w:ascii="Arial" w:hAnsi="Arial" w:cs="Arial"/>
        </w:rPr>
        <w:t xml:space="preserve"> requires planning policies to support development that makes efficient use of land by achieving appropriate densities. Paragraph 12</w:t>
      </w:r>
      <w:r w:rsidR="006532AD" w:rsidRPr="002B101E">
        <w:rPr>
          <w:rFonts w:ascii="Arial" w:hAnsi="Arial" w:cs="Arial"/>
        </w:rPr>
        <w:t>9</w:t>
      </w:r>
      <w:r w:rsidR="00111747" w:rsidRPr="002B101E">
        <w:rPr>
          <w:rFonts w:ascii="Arial" w:hAnsi="Arial" w:cs="Arial"/>
        </w:rPr>
        <w:t xml:space="preserve"> of the NPPF specifies that, where there is an existing or anticipated shortage of land for meeting identified housing needs it is especially important that planning policies avoid homes being built at low densities and ensure that developments make optimal use of the potential of each site. In these circumstances:</w:t>
      </w:r>
    </w:p>
    <w:p w14:paraId="4EFDA7D6" w14:textId="1EC30509" w:rsidR="00111747" w:rsidRDefault="00111747" w:rsidP="00111747">
      <w:pPr>
        <w:pStyle w:val="ListParagraph"/>
        <w:numPr>
          <w:ilvl w:val="0"/>
          <w:numId w:val="3"/>
        </w:numPr>
        <w:jc w:val="both"/>
        <w:rPr>
          <w:rFonts w:ascii="Arial" w:hAnsi="Arial" w:cs="Arial"/>
        </w:rPr>
      </w:pPr>
      <w:r>
        <w:rPr>
          <w:rFonts w:ascii="Arial" w:hAnsi="Arial" w:cs="Arial"/>
        </w:rPr>
        <w:t xml:space="preserve">Plans should contain policies to optimise the use of land in their area and meet as much of the identified need for housing as possible. This will be tested robustly at </w:t>
      </w:r>
      <w:r w:rsidR="00537B52">
        <w:rPr>
          <w:rFonts w:ascii="Arial" w:hAnsi="Arial" w:cs="Arial"/>
        </w:rPr>
        <w:t>examination and</w:t>
      </w:r>
      <w:r>
        <w:rPr>
          <w:rFonts w:ascii="Arial" w:hAnsi="Arial" w:cs="Arial"/>
        </w:rPr>
        <w:t xml:space="preserve"> should include the use of minimum density standards for city and town centres and other locations that are well served by public transport. </w:t>
      </w:r>
      <w:r w:rsidR="00AB7C7A">
        <w:rPr>
          <w:rFonts w:ascii="Arial" w:hAnsi="Arial" w:cs="Arial"/>
        </w:rPr>
        <w:t>These standards should seek a significant uplift in the average density of residential development within these areas, unless it can be shown that there are strong reasons why this would be inappropriate;</w:t>
      </w:r>
    </w:p>
    <w:p w14:paraId="26DD7789" w14:textId="77777777" w:rsidR="00AB7C7A" w:rsidRDefault="00AB7C7A" w:rsidP="00AB7C7A">
      <w:pPr>
        <w:pStyle w:val="ListParagraph"/>
        <w:jc w:val="both"/>
        <w:rPr>
          <w:rFonts w:ascii="Arial" w:hAnsi="Arial" w:cs="Arial"/>
        </w:rPr>
      </w:pPr>
    </w:p>
    <w:p w14:paraId="31D82860" w14:textId="617B9B3C" w:rsidR="006532AD" w:rsidRDefault="00AB7C7A" w:rsidP="006532AD">
      <w:pPr>
        <w:pStyle w:val="ListParagraph"/>
        <w:numPr>
          <w:ilvl w:val="0"/>
          <w:numId w:val="3"/>
        </w:numPr>
        <w:jc w:val="both"/>
        <w:rPr>
          <w:rFonts w:ascii="Arial" w:hAnsi="Arial" w:cs="Arial"/>
        </w:rPr>
      </w:pPr>
      <w:r>
        <w:rPr>
          <w:rFonts w:ascii="Arial" w:hAnsi="Arial" w:cs="Arial"/>
        </w:rPr>
        <w:t>The use of minimum density standards should also be considered for other part</w:t>
      </w:r>
      <w:r w:rsidR="001024C8">
        <w:rPr>
          <w:rFonts w:ascii="Arial" w:hAnsi="Arial" w:cs="Arial"/>
        </w:rPr>
        <w:t>s</w:t>
      </w:r>
      <w:r>
        <w:rPr>
          <w:rFonts w:ascii="Arial" w:hAnsi="Arial" w:cs="Arial"/>
        </w:rPr>
        <w:t xml:space="preserve"> of the </w:t>
      </w:r>
      <w:r w:rsidR="00DF0764">
        <w:rPr>
          <w:rFonts w:ascii="Arial" w:hAnsi="Arial" w:cs="Arial"/>
        </w:rPr>
        <w:t>p</w:t>
      </w:r>
      <w:r>
        <w:rPr>
          <w:rFonts w:ascii="Arial" w:hAnsi="Arial" w:cs="Arial"/>
        </w:rPr>
        <w:t xml:space="preserve">lan </w:t>
      </w:r>
      <w:r w:rsidR="00DF0764">
        <w:rPr>
          <w:rFonts w:ascii="Arial" w:hAnsi="Arial" w:cs="Arial"/>
        </w:rPr>
        <w:t>a</w:t>
      </w:r>
      <w:r>
        <w:rPr>
          <w:rFonts w:ascii="Arial" w:hAnsi="Arial" w:cs="Arial"/>
        </w:rPr>
        <w:t>rea. It may be appropriate to set out a range of densities that reflect the accessibility and potential of different areas, rather than one broad density range.</w:t>
      </w:r>
    </w:p>
    <w:p w14:paraId="7A6F4B17" w14:textId="77777777" w:rsidR="006532AD" w:rsidRPr="006532AD" w:rsidRDefault="006532AD" w:rsidP="006532AD">
      <w:pPr>
        <w:pStyle w:val="ListParagraph"/>
        <w:rPr>
          <w:rFonts w:ascii="Arial" w:hAnsi="Arial" w:cs="Arial"/>
        </w:rPr>
      </w:pPr>
    </w:p>
    <w:p w14:paraId="17A04477" w14:textId="44E3200D" w:rsidR="006532AD" w:rsidRDefault="006532AD" w:rsidP="006532AD">
      <w:pPr>
        <w:pStyle w:val="ListParagraph"/>
        <w:ind w:left="0"/>
        <w:jc w:val="both"/>
        <w:rPr>
          <w:rFonts w:ascii="Arial" w:hAnsi="Arial" w:cs="Arial"/>
        </w:rPr>
      </w:pPr>
      <w:r>
        <w:rPr>
          <w:rFonts w:ascii="Arial" w:hAnsi="Arial" w:cs="Arial"/>
        </w:rPr>
        <w:t>2.2</w:t>
      </w:r>
      <w:r>
        <w:rPr>
          <w:rFonts w:ascii="Arial" w:hAnsi="Arial" w:cs="Arial"/>
        </w:rPr>
        <w:tab/>
        <w:t>The recent insertion of a new paragraph to the NPPF (paragraph 130) qualifies density policy by recognising that significant uplifts in the average density of residential development may be inappropriate if the resulting built form would be wholly out of character with the existing area. It requires such consideration of character to be articulated and evidenced th</w:t>
      </w:r>
      <w:r w:rsidR="00BE3A6A">
        <w:rPr>
          <w:rFonts w:ascii="Arial" w:hAnsi="Arial" w:cs="Arial"/>
        </w:rPr>
        <w:t>r</w:t>
      </w:r>
      <w:r>
        <w:rPr>
          <w:rFonts w:ascii="Arial" w:hAnsi="Arial" w:cs="Arial"/>
        </w:rPr>
        <w:t>ough an authority-wide design code which is adopted or would be adopted as part of the development plan. Government anticipat</w:t>
      </w:r>
      <w:r w:rsidR="00CF50CB">
        <w:rPr>
          <w:rFonts w:ascii="Arial" w:hAnsi="Arial" w:cs="Arial"/>
        </w:rPr>
        <w:t xml:space="preserve">es that the NPPF changes will help local authorities to meet local housing need through gentle densification </w:t>
      </w:r>
      <w:r w:rsidR="0059050A">
        <w:rPr>
          <w:rFonts w:ascii="Arial" w:hAnsi="Arial" w:cs="Arial"/>
        </w:rPr>
        <w:t xml:space="preserve">(of our urban cores) </w:t>
      </w:r>
      <w:r w:rsidR="00CF50CB">
        <w:rPr>
          <w:rFonts w:ascii="Arial" w:hAnsi="Arial" w:cs="Arial"/>
        </w:rPr>
        <w:t>while having due regard to local character and the community’s wishes and concerns</w:t>
      </w:r>
      <w:r w:rsidR="00CF50CB">
        <w:rPr>
          <w:rStyle w:val="FootnoteReference"/>
          <w:rFonts w:ascii="Arial" w:hAnsi="Arial" w:cs="Arial"/>
        </w:rPr>
        <w:footnoteReference w:id="1"/>
      </w:r>
      <w:r w:rsidR="00CF50CB">
        <w:rPr>
          <w:rFonts w:ascii="Arial" w:hAnsi="Arial" w:cs="Arial"/>
        </w:rPr>
        <w:t xml:space="preserve">. </w:t>
      </w:r>
      <w:r w:rsidR="007E79A3">
        <w:rPr>
          <w:rFonts w:ascii="Arial" w:hAnsi="Arial" w:cs="Arial"/>
        </w:rPr>
        <w:t>As</w:t>
      </w:r>
      <w:r w:rsidR="00054D95">
        <w:rPr>
          <w:rFonts w:ascii="Arial" w:hAnsi="Arial" w:cs="Arial"/>
        </w:rPr>
        <w:t xml:space="preserve"> the CDC proposed submission Local Plan reached regulation 19 consultation prior to 19 March 2024, paragraph 130 need not apply, but </w:t>
      </w:r>
      <w:r w:rsidR="00FC485B">
        <w:rPr>
          <w:rFonts w:ascii="Arial" w:hAnsi="Arial" w:cs="Arial"/>
        </w:rPr>
        <w:t xml:space="preserve">it </w:t>
      </w:r>
      <w:r w:rsidR="00054D95">
        <w:rPr>
          <w:rFonts w:ascii="Arial" w:hAnsi="Arial" w:cs="Arial"/>
        </w:rPr>
        <w:t xml:space="preserve">is considered prudent to consider the </w:t>
      </w:r>
      <w:r w:rsidR="00BC4E5F">
        <w:rPr>
          <w:rFonts w:ascii="Arial" w:hAnsi="Arial" w:cs="Arial"/>
        </w:rPr>
        <w:t>heightened</w:t>
      </w:r>
      <w:r w:rsidR="007E79A3">
        <w:rPr>
          <w:rFonts w:ascii="Arial" w:hAnsi="Arial" w:cs="Arial"/>
        </w:rPr>
        <w:t xml:space="preserve"> emphasis of the NPPF in the context of housing density to ensure character is appropriately recognised. </w:t>
      </w:r>
    </w:p>
    <w:p w14:paraId="6DDA5443" w14:textId="5ED03C3D" w:rsidR="0042124F" w:rsidRDefault="0042124F" w:rsidP="006532AD">
      <w:pPr>
        <w:pStyle w:val="ListParagraph"/>
        <w:ind w:left="0"/>
        <w:jc w:val="both"/>
        <w:rPr>
          <w:rFonts w:ascii="Arial" w:hAnsi="Arial" w:cs="Arial"/>
        </w:rPr>
      </w:pPr>
    </w:p>
    <w:p w14:paraId="4D54BFF1" w14:textId="442494E3" w:rsidR="0042124F" w:rsidRPr="006532AD" w:rsidRDefault="005C042E" w:rsidP="006532AD">
      <w:pPr>
        <w:pStyle w:val="ListParagraph"/>
        <w:ind w:left="0"/>
        <w:jc w:val="both"/>
        <w:rPr>
          <w:rFonts w:ascii="Arial" w:hAnsi="Arial" w:cs="Arial"/>
        </w:rPr>
      </w:pPr>
      <w:r>
        <w:rPr>
          <w:rFonts w:ascii="Arial" w:hAnsi="Arial" w:cs="Arial"/>
        </w:rPr>
        <w:t>2.3</w:t>
      </w:r>
      <w:r>
        <w:rPr>
          <w:rFonts w:ascii="Arial" w:hAnsi="Arial" w:cs="Arial"/>
        </w:rPr>
        <w:tab/>
      </w:r>
      <w:r w:rsidR="0042124F">
        <w:rPr>
          <w:rFonts w:ascii="Arial" w:hAnsi="Arial" w:cs="Arial"/>
        </w:rPr>
        <w:t>Most recently, the Government has opened consultation</w:t>
      </w:r>
      <w:r w:rsidR="00795590">
        <w:rPr>
          <w:rStyle w:val="FootnoteReference"/>
          <w:rFonts w:ascii="Arial" w:hAnsi="Arial" w:cs="Arial"/>
        </w:rPr>
        <w:footnoteReference w:id="2"/>
      </w:r>
      <w:r w:rsidR="0042124F">
        <w:rPr>
          <w:rFonts w:ascii="Arial" w:hAnsi="Arial" w:cs="Arial"/>
        </w:rPr>
        <w:t xml:space="preserve"> on proposed strengthening of national planning policy in relation to brownfield development, </w:t>
      </w:r>
      <w:r w:rsidR="00BC4E5F">
        <w:rPr>
          <w:rFonts w:ascii="Arial" w:hAnsi="Arial" w:cs="Arial"/>
        </w:rPr>
        <w:t>exploring</w:t>
      </w:r>
      <w:r w:rsidR="0042124F">
        <w:rPr>
          <w:rFonts w:ascii="Arial" w:hAnsi="Arial" w:cs="Arial"/>
        </w:rPr>
        <w:t xml:space="preserve"> </w:t>
      </w:r>
      <w:r w:rsidR="00987D78">
        <w:rPr>
          <w:rFonts w:ascii="Arial" w:hAnsi="Arial" w:cs="Arial"/>
        </w:rPr>
        <w:t xml:space="preserve">options including </w:t>
      </w:r>
      <w:r w:rsidR="0035248B">
        <w:rPr>
          <w:rFonts w:ascii="Arial" w:hAnsi="Arial" w:cs="Arial"/>
        </w:rPr>
        <w:lastRenderedPageBreak/>
        <w:t>giving significant weight to the benefits of delivering as many homes as possible</w:t>
      </w:r>
      <w:r w:rsidR="00BC4E5F">
        <w:rPr>
          <w:rFonts w:ascii="Arial" w:hAnsi="Arial" w:cs="Arial"/>
        </w:rPr>
        <w:t xml:space="preserve"> and</w:t>
      </w:r>
      <w:r w:rsidR="0035248B">
        <w:rPr>
          <w:rFonts w:ascii="Arial" w:hAnsi="Arial" w:cs="Arial"/>
        </w:rPr>
        <w:t xml:space="preserve"> taking a flexible approach to applying policies or guidance </w:t>
      </w:r>
      <w:r w:rsidR="00BC4E5F">
        <w:rPr>
          <w:rFonts w:ascii="Arial" w:hAnsi="Arial" w:cs="Arial"/>
        </w:rPr>
        <w:t>relating</w:t>
      </w:r>
      <w:r w:rsidR="0035248B">
        <w:rPr>
          <w:rFonts w:ascii="Arial" w:hAnsi="Arial" w:cs="Arial"/>
        </w:rPr>
        <w:t xml:space="preserve"> to internal layouts and daylight requirements, and </w:t>
      </w:r>
      <w:r w:rsidR="0042124F">
        <w:rPr>
          <w:rFonts w:ascii="Arial" w:hAnsi="Arial" w:cs="Arial"/>
        </w:rPr>
        <w:t xml:space="preserve">the </w:t>
      </w:r>
      <w:r w:rsidR="00BC4E5F">
        <w:rPr>
          <w:rFonts w:ascii="Arial" w:hAnsi="Arial" w:cs="Arial"/>
        </w:rPr>
        <w:t xml:space="preserve">potential </w:t>
      </w:r>
      <w:r w:rsidR="0042124F">
        <w:rPr>
          <w:rFonts w:ascii="Arial" w:hAnsi="Arial" w:cs="Arial"/>
        </w:rPr>
        <w:t xml:space="preserve">application of a presumption in favour of sustainable </w:t>
      </w:r>
      <w:r w:rsidR="0035248B">
        <w:rPr>
          <w:rFonts w:ascii="Arial" w:hAnsi="Arial" w:cs="Arial"/>
        </w:rPr>
        <w:t xml:space="preserve">development </w:t>
      </w:r>
      <w:r w:rsidR="0042124F">
        <w:rPr>
          <w:rFonts w:ascii="Arial" w:hAnsi="Arial" w:cs="Arial"/>
        </w:rPr>
        <w:t>on previously developed land</w:t>
      </w:r>
      <w:r w:rsidR="0035248B">
        <w:rPr>
          <w:rFonts w:ascii="Arial" w:hAnsi="Arial" w:cs="Arial"/>
        </w:rPr>
        <w:t xml:space="preserve"> as part of the Housing Delivery </w:t>
      </w:r>
      <w:r w:rsidR="00512A70">
        <w:rPr>
          <w:rFonts w:ascii="Arial" w:hAnsi="Arial" w:cs="Arial"/>
        </w:rPr>
        <w:t>T</w:t>
      </w:r>
      <w:r w:rsidR="0035248B">
        <w:rPr>
          <w:rFonts w:ascii="Arial" w:hAnsi="Arial" w:cs="Arial"/>
        </w:rPr>
        <w:t>est in some circumstances</w:t>
      </w:r>
      <w:r w:rsidR="0042124F">
        <w:rPr>
          <w:rFonts w:ascii="Arial" w:hAnsi="Arial" w:cs="Arial"/>
        </w:rPr>
        <w:t>.</w:t>
      </w:r>
      <w:r w:rsidR="0035248B">
        <w:rPr>
          <w:rFonts w:ascii="Arial" w:hAnsi="Arial" w:cs="Arial"/>
        </w:rPr>
        <w:t xml:space="preserve"> Whilst </w:t>
      </w:r>
      <w:r w:rsidR="001A5290">
        <w:rPr>
          <w:rFonts w:ascii="Arial" w:hAnsi="Arial" w:cs="Arial"/>
        </w:rPr>
        <w:t xml:space="preserve">at an </w:t>
      </w:r>
      <w:r w:rsidR="0035248B">
        <w:rPr>
          <w:rFonts w:ascii="Arial" w:hAnsi="Arial" w:cs="Arial"/>
        </w:rPr>
        <w:t>earl</w:t>
      </w:r>
      <w:r w:rsidR="00BC4E5F">
        <w:rPr>
          <w:rFonts w:ascii="Arial" w:hAnsi="Arial" w:cs="Arial"/>
        </w:rPr>
        <w:t>y</w:t>
      </w:r>
      <w:r w:rsidR="0035248B">
        <w:rPr>
          <w:rFonts w:ascii="Arial" w:hAnsi="Arial" w:cs="Arial"/>
        </w:rPr>
        <w:t xml:space="preserve"> stage, this consultation signifies renewed emphasis on the </w:t>
      </w:r>
      <w:r w:rsidR="00BC4E5F">
        <w:rPr>
          <w:rFonts w:ascii="Arial" w:hAnsi="Arial" w:cs="Arial"/>
        </w:rPr>
        <w:t>importance of making effective use of brownfield land</w:t>
      </w:r>
      <w:r w:rsidR="0042124F">
        <w:rPr>
          <w:rFonts w:ascii="Arial" w:hAnsi="Arial" w:cs="Arial"/>
        </w:rPr>
        <w:t xml:space="preserve"> </w:t>
      </w:r>
      <w:r w:rsidR="00BC4E5F">
        <w:rPr>
          <w:rFonts w:ascii="Arial" w:hAnsi="Arial" w:cs="Arial"/>
        </w:rPr>
        <w:t>within urban locations, which is further considered within the study.</w:t>
      </w:r>
    </w:p>
    <w:p w14:paraId="4CC01303" w14:textId="00A09A11" w:rsidR="00AB7C7A" w:rsidRDefault="008B4950" w:rsidP="008B4950">
      <w:pPr>
        <w:rPr>
          <w:rFonts w:ascii="Arial" w:hAnsi="Arial" w:cs="Arial"/>
        </w:rPr>
      </w:pPr>
      <w:r>
        <w:rPr>
          <w:rFonts w:ascii="Arial" w:hAnsi="Arial" w:cs="Arial"/>
        </w:rPr>
        <w:t>2.</w:t>
      </w:r>
      <w:r w:rsidR="005C042E">
        <w:rPr>
          <w:rFonts w:ascii="Arial" w:hAnsi="Arial" w:cs="Arial"/>
        </w:rPr>
        <w:t>4</w:t>
      </w:r>
      <w:r>
        <w:rPr>
          <w:rFonts w:ascii="Arial" w:hAnsi="Arial" w:cs="Arial"/>
        </w:rPr>
        <w:tab/>
        <w:t>Planning practice guidance (PPG) concerning the effective use of land advises local planning authorities to take account of a range of considerations in establishing appropriate densities in a particular area. It lists tools that can assist, including:</w:t>
      </w:r>
    </w:p>
    <w:p w14:paraId="0E40519A" w14:textId="376CBC1B" w:rsidR="008B4950" w:rsidRDefault="008B4950" w:rsidP="008B4950">
      <w:pPr>
        <w:pStyle w:val="ListParagraph"/>
        <w:numPr>
          <w:ilvl w:val="0"/>
          <w:numId w:val="9"/>
        </w:numPr>
        <w:rPr>
          <w:rFonts w:ascii="Arial" w:hAnsi="Arial" w:cs="Arial"/>
        </w:rPr>
      </w:pPr>
      <w:r>
        <w:rPr>
          <w:rFonts w:ascii="Arial" w:hAnsi="Arial" w:cs="Arial"/>
        </w:rPr>
        <w:t>Accessibility measures such as distances and travel times to key facilities, including public transport stops or hubs;</w:t>
      </w:r>
    </w:p>
    <w:p w14:paraId="617916BF" w14:textId="7B7D93BA" w:rsidR="008B4950" w:rsidRDefault="008B4950" w:rsidP="008B4950">
      <w:pPr>
        <w:pStyle w:val="ListParagraph"/>
        <w:numPr>
          <w:ilvl w:val="0"/>
          <w:numId w:val="9"/>
        </w:numPr>
        <w:rPr>
          <w:rFonts w:ascii="Arial" w:hAnsi="Arial" w:cs="Arial"/>
        </w:rPr>
      </w:pPr>
      <w:r>
        <w:rPr>
          <w:rFonts w:ascii="Arial" w:hAnsi="Arial" w:cs="Arial"/>
        </w:rPr>
        <w:t>Characterisation studies;</w:t>
      </w:r>
    </w:p>
    <w:p w14:paraId="1B993804" w14:textId="0C8D3AC4" w:rsidR="008B4950" w:rsidRDefault="008B4950" w:rsidP="008B4950">
      <w:pPr>
        <w:pStyle w:val="ListParagraph"/>
        <w:numPr>
          <w:ilvl w:val="0"/>
          <w:numId w:val="9"/>
        </w:numPr>
        <w:rPr>
          <w:rFonts w:ascii="Arial" w:hAnsi="Arial" w:cs="Arial"/>
        </w:rPr>
      </w:pPr>
      <w:r>
        <w:rPr>
          <w:rFonts w:ascii="Arial" w:hAnsi="Arial" w:cs="Arial"/>
        </w:rPr>
        <w:t>Environmental and infrastructure assessment</w:t>
      </w:r>
      <w:r w:rsidR="00D344E8">
        <w:rPr>
          <w:rFonts w:ascii="Arial" w:hAnsi="Arial" w:cs="Arial"/>
        </w:rPr>
        <w:t>;</w:t>
      </w:r>
    </w:p>
    <w:p w14:paraId="4C216D70" w14:textId="0836EB36" w:rsidR="008B4950" w:rsidRDefault="008B4950" w:rsidP="008B4950">
      <w:pPr>
        <w:pStyle w:val="ListParagraph"/>
        <w:numPr>
          <w:ilvl w:val="0"/>
          <w:numId w:val="9"/>
        </w:numPr>
        <w:rPr>
          <w:rFonts w:ascii="Arial" w:hAnsi="Arial" w:cs="Arial"/>
        </w:rPr>
      </w:pPr>
      <w:r>
        <w:rPr>
          <w:rFonts w:ascii="Arial" w:hAnsi="Arial" w:cs="Arial"/>
        </w:rPr>
        <w:t>Assessments of market or site viability.</w:t>
      </w:r>
    </w:p>
    <w:p w14:paraId="4DE7B2B8" w14:textId="260BC56A" w:rsidR="00AB7C7A" w:rsidRPr="00AB7C7A" w:rsidRDefault="00334BEE" w:rsidP="005C042E">
      <w:pPr>
        <w:jc w:val="both"/>
        <w:rPr>
          <w:rFonts w:ascii="Arial" w:hAnsi="Arial" w:cs="Arial"/>
        </w:rPr>
      </w:pPr>
      <w:r>
        <w:rPr>
          <w:rFonts w:ascii="Arial" w:hAnsi="Arial" w:cs="Arial"/>
        </w:rPr>
        <w:t>2.</w:t>
      </w:r>
      <w:r w:rsidR="005C042E">
        <w:rPr>
          <w:rFonts w:ascii="Arial" w:hAnsi="Arial" w:cs="Arial"/>
        </w:rPr>
        <w:t>5</w:t>
      </w:r>
      <w:r>
        <w:rPr>
          <w:rFonts w:ascii="Arial" w:hAnsi="Arial" w:cs="Arial"/>
        </w:rPr>
        <w:tab/>
        <w:t xml:space="preserve">Paragraph 35 of </w:t>
      </w:r>
      <w:r w:rsidR="00C61C06">
        <w:rPr>
          <w:rFonts w:ascii="Arial" w:hAnsi="Arial" w:cs="Arial"/>
        </w:rPr>
        <w:t xml:space="preserve">the </w:t>
      </w:r>
      <w:r w:rsidR="00010752">
        <w:rPr>
          <w:rFonts w:ascii="Arial" w:hAnsi="Arial" w:cs="Arial"/>
        </w:rPr>
        <w:t>PPG</w:t>
      </w:r>
      <w:r>
        <w:rPr>
          <w:rFonts w:ascii="Arial" w:hAnsi="Arial" w:cs="Arial"/>
        </w:rPr>
        <w:t xml:space="preserve"> relating to housing and economic needs assessment advises that brownfield and other under-utilised urban sites should be prioritised for residential development, and on these sites density should be optimised to promote the most efficient use of land. This is to ensure that homes are built in the right places, to make the most of existing infrastructure, and to allow people to live nearby the service</w:t>
      </w:r>
      <w:r w:rsidR="00B10894">
        <w:rPr>
          <w:rFonts w:ascii="Arial" w:hAnsi="Arial" w:cs="Arial"/>
        </w:rPr>
        <w:t>s</w:t>
      </w:r>
      <w:r>
        <w:rPr>
          <w:rFonts w:ascii="Arial" w:hAnsi="Arial" w:cs="Arial"/>
        </w:rPr>
        <w:t xml:space="preserve"> they rely on, making travel patterns more sustainable. </w:t>
      </w:r>
    </w:p>
    <w:p w14:paraId="7CAB1776" w14:textId="2F41C342" w:rsidR="00D92C05" w:rsidRDefault="00D92C05" w:rsidP="00EC0F33">
      <w:pPr>
        <w:pStyle w:val="Heading1"/>
      </w:pPr>
      <w:bookmarkStart w:id="2" w:name="_Toc163590705"/>
      <w:r w:rsidRPr="005C042E">
        <w:t xml:space="preserve">Local </w:t>
      </w:r>
      <w:r w:rsidR="0055015E" w:rsidRPr="005C042E">
        <w:t xml:space="preserve">Policy </w:t>
      </w:r>
      <w:r w:rsidRPr="005C042E">
        <w:t>Context</w:t>
      </w:r>
      <w:bookmarkEnd w:id="2"/>
    </w:p>
    <w:p w14:paraId="32737788" w14:textId="77777777" w:rsidR="00EC0F33" w:rsidRPr="00EC0F33" w:rsidRDefault="00EC0F33" w:rsidP="00EC0F33"/>
    <w:p w14:paraId="193CE5A0" w14:textId="13F3AE5A" w:rsidR="007828BF" w:rsidRDefault="00AA4C68" w:rsidP="00AA4C68">
      <w:pPr>
        <w:jc w:val="both"/>
        <w:rPr>
          <w:rFonts w:ascii="Arial" w:hAnsi="Arial" w:cs="Arial"/>
        </w:rPr>
      </w:pPr>
      <w:r>
        <w:rPr>
          <w:rFonts w:ascii="Arial" w:hAnsi="Arial" w:cs="Arial"/>
        </w:rPr>
        <w:t>3.1</w:t>
      </w:r>
      <w:r w:rsidR="000E5B5E">
        <w:rPr>
          <w:rFonts w:ascii="Arial" w:hAnsi="Arial" w:cs="Arial"/>
        </w:rPr>
        <w:tab/>
      </w:r>
      <w:r w:rsidR="007828BF" w:rsidRPr="00AA4C68">
        <w:rPr>
          <w:rFonts w:ascii="Arial" w:hAnsi="Arial" w:cs="Arial"/>
        </w:rPr>
        <w:t xml:space="preserve">The adopted Local Plan 2014-2029 </w:t>
      </w:r>
      <w:r w:rsidR="00952FBD">
        <w:rPr>
          <w:rFonts w:ascii="Arial" w:hAnsi="Arial" w:cs="Arial"/>
        </w:rPr>
        <w:t>upholds</w:t>
      </w:r>
      <w:r w:rsidR="007828BF" w:rsidRPr="00AA4C68">
        <w:rPr>
          <w:rFonts w:ascii="Arial" w:hAnsi="Arial" w:cs="Arial"/>
        </w:rPr>
        <w:t xml:space="preserve"> a flexible approach to housing density,</w:t>
      </w:r>
      <w:r w:rsidRPr="00AA4C68">
        <w:rPr>
          <w:rFonts w:ascii="Arial" w:hAnsi="Arial" w:cs="Arial"/>
        </w:rPr>
        <w:t xml:space="preserve"> </w:t>
      </w:r>
      <w:r w:rsidR="007828BF" w:rsidRPr="00AA4C68">
        <w:rPr>
          <w:rFonts w:ascii="Arial" w:hAnsi="Arial" w:cs="Arial"/>
        </w:rPr>
        <w:t>recognising the importance of balancing the need to make effective use of land with the characteristics of the surrounding built up area</w:t>
      </w:r>
      <w:r w:rsidR="00B5564F" w:rsidRPr="00AA4C68">
        <w:rPr>
          <w:rFonts w:ascii="Arial" w:hAnsi="Arial" w:cs="Arial"/>
        </w:rPr>
        <w:t xml:space="preserve"> (paragraph 17.5)</w:t>
      </w:r>
      <w:r w:rsidR="007828BF" w:rsidRPr="00AA4C68">
        <w:rPr>
          <w:rFonts w:ascii="Arial" w:hAnsi="Arial" w:cs="Arial"/>
        </w:rPr>
        <w:t>. The Plan states</w:t>
      </w:r>
      <w:r w:rsidR="00E72DEB">
        <w:rPr>
          <w:rFonts w:ascii="Arial" w:hAnsi="Arial" w:cs="Arial"/>
        </w:rPr>
        <w:t xml:space="preserve"> within the supporting text</w:t>
      </w:r>
      <w:r w:rsidR="007828BF" w:rsidRPr="00AA4C68">
        <w:rPr>
          <w:rFonts w:ascii="Arial" w:hAnsi="Arial" w:cs="Arial"/>
        </w:rPr>
        <w:t xml:space="preserve"> that densities of 35 dwellings per hectare are considered </w:t>
      </w:r>
      <w:r w:rsidR="00C61C06">
        <w:rPr>
          <w:rFonts w:ascii="Arial" w:hAnsi="Arial" w:cs="Arial"/>
        </w:rPr>
        <w:t xml:space="preserve">broadly </w:t>
      </w:r>
      <w:r w:rsidR="007828BF" w:rsidRPr="00AA4C68">
        <w:rPr>
          <w:rFonts w:ascii="Arial" w:hAnsi="Arial" w:cs="Arial"/>
        </w:rPr>
        <w:t>appropriate on most greenfield and brownfield development across the district.  It recognises, however, that higher densities may be s</w:t>
      </w:r>
      <w:r w:rsidR="001024C8">
        <w:rPr>
          <w:rFonts w:ascii="Arial" w:hAnsi="Arial" w:cs="Arial"/>
        </w:rPr>
        <w:t>o</w:t>
      </w:r>
      <w:r w:rsidR="007828BF" w:rsidRPr="00AA4C68">
        <w:rPr>
          <w:rFonts w:ascii="Arial" w:hAnsi="Arial" w:cs="Arial"/>
        </w:rPr>
        <w:t>ught in urban areas where sites are better served by public transport and have access to a range of services and facilities</w:t>
      </w:r>
      <w:r w:rsidR="00B5564F" w:rsidRPr="00AA4C68">
        <w:rPr>
          <w:rFonts w:ascii="Arial" w:hAnsi="Arial" w:cs="Arial"/>
        </w:rPr>
        <w:t xml:space="preserve"> (para. 17.6)</w:t>
      </w:r>
      <w:r w:rsidR="007828BF" w:rsidRPr="00AA4C68">
        <w:rPr>
          <w:rFonts w:ascii="Arial" w:hAnsi="Arial" w:cs="Arial"/>
        </w:rPr>
        <w:t>.</w:t>
      </w:r>
      <w:r w:rsidR="00B5564F" w:rsidRPr="00AA4C68">
        <w:rPr>
          <w:rFonts w:ascii="Arial" w:hAnsi="Arial" w:cs="Arial"/>
        </w:rPr>
        <w:t xml:space="preserve"> Policy 33 confirms that planning permission will be granted for new residential development where it can be demonstrated that the scheme provides an appropriate density of development, determined by its immediate context, on-site constraint</w:t>
      </w:r>
      <w:r w:rsidR="001024C8">
        <w:rPr>
          <w:rFonts w:ascii="Arial" w:hAnsi="Arial" w:cs="Arial"/>
        </w:rPr>
        <w:t>s</w:t>
      </w:r>
      <w:r w:rsidR="00B5564F" w:rsidRPr="00AA4C68">
        <w:rPr>
          <w:rFonts w:ascii="Arial" w:hAnsi="Arial" w:cs="Arial"/>
        </w:rPr>
        <w:t xml:space="preserve">, the type of development proposed and the need to provide an appropriate mix of dwellings.  </w:t>
      </w:r>
      <w:r w:rsidR="007828BF" w:rsidRPr="00AA4C68">
        <w:rPr>
          <w:rFonts w:ascii="Arial" w:hAnsi="Arial" w:cs="Arial"/>
        </w:rPr>
        <w:t xml:space="preserve"> </w:t>
      </w:r>
    </w:p>
    <w:p w14:paraId="601DDABF" w14:textId="1FD8F94C" w:rsidR="00AA4C68" w:rsidRDefault="00AA4C68" w:rsidP="00AA4C68">
      <w:pPr>
        <w:jc w:val="both"/>
        <w:rPr>
          <w:rFonts w:ascii="Arial" w:hAnsi="Arial" w:cs="Arial"/>
        </w:rPr>
      </w:pPr>
      <w:r>
        <w:rPr>
          <w:rFonts w:ascii="Arial" w:hAnsi="Arial" w:cs="Arial"/>
        </w:rPr>
        <w:t>3.2</w:t>
      </w:r>
      <w:r>
        <w:rPr>
          <w:rFonts w:ascii="Arial" w:hAnsi="Arial" w:cs="Arial"/>
        </w:rPr>
        <w:tab/>
        <w:t>Text surrounding the proposed submission Local Plan P3 Density Policy supports a design-led approach to achieving optimal appropriate density for site</w:t>
      </w:r>
      <w:r w:rsidR="00B10894">
        <w:rPr>
          <w:rFonts w:ascii="Arial" w:hAnsi="Arial" w:cs="Arial"/>
        </w:rPr>
        <w:t>s</w:t>
      </w:r>
      <w:r>
        <w:rPr>
          <w:rFonts w:ascii="Arial" w:hAnsi="Arial" w:cs="Arial"/>
        </w:rPr>
        <w:t xml:space="preserve">, which considers the context and character of the site and local area, access points, the capacity of local </w:t>
      </w:r>
      <w:r w:rsidR="00686604">
        <w:rPr>
          <w:rFonts w:ascii="Arial" w:hAnsi="Arial" w:cs="Arial"/>
        </w:rPr>
        <w:t xml:space="preserve">infrastructure </w:t>
      </w:r>
      <w:r>
        <w:rPr>
          <w:rFonts w:ascii="Arial" w:hAnsi="Arial" w:cs="Arial"/>
        </w:rPr>
        <w:t xml:space="preserve">and the characteristics of the surrounding area. It does recognise, however, the need for development to make the most efficient use of land and to achieve higher densities than those found historically within much of the </w:t>
      </w:r>
      <w:r w:rsidR="00DF0764">
        <w:rPr>
          <w:rFonts w:ascii="Arial" w:hAnsi="Arial" w:cs="Arial"/>
        </w:rPr>
        <w:t>P</w:t>
      </w:r>
      <w:r w:rsidR="00C0405E">
        <w:rPr>
          <w:rFonts w:ascii="Arial" w:hAnsi="Arial" w:cs="Arial"/>
        </w:rPr>
        <w:t xml:space="preserve">lan </w:t>
      </w:r>
      <w:r w:rsidR="00DF0764">
        <w:rPr>
          <w:rFonts w:ascii="Arial" w:hAnsi="Arial" w:cs="Arial"/>
        </w:rPr>
        <w:t>A</w:t>
      </w:r>
      <w:r w:rsidR="00C0405E">
        <w:rPr>
          <w:rFonts w:ascii="Arial" w:hAnsi="Arial" w:cs="Arial"/>
        </w:rPr>
        <w:t>rea</w:t>
      </w:r>
      <w:r>
        <w:rPr>
          <w:rFonts w:ascii="Arial" w:hAnsi="Arial" w:cs="Arial"/>
        </w:rPr>
        <w:t xml:space="preserve">. </w:t>
      </w:r>
      <w:r w:rsidRPr="003061FC">
        <w:rPr>
          <w:rFonts w:ascii="Arial" w:hAnsi="Arial" w:cs="Arial"/>
        </w:rPr>
        <w:t xml:space="preserve">It reflects that the expectation of a minimum of 35 dwellings per hectare is significantly greater than the densities currently seen more widely across the </w:t>
      </w:r>
      <w:r w:rsidR="00DF0764">
        <w:rPr>
          <w:rFonts w:ascii="Arial" w:hAnsi="Arial" w:cs="Arial"/>
        </w:rPr>
        <w:t>P</w:t>
      </w:r>
      <w:r w:rsidR="00C0405E">
        <w:rPr>
          <w:rFonts w:ascii="Arial" w:hAnsi="Arial" w:cs="Arial"/>
        </w:rPr>
        <w:t xml:space="preserve">lan </w:t>
      </w:r>
      <w:r w:rsidR="00DF0764">
        <w:rPr>
          <w:rFonts w:ascii="Arial" w:hAnsi="Arial" w:cs="Arial"/>
        </w:rPr>
        <w:t>A</w:t>
      </w:r>
      <w:r w:rsidR="00C0405E">
        <w:rPr>
          <w:rFonts w:ascii="Arial" w:hAnsi="Arial" w:cs="Arial"/>
        </w:rPr>
        <w:t>rea</w:t>
      </w:r>
      <w:r w:rsidRPr="003061FC">
        <w:rPr>
          <w:rFonts w:ascii="Arial" w:hAnsi="Arial" w:cs="Arial"/>
        </w:rPr>
        <w:t>.</w:t>
      </w:r>
      <w:r>
        <w:rPr>
          <w:rFonts w:ascii="Arial" w:hAnsi="Arial" w:cs="Arial"/>
        </w:rPr>
        <w:t xml:space="preserve"> </w:t>
      </w:r>
    </w:p>
    <w:p w14:paraId="51DC2DB2" w14:textId="45954C37" w:rsidR="00AA4C68" w:rsidRDefault="00AA4C68" w:rsidP="00AA4C68">
      <w:pPr>
        <w:jc w:val="both"/>
        <w:rPr>
          <w:rFonts w:ascii="Arial" w:hAnsi="Arial" w:cs="Arial"/>
        </w:rPr>
      </w:pPr>
      <w:r>
        <w:rPr>
          <w:rFonts w:ascii="Arial" w:hAnsi="Arial" w:cs="Arial"/>
        </w:rPr>
        <w:t>3.3</w:t>
      </w:r>
      <w:r>
        <w:rPr>
          <w:rFonts w:ascii="Arial" w:hAnsi="Arial" w:cs="Arial"/>
        </w:rPr>
        <w:tab/>
        <w:t xml:space="preserve">Policy P3 Density does not </w:t>
      </w:r>
      <w:r w:rsidR="00952FBD">
        <w:rPr>
          <w:rFonts w:ascii="Arial" w:hAnsi="Arial" w:cs="Arial"/>
        </w:rPr>
        <w:t>require a</w:t>
      </w:r>
      <w:r>
        <w:rPr>
          <w:rFonts w:ascii="Arial" w:hAnsi="Arial" w:cs="Arial"/>
        </w:rPr>
        <w:t xml:space="preserve"> minimum density, </w:t>
      </w:r>
      <w:r w:rsidR="00C0405E">
        <w:rPr>
          <w:rFonts w:ascii="Arial" w:hAnsi="Arial" w:cs="Arial"/>
        </w:rPr>
        <w:t>specifying</w:t>
      </w:r>
      <w:r>
        <w:rPr>
          <w:rFonts w:ascii="Arial" w:hAnsi="Arial" w:cs="Arial"/>
        </w:rPr>
        <w:t xml:space="preserve"> instea</w:t>
      </w:r>
      <w:r w:rsidR="001024C8">
        <w:rPr>
          <w:rFonts w:ascii="Arial" w:hAnsi="Arial" w:cs="Arial"/>
        </w:rPr>
        <w:t>d</w:t>
      </w:r>
      <w:r>
        <w:rPr>
          <w:rFonts w:ascii="Arial" w:hAnsi="Arial" w:cs="Arial"/>
        </w:rPr>
        <w:t xml:space="preserve"> that optimum densities are det</w:t>
      </w:r>
      <w:r w:rsidR="001024C8">
        <w:rPr>
          <w:rFonts w:ascii="Arial" w:hAnsi="Arial" w:cs="Arial"/>
        </w:rPr>
        <w:t>ermined</w:t>
      </w:r>
      <w:r>
        <w:rPr>
          <w:rFonts w:ascii="Arial" w:hAnsi="Arial" w:cs="Arial"/>
        </w:rPr>
        <w:t xml:space="preserve"> via a design-led approach that identifie</w:t>
      </w:r>
      <w:r w:rsidR="001024C8">
        <w:rPr>
          <w:rFonts w:ascii="Arial" w:hAnsi="Arial" w:cs="Arial"/>
        </w:rPr>
        <w:t>s</w:t>
      </w:r>
      <w:r>
        <w:rPr>
          <w:rFonts w:ascii="Arial" w:hAnsi="Arial" w:cs="Arial"/>
        </w:rPr>
        <w:t xml:space="preserve"> site capacity once all constraints are tak</w:t>
      </w:r>
      <w:r w:rsidR="0049743C">
        <w:rPr>
          <w:rFonts w:ascii="Arial" w:hAnsi="Arial" w:cs="Arial"/>
        </w:rPr>
        <w:t>en</w:t>
      </w:r>
      <w:r>
        <w:rPr>
          <w:rFonts w:ascii="Arial" w:hAnsi="Arial" w:cs="Arial"/>
        </w:rPr>
        <w:t xml:space="preserve"> account of. It is expected that particular attention is given to:</w:t>
      </w:r>
    </w:p>
    <w:p w14:paraId="4365AA0F" w14:textId="189E4F43" w:rsidR="00AA4C68" w:rsidRPr="00B57DB0" w:rsidRDefault="00AA4C68" w:rsidP="00B57DB0">
      <w:pPr>
        <w:pStyle w:val="ListParagraph"/>
        <w:numPr>
          <w:ilvl w:val="0"/>
          <w:numId w:val="9"/>
        </w:numPr>
        <w:jc w:val="both"/>
        <w:rPr>
          <w:rFonts w:ascii="Arial" w:hAnsi="Arial" w:cs="Arial"/>
        </w:rPr>
      </w:pPr>
      <w:r w:rsidRPr="00B57DB0">
        <w:rPr>
          <w:rFonts w:ascii="Arial" w:hAnsi="Arial" w:cs="Arial"/>
        </w:rPr>
        <w:lastRenderedPageBreak/>
        <w:t>The site context and character of the surrounding area, inclu</w:t>
      </w:r>
      <w:r w:rsidR="00235B3E" w:rsidRPr="00B57DB0">
        <w:rPr>
          <w:rFonts w:ascii="Arial" w:hAnsi="Arial" w:cs="Arial"/>
        </w:rPr>
        <w:t>di</w:t>
      </w:r>
      <w:r w:rsidRPr="00B57DB0">
        <w:rPr>
          <w:rFonts w:ascii="Arial" w:hAnsi="Arial" w:cs="Arial"/>
        </w:rPr>
        <w:t>ng near</w:t>
      </w:r>
      <w:r w:rsidR="00022722">
        <w:rPr>
          <w:rFonts w:ascii="Arial" w:hAnsi="Arial" w:cs="Arial"/>
        </w:rPr>
        <w:t>b</w:t>
      </w:r>
      <w:r w:rsidRPr="00B57DB0">
        <w:rPr>
          <w:rFonts w:ascii="Arial" w:hAnsi="Arial" w:cs="Arial"/>
        </w:rPr>
        <w:t>y heritage assets or importan</w:t>
      </w:r>
      <w:r w:rsidR="00022722">
        <w:rPr>
          <w:rFonts w:ascii="Arial" w:hAnsi="Arial" w:cs="Arial"/>
        </w:rPr>
        <w:t>t</w:t>
      </w:r>
      <w:r w:rsidRPr="00B57DB0">
        <w:rPr>
          <w:rFonts w:ascii="Arial" w:hAnsi="Arial" w:cs="Arial"/>
        </w:rPr>
        <w:t xml:space="preserve"> landscape;</w:t>
      </w:r>
    </w:p>
    <w:p w14:paraId="53103E32" w14:textId="11121499" w:rsidR="00AA4C68" w:rsidRPr="00B57DB0" w:rsidRDefault="00AA4C68" w:rsidP="00B57DB0">
      <w:pPr>
        <w:pStyle w:val="ListParagraph"/>
        <w:numPr>
          <w:ilvl w:val="0"/>
          <w:numId w:val="9"/>
        </w:numPr>
        <w:jc w:val="both"/>
        <w:rPr>
          <w:rFonts w:ascii="Arial" w:hAnsi="Arial" w:cs="Arial"/>
        </w:rPr>
      </w:pPr>
      <w:r w:rsidRPr="00B57DB0">
        <w:rPr>
          <w:rFonts w:ascii="Arial" w:hAnsi="Arial" w:cs="Arial"/>
        </w:rPr>
        <w:t>The use of appropriate innovative design solutions to achieve higher densities whilst achieving high-qu</w:t>
      </w:r>
      <w:r w:rsidR="00235B3E" w:rsidRPr="00B57DB0">
        <w:rPr>
          <w:rFonts w:ascii="Arial" w:hAnsi="Arial" w:cs="Arial"/>
        </w:rPr>
        <w:t>a</w:t>
      </w:r>
      <w:r w:rsidRPr="00B57DB0">
        <w:rPr>
          <w:rFonts w:ascii="Arial" w:hAnsi="Arial" w:cs="Arial"/>
        </w:rPr>
        <w:t>lit</w:t>
      </w:r>
      <w:r w:rsidR="00235B3E" w:rsidRPr="00B57DB0">
        <w:rPr>
          <w:rFonts w:ascii="Arial" w:hAnsi="Arial" w:cs="Arial"/>
        </w:rPr>
        <w:t>y</w:t>
      </w:r>
      <w:r w:rsidRPr="00B57DB0">
        <w:rPr>
          <w:rFonts w:ascii="Arial" w:hAnsi="Arial" w:cs="Arial"/>
        </w:rPr>
        <w:t xml:space="preserve"> place making;</w:t>
      </w:r>
    </w:p>
    <w:p w14:paraId="7F91760D" w14:textId="4490D628" w:rsidR="00235B3E" w:rsidRPr="00B57DB0" w:rsidRDefault="00235B3E" w:rsidP="00B57DB0">
      <w:pPr>
        <w:pStyle w:val="ListParagraph"/>
        <w:numPr>
          <w:ilvl w:val="0"/>
          <w:numId w:val="9"/>
        </w:numPr>
        <w:jc w:val="both"/>
        <w:rPr>
          <w:rFonts w:ascii="Arial" w:hAnsi="Arial" w:cs="Arial"/>
        </w:rPr>
      </w:pPr>
      <w:r w:rsidRPr="00B57DB0">
        <w:rPr>
          <w:rFonts w:ascii="Arial" w:hAnsi="Arial" w:cs="Arial"/>
        </w:rPr>
        <w:t>The desirability of achieving higher densities in urban areas;</w:t>
      </w:r>
    </w:p>
    <w:p w14:paraId="70F86947" w14:textId="25FC54F5" w:rsidR="00235B3E" w:rsidRPr="00B57DB0" w:rsidRDefault="00235B3E" w:rsidP="00B57DB0">
      <w:pPr>
        <w:pStyle w:val="ListParagraph"/>
        <w:numPr>
          <w:ilvl w:val="0"/>
          <w:numId w:val="9"/>
        </w:numPr>
        <w:jc w:val="both"/>
        <w:rPr>
          <w:rFonts w:ascii="Arial" w:hAnsi="Arial" w:cs="Arial"/>
        </w:rPr>
      </w:pPr>
      <w:r w:rsidRPr="00B57DB0">
        <w:rPr>
          <w:rFonts w:ascii="Arial" w:hAnsi="Arial" w:cs="Arial"/>
        </w:rPr>
        <w:t>Current and future level of accessibility by walking, cycling and public transport;</w:t>
      </w:r>
    </w:p>
    <w:p w14:paraId="45730B2B" w14:textId="570DCA10" w:rsidR="00235B3E" w:rsidRPr="00B57DB0" w:rsidRDefault="00235B3E" w:rsidP="00B57DB0">
      <w:pPr>
        <w:pStyle w:val="ListParagraph"/>
        <w:numPr>
          <w:ilvl w:val="0"/>
          <w:numId w:val="9"/>
        </w:numPr>
        <w:jc w:val="both"/>
        <w:rPr>
          <w:rFonts w:ascii="Arial" w:hAnsi="Arial" w:cs="Arial"/>
        </w:rPr>
      </w:pPr>
      <w:r w:rsidRPr="00B57DB0">
        <w:rPr>
          <w:rFonts w:ascii="Arial" w:hAnsi="Arial" w:cs="Arial"/>
        </w:rPr>
        <w:t>The need to achieve high-quality design;</w:t>
      </w:r>
    </w:p>
    <w:p w14:paraId="2B70B50D" w14:textId="7A0D1D39" w:rsidR="00235B3E" w:rsidRPr="00B57DB0" w:rsidRDefault="00235B3E" w:rsidP="00B57DB0">
      <w:pPr>
        <w:pStyle w:val="ListParagraph"/>
        <w:numPr>
          <w:ilvl w:val="0"/>
          <w:numId w:val="9"/>
        </w:numPr>
        <w:jc w:val="both"/>
        <w:rPr>
          <w:rFonts w:ascii="Arial" w:hAnsi="Arial" w:cs="Arial"/>
        </w:rPr>
      </w:pPr>
      <w:r w:rsidRPr="00B57DB0">
        <w:rPr>
          <w:rFonts w:ascii="Arial" w:hAnsi="Arial" w:cs="Arial"/>
        </w:rPr>
        <w:t>The need to minimise environment</w:t>
      </w:r>
      <w:r w:rsidR="00022722">
        <w:rPr>
          <w:rFonts w:ascii="Arial" w:hAnsi="Arial" w:cs="Arial"/>
        </w:rPr>
        <w:t>al</w:t>
      </w:r>
      <w:r w:rsidRPr="00B57DB0">
        <w:rPr>
          <w:rFonts w:ascii="Arial" w:hAnsi="Arial" w:cs="Arial"/>
        </w:rPr>
        <w:t xml:space="preserve"> impacts, including detrimental impacts on the amenities of adjoining occupiers</w:t>
      </w:r>
      <w:r w:rsidR="00B57DB0" w:rsidRPr="00B57DB0">
        <w:rPr>
          <w:rFonts w:ascii="Arial" w:hAnsi="Arial" w:cs="Arial"/>
        </w:rPr>
        <w:t>;</w:t>
      </w:r>
      <w:r w:rsidRPr="00B57DB0">
        <w:rPr>
          <w:rFonts w:ascii="Arial" w:hAnsi="Arial" w:cs="Arial"/>
        </w:rPr>
        <w:t xml:space="preserve"> and </w:t>
      </w:r>
    </w:p>
    <w:p w14:paraId="58BB06F2" w14:textId="6A23EA7A" w:rsidR="00235B3E" w:rsidRPr="00B57DB0" w:rsidRDefault="00235B3E" w:rsidP="00B57DB0">
      <w:pPr>
        <w:pStyle w:val="ListParagraph"/>
        <w:numPr>
          <w:ilvl w:val="0"/>
          <w:numId w:val="9"/>
        </w:numPr>
        <w:jc w:val="both"/>
        <w:rPr>
          <w:rFonts w:ascii="Arial" w:hAnsi="Arial" w:cs="Arial"/>
        </w:rPr>
      </w:pPr>
      <w:r w:rsidRPr="00B57DB0">
        <w:rPr>
          <w:rFonts w:ascii="Arial" w:hAnsi="Arial" w:cs="Arial"/>
        </w:rPr>
        <w:t xml:space="preserve">The capacity of surrounding infrastructure. </w:t>
      </w:r>
    </w:p>
    <w:p w14:paraId="33F066D5" w14:textId="0B92EC52" w:rsidR="007828BF" w:rsidRDefault="000B7787" w:rsidP="007828BF">
      <w:pPr>
        <w:jc w:val="both"/>
        <w:rPr>
          <w:rFonts w:ascii="Arial" w:hAnsi="Arial" w:cs="Arial"/>
        </w:rPr>
      </w:pPr>
      <w:r>
        <w:rPr>
          <w:rFonts w:ascii="Arial" w:hAnsi="Arial" w:cs="Arial"/>
        </w:rPr>
        <w:t xml:space="preserve">3.4 </w:t>
      </w:r>
      <w:r w:rsidR="000E5B5E">
        <w:rPr>
          <w:rFonts w:ascii="Arial" w:hAnsi="Arial" w:cs="Arial"/>
        </w:rPr>
        <w:tab/>
      </w:r>
      <w:r>
        <w:rPr>
          <w:rFonts w:ascii="Arial" w:hAnsi="Arial" w:cs="Arial"/>
        </w:rPr>
        <w:t>This approach is an evolution of the previously ‘Preferred  Approach’ for Policy DM3: Housing Density, which specified</w:t>
      </w:r>
      <w:r w:rsidR="006C4BDD">
        <w:rPr>
          <w:rFonts w:ascii="Arial" w:hAnsi="Arial" w:cs="Arial"/>
        </w:rPr>
        <w:t xml:space="preserve"> development proposals</w:t>
      </w:r>
      <w:r>
        <w:rPr>
          <w:rFonts w:ascii="Arial" w:hAnsi="Arial" w:cs="Arial"/>
        </w:rPr>
        <w:t xml:space="preserve"> </w:t>
      </w:r>
      <w:r w:rsidR="006C4BDD">
        <w:rPr>
          <w:rFonts w:ascii="Arial" w:hAnsi="Arial" w:cs="Arial"/>
        </w:rPr>
        <w:t xml:space="preserve">for </w:t>
      </w:r>
      <w:r>
        <w:rPr>
          <w:rFonts w:ascii="Arial" w:hAnsi="Arial" w:cs="Arial"/>
        </w:rPr>
        <w:t>a minimum average net density of 35 dwellings per hectare</w:t>
      </w:r>
      <w:r w:rsidR="006C4BDD">
        <w:rPr>
          <w:rFonts w:ascii="Arial" w:hAnsi="Arial" w:cs="Arial"/>
        </w:rPr>
        <w:t xml:space="preserve"> will be supported</w:t>
      </w:r>
      <w:r>
        <w:rPr>
          <w:rFonts w:ascii="Arial" w:hAnsi="Arial" w:cs="Arial"/>
        </w:rPr>
        <w:t xml:space="preserve">, except at accessible urban locations with good transport links and good access to services, where higher densities will be encouraged, and at locations adjacent to sensitive locations (i.e. nationally designated areas of landscape, historic environment or nature conservation protection) where a lower density may be appropriate. </w:t>
      </w:r>
      <w:r w:rsidR="006C4BDD">
        <w:rPr>
          <w:rFonts w:ascii="Arial" w:hAnsi="Arial" w:cs="Arial"/>
        </w:rPr>
        <w:t xml:space="preserve">It is suggested the currently proposed approach, </w:t>
      </w:r>
      <w:r w:rsidR="00B10894">
        <w:rPr>
          <w:rFonts w:ascii="Arial" w:hAnsi="Arial" w:cs="Arial"/>
        </w:rPr>
        <w:t xml:space="preserve">responding </w:t>
      </w:r>
      <w:r w:rsidR="006C4BDD">
        <w:rPr>
          <w:rFonts w:ascii="Arial" w:hAnsi="Arial" w:cs="Arial"/>
        </w:rPr>
        <w:t xml:space="preserve">to representations received at the Regulation 18 consultation stage, offers more flexibility </w:t>
      </w:r>
      <w:r w:rsidR="00163709">
        <w:rPr>
          <w:rFonts w:ascii="Arial" w:hAnsi="Arial" w:cs="Arial"/>
        </w:rPr>
        <w:t>by</w:t>
      </w:r>
      <w:r w:rsidR="006C4BDD">
        <w:rPr>
          <w:rFonts w:ascii="Arial" w:hAnsi="Arial" w:cs="Arial"/>
        </w:rPr>
        <w:t xml:space="preserve"> </w:t>
      </w:r>
      <w:r w:rsidR="00163709">
        <w:rPr>
          <w:rFonts w:ascii="Arial" w:hAnsi="Arial" w:cs="Arial"/>
        </w:rPr>
        <w:t>removing the</w:t>
      </w:r>
      <w:r w:rsidR="00794290">
        <w:rPr>
          <w:rFonts w:ascii="Arial" w:hAnsi="Arial" w:cs="Arial"/>
        </w:rPr>
        <w:t xml:space="preserve"> </w:t>
      </w:r>
      <w:r w:rsidR="00163709">
        <w:rPr>
          <w:rFonts w:ascii="Arial" w:hAnsi="Arial" w:cs="Arial"/>
        </w:rPr>
        <w:t xml:space="preserve">minimum 35 </w:t>
      </w:r>
      <w:proofErr w:type="spellStart"/>
      <w:r w:rsidR="00163709">
        <w:rPr>
          <w:rFonts w:ascii="Arial" w:hAnsi="Arial" w:cs="Arial"/>
        </w:rPr>
        <w:t>dph</w:t>
      </w:r>
      <w:proofErr w:type="spellEnd"/>
      <w:r w:rsidR="00163709">
        <w:rPr>
          <w:rFonts w:ascii="Arial" w:hAnsi="Arial" w:cs="Arial"/>
        </w:rPr>
        <w:t xml:space="preserve"> </w:t>
      </w:r>
      <w:r w:rsidR="000E5B5E">
        <w:rPr>
          <w:rFonts w:ascii="Arial" w:hAnsi="Arial" w:cs="Arial"/>
        </w:rPr>
        <w:t xml:space="preserve">as a policy </w:t>
      </w:r>
      <w:r w:rsidR="00163709">
        <w:rPr>
          <w:rFonts w:ascii="Arial" w:hAnsi="Arial" w:cs="Arial"/>
        </w:rPr>
        <w:t xml:space="preserve">requirement, and in </w:t>
      </w:r>
      <w:r w:rsidR="006C4BDD">
        <w:rPr>
          <w:rFonts w:ascii="Arial" w:hAnsi="Arial" w:cs="Arial"/>
        </w:rPr>
        <w:t xml:space="preserve">terms of balancing the efficient use of land with </w:t>
      </w:r>
      <w:r w:rsidR="00163709">
        <w:rPr>
          <w:rFonts w:ascii="Arial" w:hAnsi="Arial" w:cs="Arial"/>
        </w:rPr>
        <w:t xml:space="preserve">a wide range of </w:t>
      </w:r>
      <w:r w:rsidR="006C4BDD">
        <w:rPr>
          <w:rFonts w:ascii="Arial" w:hAnsi="Arial" w:cs="Arial"/>
        </w:rPr>
        <w:t>other constraint</w:t>
      </w:r>
      <w:r w:rsidR="008D3F72">
        <w:rPr>
          <w:rFonts w:ascii="Arial" w:hAnsi="Arial" w:cs="Arial"/>
        </w:rPr>
        <w:t>s</w:t>
      </w:r>
      <w:r w:rsidR="00022722">
        <w:rPr>
          <w:rFonts w:ascii="Arial" w:hAnsi="Arial" w:cs="Arial"/>
        </w:rPr>
        <w:t>.</w:t>
      </w:r>
      <w:r w:rsidR="008D3F72">
        <w:rPr>
          <w:rFonts w:ascii="Arial" w:hAnsi="Arial" w:cs="Arial"/>
        </w:rPr>
        <w:t xml:space="preserve"> </w:t>
      </w:r>
    </w:p>
    <w:p w14:paraId="2A15BCAF" w14:textId="1F7151AB" w:rsidR="005C042E" w:rsidRPr="00EC0F33" w:rsidRDefault="00163709" w:rsidP="00EC0F33">
      <w:pPr>
        <w:pStyle w:val="ListParagraph"/>
        <w:numPr>
          <w:ilvl w:val="1"/>
          <w:numId w:val="17"/>
        </w:numPr>
        <w:jc w:val="both"/>
        <w:rPr>
          <w:rFonts w:ascii="Arial" w:hAnsi="Arial" w:cs="Arial"/>
        </w:rPr>
      </w:pPr>
      <w:r w:rsidRPr="005C042E">
        <w:rPr>
          <w:rFonts w:ascii="Arial" w:hAnsi="Arial" w:cs="Arial"/>
        </w:rPr>
        <w:t xml:space="preserve">Responses to the Regulation 19 proposed Submission Local Plan consultation were varied, with </w:t>
      </w:r>
      <w:r w:rsidR="00212753" w:rsidRPr="005C042E">
        <w:rPr>
          <w:rFonts w:ascii="Arial" w:hAnsi="Arial" w:cs="Arial"/>
        </w:rPr>
        <w:t xml:space="preserve">some </w:t>
      </w:r>
      <w:r w:rsidRPr="005C042E">
        <w:rPr>
          <w:rFonts w:ascii="Arial" w:hAnsi="Arial" w:cs="Arial"/>
        </w:rPr>
        <w:t>representations suggest</w:t>
      </w:r>
      <w:r w:rsidR="00794290" w:rsidRPr="005C042E">
        <w:rPr>
          <w:rFonts w:ascii="Arial" w:hAnsi="Arial" w:cs="Arial"/>
        </w:rPr>
        <w:t>ing</w:t>
      </w:r>
      <w:r w:rsidRPr="005C042E">
        <w:rPr>
          <w:rFonts w:ascii="Arial" w:hAnsi="Arial" w:cs="Arial"/>
        </w:rPr>
        <w:t xml:space="preserve"> the expectation of a minimum of 35 </w:t>
      </w:r>
      <w:proofErr w:type="spellStart"/>
      <w:r w:rsidRPr="005C042E">
        <w:rPr>
          <w:rFonts w:ascii="Arial" w:hAnsi="Arial" w:cs="Arial"/>
        </w:rPr>
        <w:t>dph</w:t>
      </w:r>
      <w:proofErr w:type="spellEnd"/>
      <w:r w:rsidR="00794290" w:rsidRPr="005C042E">
        <w:rPr>
          <w:rFonts w:ascii="Arial" w:hAnsi="Arial" w:cs="Arial"/>
        </w:rPr>
        <w:t xml:space="preserve"> </w:t>
      </w:r>
      <w:r w:rsidR="00E21658" w:rsidRPr="005C042E">
        <w:rPr>
          <w:rFonts w:ascii="Arial" w:hAnsi="Arial" w:cs="Arial"/>
        </w:rPr>
        <w:t xml:space="preserve">was </w:t>
      </w:r>
      <w:r w:rsidR="00794290" w:rsidRPr="005C042E">
        <w:rPr>
          <w:rFonts w:ascii="Arial" w:hAnsi="Arial" w:cs="Arial"/>
        </w:rPr>
        <w:t xml:space="preserve">inappropriate for the </w:t>
      </w:r>
      <w:r w:rsidR="00DF0764">
        <w:rPr>
          <w:rFonts w:ascii="Arial" w:hAnsi="Arial" w:cs="Arial"/>
        </w:rPr>
        <w:t>P</w:t>
      </w:r>
      <w:r w:rsidR="00794290" w:rsidRPr="005C042E">
        <w:rPr>
          <w:rFonts w:ascii="Arial" w:hAnsi="Arial" w:cs="Arial"/>
        </w:rPr>
        <w:t xml:space="preserve">lan </w:t>
      </w:r>
      <w:r w:rsidR="00DF0764">
        <w:rPr>
          <w:rFonts w:ascii="Arial" w:hAnsi="Arial" w:cs="Arial"/>
        </w:rPr>
        <w:t>A</w:t>
      </w:r>
      <w:r w:rsidR="00794290" w:rsidRPr="005C042E">
        <w:rPr>
          <w:rFonts w:ascii="Arial" w:hAnsi="Arial" w:cs="Arial"/>
        </w:rPr>
        <w:t>rea’s rural context or</w:t>
      </w:r>
      <w:r w:rsidR="00E21658" w:rsidRPr="005C042E">
        <w:rPr>
          <w:rFonts w:ascii="Arial" w:hAnsi="Arial" w:cs="Arial"/>
        </w:rPr>
        <w:t xml:space="preserve"> to enhance biodiversity, and that it</w:t>
      </w:r>
      <w:r w:rsidR="00794290" w:rsidRPr="005C042E">
        <w:rPr>
          <w:rFonts w:ascii="Arial" w:hAnsi="Arial" w:cs="Arial"/>
        </w:rPr>
        <w:t xml:space="preserve"> required further </w:t>
      </w:r>
      <w:r w:rsidR="00D175AD" w:rsidRPr="005C042E">
        <w:rPr>
          <w:rFonts w:ascii="Arial" w:hAnsi="Arial" w:cs="Arial"/>
        </w:rPr>
        <w:t xml:space="preserve">explanation and </w:t>
      </w:r>
      <w:r w:rsidR="00794290" w:rsidRPr="005C042E">
        <w:rPr>
          <w:rFonts w:ascii="Arial" w:hAnsi="Arial" w:cs="Arial"/>
        </w:rPr>
        <w:t xml:space="preserve">justification. </w:t>
      </w:r>
      <w:r w:rsidR="00D175AD" w:rsidRPr="005C042E">
        <w:rPr>
          <w:rFonts w:ascii="Arial" w:hAnsi="Arial" w:cs="Arial"/>
        </w:rPr>
        <w:t xml:space="preserve">Other respondents supported the 35 </w:t>
      </w:r>
      <w:proofErr w:type="spellStart"/>
      <w:r w:rsidR="00D175AD" w:rsidRPr="005C042E">
        <w:rPr>
          <w:rFonts w:ascii="Arial" w:hAnsi="Arial" w:cs="Arial"/>
        </w:rPr>
        <w:t>dph</w:t>
      </w:r>
      <w:proofErr w:type="spellEnd"/>
      <w:r w:rsidR="00D175AD" w:rsidRPr="005C042E">
        <w:rPr>
          <w:rFonts w:ascii="Arial" w:hAnsi="Arial" w:cs="Arial"/>
        </w:rPr>
        <w:t xml:space="preserve"> minimum figure, commenting that it was not high, and encouraging higher densities in the most accessible locations. Whilst several representations supported the design-led approach of the policy </w:t>
      </w:r>
      <w:r w:rsidR="00A75C74">
        <w:rPr>
          <w:rFonts w:ascii="Arial" w:hAnsi="Arial" w:cs="Arial"/>
        </w:rPr>
        <w:t xml:space="preserve">and hence the decision </w:t>
      </w:r>
      <w:r w:rsidR="00D175AD" w:rsidRPr="005C042E">
        <w:rPr>
          <w:rFonts w:ascii="Arial" w:hAnsi="Arial" w:cs="Arial"/>
        </w:rPr>
        <w:t xml:space="preserve">not to require a specific density, they </w:t>
      </w:r>
      <w:r w:rsidR="00E21658" w:rsidRPr="005C042E">
        <w:rPr>
          <w:rFonts w:ascii="Arial" w:hAnsi="Arial" w:cs="Arial"/>
        </w:rPr>
        <w:t xml:space="preserve">suggested reference could be made to densities varying according to site specific circumstances, such as where transport and service access was good. </w:t>
      </w:r>
      <w:r w:rsidR="002D56B6" w:rsidRPr="005C042E">
        <w:rPr>
          <w:rFonts w:ascii="Arial" w:hAnsi="Arial" w:cs="Arial"/>
        </w:rPr>
        <w:t xml:space="preserve">This background evidence paper responds to these representations, by explaining the policy approach and how it relates to existing </w:t>
      </w:r>
      <w:r w:rsidR="00DF0764">
        <w:rPr>
          <w:rFonts w:ascii="Arial" w:hAnsi="Arial" w:cs="Arial"/>
        </w:rPr>
        <w:t>P</w:t>
      </w:r>
      <w:r w:rsidR="002D56B6" w:rsidRPr="005C042E">
        <w:rPr>
          <w:rFonts w:ascii="Arial" w:hAnsi="Arial" w:cs="Arial"/>
        </w:rPr>
        <w:t xml:space="preserve">lan </w:t>
      </w:r>
      <w:r w:rsidR="00DF0764">
        <w:rPr>
          <w:rFonts w:ascii="Arial" w:hAnsi="Arial" w:cs="Arial"/>
        </w:rPr>
        <w:t>A</w:t>
      </w:r>
      <w:r w:rsidR="002D56B6" w:rsidRPr="005C042E">
        <w:rPr>
          <w:rFonts w:ascii="Arial" w:hAnsi="Arial" w:cs="Arial"/>
        </w:rPr>
        <w:t xml:space="preserve">rea </w:t>
      </w:r>
      <w:r w:rsidR="00B57DB0" w:rsidRPr="005C042E">
        <w:rPr>
          <w:rFonts w:ascii="Arial" w:hAnsi="Arial" w:cs="Arial"/>
        </w:rPr>
        <w:t>densities and constraints</w:t>
      </w:r>
      <w:r w:rsidR="00D175AD" w:rsidRPr="005C042E">
        <w:rPr>
          <w:rFonts w:ascii="Arial" w:hAnsi="Arial" w:cs="Arial"/>
        </w:rPr>
        <w:t>, a</w:t>
      </w:r>
      <w:r w:rsidR="00706BC6" w:rsidRPr="005C042E">
        <w:rPr>
          <w:rFonts w:ascii="Arial" w:hAnsi="Arial" w:cs="Arial"/>
        </w:rPr>
        <w:t>s well as</w:t>
      </w:r>
      <w:r w:rsidR="0049743C" w:rsidRPr="005C042E">
        <w:rPr>
          <w:rFonts w:ascii="Arial" w:hAnsi="Arial" w:cs="Arial"/>
        </w:rPr>
        <w:t xml:space="preserve"> further</w:t>
      </w:r>
      <w:r w:rsidR="00D175AD" w:rsidRPr="005C042E">
        <w:rPr>
          <w:rFonts w:ascii="Arial" w:hAnsi="Arial" w:cs="Arial"/>
        </w:rPr>
        <w:t xml:space="preserve"> considering optimal densities within </w:t>
      </w:r>
      <w:r w:rsidR="00706BC6" w:rsidRPr="005C042E">
        <w:rPr>
          <w:rFonts w:ascii="Arial" w:hAnsi="Arial" w:cs="Arial"/>
        </w:rPr>
        <w:t>sustainable and accessible areas.</w:t>
      </w:r>
      <w:r w:rsidR="00B57DB0" w:rsidRPr="005C042E">
        <w:rPr>
          <w:rFonts w:ascii="Arial" w:hAnsi="Arial" w:cs="Arial"/>
        </w:rPr>
        <w:t xml:space="preserve"> </w:t>
      </w:r>
    </w:p>
    <w:p w14:paraId="5BBEB2DE" w14:textId="77777777" w:rsidR="005C042E" w:rsidRDefault="0055015E" w:rsidP="00EC0F33">
      <w:pPr>
        <w:pStyle w:val="Heading1"/>
      </w:pPr>
      <w:bookmarkStart w:id="3" w:name="_Toc163590706"/>
      <w:r w:rsidRPr="005C042E">
        <w:t xml:space="preserve">Local </w:t>
      </w:r>
      <w:r w:rsidR="000C798F" w:rsidRPr="005C042E">
        <w:t xml:space="preserve">Spatial </w:t>
      </w:r>
      <w:r w:rsidRPr="005C042E">
        <w:t>Profile</w:t>
      </w:r>
      <w:bookmarkEnd w:id="3"/>
    </w:p>
    <w:p w14:paraId="74EDE444" w14:textId="77777777" w:rsidR="005C042E" w:rsidRDefault="005C042E" w:rsidP="005C042E">
      <w:pPr>
        <w:pStyle w:val="ListParagraph"/>
        <w:ind w:left="0"/>
        <w:jc w:val="both"/>
        <w:rPr>
          <w:rFonts w:ascii="Arial" w:hAnsi="Arial" w:cs="Arial"/>
          <w:sz w:val="36"/>
          <w:szCs w:val="36"/>
        </w:rPr>
      </w:pPr>
    </w:p>
    <w:p w14:paraId="21528D48" w14:textId="0947D6C3" w:rsidR="000E5B5E" w:rsidRDefault="005C042E" w:rsidP="005C042E">
      <w:pPr>
        <w:pStyle w:val="ListParagraph"/>
        <w:ind w:left="0"/>
        <w:jc w:val="both"/>
        <w:rPr>
          <w:rFonts w:ascii="Arial" w:hAnsi="Arial" w:cs="Arial"/>
        </w:rPr>
      </w:pPr>
      <w:r>
        <w:rPr>
          <w:rFonts w:ascii="Arial" w:hAnsi="Arial" w:cs="Arial"/>
        </w:rPr>
        <w:t>4.1</w:t>
      </w:r>
      <w:r>
        <w:rPr>
          <w:rFonts w:ascii="Arial" w:hAnsi="Arial" w:cs="Arial"/>
        </w:rPr>
        <w:tab/>
      </w:r>
      <w:r w:rsidR="0055015E" w:rsidRPr="000E5B5E">
        <w:rPr>
          <w:rFonts w:ascii="Arial" w:hAnsi="Arial" w:cs="Arial"/>
        </w:rPr>
        <w:t xml:space="preserve">Chichester is classified as a largely rural local authority district, with between </w:t>
      </w:r>
      <w:r w:rsidR="00774754" w:rsidRPr="000E5B5E">
        <w:rPr>
          <w:rFonts w:ascii="Arial" w:hAnsi="Arial" w:cs="Arial"/>
        </w:rPr>
        <w:t>50-79</w:t>
      </w:r>
      <w:r w:rsidR="0055015E" w:rsidRPr="000E5B5E">
        <w:rPr>
          <w:rFonts w:ascii="Arial" w:hAnsi="Arial" w:cs="Arial"/>
        </w:rPr>
        <w:t>% o</w:t>
      </w:r>
      <w:r w:rsidR="00774754" w:rsidRPr="000E5B5E">
        <w:rPr>
          <w:rFonts w:ascii="Arial" w:hAnsi="Arial" w:cs="Arial"/>
        </w:rPr>
        <w:t>f its</w:t>
      </w:r>
      <w:r w:rsidR="0055015E" w:rsidRPr="000E5B5E">
        <w:rPr>
          <w:rFonts w:ascii="Arial" w:hAnsi="Arial" w:cs="Arial"/>
        </w:rPr>
        <w:t xml:space="preserve"> population residing in rural areas</w:t>
      </w:r>
      <w:r w:rsidR="00774754" w:rsidRPr="000E5B5E">
        <w:rPr>
          <w:rStyle w:val="FootnoteReference"/>
          <w:rFonts w:ascii="Arial" w:hAnsi="Arial" w:cs="Arial"/>
        </w:rPr>
        <w:footnoteReference w:id="3"/>
      </w:r>
      <w:r w:rsidR="00774754" w:rsidRPr="000E5B5E">
        <w:rPr>
          <w:rFonts w:ascii="Arial" w:hAnsi="Arial" w:cs="Arial"/>
        </w:rPr>
        <w:t xml:space="preserve">. The </w:t>
      </w:r>
      <w:r w:rsidR="006D4890">
        <w:rPr>
          <w:rFonts w:ascii="Arial" w:hAnsi="Arial" w:cs="Arial"/>
        </w:rPr>
        <w:t>P</w:t>
      </w:r>
      <w:r w:rsidR="00774754" w:rsidRPr="000E5B5E">
        <w:rPr>
          <w:rFonts w:ascii="Arial" w:hAnsi="Arial" w:cs="Arial"/>
        </w:rPr>
        <w:t xml:space="preserve">lan </w:t>
      </w:r>
      <w:r w:rsidR="006D4890">
        <w:rPr>
          <w:rFonts w:ascii="Arial" w:hAnsi="Arial" w:cs="Arial"/>
        </w:rPr>
        <w:t>A</w:t>
      </w:r>
      <w:r w:rsidR="00774754" w:rsidRPr="000E5B5E">
        <w:rPr>
          <w:rFonts w:ascii="Arial" w:hAnsi="Arial" w:cs="Arial"/>
        </w:rPr>
        <w:t xml:space="preserve">rea (excluding the </w:t>
      </w:r>
      <w:r w:rsidR="00B96441" w:rsidRPr="000E5B5E">
        <w:rPr>
          <w:rFonts w:ascii="Arial" w:hAnsi="Arial" w:cs="Arial"/>
        </w:rPr>
        <w:t xml:space="preserve">South Downs </w:t>
      </w:r>
      <w:r w:rsidR="00774754" w:rsidRPr="000E5B5E">
        <w:rPr>
          <w:rFonts w:ascii="Arial" w:hAnsi="Arial" w:cs="Arial"/>
        </w:rPr>
        <w:t>National Park) is</w:t>
      </w:r>
      <w:r w:rsidR="00706BC6">
        <w:rPr>
          <w:rFonts w:ascii="Arial" w:hAnsi="Arial" w:cs="Arial"/>
        </w:rPr>
        <w:t xml:space="preserve"> less rural than the broader district, however, although its precise composition is not quantified. The </w:t>
      </w:r>
      <w:r w:rsidR="006D4890">
        <w:rPr>
          <w:rFonts w:ascii="Arial" w:hAnsi="Arial" w:cs="Arial"/>
        </w:rPr>
        <w:t>P</w:t>
      </w:r>
      <w:r w:rsidR="00706BC6">
        <w:rPr>
          <w:rFonts w:ascii="Arial" w:hAnsi="Arial" w:cs="Arial"/>
        </w:rPr>
        <w:t xml:space="preserve">lan </w:t>
      </w:r>
      <w:r w:rsidR="006D4890">
        <w:rPr>
          <w:rFonts w:ascii="Arial" w:hAnsi="Arial" w:cs="Arial"/>
        </w:rPr>
        <w:t>A</w:t>
      </w:r>
      <w:r w:rsidR="00706BC6">
        <w:rPr>
          <w:rFonts w:ascii="Arial" w:hAnsi="Arial" w:cs="Arial"/>
        </w:rPr>
        <w:t>rea is</w:t>
      </w:r>
      <w:r w:rsidR="00774754" w:rsidRPr="000E5B5E">
        <w:rPr>
          <w:rFonts w:ascii="Arial" w:hAnsi="Arial" w:cs="Arial"/>
        </w:rPr>
        <w:t xml:space="preserve"> described with</w:t>
      </w:r>
      <w:r w:rsidR="00022722" w:rsidRPr="000E5B5E">
        <w:rPr>
          <w:rFonts w:ascii="Arial" w:hAnsi="Arial" w:cs="Arial"/>
        </w:rPr>
        <w:t>in</w:t>
      </w:r>
      <w:r w:rsidR="00774754" w:rsidRPr="000E5B5E">
        <w:rPr>
          <w:rFonts w:ascii="Arial" w:hAnsi="Arial" w:cs="Arial"/>
        </w:rPr>
        <w:t xml:space="preserve"> the proposed submission Local Plan as being split into three areas (The East-West Corridor, the Manhood Peninsula, and the North of the Plan Area), with Chichester City being the main settlement, and four other settlements (East Wittering and Bracklesham, </w:t>
      </w:r>
      <w:proofErr w:type="spellStart"/>
      <w:r w:rsidR="00774754" w:rsidRPr="000E5B5E">
        <w:rPr>
          <w:rFonts w:ascii="Arial" w:hAnsi="Arial" w:cs="Arial"/>
        </w:rPr>
        <w:t>Selsey</w:t>
      </w:r>
      <w:proofErr w:type="spellEnd"/>
      <w:r w:rsidR="00774754" w:rsidRPr="000E5B5E">
        <w:rPr>
          <w:rFonts w:ascii="Arial" w:hAnsi="Arial" w:cs="Arial"/>
        </w:rPr>
        <w:t>, Southbourne and Tangmere) accommodating a range of facilities and services.</w:t>
      </w:r>
      <w:r w:rsidR="00B96441" w:rsidRPr="000E5B5E">
        <w:rPr>
          <w:rFonts w:ascii="Arial" w:hAnsi="Arial" w:cs="Arial"/>
        </w:rPr>
        <w:t xml:space="preserve"> The A27 is noted to run east-west through the </w:t>
      </w:r>
      <w:r w:rsidR="00706BC6">
        <w:rPr>
          <w:rFonts w:ascii="Arial" w:hAnsi="Arial" w:cs="Arial"/>
        </w:rPr>
        <w:t>P</w:t>
      </w:r>
      <w:r w:rsidR="00B96441" w:rsidRPr="000E5B5E">
        <w:rPr>
          <w:rFonts w:ascii="Arial" w:hAnsi="Arial" w:cs="Arial"/>
        </w:rPr>
        <w:t xml:space="preserve">lan </w:t>
      </w:r>
      <w:r w:rsidR="00706BC6">
        <w:rPr>
          <w:rFonts w:ascii="Arial" w:hAnsi="Arial" w:cs="Arial"/>
        </w:rPr>
        <w:t>A</w:t>
      </w:r>
      <w:r w:rsidR="00B96441" w:rsidRPr="000E5B5E">
        <w:rPr>
          <w:rFonts w:ascii="Arial" w:hAnsi="Arial" w:cs="Arial"/>
        </w:rPr>
        <w:t xml:space="preserve">rea, and the presence of rail links along the South Coast and to London from Chichester City is also </w:t>
      </w:r>
      <w:r w:rsidR="00B96441" w:rsidRPr="000E5B5E">
        <w:rPr>
          <w:rFonts w:ascii="Arial" w:hAnsi="Arial" w:cs="Arial"/>
        </w:rPr>
        <w:lastRenderedPageBreak/>
        <w:t>recognised.</w:t>
      </w:r>
      <w:r w:rsidR="001256A0" w:rsidRPr="000E5B5E">
        <w:rPr>
          <w:rFonts w:ascii="Arial" w:hAnsi="Arial" w:cs="Arial"/>
        </w:rPr>
        <w:t xml:space="preserve"> Key characteristics of the Plan Area include the Chichester Harbour National Landscape, the setting of the National Park, and Chichester’s historic city centre. </w:t>
      </w:r>
    </w:p>
    <w:p w14:paraId="2F8A5BC3" w14:textId="4A70A6A6" w:rsidR="000E5B5E" w:rsidRDefault="000E5B5E" w:rsidP="000E5B5E">
      <w:pPr>
        <w:jc w:val="both"/>
        <w:rPr>
          <w:rFonts w:ascii="Arial" w:hAnsi="Arial" w:cs="Arial"/>
        </w:rPr>
      </w:pPr>
      <w:r>
        <w:rPr>
          <w:rFonts w:ascii="Arial" w:hAnsi="Arial" w:cs="Arial"/>
        </w:rPr>
        <w:t>4.2</w:t>
      </w:r>
      <w:r>
        <w:rPr>
          <w:rFonts w:ascii="Arial" w:hAnsi="Arial" w:cs="Arial"/>
        </w:rPr>
        <w:tab/>
      </w:r>
      <w:r w:rsidR="00BC2CA6">
        <w:rPr>
          <w:rFonts w:ascii="Arial" w:hAnsi="Arial" w:cs="Arial"/>
        </w:rPr>
        <w:t>Policy S1 of the proposed Local Plan describes the spatial development strategy, which includes focusing the majority of planned growth on Chichester city as the most sustainable location, and within the East-West Corridor. The city’s possession of a wider range of shops, services and employment opportunities than other settlements</w:t>
      </w:r>
      <w:r w:rsidR="00022722">
        <w:rPr>
          <w:rFonts w:ascii="Arial" w:hAnsi="Arial" w:cs="Arial"/>
        </w:rPr>
        <w:t xml:space="preserve"> </w:t>
      </w:r>
      <w:r w:rsidR="00BC2CA6">
        <w:rPr>
          <w:rFonts w:ascii="Arial" w:hAnsi="Arial" w:cs="Arial"/>
        </w:rPr>
        <w:t xml:space="preserve">reduce the need to travel to </w:t>
      </w:r>
      <w:r w:rsidR="000C798F">
        <w:rPr>
          <w:rFonts w:ascii="Arial" w:hAnsi="Arial" w:cs="Arial"/>
        </w:rPr>
        <w:t xml:space="preserve">alternative </w:t>
      </w:r>
      <w:r w:rsidR="00BC2CA6">
        <w:rPr>
          <w:rFonts w:ascii="Arial" w:hAnsi="Arial" w:cs="Arial"/>
        </w:rPr>
        <w:t xml:space="preserve">facilities. Outside the city and its closest settlements, </w:t>
      </w:r>
      <w:r w:rsidR="000C798F">
        <w:rPr>
          <w:rFonts w:ascii="Arial" w:hAnsi="Arial" w:cs="Arial"/>
        </w:rPr>
        <w:t xml:space="preserve">it is proposed that </w:t>
      </w:r>
      <w:r w:rsidR="00BC2CA6">
        <w:rPr>
          <w:rFonts w:ascii="Arial" w:hAnsi="Arial" w:cs="Arial"/>
        </w:rPr>
        <w:t>development will focus on the two settlement hubs within the east-west</w:t>
      </w:r>
      <w:r w:rsidR="000C798F">
        <w:rPr>
          <w:rFonts w:ascii="Arial" w:hAnsi="Arial" w:cs="Arial"/>
        </w:rPr>
        <w:t xml:space="preserve"> corridor</w:t>
      </w:r>
      <w:r w:rsidR="00BC2CA6">
        <w:rPr>
          <w:rFonts w:ascii="Arial" w:hAnsi="Arial" w:cs="Arial"/>
        </w:rPr>
        <w:t xml:space="preserve"> of Tangmere and Southbour</w:t>
      </w:r>
      <w:r w:rsidR="000C798F">
        <w:rPr>
          <w:rFonts w:ascii="Arial" w:hAnsi="Arial" w:cs="Arial"/>
        </w:rPr>
        <w:t>ne, benefiting from comparatively good public transport and easy access to higher order services such as those available in the city. Tangmere and Southbourne are recognised to have a good range of local facilities, with</w:t>
      </w:r>
      <w:r w:rsidR="00BC2CA6">
        <w:rPr>
          <w:rFonts w:ascii="Arial" w:hAnsi="Arial" w:cs="Arial"/>
        </w:rPr>
        <w:t xml:space="preserve"> </w:t>
      </w:r>
      <w:r w:rsidR="000C798F">
        <w:rPr>
          <w:rFonts w:ascii="Arial" w:hAnsi="Arial" w:cs="Arial"/>
        </w:rPr>
        <w:t xml:space="preserve">Southbourne additionally benefiting from rail connectivity. </w:t>
      </w:r>
      <w:r w:rsidR="00A05C73">
        <w:rPr>
          <w:rFonts w:ascii="Arial" w:hAnsi="Arial" w:cs="Arial"/>
        </w:rPr>
        <w:t xml:space="preserve">The locations of Bosham, Nutbourne and Fishbourne are identified as being capable of additional growth as service villages with rail connectivity. </w:t>
      </w:r>
    </w:p>
    <w:p w14:paraId="37552148" w14:textId="7E2C8F6C" w:rsidR="000E5B5E" w:rsidRDefault="000E5B5E" w:rsidP="000E5B5E">
      <w:pPr>
        <w:jc w:val="both"/>
        <w:rPr>
          <w:rFonts w:ascii="Arial" w:hAnsi="Arial" w:cs="Arial"/>
        </w:rPr>
      </w:pPr>
      <w:r>
        <w:rPr>
          <w:rFonts w:ascii="Arial" w:hAnsi="Arial" w:cs="Arial"/>
        </w:rPr>
        <w:t>4.3</w:t>
      </w:r>
      <w:r>
        <w:rPr>
          <w:rFonts w:ascii="Arial" w:hAnsi="Arial" w:cs="Arial"/>
        </w:rPr>
        <w:tab/>
      </w:r>
      <w:r w:rsidR="005A44EF">
        <w:rPr>
          <w:rFonts w:ascii="Arial" w:hAnsi="Arial" w:cs="Arial"/>
        </w:rPr>
        <w:t xml:space="preserve">Policy S2 of the proposed Local Plan establishes a settlement hierarchy for the location and scale of new development to address local needs whilst taking account of transport and the level of services available to settlements, as well as natural, historic, social and cultural environments. Supporting text recognises that generally, larger settlements have better facilities and are able to accommodate higher levels of growth without adversely impacting character. It is </w:t>
      </w:r>
      <w:r w:rsidR="00B10894">
        <w:rPr>
          <w:rFonts w:ascii="Arial" w:hAnsi="Arial" w:cs="Arial"/>
        </w:rPr>
        <w:t>stated</w:t>
      </w:r>
      <w:r w:rsidR="005A44EF">
        <w:rPr>
          <w:rFonts w:ascii="Arial" w:hAnsi="Arial" w:cs="Arial"/>
        </w:rPr>
        <w:t xml:space="preserve">, however, that </w:t>
      </w:r>
      <w:proofErr w:type="spellStart"/>
      <w:r w:rsidR="005A44EF">
        <w:rPr>
          <w:rFonts w:ascii="Arial" w:hAnsi="Arial" w:cs="Arial"/>
        </w:rPr>
        <w:t>Selsey</w:t>
      </w:r>
      <w:proofErr w:type="spellEnd"/>
      <w:r w:rsidR="005A44EF">
        <w:rPr>
          <w:rFonts w:ascii="Arial" w:hAnsi="Arial" w:cs="Arial"/>
        </w:rPr>
        <w:t xml:space="preserve"> and East Wittering</w:t>
      </w:r>
      <w:r w:rsidR="00A73DC0">
        <w:rPr>
          <w:rFonts w:ascii="Arial" w:hAnsi="Arial" w:cs="Arial"/>
        </w:rPr>
        <w:t xml:space="preserve"> within the Manhood Peninsula</w:t>
      </w:r>
      <w:r w:rsidR="005A44EF">
        <w:rPr>
          <w:rFonts w:ascii="Arial" w:hAnsi="Arial" w:cs="Arial"/>
        </w:rPr>
        <w:t xml:space="preserve"> have more constraints than other settlements. </w:t>
      </w:r>
      <w:r w:rsidR="00022722">
        <w:rPr>
          <w:rFonts w:ascii="Arial" w:hAnsi="Arial" w:cs="Arial"/>
        </w:rPr>
        <w:t xml:space="preserve">The Local Plan </w:t>
      </w:r>
      <w:r w:rsidR="00A73DC0">
        <w:rPr>
          <w:rFonts w:ascii="Arial" w:hAnsi="Arial" w:cs="Arial"/>
        </w:rPr>
        <w:t>lists these constraints in terms of significant areas at risk from coastal erosion and flooding, environmental designations, poor road accessibility, problems of traffic congestion, and a high reliance on Chichester city for employment and other key services</w:t>
      </w:r>
      <w:r w:rsidR="00E47AE7">
        <w:rPr>
          <w:rFonts w:ascii="Arial" w:hAnsi="Arial" w:cs="Arial"/>
        </w:rPr>
        <w:t xml:space="preserve"> (which is problematic in light of the </w:t>
      </w:r>
      <w:r w:rsidR="00567B62">
        <w:rPr>
          <w:rFonts w:ascii="Arial" w:hAnsi="Arial" w:cs="Arial"/>
        </w:rPr>
        <w:t>highlighted highway constraints and associated limited sustainable transport options).</w:t>
      </w:r>
      <w:r w:rsidR="00567B62" w:rsidDel="00567B62">
        <w:rPr>
          <w:rFonts w:ascii="Arial" w:hAnsi="Arial" w:cs="Arial"/>
        </w:rPr>
        <w:t xml:space="preserve"> </w:t>
      </w:r>
    </w:p>
    <w:p w14:paraId="016AB7FD" w14:textId="7412E8AB" w:rsidR="005C042E" w:rsidRDefault="00A73DC0" w:rsidP="005C042E">
      <w:pPr>
        <w:pStyle w:val="ListParagraph"/>
        <w:numPr>
          <w:ilvl w:val="1"/>
          <w:numId w:val="18"/>
        </w:numPr>
        <w:jc w:val="both"/>
        <w:rPr>
          <w:rFonts w:ascii="Arial" w:hAnsi="Arial" w:cs="Arial"/>
        </w:rPr>
      </w:pPr>
      <w:r w:rsidRPr="005C042E">
        <w:rPr>
          <w:rFonts w:ascii="Arial" w:hAnsi="Arial" w:cs="Arial"/>
        </w:rPr>
        <w:t xml:space="preserve">The north of the </w:t>
      </w:r>
      <w:r w:rsidR="00DF0764">
        <w:rPr>
          <w:rFonts w:ascii="Arial" w:hAnsi="Arial" w:cs="Arial"/>
        </w:rPr>
        <w:t>P</w:t>
      </w:r>
      <w:r w:rsidRPr="005C042E">
        <w:rPr>
          <w:rFonts w:ascii="Arial" w:hAnsi="Arial" w:cs="Arial"/>
        </w:rPr>
        <w:t xml:space="preserve">lan </w:t>
      </w:r>
      <w:r w:rsidR="00DF0764">
        <w:rPr>
          <w:rFonts w:ascii="Arial" w:hAnsi="Arial" w:cs="Arial"/>
        </w:rPr>
        <w:t>A</w:t>
      </w:r>
      <w:r w:rsidRPr="005C042E">
        <w:rPr>
          <w:rFonts w:ascii="Arial" w:hAnsi="Arial" w:cs="Arial"/>
        </w:rPr>
        <w:t xml:space="preserve">rea is described as predominantly rural with few sizeable settlements. Accessibility to services and facilities is a particular issue for this area. The Local Plan proposes only limited growth as a consequence. </w:t>
      </w:r>
    </w:p>
    <w:p w14:paraId="6B8C83D9" w14:textId="77777777" w:rsidR="005C042E" w:rsidRDefault="005C042E" w:rsidP="005C042E">
      <w:pPr>
        <w:pStyle w:val="ListParagraph"/>
        <w:ind w:left="0"/>
        <w:jc w:val="both"/>
        <w:rPr>
          <w:rFonts w:ascii="Arial" w:hAnsi="Arial" w:cs="Arial"/>
        </w:rPr>
      </w:pPr>
    </w:p>
    <w:p w14:paraId="4047CD86" w14:textId="05C71DF8" w:rsidR="005C042E" w:rsidRDefault="00D92C05" w:rsidP="00EC0F33">
      <w:pPr>
        <w:pStyle w:val="Heading1"/>
      </w:pPr>
      <w:bookmarkStart w:id="4" w:name="_Toc163590707"/>
      <w:r w:rsidRPr="005C042E">
        <w:t>Methodology</w:t>
      </w:r>
      <w:bookmarkEnd w:id="4"/>
    </w:p>
    <w:p w14:paraId="4627365E" w14:textId="5EE78EC2" w:rsidR="005C042E" w:rsidRPr="005C042E" w:rsidRDefault="005C042E" w:rsidP="005C042E">
      <w:pPr>
        <w:pStyle w:val="Heading2"/>
      </w:pPr>
      <w:bookmarkStart w:id="5" w:name="_Toc163590708"/>
      <w:r>
        <w:t>Stage 1: Recently Permitted Densities</w:t>
      </w:r>
      <w:bookmarkEnd w:id="5"/>
    </w:p>
    <w:p w14:paraId="2A05BF63" w14:textId="77777777" w:rsidR="00AF50F9" w:rsidRDefault="00AF50F9" w:rsidP="000E5B5E">
      <w:pPr>
        <w:pStyle w:val="ListParagraph"/>
        <w:ind w:left="0"/>
        <w:jc w:val="both"/>
        <w:rPr>
          <w:rFonts w:ascii="Arial" w:hAnsi="Arial" w:cs="Arial"/>
        </w:rPr>
      </w:pPr>
    </w:p>
    <w:p w14:paraId="3BD4780C" w14:textId="23C07BFF" w:rsidR="00AF50F9" w:rsidRDefault="005C042E" w:rsidP="000E5B5E">
      <w:pPr>
        <w:pStyle w:val="ListParagraph"/>
        <w:ind w:left="0"/>
        <w:jc w:val="both"/>
        <w:rPr>
          <w:rFonts w:ascii="Arial" w:hAnsi="Arial" w:cs="Arial"/>
          <w:sz w:val="36"/>
          <w:szCs w:val="36"/>
        </w:rPr>
      </w:pPr>
      <w:r>
        <w:rPr>
          <w:rFonts w:ascii="Arial" w:hAnsi="Arial" w:cs="Arial"/>
        </w:rPr>
        <w:t>5.1</w:t>
      </w:r>
      <w:r>
        <w:rPr>
          <w:rFonts w:ascii="Arial" w:hAnsi="Arial" w:cs="Arial"/>
        </w:rPr>
        <w:tab/>
      </w:r>
      <w:r w:rsidR="00AF50F9" w:rsidRPr="0091278A">
        <w:rPr>
          <w:rFonts w:ascii="Arial" w:hAnsi="Arial" w:cs="Arial"/>
        </w:rPr>
        <w:t xml:space="preserve">The first stage of the study was to establish the current status of housing </w:t>
      </w:r>
      <w:r w:rsidR="00AF50F9">
        <w:rPr>
          <w:rFonts w:ascii="Arial" w:hAnsi="Arial" w:cs="Arial"/>
        </w:rPr>
        <w:t xml:space="preserve">development </w:t>
      </w:r>
      <w:r w:rsidR="00AF50F9" w:rsidRPr="0091278A">
        <w:rPr>
          <w:rFonts w:ascii="Arial" w:hAnsi="Arial" w:cs="Arial"/>
        </w:rPr>
        <w:t xml:space="preserve">density within the Plan Area, analysing </w:t>
      </w:r>
      <w:r w:rsidR="00AF50F9">
        <w:rPr>
          <w:rFonts w:ascii="Arial" w:hAnsi="Arial" w:cs="Arial"/>
        </w:rPr>
        <w:t>permissions data as well as GIS mapping</w:t>
      </w:r>
      <w:r w:rsidR="00AF50F9" w:rsidRPr="0091278A">
        <w:rPr>
          <w:rFonts w:ascii="Arial" w:hAnsi="Arial" w:cs="Arial"/>
        </w:rPr>
        <w:t xml:space="preserve"> to understand how </w:t>
      </w:r>
      <w:r w:rsidR="00AF50F9">
        <w:rPr>
          <w:rFonts w:ascii="Arial" w:hAnsi="Arial" w:cs="Arial"/>
        </w:rPr>
        <w:t>recently</w:t>
      </w:r>
      <w:r w:rsidR="0087090C">
        <w:rPr>
          <w:rFonts w:ascii="Arial" w:hAnsi="Arial" w:cs="Arial"/>
        </w:rPr>
        <w:t xml:space="preserve"> approved </w:t>
      </w:r>
      <w:r w:rsidR="00AF50F9">
        <w:rPr>
          <w:rFonts w:ascii="Arial" w:hAnsi="Arial" w:cs="Arial"/>
        </w:rPr>
        <w:t xml:space="preserve">development </w:t>
      </w:r>
      <w:r w:rsidR="00AF50F9" w:rsidRPr="0091278A">
        <w:rPr>
          <w:rFonts w:ascii="Arial" w:hAnsi="Arial" w:cs="Arial"/>
        </w:rPr>
        <w:t xml:space="preserve">relates to the </w:t>
      </w:r>
      <w:r w:rsidR="00AF50F9">
        <w:rPr>
          <w:rFonts w:ascii="Arial" w:hAnsi="Arial" w:cs="Arial"/>
        </w:rPr>
        <w:t>adopted</w:t>
      </w:r>
      <w:r w:rsidR="00AF50F9" w:rsidRPr="0091278A">
        <w:rPr>
          <w:rFonts w:ascii="Arial" w:hAnsi="Arial" w:cs="Arial"/>
        </w:rPr>
        <w:t xml:space="preserve"> policy approach. </w:t>
      </w:r>
      <w:r w:rsidR="00AF50F9">
        <w:rPr>
          <w:rFonts w:ascii="Arial" w:hAnsi="Arial" w:cs="Arial"/>
        </w:rPr>
        <w:t>An objective</w:t>
      </w:r>
      <w:r w:rsidR="00AF50F9" w:rsidRPr="0091278A">
        <w:rPr>
          <w:rFonts w:ascii="Arial" w:hAnsi="Arial" w:cs="Arial"/>
        </w:rPr>
        <w:t xml:space="preserve"> of the analysis </w:t>
      </w:r>
      <w:r w:rsidR="008B23A1">
        <w:rPr>
          <w:rFonts w:ascii="Arial" w:hAnsi="Arial" w:cs="Arial"/>
        </w:rPr>
        <w:t>was</w:t>
      </w:r>
      <w:r w:rsidR="00AF50F9" w:rsidRPr="0091278A">
        <w:rPr>
          <w:rFonts w:ascii="Arial" w:hAnsi="Arial" w:cs="Arial"/>
        </w:rPr>
        <w:t xml:space="preserve"> to identify trends in </w:t>
      </w:r>
      <w:r w:rsidR="00AF50F9">
        <w:rPr>
          <w:rFonts w:ascii="Arial" w:hAnsi="Arial" w:cs="Arial"/>
        </w:rPr>
        <w:t>the last 5 years (using data for the period 2018-2022)</w:t>
      </w:r>
      <w:r w:rsidR="00FB5A9A">
        <w:rPr>
          <w:rFonts w:ascii="Arial" w:hAnsi="Arial" w:cs="Arial"/>
        </w:rPr>
        <w:t>.</w:t>
      </w:r>
    </w:p>
    <w:p w14:paraId="66A0F892" w14:textId="77777777" w:rsidR="00AF50F9" w:rsidRPr="005C042E" w:rsidRDefault="00211296" w:rsidP="00EC0F33">
      <w:pPr>
        <w:pStyle w:val="Heading3"/>
      </w:pPr>
      <w:bookmarkStart w:id="6" w:name="_Toc163590709"/>
      <w:r w:rsidRPr="005C042E">
        <w:t>Calculating Densities</w:t>
      </w:r>
      <w:bookmarkEnd w:id="6"/>
    </w:p>
    <w:p w14:paraId="7FCDAF93" w14:textId="77777777" w:rsidR="00AF50F9" w:rsidRDefault="00AF50F9" w:rsidP="00AF50F9">
      <w:pPr>
        <w:pStyle w:val="ListParagraph"/>
        <w:ind w:left="0"/>
        <w:jc w:val="both"/>
        <w:rPr>
          <w:rFonts w:ascii="Arial" w:hAnsi="Arial" w:cs="Arial"/>
        </w:rPr>
      </w:pPr>
    </w:p>
    <w:p w14:paraId="0F72D2C7" w14:textId="50951FE4" w:rsidR="00211296" w:rsidRDefault="005C042E" w:rsidP="002B101E">
      <w:pPr>
        <w:pStyle w:val="ListParagraph"/>
        <w:ind w:left="0"/>
        <w:jc w:val="both"/>
        <w:rPr>
          <w:rFonts w:ascii="Arial" w:hAnsi="Arial" w:cs="Arial"/>
        </w:rPr>
      </w:pPr>
      <w:r>
        <w:rPr>
          <w:rFonts w:ascii="Arial" w:hAnsi="Arial" w:cs="Arial"/>
        </w:rPr>
        <w:t>5.2</w:t>
      </w:r>
      <w:r>
        <w:rPr>
          <w:rFonts w:ascii="Arial" w:hAnsi="Arial" w:cs="Arial"/>
        </w:rPr>
        <w:tab/>
      </w:r>
      <w:r w:rsidR="00D82199">
        <w:rPr>
          <w:rFonts w:ascii="Arial" w:hAnsi="Arial" w:cs="Arial"/>
        </w:rPr>
        <w:t>The PPG recognises that different measures of density can be used to help make effective use of land. For the purposes of this study, dwellings per hectare (</w:t>
      </w:r>
      <w:proofErr w:type="spellStart"/>
      <w:r w:rsidR="00D82199">
        <w:rPr>
          <w:rFonts w:ascii="Arial" w:hAnsi="Arial" w:cs="Arial"/>
        </w:rPr>
        <w:t>dph</w:t>
      </w:r>
      <w:proofErr w:type="spellEnd"/>
      <w:r w:rsidR="00D82199">
        <w:rPr>
          <w:rFonts w:ascii="Arial" w:hAnsi="Arial" w:cs="Arial"/>
        </w:rPr>
        <w:t>)</w:t>
      </w:r>
      <w:r w:rsidR="008B23A1">
        <w:rPr>
          <w:rFonts w:ascii="Arial" w:hAnsi="Arial" w:cs="Arial"/>
        </w:rPr>
        <w:t xml:space="preserve"> </w:t>
      </w:r>
      <w:r w:rsidR="00D82199">
        <w:rPr>
          <w:rFonts w:ascii="Arial" w:hAnsi="Arial" w:cs="Arial"/>
        </w:rPr>
        <w:t xml:space="preserve">was identified as an appropriate means of measuring </w:t>
      </w:r>
      <w:r w:rsidR="008B23A1">
        <w:rPr>
          <w:rFonts w:ascii="Arial" w:hAnsi="Arial" w:cs="Arial"/>
        </w:rPr>
        <w:t>density,</w:t>
      </w:r>
      <w:r w:rsidR="00D82199">
        <w:rPr>
          <w:rFonts w:ascii="Arial" w:hAnsi="Arial" w:cs="Arial"/>
        </w:rPr>
        <w:t xml:space="preserve"> </w:t>
      </w:r>
      <w:r w:rsidR="00C61C06">
        <w:rPr>
          <w:rFonts w:ascii="Arial" w:hAnsi="Arial" w:cs="Arial"/>
        </w:rPr>
        <w:t>being a</w:t>
      </w:r>
      <w:r w:rsidR="00D82199">
        <w:rPr>
          <w:rFonts w:ascii="Arial" w:hAnsi="Arial" w:cs="Arial"/>
        </w:rPr>
        <w:t xml:space="preserve"> readily determined and comparable measure. Other measures, such as bedspaces per hectare, were discounted as unsuitable as baseline data was not available</w:t>
      </w:r>
      <w:r w:rsidR="00211296">
        <w:rPr>
          <w:rFonts w:ascii="Arial" w:hAnsi="Arial" w:cs="Arial"/>
        </w:rPr>
        <w:t xml:space="preserve"> or able to be accurately collated</w:t>
      </w:r>
      <w:r w:rsidR="00D82199">
        <w:rPr>
          <w:rFonts w:ascii="Arial" w:hAnsi="Arial" w:cs="Arial"/>
        </w:rPr>
        <w:t>.</w:t>
      </w:r>
      <w:r w:rsidR="000E5B5E">
        <w:rPr>
          <w:rFonts w:ascii="Arial" w:hAnsi="Arial" w:cs="Arial"/>
        </w:rPr>
        <w:tab/>
      </w:r>
    </w:p>
    <w:p w14:paraId="71C93717" w14:textId="2A18691B" w:rsidR="00211296" w:rsidRDefault="00211296" w:rsidP="00211296">
      <w:pPr>
        <w:pStyle w:val="ListParagraph"/>
        <w:jc w:val="both"/>
        <w:rPr>
          <w:rFonts w:ascii="Arial" w:hAnsi="Arial" w:cs="Arial"/>
        </w:rPr>
      </w:pPr>
    </w:p>
    <w:p w14:paraId="7B787596" w14:textId="5EB61481" w:rsidR="00802A88" w:rsidRDefault="005C042E" w:rsidP="00211296">
      <w:pPr>
        <w:pStyle w:val="ListParagraph"/>
        <w:ind w:left="0"/>
        <w:jc w:val="both"/>
        <w:rPr>
          <w:rFonts w:ascii="Arial" w:hAnsi="Arial" w:cs="Arial"/>
        </w:rPr>
      </w:pPr>
      <w:r>
        <w:rPr>
          <w:rFonts w:ascii="Arial" w:hAnsi="Arial" w:cs="Arial"/>
        </w:rPr>
        <w:t>5.3</w:t>
      </w:r>
      <w:r>
        <w:rPr>
          <w:rFonts w:ascii="Arial" w:hAnsi="Arial" w:cs="Arial"/>
        </w:rPr>
        <w:tab/>
      </w:r>
      <w:r w:rsidR="00211296">
        <w:rPr>
          <w:rFonts w:ascii="Arial" w:hAnsi="Arial" w:cs="Arial"/>
        </w:rPr>
        <w:t xml:space="preserve">Housing density can be determined from a site’s gross or net area. For this study, gross site area is defined as the total land area </w:t>
      </w:r>
      <w:r w:rsidR="00E53C5F">
        <w:rPr>
          <w:rFonts w:ascii="Arial" w:hAnsi="Arial" w:cs="Arial"/>
        </w:rPr>
        <w:t>within</w:t>
      </w:r>
      <w:r w:rsidR="00211296">
        <w:rPr>
          <w:rFonts w:ascii="Arial" w:hAnsi="Arial" w:cs="Arial"/>
        </w:rPr>
        <w:t xml:space="preserve"> the development ‘red line’ and cited </w:t>
      </w:r>
      <w:r w:rsidR="0004179F">
        <w:rPr>
          <w:rFonts w:ascii="Arial" w:hAnsi="Arial" w:cs="Arial"/>
        </w:rPr>
        <w:lastRenderedPageBreak/>
        <w:t xml:space="preserve">within an application for planning approval. The gross site area is recognised to include land for the provision of </w:t>
      </w:r>
      <w:r w:rsidR="00537B52">
        <w:rPr>
          <w:rFonts w:ascii="Arial" w:hAnsi="Arial" w:cs="Arial"/>
        </w:rPr>
        <w:t>widely serving</w:t>
      </w:r>
      <w:r w:rsidR="009532B9">
        <w:rPr>
          <w:rFonts w:ascii="Arial" w:hAnsi="Arial" w:cs="Arial"/>
        </w:rPr>
        <w:t xml:space="preserve"> </w:t>
      </w:r>
      <w:r w:rsidR="0004179F">
        <w:rPr>
          <w:rFonts w:ascii="Arial" w:hAnsi="Arial" w:cs="Arial"/>
        </w:rPr>
        <w:t>infrastructure</w:t>
      </w:r>
      <w:r w:rsidR="009532B9">
        <w:rPr>
          <w:rFonts w:ascii="Arial" w:hAnsi="Arial" w:cs="Arial"/>
        </w:rPr>
        <w:t xml:space="preserve">, </w:t>
      </w:r>
      <w:r w:rsidR="0004179F">
        <w:rPr>
          <w:rFonts w:ascii="Arial" w:hAnsi="Arial" w:cs="Arial"/>
        </w:rPr>
        <w:t>services</w:t>
      </w:r>
      <w:r w:rsidR="009532B9">
        <w:rPr>
          <w:rFonts w:ascii="Arial" w:hAnsi="Arial" w:cs="Arial"/>
        </w:rPr>
        <w:t xml:space="preserve"> and </w:t>
      </w:r>
      <w:r w:rsidR="00EE708A">
        <w:rPr>
          <w:rFonts w:ascii="Arial" w:hAnsi="Arial" w:cs="Arial"/>
        </w:rPr>
        <w:t>green/</w:t>
      </w:r>
      <w:r w:rsidR="009532B9">
        <w:rPr>
          <w:rFonts w:ascii="Arial" w:hAnsi="Arial" w:cs="Arial"/>
        </w:rPr>
        <w:t>open spaces</w:t>
      </w:r>
      <w:r w:rsidR="0004179F">
        <w:rPr>
          <w:rFonts w:ascii="Arial" w:hAnsi="Arial" w:cs="Arial"/>
        </w:rPr>
        <w:t xml:space="preserve">, as well as for housing development. </w:t>
      </w:r>
      <w:r w:rsidR="009532B9">
        <w:rPr>
          <w:rFonts w:ascii="Arial" w:hAnsi="Arial" w:cs="Arial"/>
        </w:rPr>
        <w:t>The definition of net site area is</w:t>
      </w:r>
      <w:r w:rsidR="00C61C06">
        <w:rPr>
          <w:rFonts w:ascii="Arial" w:hAnsi="Arial" w:cs="Arial"/>
        </w:rPr>
        <w:t xml:space="preserve"> </w:t>
      </w:r>
      <w:r w:rsidR="008B23A1">
        <w:rPr>
          <w:rFonts w:ascii="Arial" w:hAnsi="Arial" w:cs="Arial"/>
        </w:rPr>
        <w:t xml:space="preserve">more </w:t>
      </w:r>
      <w:r w:rsidR="009532B9">
        <w:rPr>
          <w:rFonts w:ascii="Arial" w:hAnsi="Arial" w:cs="Arial"/>
        </w:rPr>
        <w:t xml:space="preserve">limited to land available for dwellings and their directly associated features such as private gardens, car parking and access roads. Net site area is used to calculate </w:t>
      </w:r>
      <w:r w:rsidR="00802A88">
        <w:rPr>
          <w:rFonts w:ascii="Arial" w:hAnsi="Arial" w:cs="Arial"/>
        </w:rPr>
        <w:t xml:space="preserve">net </w:t>
      </w:r>
      <w:r w:rsidR="009532B9">
        <w:rPr>
          <w:rFonts w:ascii="Arial" w:hAnsi="Arial" w:cs="Arial"/>
        </w:rPr>
        <w:t>density, being less variable</w:t>
      </w:r>
      <w:r w:rsidR="0087090C">
        <w:rPr>
          <w:rFonts w:ascii="Arial" w:hAnsi="Arial" w:cs="Arial"/>
        </w:rPr>
        <w:t xml:space="preserve"> than gross density</w:t>
      </w:r>
      <w:r w:rsidR="00802A88">
        <w:rPr>
          <w:rFonts w:ascii="Arial" w:hAnsi="Arial" w:cs="Arial"/>
        </w:rPr>
        <w:t>, enabling comparison of a range of development scales, including larger sites where more land is required for uses other than housing, such as schools, landscape buffers and recreational space.</w:t>
      </w:r>
    </w:p>
    <w:p w14:paraId="4E5FAAAF" w14:textId="08994854" w:rsidR="00211296" w:rsidRPr="00211296" w:rsidRDefault="00802A88" w:rsidP="00211296">
      <w:pPr>
        <w:pStyle w:val="ListParagraph"/>
        <w:ind w:left="0"/>
        <w:jc w:val="both"/>
        <w:rPr>
          <w:rFonts w:ascii="Arial" w:hAnsi="Arial" w:cs="Arial"/>
        </w:rPr>
      </w:pPr>
      <w:r>
        <w:rPr>
          <w:rFonts w:ascii="Arial" w:hAnsi="Arial" w:cs="Arial"/>
        </w:rPr>
        <w:t xml:space="preserve">  </w:t>
      </w:r>
    </w:p>
    <w:p w14:paraId="1192FC3A" w14:textId="2E44528C" w:rsidR="00D82199" w:rsidRDefault="005C042E" w:rsidP="002B101E">
      <w:pPr>
        <w:pStyle w:val="ListParagraph"/>
        <w:ind w:left="0"/>
        <w:jc w:val="both"/>
        <w:rPr>
          <w:rFonts w:ascii="Arial" w:hAnsi="Arial" w:cs="Arial"/>
        </w:rPr>
      </w:pPr>
      <w:r>
        <w:rPr>
          <w:rFonts w:ascii="Arial" w:hAnsi="Arial" w:cs="Arial"/>
        </w:rPr>
        <w:t>5.4</w:t>
      </w:r>
      <w:r>
        <w:rPr>
          <w:rFonts w:ascii="Arial" w:hAnsi="Arial" w:cs="Arial"/>
        </w:rPr>
        <w:tab/>
      </w:r>
      <w:r w:rsidR="00A855DD">
        <w:rPr>
          <w:rFonts w:ascii="Arial" w:hAnsi="Arial" w:cs="Arial"/>
        </w:rPr>
        <w:t>Unless cited within the planning application, net site area was calculated from gross site area using assumptions consistent with those applied within the Local Plan Stage 1 Viability Assessment</w:t>
      </w:r>
      <w:r w:rsidR="00606DB9">
        <w:rPr>
          <w:rFonts w:ascii="Arial" w:hAnsi="Arial" w:cs="Arial"/>
        </w:rPr>
        <w:t>,</w:t>
      </w:r>
      <w:r w:rsidR="00B37C0D">
        <w:rPr>
          <w:rFonts w:ascii="Arial" w:hAnsi="Arial" w:cs="Arial"/>
        </w:rPr>
        <w:t xml:space="preserve"> </w:t>
      </w:r>
      <w:r w:rsidR="00AF50F9">
        <w:rPr>
          <w:rFonts w:ascii="Arial" w:hAnsi="Arial" w:cs="Arial"/>
        </w:rPr>
        <w:t>namely applying a l</w:t>
      </w:r>
      <w:r w:rsidR="00B37C0D">
        <w:rPr>
          <w:rFonts w:ascii="Arial" w:hAnsi="Arial" w:cs="Arial"/>
        </w:rPr>
        <w:t xml:space="preserve">and </w:t>
      </w:r>
      <w:r w:rsidR="00AF50F9">
        <w:rPr>
          <w:rFonts w:ascii="Arial" w:hAnsi="Arial" w:cs="Arial"/>
        </w:rPr>
        <w:t>a</w:t>
      </w:r>
      <w:r w:rsidR="00B37C0D">
        <w:rPr>
          <w:rFonts w:ascii="Arial" w:hAnsi="Arial" w:cs="Arial"/>
        </w:rPr>
        <w:t xml:space="preserve">rea </w:t>
      </w:r>
      <w:r w:rsidR="00AF50F9">
        <w:rPr>
          <w:rFonts w:ascii="Arial" w:hAnsi="Arial" w:cs="Arial"/>
        </w:rPr>
        <w:t>a</w:t>
      </w:r>
      <w:r w:rsidR="00B37C0D">
        <w:rPr>
          <w:rFonts w:ascii="Arial" w:hAnsi="Arial" w:cs="Arial"/>
        </w:rPr>
        <w:t>djustment</w:t>
      </w:r>
      <w:r w:rsidR="00AF50F9">
        <w:rPr>
          <w:rFonts w:ascii="Arial" w:hAnsi="Arial" w:cs="Arial"/>
        </w:rPr>
        <w:t xml:space="preserve"> for larger developments. In this study developments of five or more dwellings attracted a 15</w:t>
      </w:r>
      <w:r w:rsidR="00B37C0D">
        <w:rPr>
          <w:rFonts w:ascii="Arial" w:hAnsi="Arial" w:cs="Arial"/>
        </w:rPr>
        <w:t>% reduction</w:t>
      </w:r>
      <w:r w:rsidR="00AF50F9">
        <w:rPr>
          <w:rFonts w:ascii="Arial" w:hAnsi="Arial" w:cs="Arial"/>
        </w:rPr>
        <w:t xml:space="preserve"> from the gross site area, while development of </w:t>
      </w:r>
      <w:r w:rsidR="00B37C0D">
        <w:rPr>
          <w:rFonts w:ascii="Arial" w:hAnsi="Arial" w:cs="Arial"/>
        </w:rPr>
        <w:t xml:space="preserve">100 </w:t>
      </w:r>
      <w:r w:rsidR="00AF50F9">
        <w:rPr>
          <w:rFonts w:ascii="Arial" w:hAnsi="Arial" w:cs="Arial"/>
        </w:rPr>
        <w:t xml:space="preserve">or </w:t>
      </w:r>
      <w:r w:rsidR="00B37C0D">
        <w:rPr>
          <w:rFonts w:ascii="Arial" w:hAnsi="Arial" w:cs="Arial"/>
        </w:rPr>
        <w:t xml:space="preserve">dwellings </w:t>
      </w:r>
      <w:r w:rsidR="00AF50F9">
        <w:rPr>
          <w:rFonts w:ascii="Arial" w:hAnsi="Arial" w:cs="Arial"/>
        </w:rPr>
        <w:t xml:space="preserve">received a </w:t>
      </w:r>
      <w:r w:rsidR="00B37C0D">
        <w:rPr>
          <w:rFonts w:ascii="Arial" w:hAnsi="Arial" w:cs="Arial"/>
        </w:rPr>
        <w:t>30% reduction</w:t>
      </w:r>
      <w:r w:rsidR="00606DB9">
        <w:rPr>
          <w:rFonts w:ascii="Arial" w:hAnsi="Arial" w:cs="Arial"/>
        </w:rPr>
        <w:t xml:space="preserve"> to account for the provision of infrastructure and services</w:t>
      </w:r>
      <w:r w:rsidR="00AF50F9">
        <w:rPr>
          <w:rFonts w:ascii="Arial" w:hAnsi="Arial" w:cs="Arial"/>
        </w:rPr>
        <w:t>.</w:t>
      </w:r>
      <w:r w:rsidR="00B37C0D">
        <w:rPr>
          <w:rFonts w:ascii="Arial" w:hAnsi="Arial" w:cs="Arial"/>
        </w:rPr>
        <w:t xml:space="preserve"> </w:t>
      </w:r>
    </w:p>
    <w:p w14:paraId="6D118C93" w14:textId="0A3D8FC7" w:rsidR="00537598" w:rsidRDefault="005C042E" w:rsidP="005C042E">
      <w:pPr>
        <w:jc w:val="both"/>
        <w:rPr>
          <w:rFonts w:ascii="Arial" w:hAnsi="Arial" w:cs="Arial"/>
        </w:rPr>
      </w:pPr>
      <w:r>
        <w:rPr>
          <w:rFonts w:ascii="Arial" w:hAnsi="Arial" w:cs="Arial"/>
        </w:rPr>
        <w:t>5.5</w:t>
      </w:r>
      <w:r>
        <w:rPr>
          <w:rFonts w:ascii="Arial" w:hAnsi="Arial" w:cs="Arial"/>
        </w:rPr>
        <w:tab/>
      </w:r>
      <w:r w:rsidR="00EE708A">
        <w:rPr>
          <w:rFonts w:ascii="Arial" w:hAnsi="Arial" w:cs="Arial"/>
        </w:rPr>
        <w:t xml:space="preserve">In addition to the land area adjustment, land required for open space on-site provision was deducted from the gross site area, calculated using the Open Space </w:t>
      </w:r>
      <w:r w:rsidR="00C17127">
        <w:rPr>
          <w:rFonts w:ascii="Arial" w:hAnsi="Arial" w:cs="Arial"/>
        </w:rPr>
        <w:t xml:space="preserve">Cost </w:t>
      </w:r>
      <w:r w:rsidR="00EE708A">
        <w:rPr>
          <w:rFonts w:ascii="Arial" w:hAnsi="Arial" w:cs="Arial"/>
        </w:rPr>
        <w:t>Calculator derived from development thresholds defined with</w:t>
      </w:r>
      <w:r w:rsidR="0087090C">
        <w:rPr>
          <w:rFonts w:ascii="Arial" w:hAnsi="Arial" w:cs="Arial"/>
        </w:rPr>
        <w:t>in adopted Local Plan Policy 54 Open Space, Sport and Recreation</w:t>
      </w:r>
      <w:r w:rsidR="00562265">
        <w:rPr>
          <w:rFonts w:ascii="Arial" w:hAnsi="Arial" w:cs="Arial"/>
        </w:rPr>
        <w:t>, and in accordance with the detailed standards and methodology set out in the Planning Obligations and Affordable Housing SPD</w:t>
      </w:r>
      <w:r w:rsidR="00EE708A">
        <w:rPr>
          <w:rFonts w:ascii="Arial" w:hAnsi="Arial" w:cs="Arial"/>
        </w:rPr>
        <w:t xml:space="preserve">. </w:t>
      </w:r>
      <w:r w:rsidR="00C17127">
        <w:rPr>
          <w:rFonts w:ascii="Arial" w:hAnsi="Arial" w:cs="Arial"/>
        </w:rPr>
        <w:t>A general assumption was applied for all dwellings within the study to be considered a</w:t>
      </w:r>
      <w:r w:rsidR="00E53C5F">
        <w:rPr>
          <w:rFonts w:ascii="Arial" w:hAnsi="Arial" w:cs="Arial"/>
        </w:rPr>
        <w:t>s</w:t>
      </w:r>
      <w:r w:rsidR="00C17127">
        <w:rPr>
          <w:rFonts w:ascii="Arial" w:hAnsi="Arial" w:cs="Arial"/>
        </w:rPr>
        <w:t xml:space="preserve"> 3</w:t>
      </w:r>
      <w:r w:rsidR="00537B52">
        <w:rPr>
          <w:rFonts w:ascii="Arial" w:hAnsi="Arial" w:cs="Arial"/>
        </w:rPr>
        <w:t>-</w:t>
      </w:r>
      <w:r w:rsidR="00C17127">
        <w:rPr>
          <w:rFonts w:ascii="Arial" w:hAnsi="Arial" w:cs="Arial"/>
        </w:rPr>
        <w:t>bed</w:t>
      </w:r>
      <w:r w:rsidR="00537B52">
        <w:rPr>
          <w:rFonts w:ascii="Arial" w:hAnsi="Arial" w:cs="Arial"/>
        </w:rPr>
        <w:t>room</w:t>
      </w:r>
      <w:r w:rsidR="00C17127">
        <w:rPr>
          <w:rFonts w:ascii="Arial" w:hAnsi="Arial" w:cs="Arial"/>
        </w:rPr>
        <w:t>, providing an average number of occupants of 2.</w:t>
      </w:r>
      <w:r w:rsidR="00562265">
        <w:rPr>
          <w:rFonts w:ascii="Arial" w:hAnsi="Arial" w:cs="Arial"/>
        </w:rPr>
        <w:t>3</w:t>
      </w:r>
      <w:r w:rsidR="00C17127">
        <w:rPr>
          <w:rFonts w:ascii="Arial" w:hAnsi="Arial" w:cs="Arial"/>
        </w:rPr>
        <w:t xml:space="preserve"> people per dwelling, consistent with Infrastructure Delivery Plan (IDP) </w:t>
      </w:r>
      <w:r w:rsidR="00562265">
        <w:rPr>
          <w:rFonts w:ascii="Arial" w:hAnsi="Arial" w:cs="Arial"/>
        </w:rPr>
        <w:t>metho</w:t>
      </w:r>
      <w:r w:rsidR="008B23A1">
        <w:rPr>
          <w:rFonts w:ascii="Arial" w:hAnsi="Arial" w:cs="Arial"/>
        </w:rPr>
        <w:t>do</w:t>
      </w:r>
      <w:r w:rsidR="00562265">
        <w:rPr>
          <w:rFonts w:ascii="Arial" w:hAnsi="Arial" w:cs="Arial"/>
        </w:rPr>
        <w:t>logy</w:t>
      </w:r>
      <w:r w:rsidR="00C17127">
        <w:rPr>
          <w:rFonts w:ascii="Arial" w:hAnsi="Arial" w:cs="Arial"/>
        </w:rPr>
        <w:t xml:space="preserve">.  </w:t>
      </w:r>
    </w:p>
    <w:p w14:paraId="0D78D7B2" w14:textId="4658E38E" w:rsidR="00537598" w:rsidRPr="005C042E" w:rsidRDefault="00537598" w:rsidP="00EC0F33">
      <w:pPr>
        <w:pStyle w:val="Heading3"/>
      </w:pPr>
      <w:bookmarkStart w:id="7" w:name="_Toc163590710"/>
      <w:r w:rsidRPr="005C042E">
        <w:t>Comparison Criteria</w:t>
      </w:r>
      <w:bookmarkEnd w:id="7"/>
    </w:p>
    <w:p w14:paraId="5B1EA829" w14:textId="3B228A6D" w:rsidR="00537598" w:rsidRDefault="00537598" w:rsidP="000E5B5E">
      <w:pPr>
        <w:pStyle w:val="ListParagraph"/>
        <w:ind w:left="0"/>
        <w:jc w:val="both"/>
        <w:rPr>
          <w:rFonts w:ascii="Arial" w:hAnsi="Arial" w:cs="Arial"/>
        </w:rPr>
      </w:pPr>
    </w:p>
    <w:p w14:paraId="37253DE2" w14:textId="03A7A08D" w:rsidR="00537598" w:rsidRDefault="005C042E" w:rsidP="000E5B5E">
      <w:pPr>
        <w:pStyle w:val="ListParagraph"/>
        <w:ind w:left="0"/>
        <w:jc w:val="both"/>
        <w:rPr>
          <w:rFonts w:ascii="Arial" w:hAnsi="Arial" w:cs="Arial"/>
        </w:rPr>
      </w:pPr>
      <w:r>
        <w:rPr>
          <w:rFonts w:ascii="Arial" w:hAnsi="Arial" w:cs="Arial"/>
        </w:rPr>
        <w:t>5.6</w:t>
      </w:r>
      <w:r>
        <w:rPr>
          <w:rFonts w:ascii="Arial" w:hAnsi="Arial" w:cs="Arial"/>
        </w:rPr>
        <w:tab/>
      </w:r>
      <w:r w:rsidR="00537598">
        <w:rPr>
          <w:rFonts w:ascii="Arial" w:hAnsi="Arial" w:cs="Arial"/>
        </w:rPr>
        <w:t>The following criteria were considered and compared within the study:</w:t>
      </w:r>
    </w:p>
    <w:p w14:paraId="56CF745D" w14:textId="77777777" w:rsidR="0091278A" w:rsidRDefault="0091278A" w:rsidP="0091278A">
      <w:pPr>
        <w:pStyle w:val="ListParagraph"/>
        <w:jc w:val="both"/>
        <w:rPr>
          <w:rFonts w:ascii="Arial" w:hAnsi="Arial" w:cs="Arial"/>
        </w:rPr>
      </w:pPr>
    </w:p>
    <w:p w14:paraId="2A5F45E2" w14:textId="74D033A1" w:rsidR="0091278A" w:rsidRDefault="0091278A" w:rsidP="0091278A">
      <w:pPr>
        <w:pStyle w:val="ListParagraph"/>
        <w:numPr>
          <w:ilvl w:val="0"/>
          <w:numId w:val="11"/>
        </w:numPr>
        <w:jc w:val="both"/>
        <w:rPr>
          <w:rFonts w:ascii="Arial" w:hAnsi="Arial" w:cs="Arial"/>
        </w:rPr>
      </w:pPr>
      <w:r>
        <w:rPr>
          <w:rFonts w:ascii="Arial" w:hAnsi="Arial" w:cs="Arial"/>
        </w:rPr>
        <w:t>Development scales: small (</w:t>
      </w:r>
      <w:r w:rsidR="00241CBE">
        <w:rPr>
          <w:rFonts w:ascii="Arial" w:hAnsi="Arial" w:cs="Arial"/>
        </w:rPr>
        <w:t>&lt;</w:t>
      </w:r>
      <w:r>
        <w:rPr>
          <w:rFonts w:ascii="Arial" w:hAnsi="Arial" w:cs="Arial"/>
        </w:rPr>
        <w:t>10 dwellings</w:t>
      </w:r>
      <w:r w:rsidR="007C2A60">
        <w:rPr>
          <w:rStyle w:val="FootnoteReference"/>
          <w:rFonts w:ascii="Arial" w:hAnsi="Arial" w:cs="Arial"/>
        </w:rPr>
        <w:footnoteReference w:id="4"/>
      </w:r>
      <w:r>
        <w:rPr>
          <w:rFonts w:ascii="Arial" w:hAnsi="Arial" w:cs="Arial"/>
        </w:rPr>
        <w:t>), medium (</w:t>
      </w:r>
      <w:r w:rsidR="00241CBE">
        <w:rPr>
          <w:rFonts w:ascii="Arial" w:hAnsi="Arial" w:cs="Arial"/>
        </w:rPr>
        <w:t>≥</w:t>
      </w:r>
      <w:r>
        <w:rPr>
          <w:rFonts w:ascii="Arial" w:hAnsi="Arial" w:cs="Arial"/>
        </w:rPr>
        <w:t>10&lt;50)</w:t>
      </w:r>
      <w:r w:rsidR="0069481B">
        <w:rPr>
          <w:rFonts w:ascii="Arial" w:hAnsi="Arial" w:cs="Arial"/>
        </w:rPr>
        <w:t>,</w:t>
      </w:r>
      <w:r>
        <w:rPr>
          <w:rFonts w:ascii="Arial" w:hAnsi="Arial" w:cs="Arial"/>
        </w:rPr>
        <w:t xml:space="preserve"> large (≥50</w:t>
      </w:r>
      <w:r w:rsidR="0069481B">
        <w:rPr>
          <w:rFonts w:ascii="Arial" w:hAnsi="Arial" w:cs="Arial"/>
        </w:rPr>
        <w:t>&lt;200</w:t>
      </w:r>
      <w:r>
        <w:rPr>
          <w:rFonts w:ascii="Arial" w:hAnsi="Arial" w:cs="Arial"/>
        </w:rPr>
        <w:t>)</w:t>
      </w:r>
      <w:r w:rsidR="0069481B">
        <w:rPr>
          <w:rFonts w:ascii="Arial" w:hAnsi="Arial" w:cs="Arial"/>
        </w:rPr>
        <w:t xml:space="preserve"> and strategic (≥200), </w:t>
      </w:r>
    </w:p>
    <w:p w14:paraId="4C466D3C" w14:textId="6BB56E8F" w:rsidR="00785A9C" w:rsidRDefault="0091278A" w:rsidP="0091278A">
      <w:pPr>
        <w:pStyle w:val="ListParagraph"/>
        <w:numPr>
          <w:ilvl w:val="0"/>
          <w:numId w:val="11"/>
        </w:numPr>
        <w:jc w:val="both"/>
        <w:rPr>
          <w:rFonts w:ascii="Arial" w:hAnsi="Arial" w:cs="Arial"/>
        </w:rPr>
      </w:pPr>
      <w:r>
        <w:rPr>
          <w:rFonts w:ascii="Arial" w:hAnsi="Arial" w:cs="Arial"/>
        </w:rPr>
        <w:t>Greenfield and previously developed sites;</w:t>
      </w:r>
    </w:p>
    <w:p w14:paraId="71449A96" w14:textId="382AE07D" w:rsidR="0091278A" w:rsidRDefault="0064278D" w:rsidP="0091278A">
      <w:pPr>
        <w:pStyle w:val="ListParagraph"/>
        <w:numPr>
          <w:ilvl w:val="0"/>
          <w:numId w:val="11"/>
        </w:numPr>
        <w:jc w:val="both"/>
        <w:rPr>
          <w:rFonts w:ascii="Arial" w:hAnsi="Arial" w:cs="Arial"/>
        </w:rPr>
      </w:pPr>
      <w:r>
        <w:rPr>
          <w:rFonts w:ascii="Arial" w:hAnsi="Arial" w:cs="Arial"/>
        </w:rPr>
        <w:t>Housing mix</w:t>
      </w:r>
      <w:r w:rsidR="00BD6393">
        <w:rPr>
          <w:rFonts w:ascii="Arial" w:hAnsi="Arial" w:cs="Arial"/>
        </w:rPr>
        <w:t xml:space="preserve"> (proportion of houses and flats</w:t>
      </w:r>
      <w:r w:rsidR="007C2A60">
        <w:rPr>
          <w:rFonts w:ascii="Arial" w:hAnsi="Arial" w:cs="Arial"/>
        </w:rPr>
        <w:t xml:space="preserve"> within a scheme</w:t>
      </w:r>
      <w:r w:rsidR="00BD6393">
        <w:rPr>
          <w:rFonts w:ascii="Arial" w:hAnsi="Arial" w:cs="Arial"/>
        </w:rPr>
        <w:t>)</w:t>
      </w:r>
    </w:p>
    <w:p w14:paraId="0400A0B7" w14:textId="6B3025AD" w:rsidR="0091278A" w:rsidRDefault="0091278A" w:rsidP="0091278A">
      <w:pPr>
        <w:pStyle w:val="ListParagraph"/>
        <w:numPr>
          <w:ilvl w:val="0"/>
          <w:numId w:val="11"/>
        </w:numPr>
        <w:jc w:val="both"/>
        <w:rPr>
          <w:rFonts w:ascii="Arial" w:hAnsi="Arial" w:cs="Arial"/>
        </w:rPr>
      </w:pPr>
      <w:r>
        <w:rPr>
          <w:rFonts w:ascii="Arial" w:hAnsi="Arial" w:cs="Arial"/>
        </w:rPr>
        <w:t>Adherence to the settlement hierarchy</w:t>
      </w:r>
      <w:r w:rsidR="00BD6393">
        <w:rPr>
          <w:rFonts w:ascii="Arial" w:hAnsi="Arial" w:cs="Arial"/>
        </w:rPr>
        <w:t>: sub-regional centre, settlement hubs, service villages, rest of plan area</w:t>
      </w:r>
      <w:r w:rsidR="00DF0764">
        <w:rPr>
          <w:rFonts w:ascii="Arial" w:hAnsi="Arial" w:cs="Arial"/>
        </w:rPr>
        <w:t xml:space="preserve"> (ROPA)</w:t>
      </w:r>
    </w:p>
    <w:p w14:paraId="274A0D86" w14:textId="61869232" w:rsidR="0091278A" w:rsidRDefault="0091278A" w:rsidP="0091278A">
      <w:pPr>
        <w:pStyle w:val="ListParagraph"/>
        <w:numPr>
          <w:ilvl w:val="0"/>
          <w:numId w:val="11"/>
        </w:numPr>
        <w:jc w:val="both"/>
        <w:rPr>
          <w:rFonts w:ascii="Arial" w:hAnsi="Arial" w:cs="Arial"/>
        </w:rPr>
      </w:pPr>
      <w:r>
        <w:rPr>
          <w:rFonts w:ascii="Arial" w:hAnsi="Arial" w:cs="Arial"/>
        </w:rPr>
        <w:t>Proximity to settlement boundaries</w:t>
      </w:r>
      <w:r w:rsidR="00BD6393">
        <w:rPr>
          <w:rFonts w:ascii="Arial" w:hAnsi="Arial" w:cs="Arial"/>
        </w:rPr>
        <w:t>: within, adjacent</w:t>
      </w:r>
      <w:r w:rsidR="0069481B">
        <w:rPr>
          <w:rFonts w:ascii="Arial" w:hAnsi="Arial" w:cs="Arial"/>
        </w:rPr>
        <w:t xml:space="preserve"> to or within</w:t>
      </w:r>
      <w:r w:rsidR="00BD6393">
        <w:rPr>
          <w:rFonts w:ascii="Arial" w:hAnsi="Arial" w:cs="Arial"/>
        </w:rPr>
        <w:t xml:space="preserve">&lt;400m, </w:t>
      </w:r>
      <w:r w:rsidR="0069481B">
        <w:rPr>
          <w:rFonts w:ascii="Arial" w:hAnsi="Arial" w:cs="Arial"/>
        </w:rPr>
        <w:t>≥</w:t>
      </w:r>
      <w:r w:rsidR="00BD6393">
        <w:rPr>
          <w:rFonts w:ascii="Arial" w:hAnsi="Arial" w:cs="Arial"/>
        </w:rPr>
        <w:t>400m</w:t>
      </w:r>
    </w:p>
    <w:p w14:paraId="0247BDD7" w14:textId="02A3739E" w:rsidR="0091278A" w:rsidRPr="0091278A" w:rsidRDefault="0064278D" w:rsidP="0091278A">
      <w:pPr>
        <w:pStyle w:val="ListParagraph"/>
        <w:numPr>
          <w:ilvl w:val="0"/>
          <w:numId w:val="11"/>
        </w:numPr>
        <w:jc w:val="both"/>
        <w:rPr>
          <w:rFonts w:ascii="Arial" w:hAnsi="Arial" w:cs="Arial"/>
        </w:rPr>
      </w:pPr>
      <w:r>
        <w:rPr>
          <w:rFonts w:ascii="Arial" w:hAnsi="Arial" w:cs="Arial"/>
        </w:rPr>
        <w:t>Accessibility</w:t>
      </w:r>
      <w:r w:rsidR="0091278A">
        <w:rPr>
          <w:rFonts w:ascii="Arial" w:hAnsi="Arial" w:cs="Arial"/>
        </w:rPr>
        <w:t xml:space="preserve"> to transport</w:t>
      </w:r>
      <w:r w:rsidR="00BD6393">
        <w:rPr>
          <w:rFonts w:ascii="Arial" w:hAnsi="Arial" w:cs="Arial"/>
        </w:rPr>
        <w:t xml:space="preserve"> (train stations)</w:t>
      </w:r>
      <w:r w:rsidR="0091278A">
        <w:rPr>
          <w:rFonts w:ascii="Arial" w:hAnsi="Arial" w:cs="Arial"/>
        </w:rPr>
        <w:t xml:space="preserve"> and services</w:t>
      </w:r>
      <w:r w:rsidR="00BD6393">
        <w:rPr>
          <w:rFonts w:ascii="Arial" w:hAnsi="Arial" w:cs="Arial"/>
        </w:rPr>
        <w:t xml:space="preserve"> (retail centres): </w:t>
      </w:r>
      <w:r>
        <w:rPr>
          <w:rFonts w:ascii="Arial" w:hAnsi="Arial" w:cs="Arial"/>
        </w:rPr>
        <w:t xml:space="preserve">proximity </w:t>
      </w:r>
      <w:r w:rsidR="00BD6393">
        <w:rPr>
          <w:rFonts w:ascii="Arial" w:hAnsi="Arial" w:cs="Arial"/>
        </w:rPr>
        <w:t xml:space="preserve">(&lt;400m, 400-800m, </w:t>
      </w:r>
      <w:r w:rsidR="0069481B">
        <w:rPr>
          <w:rFonts w:ascii="Arial" w:hAnsi="Arial" w:cs="Arial"/>
        </w:rPr>
        <w:t>≥</w:t>
      </w:r>
      <w:r w:rsidR="00BD6393">
        <w:rPr>
          <w:rFonts w:ascii="Arial" w:hAnsi="Arial" w:cs="Arial"/>
        </w:rPr>
        <w:t xml:space="preserve">800m) and walking and cycling time (&lt;10mins, &gt;10mins) </w:t>
      </w:r>
    </w:p>
    <w:p w14:paraId="391CD0E5" w14:textId="65ED0372" w:rsidR="00562265" w:rsidRDefault="005C042E" w:rsidP="001256A0">
      <w:pPr>
        <w:jc w:val="both"/>
        <w:rPr>
          <w:rFonts w:ascii="Arial" w:hAnsi="Arial" w:cs="Arial"/>
        </w:rPr>
      </w:pPr>
      <w:r>
        <w:rPr>
          <w:rFonts w:ascii="Arial" w:hAnsi="Arial" w:cs="Arial"/>
        </w:rPr>
        <w:t>5.7</w:t>
      </w:r>
      <w:r>
        <w:rPr>
          <w:rFonts w:ascii="Arial" w:hAnsi="Arial" w:cs="Arial"/>
        </w:rPr>
        <w:tab/>
      </w:r>
      <w:r w:rsidR="005E20AA">
        <w:rPr>
          <w:rFonts w:ascii="Arial" w:hAnsi="Arial" w:cs="Arial"/>
        </w:rPr>
        <w:t>The criteria were chosen to enable investigation of how density is affected by the nature of the proposed development, the site context and surrounding character, and its accessibility, in accordance with the PPG. The development scale</w:t>
      </w:r>
      <w:r w:rsidR="001D2854">
        <w:rPr>
          <w:rFonts w:ascii="Arial" w:hAnsi="Arial" w:cs="Arial"/>
        </w:rPr>
        <w:t>s</w:t>
      </w:r>
      <w:r w:rsidR="005E20AA">
        <w:rPr>
          <w:rFonts w:ascii="Arial" w:hAnsi="Arial" w:cs="Arial"/>
        </w:rPr>
        <w:t xml:space="preserve"> chosen are consistent with the development parameters described within the proposed Local Plan.</w:t>
      </w:r>
      <w:r w:rsidR="002737AE">
        <w:rPr>
          <w:rFonts w:ascii="Arial" w:hAnsi="Arial" w:cs="Arial"/>
        </w:rPr>
        <w:t xml:space="preserve"> </w:t>
      </w:r>
      <w:r w:rsidR="00562265">
        <w:rPr>
          <w:rFonts w:ascii="Arial" w:hAnsi="Arial" w:cs="Arial"/>
        </w:rPr>
        <w:t>Planning a</w:t>
      </w:r>
      <w:r w:rsidR="002737AE">
        <w:rPr>
          <w:rFonts w:ascii="Arial" w:hAnsi="Arial" w:cs="Arial"/>
        </w:rPr>
        <w:t xml:space="preserve">pplications analysed included reserved matters applications, as well as outline and full applications. </w:t>
      </w:r>
      <w:r w:rsidR="00562265">
        <w:rPr>
          <w:rFonts w:ascii="Arial" w:hAnsi="Arial" w:cs="Arial"/>
        </w:rPr>
        <w:t>Applications</w:t>
      </w:r>
      <w:r w:rsidR="002737AE">
        <w:rPr>
          <w:rFonts w:ascii="Arial" w:hAnsi="Arial" w:cs="Arial"/>
        </w:rPr>
        <w:t xml:space="preserve"> concerning developments</w:t>
      </w:r>
      <w:r w:rsidR="00562265">
        <w:rPr>
          <w:rFonts w:ascii="Arial" w:hAnsi="Arial" w:cs="Arial"/>
        </w:rPr>
        <w:t xml:space="preserve"> within strategic development locations</w:t>
      </w:r>
      <w:r w:rsidR="002737AE">
        <w:rPr>
          <w:rFonts w:ascii="Arial" w:hAnsi="Arial" w:cs="Arial"/>
        </w:rPr>
        <w:t xml:space="preserve"> were classified as such, including when permitted </w:t>
      </w:r>
      <w:r w:rsidR="00014596">
        <w:rPr>
          <w:rFonts w:ascii="Arial" w:hAnsi="Arial" w:cs="Arial"/>
        </w:rPr>
        <w:t xml:space="preserve">phases </w:t>
      </w:r>
      <w:r w:rsidR="002737AE">
        <w:rPr>
          <w:rFonts w:ascii="Arial" w:hAnsi="Arial" w:cs="Arial"/>
        </w:rPr>
        <w:t xml:space="preserve">were </w:t>
      </w:r>
      <w:r w:rsidR="00014596">
        <w:rPr>
          <w:rFonts w:ascii="Arial" w:hAnsi="Arial" w:cs="Arial"/>
        </w:rPr>
        <w:t xml:space="preserve">for </w:t>
      </w:r>
      <w:r w:rsidR="002737AE">
        <w:rPr>
          <w:rFonts w:ascii="Arial" w:hAnsi="Arial" w:cs="Arial"/>
        </w:rPr>
        <w:t>less than 200</w:t>
      </w:r>
      <w:r w:rsidR="00014596">
        <w:rPr>
          <w:rFonts w:ascii="Arial" w:hAnsi="Arial" w:cs="Arial"/>
        </w:rPr>
        <w:t xml:space="preserve"> dwellings</w:t>
      </w:r>
      <w:r w:rsidR="002737AE">
        <w:rPr>
          <w:rFonts w:ascii="Arial" w:hAnsi="Arial" w:cs="Arial"/>
        </w:rPr>
        <w:t xml:space="preserve">, recognising the overall context of the development </w:t>
      </w:r>
      <w:r w:rsidR="00C61C06">
        <w:rPr>
          <w:rFonts w:ascii="Arial" w:hAnsi="Arial" w:cs="Arial"/>
        </w:rPr>
        <w:t>to allow</w:t>
      </w:r>
      <w:r w:rsidR="002737AE">
        <w:rPr>
          <w:rFonts w:ascii="Arial" w:hAnsi="Arial" w:cs="Arial"/>
        </w:rPr>
        <w:t xml:space="preserve"> </w:t>
      </w:r>
      <w:r w:rsidR="00987D78">
        <w:rPr>
          <w:rFonts w:ascii="Arial" w:hAnsi="Arial" w:cs="Arial"/>
        </w:rPr>
        <w:t>accounting for</w:t>
      </w:r>
      <w:r w:rsidR="002737AE">
        <w:rPr>
          <w:rFonts w:ascii="Arial" w:hAnsi="Arial" w:cs="Arial"/>
        </w:rPr>
        <w:t xml:space="preserve"> associa</w:t>
      </w:r>
      <w:r w:rsidR="00BC4E5F">
        <w:rPr>
          <w:rFonts w:ascii="Arial" w:hAnsi="Arial" w:cs="Arial"/>
        </w:rPr>
        <w:t>ted infrastructure requirements.</w:t>
      </w:r>
      <w:r w:rsidR="002737AE">
        <w:rPr>
          <w:rFonts w:ascii="Arial" w:hAnsi="Arial" w:cs="Arial"/>
        </w:rPr>
        <w:t xml:space="preserve"> </w:t>
      </w:r>
      <w:r w:rsidR="001D2854">
        <w:rPr>
          <w:rFonts w:ascii="Arial" w:hAnsi="Arial" w:cs="Arial"/>
        </w:rPr>
        <w:t>The comparison of greenfield and brownfield sites allows for exploration of whether previously developed sites are being optimised for development</w:t>
      </w:r>
      <w:r w:rsidR="00BC4E5F">
        <w:rPr>
          <w:rFonts w:ascii="Arial" w:hAnsi="Arial" w:cs="Arial"/>
        </w:rPr>
        <w:t xml:space="preserve">, with the investigation of different development types, including change of use and non-residential </w:t>
      </w:r>
      <w:r w:rsidR="00BC4E5F">
        <w:rPr>
          <w:rFonts w:ascii="Arial" w:hAnsi="Arial" w:cs="Arial"/>
        </w:rPr>
        <w:lastRenderedPageBreak/>
        <w:t>redevelopment adding further nuance</w:t>
      </w:r>
      <w:r w:rsidR="001D2854">
        <w:rPr>
          <w:rFonts w:ascii="Arial" w:hAnsi="Arial" w:cs="Arial"/>
        </w:rPr>
        <w:t xml:space="preserve">. </w:t>
      </w:r>
      <w:r w:rsidR="00562265">
        <w:rPr>
          <w:rFonts w:ascii="Arial" w:hAnsi="Arial" w:cs="Arial"/>
        </w:rPr>
        <w:t xml:space="preserve">Examination of housing mix ensures the differences in densities for predominantly flatted or housing developments, and their surrounding context such as an urban environment, is recognised. </w:t>
      </w:r>
    </w:p>
    <w:p w14:paraId="05786E3F" w14:textId="76C182E2" w:rsidR="008F5428" w:rsidRDefault="005C042E" w:rsidP="008B7743">
      <w:pPr>
        <w:jc w:val="both"/>
        <w:rPr>
          <w:rFonts w:ascii="Arial" w:hAnsi="Arial" w:cs="Arial"/>
        </w:rPr>
      </w:pPr>
      <w:r>
        <w:rPr>
          <w:rFonts w:ascii="Arial" w:hAnsi="Arial" w:cs="Arial"/>
        </w:rPr>
        <w:t>5.8</w:t>
      </w:r>
      <w:r>
        <w:rPr>
          <w:rFonts w:ascii="Arial" w:hAnsi="Arial" w:cs="Arial"/>
        </w:rPr>
        <w:tab/>
      </w:r>
      <w:r w:rsidR="001D2854">
        <w:rPr>
          <w:rFonts w:ascii="Arial" w:hAnsi="Arial" w:cs="Arial"/>
        </w:rPr>
        <w:t xml:space="preserve">The consideration of </w:t>
      </w:r>
      <w:r w:rsidR="00606DB9">
        <w:rPr>
          <w:rFonts w:ascii="Arial" w:hAnsi="Arial" w:cs="Arial"/>
        </w:rPr>
        <w:t xml:space="preserve">developments within </w:t>
      </w:r>
      <w:r w:rsidR="001D2854">
        <w:rPr>
          <w:rFonts w:ascii="Arial" w:hAnsi="Arial" w:cs="Arial"/>
        </w:rPr>
        <w:t xml:space="preserve">various settlement </w:t>
      </w:r>
      <w:r w:rsidR="00014596">
        <w:rPr>
          <w:rFonts w:ascii="Arial" w:hAnsi="Arial" w:cs="Arial"/>
        </w:rPr>
        <w:t>locations</w:t>
      </w:r>
      <w:r w:rsidR="00606DB9">
        <w:rPr>
          <w:rFonts w:ascii="Arial" w:hAnsi="Arial" w:cs="Arial"/>
        </w:rPr>
        <w:t xml:space="preserve"> enables scrutiny of densiti</w:t>
      </w:r>
      <w:r w:rsidR="006375B0">
        <w:rPr>
          <w:rFonts w:ascii="Arial" w:hAnsi="Arial" w:cs="Arial"/>
        </w:rPr>
        <w:t>e</w:t>
      </w:r>
      <w:r w:rsidR="00606DB9">
        <w:rPr>
          <w:rFonts w:ascii="Arial" w:hAnsi="Arial" w:cs="Arial"/>
        </w:rPr>
        <w:t>s within Chichester City</w:t>
      </w:r>
      <w:r w:rsidR="006375B0">
        <w:rPr>
          <w:rFonts w:ascii="Arial" w:hAnsi="Arial" w:cs="Arial"/>
        </w:rPr>
        <w:t xml:space="preserve">, </w:t>
      </w:r>
      <w:proofErr w:type="spellStart"/>
      <w:r w:rsidR="006375B0">
        <w:rPr>
          <w:rFonts w:ascii="Arial" w:hAnsi="Arial" w:cs="Arial"/>
        </w:rPr>
        <w:t>Selsey</w:t>
      </w:r>
      <w:proofErr w:type="spellEnd"/>
      <w:r w:rsidR="006375B0">
        <w:rPr>
          <w:rFonts w:ascii="Arial" w:hAnsi="Arial" w:cs="Arial"/>
        </w:rPr>
        <w:t xml:space="preserve"> Town and </w:t>
      </w:r>
      <w:r w:rsidR="002F7567">
        <w:rPr>
          <w:rFonts w:ascii="Arial" w:hAnsi="Arial" w:cs="Arial"/>
        </w:rPr>
        <w:t>other</w:t>
      </w:r>
      <w:r w:rsidR="006375B0">
        <w:rPr>
          <w:rFonts w:ascii="Arial" w:hAnsi="Arial" w:cs="Arial"/>
        </w:rPr>
        <w:t xml:space="preserve"> urban locations including those defined as settlement hubs and service villages within the Local Plan. Proximity and active travel time to train stations is considered a reasonable measure of accessibility to public transport, while </w:t>
      </w:r>
      <w:r w:rsidR="00987D78">
        <w:rPr>
          <w:rFonts w:ascii="Arial" w:hAnsi="Arial" w:cs="Arial"/>
        </w:rPr>
        <w:t xml:space="preserve">the </w:t>
      </w:r>
      <w:r w:rsidR="006375B0">
        <w:rPr>
          <w:rFonts w:ascii="Arial" w:hAnsi="Arial" w:cs="Arial"/>
        </w:rPr>
        <w:t>accessibilit</w:t>
      </w:r>
      <w:r w:rsidR="00987D78">
        <w:rPr>
          <w:rFonts w:ascii="Arial" w:hAnsi="Arial" w:cs="Arial"/>
        </w:rPr>
        <w:t>y of</w:t>
      </w:r>
      <w:r w:rsidR="006375B0">
        <w:rPr>
          <w:rFonts w:ascii="Arial" w:hAnsi="Arial" w:cs="Arial"/>
        </w:rPr>
        <w:t xml:space="preserve"> other services is indicated by</w:t>
      </w:r>
      <w:r w:rsidR="001D2854">
        <w:rPr>
          <w:rFonts w:ascii="Arial" w:hAnsi="Arial" w:cs="Arial"/>
        </w:rPr>
        <w:t xml:space="preserve"> proximity </w:t>
      </w:r>
      <w:r w:rsidR="002F7567">
        <w:rPr>
          <w:rFonts w:ascii="Arial" w:hAnsi="Arial" w:cs="Arial"/>
        </w:rPr>
        <w:t xml:space="preserve">and walking or cycling time from retail centres (as defined for Chichester, </w:t>
      </w:r>
      <w:proofErr w:type="spellStart"/>
      <w:r w:rsidR="002F7567">
        <w:rPr>
          <w:rFonts w:ascii="Arial" w:hAnsi="Arial" w:cs="Arial"/>
        </w:rPr>
        <w:t>Selsey</w:t>
      </w:r>
      <w:proofErr w:type="spellEnd"/>
      <w:r w:rsidR="002F7567">
        <w:rPr>
          <w:rFonts w:ascii="Arial" w:hAnsi="Arial" w:cs="Arial"/>
        </w:rPr>
        <w:t xml:space="preserve"> and East Wittering and Bracklesham). </w:t>
      </w:r>
      <w:r w:rsidR="00014596">
        <w:rPr>
          <w:rFonts w:ascii="Arial" w:hAnsi="Arial" w:cs="Arial"/>
        </w:rPr>
        <w:t>The parameters were selected in response to TCPA guidance</w:t>
      </w:r>
      <w:r w:rsidR="00014596">
        <w:rPr>
          <w:rStyle w:val="FootnoteReference"/>
          <w:rFonts w:ascii="Arial" w:hAnsi="Arial" w:cs="Arial"/>
        </w:rPr>
        <w:footnoteReference w:id="5"/>
      </w:r>
      <w:r w:rsidR="00014596">
        <w:rPr>
          <w:rFonts w:ascii="Arial" w:hAnsi="Arial" w:cs="Arial"/>
        </w:rPr>
        <w:t xml:space="preserve">, which recognises research indicating 20 mins is the maximum time that people are willing to walk to meet their daily needs, representing an </w:t>
      </w:r>
      <w:r w:rsidR="004D2F86">
        <w:rPr>
          <w:rFonts w:ascii="Arial" w:hAnsi="Arial" w:cs="Arial"/>
        </w:rPr>
        <w:t>800-metre</w:t>
      </w:r>
      <w:r w:rsidR="00014596">
        <w:rPr>
          <w:rFonts w:ascii="Arial" w:hAnsi="Arial" w:cs="Arial"/>
        </w:rPr>
        <w:t xml:space="preserve"> walk from home to a destination, and back again (400 metres or 10 mins each way).</w:t>
      </w:r>
    </w:p>
    <w:p w14:paraId="374F5653" w14:textId="6BEFE393" w:rsidR="005C042E" w:rsidRDefault="005C042E" w:rsidP="00EC0F33">
      <w:pPr>
        <w:pStyle w:val="Heading2"/>
      </w:pPr>
      <w:bookmarkStart w:id="8" w:name="_Toc163590711"/>
      <w:r>
        <w:t>Stage 2: Existing Densities</w:t>
      </w:r>
      <w:bookmarkEnd w:id="8"/>
    </w:p>
    <w:p w14:paraId="5E373051" w14:textId="77777777" w:rsidR="00EC0F33" w:rsidRPr="00EC0F33" w:rsidRDefault="00EC0F33" w:rsidP="00EC0F33"/>
    <w:p w14:paraId="0244A369" w14:textId="106E3BC2" w:rsidR="002F751D" w:rsidRDefault="000E5B5E" w:rsidP="008B7743">
      <w:pPr>
        <w:jc w:val="both"/>
        <w:rPr>
          <w:rFonts w:ascii="Arial" w:hAnsi="Arial" w:cs="Arial"/>
        </w:rPr>
      </w:pPr>
      <w:r>
        <w:rPr>
          <w:rFonts w:ascii="Arial" w:hAnsi="Arial" w:cs="Arial"/>
        </w:rPr>
        <w:t>5.</w:t>
      </w:r>
      <w:r w:rsidR="005C042E">
        <w:rPr>
          <w:rFonts w:ascii="Arial" w:hAnsi="Arial" w:cs="Arial"/>
        </w:rPr>
        <w:t>9</w:t>
      </w:r>
      <w:r>
        <w:rPr>
          <w:rFonts w:ascii="Arial" w:hAnsi="Arial" w:cs="Arial"/>
        </w:rPr>
        <w:tab/>
      </w:r>
      <w:r w:rsidR="008B7743">
        <w:rPr>
          <w:rFonts w:ascii="Arial" w:hAnsi="Arial" w:cs="Arial"/>
        </w:rPr>
        <w:t>Th</w:t>
      </w:r>
      <w:r w:rsidR="00111747" w:rsidRPr="008B7743">
        <w:rPr>
          <w:rFonts w:ascii="Arial" w:hAnsi="Arial" w:cs="Arial"/>
        </w:rPr>
        <w:t xml:space="preserve">e second stage of the study was to </w:t>
      </w:r>
      <w:r w:rsidR="008A1DF5" w:rsidRPr="008B7743">
        <w:rPr>
          <w:rFonts w:ascii="Arial" w:hAnsi="Arial" w:cs="Arial"/>
        </w:rPr>
        <w:t>determine the average density of residential</w:t>
      </w:r>
      <w:r w:rsidR="00EB40ED" w:rsidRPr="008B7743">
        <w:rPr>
          <w:rFonts w:ascii="Arial" w:hAnsi="Arial" w:cs="Arial"/>
        </w:rPr>
        <w:t xml:space="preserve"> </w:t>
      </w:r>
      <w:r w:rsidR="008A1DF5" w:rsidRPr="008B7743">
        <w:rPr>
          <w:rFonts w:ascii="Arial" w:hAnsi="Arial" w:cs="Arial"/>
        </w:rPr>
        <w:t xml:space="preserve">development within </w:t>
      </w:r>
      <w:r w:rsidR="00111747" w:rsidRPr="008B7743">
        <w:rPr>
          <w:rFonts w:ascii="Arial" w:hAnsi="Arial" w:cs="Arial"/>
        </w:rPr>
        <w:t xml:space="preserve">towns and cities </w:t>
      </w:r>
      <w:r w:rsidR="001E378F">
        <w:rPr>
          <w:rFonts w:ascii="Arial" w:hAnsi="Arial" w:cs="Arial"/>
        </w:rPr>
        <w:t>in</w:t>
      </w:r>
      <w:r w:rsidR="00111747" w:rsidRPr="008B7743">
        <w:rPr>
          <w:rFonts w:ascii="Arial" w:hAnsi="Arial" w:cs="Arial"/>
        </w:rPr>
        <w:t xml:space="preserve"> the Plan Area, as well as other locations </w:t>
      </w:r>
      <w:r w:rsidR="008B7743">
        <w:rPr>
          <w:rFonts w:ascii="Arial" w:hAnsi="Arial" w:cs="Arial"/>
        </w:rPr>
        <w:t xml:space="preserve">considered </w:t>
      </w:r>
      <w:r w:rsidR="00111747" w:rsidRPr="008B7743">
        <w:rPr>
          <w:rFonts w:ascii="Arial" w:hAnsi="Arial" w:cs="Arial"/>
        </w:rPr>
        <w:t>well served by public transport</w:t>
      </w:r>
      <w:r w:rsidR="00DA3B86">
        <w:rPr>
          <w:rFonts w:ascii="Arial" w:hAnsi="Arial" w:cs="Arial"/>
        </w:rPr>
        <w:t xml:space="preserve">. </w:t>
      </w:r>
      <w:r w:rsidR="008F24A7">
        <w:rPr>
          <w:rFonts w:ascii="Arial" w:hAnsi="Arial" w:cs="Arial"/>
        </w:rPr>
        <w:t xml:space="preserve">This was to ensure that the scope to raise densities within sustainable locations was properly considered, as reflected in both the submission Local Plan and national policy. </w:t>
      </w:r>
      <w:r w:rsidR="00111747" w:rsidRPr="008B7743">
        <w:rPr>
          <w:rFonts w:ascii="Arial" w:hAnsi="Arial" w:cs="Arial"/>
        </w:rPr>
        <w:t xml:space="preserve">For </w:t>
      </w:r>
      <w:r w:rsidR="00AC518E">
        <w:rPr>
          <w:rFonts w:ascii="Arial" w:hAnsi="Arial" w:cs="Arial"/>
        </w:rPr>
        <w:t xml:space="preserve">the </w:t>
      </w:r>
      <w:r w:rsidR="00FF37D8">
        <w:rPr>
          <w:rFonts w:ascii="Arial" w:hAnsi="Arial" w:cs="Arial"/>
        </w:rPr>
        <w:t>Plan Area</w:t>
      </w:r>
      <w:r w:rsidR="00AC518E">
        <w:rPr>
          <w:rFonts w:ascii="Arial" w:hAnsi="Arial" w:cs="Arial"/>
        </w:rPr>
        <w:t>, the presumption would be for the study to</w:t>
      </w:r>
      <w:r w:rsidR="00111747" w:rsidRPr="008B7743">
        <w:rPr>
          <w:rFonts w:ascii="Arial" w:hAnsi="Arial" w:cs="Arial"/>
        </w:rPr>
        <w:t xml:space="preserve"> encompass Chichester City, and the towns of </w:t>
      </w:r>
      <w:proofErr w:type="spellStart"/>
      <w:r w:rsidR="00111747" w:rsidRPr="008B7743">
        <w:rPr>
          <w:rFonts w:ascii="Arial" w:hAnsi="Arial" w:cs="Arial"/>
        </w:rPr>
        <w:t>Selsey</w:t>
      </w:r>
      <w:proofErr w:type="spellEnd"/>
      <w:r w:rsidR="00111747" w:rsidRPr="008B7743">
        <w:rPr>
          <w:rFonts w:ascii="Arial" w:hAnsi="Arial" w:cs="Arial"/>
        </w:rPr>
        <w:t xml:space="preserve"> and East Wittering.</w:t>
      </w:r>
      <w:r w:rsidR="00AC518E">
        <w:rPr>
          <w:rFonts w:ascii="Arial" w:hAnsi="Arial" w:cs="Arial"/>
        </w:rPr>
        <w:t xml:space="preserve"> As described within the local spatial profile, the significant constraints affecting development within the Manhood Peninsula were considered to provide strong justification to exclude </w:t>
      </w:r>
      <w:proofErr w:type="spellStart"/>
      <w:r w:rsidR="00AC518E">
        <w:rPr>
          <w:rFonts w:ascii="Arial" w:hAnsi="Arial" w:cs="Arial"/>
        </w:rPr>
        <w:t>Selsey</w:t>
      </w:r>
      <w:proofErr w:type="spellEnd"/>
      <w:r w:rsidR="00AC518E">
        <w:rPr>
          <w:rFonts w:ascii="Arial" w:hAnsi="Arial" w:cs="Arial"/>
        </w:rPr>
        <w:t xml:space="preserve"> and East Wittering from this stage of the study. This approach is supported by the findings of the Sustainability Assessment</w:t>
      </w:r>
      <w:r w:rsidR="002F751D">
        <w:rPr>
          <w:rFonts w:ascii="Arial" w:hAnsi="Arial" w:cs="Arial"/>
        </w:rPr>
        <w:t xml:space="preserve"> (SA)</w:t>
      </w:r>
      <w:r w:rsidR="00AC518E">
        <w:rPr>
          <w:rFonts w:ascii="Arial" w:hAnsi="Arial" w:cs="Arial"/>
        </w:rPr>
        <w:t xml:space="preserve">, which recognises that flood risk </w:t>
      </w:r>
      <w:r w:rsidR="002F751D">
        <w:rPr>
          <w:rFonts w:ascii="Arial" w:hAnsi="Arial" w:cs="Arial"/>
        </w:rPr>
        <w:t xml:space="preserve">means that options for further growth in these locations are very limited, and that </w:t>
      </w:r>
      <w:r w:rsidR="00AC518E">
        <w:rPr>
          <w:rFonts w:ascii="Arial" w:hAnsi="Arial" w:cs="Arial"/>
        </w:rPr>
        <w:t>tidal flood risk</w:t>
      </w:r>
      <w:r w:rsidR="002F751D">
        <w:rPr>
          <w:rFonts w:ascii="Arial" w:hAnsi="Arial" w:cs="Arial"/>
        </w:rPr>
        <w:t xml:space="preserve"> in particular</w:t>
      </w:r>
      <w:r w:rsidR="00AC518E">
        <w:rPr>
          <w:rFonts w:ascii="Arial" w:hAnsi="Arial" w:cs="Arial"/>
        </w:rPr>
        <w:t xml:space="preserve"> has a significant bearing on the consideration of reasonable growth scenarios.</w:t>
      </w:r>
      <w:r w:rsidR="002F751D">
        <w:rPr>
          <w:rFonts w:ascii="Arial" w:hAnsi="Arial" w:cs="Arial"/>
        </w:rPr>
        <w:t xml:space="preserve"> It also notes traffic congestion as an accessibility issue in terms of private car travel and bus connectivity.</w:t>
      </w:r>
    </w:p>
    <w:p w14:paraId="014FE836" w14:textId="0F337A6A" w:rsidR="008A1DF5" w:rsidRPr="008B7743" w:rsidRDefault="000E5B5E" w:rsidP="008B7743">
      <w:pPr>
        <w:jc w:val="both"/>
        <w:rPr>
          <w:rFonts w:ascii="Arial" w:hAnsi="Arial" w:cs="Arial"/>
        </w:rPr>
      </w:pPr>
      <w:r>
        <w:rPr>
          <w:rFonts w:ascii="Arial" w:hAnsi="Arial" w:cs="Arial"/>
        </w:rPr>
        <w:t>5.</w:t>
      </w:r>
      <w:r w:rsidR="005C042E">
        <w:rPr>
          <w:rFonts w:ascii="Arial" w:hAnsi="Arial" w:cs="Arial"/>
        </w:rPr>
        <w:t>10</w:t>
      </w:r>
      <w:r>
        <w:rPr>
          <w:rFonts w:ascii="Arial" w:hAnsi="Arial" w:cs="Arial"/>
        </w:rPr>
        <w:tab/>
      </w:r>
      <w:r w:rsidR="009F6990">
        <w:rPr>
          <w:rFonts w:ascii="Arial" w:hAnsi="Arial" w:cs="Arial"/>
        </w:rPr>
        <w:t>L</w:t>
      </w:r>
      <w:r w:rsidR="008A1DF5" w:rsidRPr="008B7743">
        <w:rPr>
          <w:rFonts w:ascii="Arial" w:hAnsi="Arial" w:cs="Arial"/>
        </w:rPr>
        <w:t>ocations considered well served by public transport were identified as those with a train station,</w:t>
      </w:r>
      <w:r w:rsidR="009F6990">
        <w:rPr>
          <w:rFonts w:ascii="Arial" w:hAnsi="Arial" w:cs="Arial"/>
        </w:rPr>
        <w:t xml:space="preserve"> comprising</w:t>
      </w:r>
      <w:r w:rsidR="008A1DF5" w:rsidRPr="008B7743">
        <w:rPr>
          <w:rFonts w:ascii="Arial" w:hAnsi="Arial" w:cs="Arial"/>
        </w:rPr>
        <w:t xml:space="preserve"> Chichester</w:t>
      </w:r>
      <w:r w:rsidR="002F751D">
        <w:rPr>
          <w:rFonts w:ascii="Arial" w:hAnsi="Arial" w:cs="Arial"/>
        </w:rPr>
        <w:t xml:space="preserve"> city</w:t>
      </w:r>
      <w:r w:rsidR="008A1DF5" w:rsidRPr="008B7743">
        <w:rPr>
          <w:rFonts w:ascii="Arial" w:hAnsi="Arial" w:cs="Arial"/>
        </w:rPr>
        <w:t xml:space="preserve">, Southbourne, Fishbourne, </w:t>
      </w:r>
      <w:r w:rsidR="002F751D">
        <w:rPr>
          <w:rFonts w:ascii="Arial" w:hAnsi="Arial" w:cs="Arial"/>
        </w:rPr>
        <w:t>Chidham and Hambrook</w:t>
      </w:r>
      <w:r w:rsidR="00014596">
        <w:rPr>
          <w:rFonts w:ascii="Arial" w:hAnsi="Arial" w:cs="Arial"/>
        </w:rPr>
        <w:t xml:space="preserve"> (Nutbourne)</w:t>
      </w:r>
      <w:r w:rsidR="008A1DF5" w:rsidRPr="008B7743">
        <w:rPr>
          <w:rFonts w:ascii="Arial" w:hAnsi="Arial" w:cs="Arial"/>
        </w:rPr>
        <w:t xml:space="preserve"> and Bosham (Broadbridge). </w:t>
      </w:r>
      <w:r w:rsidR="002F751D">
        <w:rPr>
          <w:rFonts w:ascii="Arial" w:hAnsi="Arial" w:cs="Arial"/>
        </w:rPr>
        <w:t>The inclusion of these locations is justified by the SA which supports growth within easy walking distances of some or all stations locat</w:t>
      </w:r>
      <w:r w:rsidR="00655576">
        <w:rPr>
          <w:rFonts w:ascii="Arial" w:hAnsi="Arial" w:cs="Arial"/>
        </w:rPr>
        <w:t>ed</w:t>
      </w:r>
      <w:r w:rsidR="002F751D">
        <w:rPr>
          <w:rFonts w:ascii="Arial" w:hAnsi="Arial" w:cs="Arial"/>
        </w:rPr>
        <w:t xml:space="preserve"> along the A259 corr</w:t>
      </w:r>
      <w:r w:rsidR="00655576">
        <w:rPr>
          <w:rFonts w:ascii="Arial" w:hAnsi="Arial" w:cs="Arial"/>
        </w:rPr>
        <w:t xml:space="preserve">idor. Of these settlements, Southbourne is noted to be higher order, and to also have the benefit of good connectivity to Havant and Portsmouth. Fishbourne is also considered to benefit from proximity to Chichester. </w:t>
      </w:r>
    </w:p>
    <w:p w14:paraId="5D9829F4" w14:textId="4C2E373F" w:rsidR="001E378F" w:rsidRDefault="000E5B5E" w:rsidP="008A1DF5">
      <w:pPr>
        <w:jc w:val="both"/>
        <w:rPr>
          <w:rFonts w:ascii="Arial" w:hAnsi="Arial" w:cs="Arial"/>
        </w:rPr>
      </w:pPr>
      <w:r>
        <w:rPr>
          <w:rFonts w:ascii="Arial" w:hAnsi="Arial" w:cs="Arial"/>
        </w:rPr>
        <w:t>5.</w:t>
      </w:r>
      <w:r w:rsidR="005C042E">
        <w:rPr>
          <w:rFonts w:ascii="Arial" w:hAnsi="Arial" w:cs="Arial"/>
        </w:rPr>
        <w:t>11</w:t>
      </w:r>
      <w:r>
        <w:rPr>
          <w:rFonts w:ascii="Arial" w:hAnsi="Arial" w:cs="Arial"/>
        </w:rPr>
        <w:tab/>
      </w:r>
      <w:r w:rsidR="008A1DF5">
        <w:rPr>
          <w:rFonts w:ascii="Arial" w:hAnsi="Arial" w:cs="Arial"/>
        </w:rPr>
        <w:t>While not considered to be well-served by public transport</w:t>
      </w:r>
      <w:r w:rsidR="00EB40ED">
        <w:rPr>
          <w:rFonts w:ascii="Arial" w:hAnsi="Arial" w:cs="Arial"/>
        </w:rPr>
        <w:t xml:space="preserve"> as lack</w:t>
      </w:r>
      <w:r w:rsidR="00B10894">
        <w:rPr>
          <w:rFonts w:ascii="Arial" w:hAnsi="Arial" w:cs="Arial"/>
        </w:rPr>
        <w:t>ing</w:t>
      </w:r>
      <w:r w:rsidR="00EB40ED">
        <w:rPr>
          <w:rFonts w:ascii="Arial" w:hAnsi="Arial" w:cs="Arial"/>
        </w:rPr>
        <w:t xml:space="preserve"> </w:t>
      </w:r>
      <w:r w:rsidR="00655576">
        <w:rPr>
          <w:rFonts w:ascii="Arial" w:hAnsi="Arial" w:cs="Arial"/>
        </w:rPr>
        <w:t>their own</w:t>
      </w:r>
      <w:r w:rsidR="00EB40ED">
        <w:rPr>
          <w:rFonts w:ascii="Arial" w:hAnsi="Arial" w:cs="Arial"/>
        </w:rPr>
        <w:t xml:space="preserve"> stations</w:t>
      </w:r>
      <w:r w:rsidR="008A1DF5">
        <w:rPr>
          <w:rFonts w:ascii="Arial" w:hAnsi="Arial" w:cs="Arial"/>
        </w:rPr>
        <w:t>, the settlements of Tangmere and Westhampnett</w:t>
      </w:r>
      <w:r w:rsidR="00EB40ED">
        <w:rPr>
          <w:rFonts w:ascii="Arial" w:hAnsi="Arial" w:cs="Arial"/>
        </w:rPr>
        <w:t xml:space="preserve"> were judged to have generally good transport accessibility, being close to junctions of the A27. In addition, </w:t>
      </w:r>
      <w:r w:rsidR="00635894">
        <w:rPr>
          <w:rFonts w:ascii="Arial" w:hAnsi="Arial" w:cs="Arial"/>
        </w:rPr>
        <w:t xml:space="preserve">the SA recognises </w:t>
      </w:r>
      <w:r w:rsidR="00EB40ED">
        <w:rPr>
          <w:rFonts w:ascii="Arial" w:hAnsi="Arial" w:cs="Arial"/>
        </w:rPr>
        <w:t>Westhampnett to be sufficiently close to Chichester city to benefit from its public transport and infrastructure.</w:t>
      </w:r>
      <w:r w:rsidR="00635894">
        <w:rPr>
          <w:rFonts w:ascii="Arial" w:hAnsi="Arial" w:cs="Arial"/>
        </w:rPr>
        <w:t xml:space="preserve"> Connectively to Chichester was also noted to include a good quality cycle route.</w:t>
      </w:r>
      <w:r w:rsidR="00EB40ED">
        <w:rPr>
          <w:rFonts w:ascii="Arial" w:hAnsi="Arial" w:cs="Arial"/>
        </w:rPr>
        <w:t xml:space="preserve"> </w:t>
      </w:r>
      <w:r w:rsidR="00822C25">
        <w:rPr>
          <w:rFonts w:ascii="Arial" w:hAnsi="Arial" w:cs="Arial"/>
        </w:rPr>
        <w:t>The potential</w:t>
      </w:r>
      <w:r w:rsidR="00253D53">
        <w:rPr>
          <w:rFonts w:ascii="Arial" w:hAnsi="Arial" w:cs="Arial"/>
        </w:rPr>
        <w:t xml:space="preserve"> of Tangmere in terms of service accessibility recognised commitment to the delivery of significant new community infrastructure associated with its development as a strategic urban extension</w:t>
      </w:r>
      <w:r w:rsidR="00635894">
        <w:rPr>
          <w:rFonts w:ascii="Arial" w:hAnsi="Arial" w:cs="Arial"/>
        </w:rPr>
        <w:t>, minimising the need to travel from this higher order settlement</w:t>
      </w:r>
      <w:r w:rsidR="00253D53">
        <w:rPr>
          <w:rFonts w:ascii="Arial" w:hAnsi="Arial" w:cs="Arial"/>
        </w:rPr>
        <w:t>.</w:t>
      </w:r>
      <w:r w:rsidR="00635894">
        <w:rPr>
          <w:rFonts w:ascii="Arial" w:hAnsi="Arial" w:cs="Arial"/>
        </w:rPr>
        <w:t xml:space="preserve"> On this basis, the</w:t>
      </w:r>
      <w:r w:rsidR="00253D53">
        <w:rPr>
          <w:rFonts w:ascii="Arial" w:hAnsi="Arial" w:cs="Arial"/>
        </w:rPr>
        <w:t xml:space="preserve"> </w:t>
      </w:r>
      <w:r w:rsidR="00822C25">
        <w:rPr>
          <w:rFonts w:ascii="Arial" w:hAnsi="Arial" w:cs="Arial"/>
        </w:rPr>
        <w:t xml:space="preserve">potential </w:t>
      </w:r>
      <w:r w:rsidR="00635894">
        <w:rPr>
          <w:rFonts w:ascii="Arial" w:hAnsi="Arial" w:cs="Arial"/>
        </w:rPr>
        <w:t xml:space="preserve">options </w:t>
      </w:r>
      <w:r w:rsidR="00253D53">
        <w:rPr>
          <w:rFonts w:ascii="Arial" w:hAnsi="Arial" w:cs="Arial"/>
        </w:rPr>
        <w:t xml:space="preserve">for densification </w:t>
      </w:r>
      <w:r w:rsidR="00822C25">
        <w:rPr>
          <w:rFonts w:ascii="Arial" w:hAnsi="Arial" w:cs="Arial"/>
        </w:rPr>
        <w:t xml:space="preserve">of these locations </w:t>
      </w:r>
      <w:r w:rsidR="00624681">
        <w:rPr>
          <w:rFonts w:ascii="Arial" w:hAnsi="Arial" w:cs="Arial"/>
        </w:rPr>
        <w:t>have</w:t>
      </w:r>
      <w:r w:rsidR="00822C25">
        <w:rPr>
          <w:rFonts w:ascii="Arial" w:hAnsi="Arial" w:cs="Arial"/>
        </w:rPr>
        <w:t xml:space="preserve"> also been explored</w:t>
      </w:r>
      <w:r w:rsidR="001374BA">
        <w:rPr>
          <w:rFonts w:ascii="Arial" w:hAnsi="Arial" w:cs="Arial"/>
        </w:rPr>
        <w:t>.</w:t>
      </w:r>
      <w:r w:rsidR="00822C25">
        <w:rPr>
          <w:rFonts w:ascii="Arial" w:hAnsi="Arial" w:cs="Arial"/>
        </w:rPr>
        <w:t xml:space="preserve"> </w:t>
      </w:r>
    </w:p>
    <w:p w14:paraId="74E15A85" w14:textId="78C6FDC7" w:rsidR="00712D8D" w:rsidRDefault="000E5B5E" w:rsidP="008A1DF5">
      <w:pPr>
        <w:jc w:val="both"/>
        <w:rPr>
          <w:rFonts w:ascii="Arial" w:hAnsi="Arial" w:cs="Arial"/>
        </w:rPr>
      </w:pPr>
      <w:r>
        <w:rPr>
          <w:rFonts w:ascii="Arial" w:hAnsi="Arial" w:cs="Arial"/>
        </w:rPr>
        <w:lastRenderedPageBreak/>
        <w:t>5.</w:t>
      </w:r>
      <w:r w:rsidR="005C042E">
        <w:rPr>
          <w:rFonts w:ascii="Arial" w:hAnsi="Arial" w:cs="Arial"/>
        </w:rPr>
        <w:t>12</w:t>
      </w:r>
      <w:r w:rsidR="001E378F">
        <w:rPr>
          <w:rFonts w:ascii="Arial" w:hAnsi="Arial" w:cs="Arial"/>
        </w:rPr>
        <w:tab/>
      </w:r>
      <w:bookmarkStart w:id="9" w:name="_Hlk158653346"/>
      <w:r w:rsidR="001E378F">
        <w:rPr>
          <w:rFonts w:ascii="Arial" w:hAnsi="Arial" w:cs="Arial"/>
        </w:rPr>
        <w:t xml:space="preserve">Existing densities were determined via GIS analysis of the built environment within settlement boundaries, as well as within polygons drawn to represent areas within </w:t>
      </w:r>
      <w:r w:rsidR="00537B52">
        <w:rPr>
          <w:rFonts w:ascii="Arial" w:hAnsi="Arial" w:cs="Arial"/>
        </w:rPr>
        <w:t>5- and 10-minutes</w:t>
      </w:r>
      <w:r w:rsidR="001E378F">
        <w:rPr>
          <w:rFonts w:ascii="Arial" w:hAnsi="Arial" w:cs="Arial"/>
        </w:rPr>
        <w:t xml:space="preserve"> walking distance from train station and retail centres, as applicable</w:t>
      </w:r>
      <w:bookmarkEnd w:id="9"/>
      <w:r w:rsidR="001E378F">
        <w:rPr>
          <w:rFonts w:ascii="Arial" w:hAnsi="Arial" w:cs="Arial"/>
        </w:rPr>
        <w:t>.</w:t>
      </w:r>
      <w:r w:rsidR="00AA5201">
        <w:rPr>
          <w:rFonts w:ascii="Arial" w:hAnsi="Arial" w:cs="Arial"/>
        </w:rPr>
        <w:t xml:space="preserve"> </w:t>
      </w:r>
      <w:bookmarkStart w:id="10" w:name="_Hlk158653388"/>
      <w:r w:rsidR="00AA5201">
        <w:rPr>
          <w:rFonts w:ascii="Arial" w:hAnsi="Arial" w:cs="Arial"/>
        </w:rPr>
        <w:t>Density figures were calculated from the number of residential properties within the defined areas</w:t>
      </w:r>
      <w:bookmarkEnd w:id="10"/>
      <w:r w:rsidR="0080161E">
        <w:rPr>
          <w:rFonts w:ascii="Arial" w:hAnsi="Arial" w:cs="Arial"/>
        </w:rPr>
        <w:t xml:space="preserve"> with</w:t>
      </w:r>
      <w:r w:rsidR="00822C25">
        <w:rPr>
          <w:rFonts w:ascii="Arial" w:hAnsi="Arial" w:cs="Arial"/>
        </w:rPr>
        <w:t xml:space="preserve"> </w:t>
      </w:r>
      <w:r w:rsidR="0080161E">
        <w:rPr>
          <w:rFonts w:ascii="Arial" w:hAnsi="Arial" w:cs="Arial"/>
        </w:rPr>
        <w:t>n</w:t>
      </w:r>
      <w:r w:rsidR="00BF44C4">
        <w:rPr>
          <w:rFonts w:ascii="Arial" w:hAnsi="Arial" w:cs="Arial"/>
        </w:rPr>
        <w:t>on-residential properties excluded from the analysis on the basis of a property classification attribute from Ordnance Survey addressing data. Open routing and QGIS software w</w:t>
      </w:r>
      <w:r w:rsidR="00712D8D">
        <w:rPr>
          <w:rFonts w:ascii="Arial" w:hAnsi="Arial" w:cs="Arial"/>
        </w:rPr>
        <w:t>ere</w:t>
      </w:r>
      <w:r w:rsidR="00BF44C4">
        <w:rPr>
          <w:rFonts w:ascii="Arial" w:hAnsi="Arial" w:cs="Arial"/>
        </w:rPr>
        <w:t xml:space="preserve"> used to generate isochrones or distances contours, enabling the calculation of travel distances</w:t>
      </w:r>
      <w:r w:rsidR="0080161E">
        <w:rPr>
          <w:rFonts w:ascii="Arial" w:hAnsi="Arial" w:cs="Arial"/>
        </w:rPr>
        <w:t xml:space="preserve"> and times</w:t>
      </w:r>
      <w:r w:rsidR="00BF44C4">
        <w:rPr>
          <w:rFonts w:ascii="Arial" w:hAnsi="Arial" w:cs="Arial"/>
        </w:rPr>
        <w:t>.</w:t>
      </w:r>
      <w:r w:rsidR="00712D8D">
        <w:rPr>
          <w:rFonts w:ascii="Arial" w:hAnsi="Arial" w:cs="Arial"/>
        </w:rPr>
        <w:t xml:space="preserve"> </w:t>
      </w:r>
    </w:p>
    <w:p w14:paraId="7624FE1C" w14:textId="342F6B7F" w:rsidR="008A1DF5" w:rsidRDefault="005C042E" w:rsidP="008A1DF5">
      <w:pPr>
        <w:jc w:val="both"/>
        <w:rPr>
          <w:rFonts w:ascii="Arial" w:hAnsi="Arial" w:cs="Arial"/>
        </w:rPr>
      </w:pPr>
      <w:r>
        <w:rPr>
          <w:rFonts w:ascii="Arial" w:hAnsi="Arial" w:cs="Arial"/>
        </w:rPr>
        <w:t>5.13</w:t>
      </w:r>
      <w:r>
        <w:rPr>
          <w:rFonts w:ascii="Arial" w:hAnsi="Arial" w:cs="Arial"/>
        </w:rPr>
        <w:tab/>
      </w:r>
      <w:r w:rsidR="00712D8D">
        <w:rPr>
          <w:rFonts w:ascii="Arial" w:hAnsi="Arial" w:cs="Arial"/>
        </w:rPr>
        <w:t xml:space="preserve">The potential to understand existing residential densities by determining the height of residential developments was explored, which could have enabled comparison </w:t>
      </w:r>
      <w:r w:rsidR="0080161E">
        <w:rPr>
          <w:rFonts w:ascii="Arial" w:hAnsi="Arial" w:cs="Arial"/>
        </w:rPr>
        <w:t>with recent approved</w:t>
      </w:r>
      <w:r w:rsidR="00712D8D">
        <w:rPr>
          <w:rFonts w:ascii="Arial" w:hAnsi="Arial" w:cs="Arial"/>
        </w:rPr>
        <w:t xml:space="preserve"> development scales and forms. Information on building heights was not readily available </w:t>
      </w:r>
      <w:r w:rsidR="00415D7D">
        <w:rPr>
          <w:rFonts w:ascii="Arial" w:hAnsi="Arial" w:cs="Arial"/>
        </w:rPr>
        <w:t>however and</w:t>
      </w:r>
      <w:r w:rsidR="00712D8D">
        <w:rPr>
          <w:rFonts w:ascii="Arial" w:hAnsi="Arial" w:cs="Arial"/>
        </w:rPr>
        <w:t xml:space="preserve"> determined to be beyond the scope of this study. Th</w:t>
      </w:r>
      <w:r w:rsidR="0086642D">
        <w:rPr>
          <w:rFonts w:ascii="Arial" w:hAnsi="Arial" w:cs="Arial"/>
        </w:rPr>
        <w:t>ere</w:t>
      </w:r>
      <w:r w:rsidR="00712D8D">
        <w:rPr>
          <w:rFonts w:ascii="Arial" w:hAnsi="Arial" w:cs="Arial"/>
        </w:rPr>
        <w:t xml:space="preserve"> is potential for this to be explored in the future. This is considered further within the conclusions.</w:t>
      </w:r>
    </w:p>
    <w:p w14:paraId="59EA9C05" w14:textId="113F092B" w:rsidR="005C042E" w:rsidRDefault="005C042E" w:rsidP="005C042E">
      <w:pPr>
        <w:pStyle w:val="Heading2"/>
      </w:pPr>
      <w:bookmarkStart w:id="11" w:name="_Toc163590712"/>
      <w:r>
        <w:t>Stage 3: Case Studies</w:t>
      </w:r>
      <w:bookmarkEnd w:id="11"/>
    </w:p>
    <w:p w14:paraId="56E9A43A" w14:textId="77777777" w:rsidR="005C042E" w:rsidRDefault="005C042E" w:rsidP="008A1DF5">
      <w:pPr>
        <w:jc w:val="both"/>
        <w:rPr>
          <w:rFonts w:ascii="Arial" w:hAnsi="Arial" w:cs="Arial"/>
        </w:rPr>
      </w:pPr>
    </w:p>
    <w:p w14:paraId="2D206439" w14:textId="4D0F4B2C" w:rsidR="00896059" w:rsidRDefault="005C042E" w:rsidP="008A1DF5">
      <w:pPr>
        <w:jc w:val="both"/>
        <w:rPr>
          <w:rFonts w:ascii="Arial" w:hAnsi="Arial" w:cs="Arial"/>
        </w:rPr>
      </w:pPr>
      <w:r>
        <w:rPr>
          <w:rFonts w:ascii="Arial" w:hAnsi="Arial" w:cs="Arial"/>
        </w:rPr>
        <w:t>5.14</w:t>
      </w:r>
      <w:r>
        <w:rPr>
          <w:rFonts w:ascii="Arial" w:hAnsi="Arial" w:cs="Arial"/>
        </w:rPr>
        <w:tab/>
      </w:r>
      <w:r w:rsidR="00F34714">
        <w:rPr>
          <w:rFonts w:ascii="Arial" w:hAnsi="Arial" w:cs="Arial"/>
        </w:rPr>
        <w:t>The objectives of the third</w:t>
      </w:r>
      <w:r w:rsidR="0086642D">
        <w:rPr>
          <w:rFonts w:ascii="Arial" w:hAnsi="Arial" w:cs="Arial"/>
        </w:rPr>
        <w:t>,</w:t>
      </w:r>
      <w:r w:rsidR="00F34714">
        <w:rPr>
          <w:rFonts w:ascii="Arial" w:hAnsi="Arial" w:cs="Arial"/>
        </w:rPr>
        <w:t xml:space="preserve"> </w:t>
      </w:r>
      <w:r w:rsidR="0080161E">
        <w:rPr>
          <w:rFonts w:ascii="Arial" w:hAnsi="Arial" w:cs="Arial"/>
        </w:rPr>
        <w:t xml:space="preserve">case study </w:t>
      </w:r>
      <w:r w:rsidR="00F34714">
        <w:rPr>
          <w:rFonts w:ascii="Arial" w:hAnsi="Arial" w:cs="Arial"/>
        </w:rPr>
        <w:t>stage</w:t>
      </w:r>
      <w:r w:rsidR="0086642D">
        <w:rPr>
          <w:rFonts w:ascii="Arial" w:hAnsi="Arial" w:cs="Arial"/>
        </w:rPr>
        <w:t>,</w:t>
      </w:r>
      <w:r w:rsidR="00F34714">
        <w:rPr>
          <w:rFonts w:ascii="Arial" w:hAnsi="Arial" w:cs="Arial"/>
        </w:rPr>
        <w:t xml:space="preserve"> </w:t>
      </w:r>
      <w:r w:rsidR="00712D8D">
        <w:rPr>
          <w:rFonts w:ascii="Arial" w:hAnsi="Arial" w:cs="Arial"/>
        </w:rPr>
        <w:t>are</w:t>
      </w:r>
      <w:r w:rsidR="00F34714">
        <w:rPr>
          <w:rFonts w:ascii="Arial" w:hAnsi="Arial" w:cs="Arial"/>
        </w:rPr>
        <w:t xml:space="preserve"> two-fold; first, to verify the density figures calculated within the first stage of the study</w:t>
      </w:r>
      <w:r w:rsidR="0080161E">
        <w:rPr>
          <w:rFonts w:ascii="Arial" w:hAnsi="Arial" w:cs="Arial"/>
        </w:rPr>
        <w:t xml:space="preserve"> for approved development</w:t>
      </w:r>
      <w:r w:rsidR="00F34714">
        <w:rPr>
          <w:rFonts w:ascii="Arial" w:hAnsi="Arial" w:cs="Arial"/>
        </w:rPr>
        <w:t>, and second, to gain</w:t>
      </w:r>
      <w:r w:rsidR="006F37DA">
        <w:rPr>
          <w:rFonts w:ascii="Arial" w:hAnsi="Arial" w:cs="Arial"/>
        </w:rPr>
        <w:t xml:space="preserve"> a</w:t>
      </w:r>
      <w:r w:rsidR="00F34714">
        <w:rPr>
          <w:rFonts w:ascii="Arial" w:hAnsi="Arial" w:cs="Arial"/>
        </w:rPr>
        <w:t xml:space="preserve"> more in-depth</w:t>
      </w:r>
      <w:r w:rsidR="006F37DA">
        <w:rPr>
          <w:rFonts w:ascii="Arial" w:hAnsi="Arial" w:cs="Arial"/>
        </w:rPr>
        <w:t xml:space="preserve">, wide-ranging </w:t>
      </w:r>
      <w:r w:rsidR="00F34714">
        <w:rPr>
          <w:rFonts w:ascii="Arial" w:hAnsi="Arial" w:cs="Arial"/>
        </w:rPr>
        <w:t xml:space="preserve">insight </w:t>
      </w:r>
      <w:r w:rsidR="006F37DA">
        <w:rPr>
          <w:rFonts w:ascii="Arial" w:hAnsi="Arial" w:cs="Arial"/>
        </w:rPr>
        <w:t>in</w:t>
      </w:r>
      <w:r w:rsidR="00F34714">
        <w:rPr>
          <w:rFonts w:ascii="Arial" w:hAnsi="Arial" w:cs="Arial"/>
        </w:rPr>
        <w:t>to site-specific constraints</w:t>
      </w:r>
      <w:r w:rsidR="00512A70">
        <w:rPr>
          <w:rFonts w:ascii="Arial" w:hAnsi="Arial" w:cs="Arial"/>
        </w:rPr>
        <w:t xml:space="preserve"> and considerations</w:t>
      </w:r>
      <w:r w:rsidR="00F34714">
        <w:rPr>
          <w:rFonts w:ascii="Arial" w:hAnsi="Arial" w:cs="Arial"/>
        </w:rPr>
        <w:t xml:space="preserve"> impacting development densities</w:t>
      </w:r>
      <w:r w:rsidR="00512A70">
        <w:rPr>
          <w:rFonts w:ascii="Arial" w:hAnsi="Arial" w:cs="Arial"/>
        </w:rPr>
        <w:t>. This is a more qualitative process, drawing on a range of documents submitted and produced as part of the process of the</w:t>
      </w:r>
      <w:r w:rsidR="00F34714">
        <w:rPr>
          <w:rFonts w:ascii="Arial" w:hAnsi="Arial" w:cs="Arial"/>
        </w:rPr>
        <w:t xml:space="preserve"> determination of </w:t>
      </w:r>
      <w:r w:rsidR="00512A70">
        <w:rPr>
          <w:rFonts w:ascii="Arial" w:hAnsi="Arial" w:cs="Arial"/>
        </w:rPr>
        <w:t xml:space="preserve">planning </w:t>
      </w:r>
      <w:r w:rsidR="00F34714">
        <w:rPr>
          <w:rFonts w:ascii="Arial" w:hAnsi="Arial" w:cs="Arial"/>
        </w:rPr>
        <w:t xml:space="preserve">applications. </w:t>
      </w:r>
      <w:r w:rsidR="004F3949">
        <w:rPr>
          <w:rFonts w:ascii="Arial" w:hAnsi="Arial" w:cs="Arial"/>
        </w:rPr>
        <w:t>The case studies selected</w:t>
      </w:r>
      <w:r w:rsidR="00896059">
        <w:rPr>
          <w:rFonts w:ascii="Arial" w:hAnsi="Arial" w:cs="Arial"/>
        </w:rPr>
        <w:t xml:space="preserve"> were predominantly</w:t>
      </w:r>
      <w:r w:rsidR="004F3949">
        <w:rPr>
          <w:rFonts w:ascii="Arial" w:hAnsi="Arial" w:cs="Arial"/>
        </w:rPr>
        <w:t xml:space="preserve"> from those development</w:t>
      </w:r>
      <w:r w:rsidR="0080161E">
        <w:rPr>
          <w:rFonts w:ascii="Arial" w:hAnsi="Arial" w:cs="Arial"/>
        </w:rPr>
        <w:t>s</w:t>
      </w:r>
      <w:r w:rsidR="004F3949">
        <w:rPr>
          <w:rFonts w:ascii="Arial" w:hAnsi="Arial" w:cs="Arial"/>
        </w:rPr>
        <w:t xml:space="preserve"> permitted in Chichester parish, recognising the general sustainability and accessibility of the location. </w:t>
      </w:r>
      <w:r w:rsidR="00896059">
        <w:rPr>
          <w:rFonts w:ascii="Arial" w:hAnsi="Arial" w:cs="Arial"/>
        </w:rPr>
        <w:t xml:space="preserve">A recent development within Southbourne was also studied, recognising need to appreciate density considerations in this </w:t>
      </w:r>
      <w:r w:rsidR="00415D7D">
        <w:rPr>
          <w:rFonts w:ascii="Arial" w:hAnsi="Arial" w:cs="Arial"/>
        </w:rPr>
        <w:t xml:space="preserve">higher order </w:t>
      </w:r>
      <w:r w:rsidR="00722517">
        <w:rPr>
          <w:rFonts w:ascii="Arial" w:hAnsi="Arial" w:cs="Arial"/>
        </w:rPr>
        <w:t xml:space="preserve">sustainable </w:t>
      </w:r>
      <w:r w:rsidR="00896059">
        <w:rPr>
          <w:rFonts w:ascii="Arial" w:hAnsi="Arial" w:cs="Arial"/>
        </w:rPr>
        <w:t>location to inform future allocations and proposals within the Broad Location for Development (BLD). A total of seven</w:t>
      </w:r>
      <w:r w:rsidR="004F3949">
        <w:rPr>
          <w:rFonts w:ascii="Arial" w:hAnsi="Arial" w:cs="Arial"/>
        </w:rPr>
        <w:t xml:space="preserve"> developments were </w:t>
      </w:r>
      <w:r w:rsidR="0080161E">
        <w:rPr>
          <w:rFonts w:ascii="Arial" w:hAnsi="Arial" w:cs="Arial"/>
        </w:rPr>
        <w:t>chosen</w:t>
      </w:r>
      <w:r w:rsidR="004F3949">
        <w:rPr>
          <w:rFonts w:ascii="Arial" w:hAnsi="Arial" w:cs="Arial"/>
        </w:rPr>
        <w:t>, ranging from small to strategic in scale,</w:t>
      </w:r>
      <w:r w:rsidR="00B10604">
        <w:rPr>
          <w:rFonts w:ascii="Arial" w:hAnsi="Arial" w:cs="Arial"/>
        </w:rPr>
        <w:t xml:space="preserve"> </w:t>
      </w:r>
      <w:r w:rsidR="00273E27">
        <w:rPr>
          <w:rFonts w:ascii="Arial" w:hAnsi="Arial" w:cs="Arial"/>
        </w:rPr>
        <w:t xml:space="preserve">comprised of </w:t>
      </w:r>
      <w:r w:rsidR="00B10604">
        <w:rPr>
          <w:rFonts w:ascii="Arial" w:hAnsi="Arial" w:cs="Arial"/>
        </w:rPr>
        <w:t>varying housing mixes,</w:t>
      </w:r>
      <w:r w:rsidR="004F3949">
        <w:rPr>
          <w:rFonts w:ascii="Arial" w:hAnsi="Arial" w:cs="Arial"/>
        </w:rPr>
        <w:t xml:space="preserve"> and including greenfield </w:t>
      </w:r>
      <w:r w:rsidR="00537B52">
        <w:rPr>
          <w:rFonts w:ascii="Arial" w:hAnsi="Arial" w:cs="Arial"/>
        </w:rPr>
        <w:t>and brownfield</w:t>
      </w:r>
      <w:r w:rsidR="004F3949">
        <w:rPr>
          <w:rFonts w:ascii="Arial" w:hAnsi="Arial" w:cs="Arial"/>
        </w:rPr>
        <w:t xml:space="preserve"> sites</w:t>
      </w:r>
      <w:r w:rsidR="00896059">
        <w:rPr>
          <w:rFonts w:ascii="Arial" w:hAnsi="Arial" w:cs="Arial"/>
        </w:rPr>
        <w:t>, as well as different sites or phases within the same strategic development location to enable comparisons</w:t>
      </w:r>
      <w:r w:rsidR="004F3949">
        <w:rPr>
          <w:rFonts w:ascii="Arial" w:hAnsi="Arial" w:cs="Arial"/>
        </w:rPr>
        <w:t xml:space="preserve">. </w:t>
      </w:r>
    </w:p>
    <w:p w14:paraId="178C5B70" w14:textId="525C9174" w:rsidR="00F34714" w:rsidRDefault="00896059" w:rsidP="008A1DF5">
      <w:pPr>
        <w:jc w:val="both"/>
        <w:rPr>
          <w:rFonts w:ascii="Arial" w:hAnsi="Arial" w:cs="Arial"/>
        </w:rPr>
      </w:pPr>
      <w:r>
        <w:rPr>
          <w:rFonts w:ascii="Arial" w:hAnsi="Arial" w:cs="Arial"/>
        </w:rPr>
        <w:t>5.15</w:t>
      </w:r>
      <w:r>
        <w:rPr>
          <w:rFonts w:ascii="Arial" w:hAnsi="Arial" w:cs="Arial"/>
        </w:rPr>
        <w:tab/>
      </w:r>
      <w:r w:rsidR="004F3949">
        <w:rPr>
          <w:rFonts w:ascii="Arial" w:hAnsi="Arial" w:cs="Arial"/>
        </w:rPr>
        <w:t xml:space="preserve">Calculated </w:t>
      </w:r>
      <w:r w:rsidR="00B10604">
        <w:rPr>
          <w:rFonts w:ascii="Arial" w:hAnsi="Arial" w:cs="Arial"/>
        </w:rPr>
        <w:t xml:space="preserve">net </w:t>
      </w:r>
      <w:r w:rsidR="004F3949">
        <w:rPr>
          <w:rFonts w:ascii="Arial" w:hAnsi="Arial" w:cs="Arial"/>
        </w:rPr>
        <w:t xml:space="preserve">densities, varying from approx. 150 </w:t>
      </w:r>
      <w:proofErr w:type="spellStart"/>
      <w:r w:rsidR="004F3949">
        <w:rPr>
          <w:rFonts w:ascii="Arial" w:hAnsi="Arial" w:cs="Arial"/>
        </w:rPr>
        <w:t>dph</w:t>
      </w:r>
      <w:proofErr w:type="spellEnd"/>
      <w:r w:rsidR="004F3949">
        <w:rPr>
          <w:rFonts w:ascii="Arial" w:hAnsi="Arial" w:cs="Arial"/>
        </w:rPr>
        <w:t xml:space="preserve"> to </w:t>
      </w:r>
      <w:r w:rsidR="00B10604">
        <w:rPr>
          <w:rFonts w:ascii="Arial" w:hAnsi="Arial" w:cs="Arial"/>
        </w:rPr>
        <w:t>25</w:t>
      </w:r>
      <w:r w:rsidR="004F3949">
        <w:rPr>
          <w:rFonts w:ascii="Arial" w:hAnsi="Arial" w:cs="Arial"/>
        </w:rPr>
        <w:t>dph, were compared with developer-submitted</w:t>
      </w:r>
      <w:r w:rsidR="00B10604">
        <w:rPr>
          <w:rFonts w:ascii="Arial" w:hAnsi="Arial" w:cs="Arial"/>
        </w:rPr>
        <w:t xml:space="preserve"> and </w:t>
      </w:r>
      <w:r w:rsidR="0086642D">
        <w:rPr>
          <w:rFonts w:ascii="Arial" w:hAnsi="Arial" w:cs="Arial"/>
        </w:rPr>
        <w:t>o</w:t>
      </w:r>
      <w:r w:rsidR="004F3949">
        <w:rPr>
          <w:rFonts w:ascii="Arial" w:hAnsi="Arial" w:cs="Arial"/>
        </w:rPr>
        <w:t xml:space="preserve">fficer </w:t>
      </w:r>
      <w:r w:rsidR="00B10604">
        <w:rPr>
          <w:rFonts w:ascii="Arial" w:hAnsi="Arial" w:cs="Arial"/>
        </w:rPr>
        <w:t>cited figures</w:t>
      </w:r>
      <w:r w:rsidR="004F3949">
        <w:rPr>
          <w:rFonts w:ascii="Arial" w:hAnsi="Arial" w:cs="Arial"/>
        </w:rPr>
        <w:t xml:space="preserve">. </w:t>
      </w:r>
      <w:r w:rsidR="00B10604">
        <w:rPr>
          <w:rFonts w:ascii="Arial" w:hAnsi="Arial" w:cs="Arial"/>
        </w:rPr>
        <w:t>Furthermore, the approach of developers to density (where demonstrated within submitted design and access statements,</w:t>
      </w:r>
      <w:r w:rsidR="006C712D">
        <w:rPr>
          <w:rFonts w:ascii="Arial" w:hAnsi="Arial" w:cs="Arial"/>
        </w:rPr>
        <w:t xml:space="preserve"> </w:t>
      </w:r>
      <w:r w:rsidR="00B10604">
        <w:rPr>
          <w:rFonts w:ascii="Arial" w:hAnsi="Arial" w:cs="Arial"/>
        </w:rPr>
        <w:t>planning statements</w:t>
      </w:r>
      <w:r w:rsidR="006C712D">
        <w:rPr>
          <w:rFonts w:ascii="Arial" w:hAnsi="Arial" w:cs="Arial"/>
        </w:rPr>
        <w:t xml:space="preserve"> or similar</w:t>
      </w:r>
      <w:r w:rsidR="00B10604">
        <w:rPr>
          <w:rFonts w:ascii="Arial" w:hAnsi="Arial" w:cs="Arial"/>
        </w:rPr>
        <w:t xml:space="preserve">) as well as density consideration within decision-making (illustrated within officer reports) was </w:t>
      </w:r>
      <w:r w:rsidR="00273E27">
        <w:rPr>
          <w:rFonts w:ascii="Arial" w:hAnsi="Arial" w:cs="Arial"/>
        </w:rPr>
        <w:t>a</w:t>
      </w:r>
      <w:r w:rsidR="001A6B90">
        <w:rPr>
          <w:rFonts w:ascii="Arial" w:hAnsi="Arial" w:cs="Arial"/>
        </w:rPr>
        <w:t>ssessed</w:t>
      </w:r>
      <w:r w:rsidR="00273E27">
        <w:rPr>
          <w:rFonts w:ascii="Arial" w:hAnsi="Arial" w:cs="Arial"/>
        </w:rPr>
        <w:t>. This included the identification of particular constraints impacting density, such as prevailing character,</w:t>
      </w:r>
      <w:r w:rsidR="00722517">
        <w:rPr>
          <w:rFonts w:ascii="Arial" w:hAnsi="Arial" w:cs="Arial"/>
        </w:rPr>
        <w:t xml:space="preserve"> transport and service accessibility, landscape and open space provision requirements</w:t>
      </w:r>
      <w:r w:rsidR="001A6B90">
        <w:rPr>
          <w:rFonts w:ascii="Arial" w:hAnsi="Arial" w:cs="Arial"/>
        </w:rPr>
        <w:t>, and market drivers</w:t>
      </w:r>
      <w:r w:rsidR="00722517">
        <w:rPr>
          <w:rFonts w:ascii="Arial" w:hAnsi="Arial" w:cs="Arial"/>
        </w:rPr>
        <w:t>. Finally, residential amenity was scrutinised in detail, involving determination of whether permitted developments co</w:t>
      </w:r>
      <w:r w:rsidR="006C712D">
        <w:rPr>
          <w:rFonts w:ascii="Arial" w:hAnsi="Arial" w:cs="Arial"/>
        </w:rPr>
        <w:t>mplied</w:t>
      </w:r>
      <w:r w:rsidR="00722517">
        <w:rPr>
          <w:rFonts w:ascii="Arial" w:hAnsi="Arial" w:cs="Arial"/>
        </w:rPr>
        <w:t xml:space="preserve"> with Nationally Derived Space Standards (NDSS</w:t>
      </w:r>
      <w:r w:rsidR="00A36865">
        <w:rPr>
          <w:rFonts w:ascii="Arial" w:hAnsi="Arial" w:cs="Arial"/>
        </w:rPr>
        <w:t>)</w:t>
      </w:r>
      <w:r w:rsidR="0023041A">
        <w:rPr>
          <w:rFonts w:ascii="Arial" w:hAnsi="Arial" w:cs="Arial"/>
        </w:rPr>
        <w:t xml:space="preserve"> </w:t>
      </w:r>
      <w:r w:rsidR="006C712D">
        <w:rPr>
          <w:rFonts w:ascii="Arial" w:hAnsi="Arial" w:cs="Arial"/>
        </w:rPr>
        <w:t xml:space="preserve">as </w:t>
      </w:r>
      <w:r w:rsidR="0023041A">
        <w:rPr>
          <w:rFonts w:ascii="Arial" w:hAnsi="Arial" w:cs="Arial"/>
        </w:rPr>
        <w:t>well as consideration of noise, light and privacy impacts</w:t>
      </w:r>
      <w:r w:rsidR="00722517">
        <w:rPr>
          <w:rFonts w:ascii="Arial" w:hAnsi="Arial" w:cs="Arial"/>
        </w:rPr>
        <w:t xml:space="preserve">. </w:t>
      </w:r>
      <w:r w:rsidR="001A6B90">
        <w:rPr>
          <w:rFonts w:ascii="Arial" w:hAnsi="Arial" w:cs="Arial"/>
        </w:rPr>
        <w:t xml:space="preserve">The dimensions of </w:t>
      </w:r>
      <w:r w:rsidR="00537B52">
        <w:rPr>
          <w:rFonts w:ascii="Arial" w:hAnsi="Arial" w:cs="Arial"/>
        </w:rPr>
        <w:t>2-bedroom</w:t>
      </w:r>
      <w:r w:rsidR="00722517">
        <w:rPr>
          <w:rFonts w:ascii="Arial" w:hAnsi="Arial" w:cs="Arial"/>
        </w:rPr>
        <w:t xml:space="preserve"> flat</w:t>
      </w:r>
      <w:r w:rsidR="001A6B90">
        <w:rPr>
          <w:rFonts w:ascii="Arial" w:hAnsi="Arial" w:cs="Arial"/>
        </w:rPr>
        <w:t>s</w:t>
      </w:r>
      <w:r w:rsidR="00722517">
        <w:rPr>
          <w:rFonts w:ascii="Arial" w:hAnsi="Arial" w:cs="Arial"/>
        </w:rPr>
        <w:t xml:space="preserve"> and 3</w:t>
      </w:r>
      <w:r w:rsidR="00537B52">
        <w:rPr>
          <w:rFonts w:ascii="Arial" w:hAnsi="Arial" w:cs="Arial"/>
        </w:rPr>
        <w:t>-</w:t>
      </w:r>
      <w:r w:rsidR="00722517">
        <w:rPr>
          <w:rFonts w:ascii="Arial" w:hAnsi="Arial" w:cs="Arial"/>
        </w:rPr>
        <w:t xml:space="preserve">bedroom houses were analysed </w:t>
      </w:r>
      <w:r w:rsidR="001A6B90">
        <w:rPr>
          <w:rFonts w:ascii="Arial" w:hAnsi="Arial" w:cs="Arial"/>
        </w:rPr>
        <w:t>as a representative sample of dwelling</w:t>
      </w:r>
      <w:r w:rsidR="00537B52">
        <w:rPr>
          <w:rFonts w:ascii="Arial" w:hAnsi="Arial" w:cs="Arial"/>
        </w:rPr>
        <w:t xml:space="preserve"> type</w:t>
      </w:r>
      <w:r w:rsidR="001A6B90">
        <w:rPr>
          <w:rFonts w:ascii="Arial" w:hAnsi="Arial" w:cs="Arial"/>
        </w:rPr>
        <w:t>, informed by the findings of the Council’s recent Residential Space Standards Background Evidence paper.</w:t>
      </w:r>
    </w:p>
    <w:p w14:paraId="61ABB19F" w14:textId="2AF1F430" w:rsidR="00D12420" w:rsidRPr="000E5B5E" w:rsidRDefault="00D92C05" w:rsidP="00EC0F33">
      <w:pPr>
        <w:pStyle w:val="Heading1"/>
      </w:pPr>
      <w:bookmarkStart w:id="12" w:name="_Toc163590713"/>
      <w:r w:rsidRPr="000E5B5E">
        <w:t>Analysis</w:t>
      </w:r>
      <w:bookmarkEnd w:id="12"/>
    </w:p>
    <w:p w14:paraId="15107756" w14:textId="77777777" w:rsidR="00E35081" w:rsidRDefault="00E35081" w:rsidP="00D12420">
      <w:pPr>
        <w:pStyle w:val="ListParagraph"/>
        <w:ind w:left="0"/>
        <w:jc w:val="both"/>
        <w:rPr>
          <w:rFonts w:ascii="Arial" w:hAnsi="Arial" w:cs="Arial"/>
          <w:sz w:val="36"/>
          <w:szCs w:val="36"/>
        </w:rPr>
      </w:pPr>
    </w:p>
    <w:p w14:paraId="4A2195C4" w14:textId="09A9DCC0" w:rsidR="00D12420" w:rsidRDefault="00E35081" w:rsidP="00D12420">
      <w:pPr>
        <w:pStyle w:val="ListParagraph"/>
        <w:ind w:left="0"/>
        <w:jc w:val="both"/>
        <w:rPr>
          <w:rFonts w:ascii="Arial" w:hAnsi="Arial" w:cs="Arial"/>
        </w:rPr>
      </w:pPr>
      <w:r>
        <w:rPr>
          <w:rFonts w:ascii="Arial" w:hAnsi="Arial" w:cs="Arial"/>
        </w:rPr>
        <w:t>6.1</w:t>
      </w:r>
      <w:r>
        <w:rPr>
          <w:rFonts w:ascii="Arial" w:hAnsi="Arial" w:cs="Arial"/>
        </w:rPr>
        <w:tab/>
      </w:r>
      <w:r w:rsidR="00D12420">
        <w:rPr>
          <w:rFonts w:ascii="Arial" w:hAnsi="Arial" w:cs="Arial"/>
        </w:rPr>
        <w:t xml:space="preserve">Analysis of the </w:t>
      </w:r>
      <w:r w:rsidR="002F7567">
        <w:rPr>
          <w:rFonts w:ascii="Arial" w:hAnsi="Arial" w:cs="Arial"/>
        </w:rPr>
        <w:t>planning application and permissions</w:t>
      </w:r>
      <w:r w:rsidR="00D12420">
        <w:rPr>
          <w:rFonts w:ascii="Arial" w:hAnsi="Arial" w:cs="Arial"/>
        </w:rPr>
        <w:t xml:space="preserve"> data for the years 2018 to 2022, shows that </w:t>
      </w:r>
      <w:r w:rsidR="00152315">
        <w:rPr>
          <w:rFonts w:ascii="Arial" w:hAnsi="Arial" w:cs="Arial"/>
        </w:rPr>
        <w:t xml:space="preserve">the </w:t>
      </w:r>
      <w:r w:rsidR="00D12420">
        <w:rPr>
          <w:rFonts w:ascii="Arial" w:hAnsi="Arial" w:cs="Arial"/>
        </w:rPr>
        <w:t xml:space="preserve">average </w:t>
      </w:r>
      <w:r w:rsidR="00152315">
        <w:rPr>
          <w:rFonts w:ascii="Arial" w:hAnsi="Arial" w:cs="Arial"/>
        </w:rPr>
        <w:t xml:space="preserve">net </w:t>
      </w:r>
      <w:r w:rsidR="002F7567">
        <w:rPr>
          <w:rFonts w:ascii="Arial" w:hAnsi="Arial" w:cs="Arial"/>
        </w:rPr>
        <w:t xml:space="preserve">density </w:t>
      </w:r>
      <w:r w:rsidR="00D12420">
        <w:rPr>
          <w:rFonts w:ascii="Arial" w:hAnsi="Arial" w:cs="Arial"/>
        </w:rPr>
        <w:t xml:space="preserve">for schemes </w:t>
      </w:r>
      <w:r w:rsidR="00152315">
        <w:rPr>
          <w:rFonts w:ascii="Arial" w:hAnsi="Arial" w:cs="Arial"/>
        </w:rPr>
        <w:t xml:space="preserve">permitted </w:t>
      </w:r>
      <w:r w:rsidR="00D12420">
        <w:rPr>
          <w:rFonts w:ascii="Arial" w:hAnsi="Arial" w:cs="Arial"/>
        </w:rPr>
        <w:t xml:space="preserve">within the </w:t>
      </w:r>
      <w:r w:rsidR="00DF0764">
        <w:rPr>
          <w:rFonts w:ascii="Arial" w:hAnsi="Arial" w:cs="Arial"/>
        </w:rPr>
        <w:t>P</w:t>
      </w:r>
      <w:r w:rsidR="00D12420">
        <w:rPr>
          <w:rFonts w:ascii="Arial" w:hAnsi="Arial" w:cs="Arial"/>
        </w:rPr>
        <w:t xml:space="preserve">lan </w:t>
      </w:r>
      <w:r w:rsidR="00DF0764">
        <w:rPr>
          <w:rFonts w:ascii="Arial" w:hAnsi="Arial" w:cs="Arial"/>
        </w:rPr>
        <w:t>A</w:t>
      </w:r>
      <w:r w:rsidR="00D12420">
        <w:rPr>
          <w:rFonts w:ascii="Arial" w:hAnsi="Arial" w:cs="Arial"/>
        </w:rPr>
        <w:t>rea is approximately 4</w:t>
      </w:r>
      <w:r w:rsidR="002F7567">
        <w:rPr>
          <w:rFonts w:ascii="Arial" w:hAnsi="Arial" w:cs="Arial"/>
        </w:rPr>
        <w:t>1</w:t>
      </w:r>
      <w:r w:rsidR="00D12420">
        <w:rPr>
          <w:rFonts w:ascii="Arial" w:hAnsi="Arial" w:cs="Arial"/>
        </w:rPr>
        <w:t xml:space="preserve"> dwellings per hectare.</w:t>
      </w:r>
      <w:r w:rsidR="00152315">
        <w:rPr>
          <w:rFonts w:ascii="Arial" w:hAnsi="Arial" w:cs="Arial"/>
        </w:rPr>
        <w:t xml:space="preserve"> This figure is determined from the analysis of 21</w:t>
      </w:r>
      <w:r w:rsidR="0080161E">
        <w:rPr>
          <w:rFonts w:ascii="Arial" w:hAnsi="Arial" w:cs="Arial"/>
        </w:rPr>
        <w:t>2</w:t>
      </w:r>
      <w:r w:rsidR="00152315">
        <w:rPr>
          <w:rFonts w:ascii="Arial" w:hAnsi="Arial" w:cs="Arial"/>
        </w:rPr>
        <w:t xml:space="preserve"> developments, comprising a total of 3</w:t>
      </w:r>
      <w:r w:rsidR="0080161E">
        <w:rPr>
          <w:rFonts w:ascii="Arial" w:hAnsi="Arial" w:cs="Arial"/>
        </w:rPr>
        <w:t>288</w:t>
      </w:r>
      <w:r w:rsidR="00152315">
        <w:rPr>
          <w:rFonts w:ascii="Arial" w:hAnsi="Arial" w:cs="Arial"/>
        </w:rPr>
        <w:t xml:space="preserve"> dwellings</w:t>
      </w:r>
      <w:r w:rsidR="00F57067">
        <w:rPr>
          <w:rFonts w:ascii="Arial" w:hAnsi="Arial" w:cs="Arial"/>
        </w:rPr>
        <w:t xml:space="preserve"> (see Appendix A for raw data)</w:t>
      </w:r>
      <w:r w:rsidR="00152315">
        <w:rPr>
          <w:rFonts w:ascii="Arial" w:hAnsi="Arial" w:cs="Arial"/>
        </w:rPr>
        <w:t>.</w:t>
      </w:r>
      <w:r w:rsidR="00D12420">
        <w:rPr>
          <w:rFonts w:ascii="Arial" w:hAnsi="Arial" w:cs="Arial"/>
        </w:rPr>
        <w:t xml:space="preserve"> </w:t>
      </w:r>
      <w:r w:rsidR="00152315">
        <w:rPr>
          <w:rFonts w:ascii="Arial" w:hAnsi="Arial" w:cs="Arial"/>
        </w:rPr>
        <w:t>It</w:t>
      </w:r>
      <w:r w:rsidR="00645CFA">
        <w:rPr>
          <w:rFonts w:ascii="Arial" w:hAnsi="Arial" w:cs="Arial"/>
        </w:rPr>
        <w:t xml:space="preserve"> is higher </w:t>
      </w:r>
      <w:r w:rsidR="00645CFA">
        <w:rPr>
          <w:rFonts w:ascii="Arial" w:hAnsi="Arial" w:cs="Arial"/>
        </w:rPr>
        <w:lastRenderedPageBreak/>
        <w:t>tha</w:t>
      </w:r>
      <w:r w:rsidR="00087080">
        <w:rPr>
          <w:rFonts w:ascii="Arial" w:hAnsi="Arial" w:cs="Arial"/>
        </w:rPr>
        <w:t>n</w:t>
      </w:r>
      <w:r w:rsidR="00645CFA">
        <w:rPr>
          <w:rFonts w:ascii="Arial" w:hAnsi="Arial" w:cs="Arial"/>
        </w:rPr>
        <w:t xml:space="preserve"> the 35 </w:t>
      </w:r>
      <w:proofErr w:type="spellStart"/>
      <w:r w:rsidR="00645CFA">
        <w:rPr>
          <w:rFonts w:ascii="Arial" w:hAnsi="Arial" w:cs="Arial"/>
        </w:rPr>
        <w:t>dph</w:t>
      </w:r>
      <w:proofErr w:type="spellEnd"/>
      <w:r w:rsidR="00645CFA">
        <w:rPr>
          <w:rFonts w:ascii="Arial" w:hAnsi="Arial" w:cs="Arial"/>
        </w:rPr>
        <w:t xml:space="preserve"> figure cited as broadly appropriate for development</w:t>
      </w:r>
      <w:r w:rsidR="006F31D2">
        <w:rPr>
          <w:rFonts w:ascii="Arial" w:hAnsi="Arial" w:cs="Arial"/>
        </w:rPr>
        <w:t xml:space="preserve"> </w:t>
      </w:r>
      <w:r w:rsidR="00645CFA">
        <w:rPr>
          <w:rFonts w:ascii="Arial" w:hAnsi="Arial" w:cs="Arial"/>
        </w:rPr>
        <w:t>within the adopted Local Plan.</w:t>
      </w:r>
      <w:r w:rsidR="00152315">
        <w:rPr>
          <w:rFonts w:ascii="Arial" w:hAnsi="Arial" w:cs="Arial"/>
        </w:rPr>
        <w:t xml:space="preserve"> Indeed</w:t>
      </w:r>
      <w:r w:rsidR="00771BD7">
        <w:rPr>
          <w:rFonts w:ascii="Arial" w:hAnsi="Arial" w:cs="Arial"/>
        </w:rPr>
        <w:t>,</w:t>
      </w:r>
      <w:r w:rsidR="00152315">
        <w:rPr>
          <w:rFonts w:ascii="Arial" w:hAnsi="Arial" w:cs="Arial"/>
        </w:rPr>
        <w:t xml:space="preserve"> the average gross density of recently permitted developments is calculated as approx. 37 </w:t>
      </w:r>
      <w:proofErr w:type="spellStart"/>
      <w:r w:rsidR="00152315">
        <w:rPr>
          <w:rFonts w:ascii="Arial" w:hAnsi="Arial" w:cs="Arial"/>
        </w:rPr>
        <w:t>dph</w:t>
      </w:r>
      <w:proofErr w:type="spellEnd"/>
      <w:r w:rsidR="00152315">
        <w:rPr>
          <w:rFonts w:ascii="Arial" w:hAnsi="Arial" w:cs="Arial"/>
        </w:rPr>
        <w:t>, exceeding this expected minimum</w:t>
      </w:r>
      <w:r w:rsidR="00645CFA">
        <w:rPr>
          <w:rFonts w:ascii="Arial" w:hAnsi="Arial" w:cs="Arial"/>
        </w:rPr>
        <w:t xml:space="preserve"> </w:t>
      </w:r>
      <w:r w:rsidR="00152315">
        <w:rPr>
          <w:rFonts w:ascii="Arial" w:hAnsi="Arial" w:cs="Arial"/>
        </w:rPr>
        <w:t>density.</w:t>
      </w:r>
    </w:p>
    <w:p w14:paraId="561B77AD" w14:textId="5E201C9F" w:rsidR="00645CFA" w:rsidRDefault="00645CFA" w:rsidP="00E35081">
      <w:pPr>
        <w:pStyle w:val="ListParagraph"/>
        <w:keepNext/>
        <w:ind w:left="0"/>
        <w:jc w:val="center"/>
      </w:pPr>
    </w:p>
    <w:p w14:paraId="1E44FEF1" w14:textId="5ED20969" w:rsidR="00D12420" w:rsidRPr="00951CB6" w:rsidRDefault="004D786D" w:rsidP="00EC0F33">
      <w:pPr>
        <w:pStyle w:val="Heading3"/>
      </w:pPr>
      <w:bookmarkStart w:id="13" w:name="_Toc163590714"/>
      <w:r w:rsidRPr="00951CB6">
        <w:t>Development Scale</w:t>
      </w:r>
      <w:bookmarkEnd w:id="13"/>
    </w:p>
    <w:p w14:paraId="6B571DC6" w14:textId="081E1717" w:rsidR="004D786D" w:rsidRDefault="004D786D" w:rsidP="00D12420">
      <w:pPr>
        <w:pStyle w:val="ListParagraph"/>
        <w:ind w:left="0"/>
        <w:jc w:val="both"/>
        <w:rPr>
          <w:rFonts w:ascii="Arial" w:hAnsi="Arial" w:cs="Arial"/>
        </w:rPr>
      </w:pPr>
    </w:p>
    <w:p w14:paraId="443F5B2E" w14:textId="0F953684" w:rsidR="00951CB6" w:rsidRDefault="00E35081" w:rsidP="00D12420">
      <w:pPr>
        <w:pStyle w:val="ListParagraph"/>
        <w:ind w:left="0"/>
        <w:jc w:val="both"/>
        <w:rPr>
          <w:rFonts w:ascii="Arial" w:hAnsi="Arial" w:cs="Arial"/>
        </w:rPr>
      </w:pPr>
      <w:r>
        <w:rPr>
          <w:rFonts w:ascii="Arial" w:hAnsi="Arial" w:cs="Arial"/>
        </w:rPr>
        <w:t>6.</w:t>
      </w:r>
      <w:r w:rsidR="005C042E">
        <w:rPr>
          <w:rFonts w:ascii="Arial" w:hAnsi="Arial" w:cs="Arial"/>
        </w:rPr>
        <w:t>2</w:t>
      </w:r>
      <w:r>
        <w:rPr>
          <w:rFonts w:ascii="Arial" w:hAnsi="Arial" w:cs="Arial"/>
        </w:rPr>
        <w:tab/>
      </w:r>
      <w:r w:rsidR="004D786D">
        <w:rPr>
          <w:rFonts w:ascii="Arial" w:hAnsi="Arial" w:cs="Arial"/>
        </w:rPr>
        <w:t>The</w:t>
      </w:r>
      <w:r w:rsidR="008F3941">
        <w:rPr>
          <w:rFonts w:ascii="Arial" w:hAnsi="Arial" w:cs="Arial"/>
        </w:rPr>
        <w:t xml:space="preserve"> comparison of average densities according to development scale</w:t>
      </w:r>
      <w:r w:rsidR="004D786D">
        <w:rPr>
          <w:rFonts w:ascii="Arial" w:hAnsi="Arial" w:cs="Arial"/>
        </w:rPr>
        <w:t xml:space="preserve"> identified </w:t>
      </w:r>
      <w:r w:rsidR="008F3941">
        <w:rPr>
          <w:rFonts w:ascii="Arial" w:hAnsi="Arial" w:cs="Arial"/>
        </w:rPr>
        <w:t>a</w:t>
      </w:r>
      <w:r w:rsidR="00245CED">
        <w:rPr>
          <w:rFonts w:ascii="Arial" w:hAnsi="Arial" w:cs="Arial"/>
        </w:rPr>
        <w:t xml:space="preserve"> generally</w:t>
      </w:r>
      <w:r w:rsidR="008F3941">
        <w:rPr>
          <w:rFonts w:ascii="Arial" w:hAnsi="Arial" w:cs="Arial"/>
        </w:rPr>
        <w:t xml:space="preserve"> directly proportional relationship between the size of the development in terms of the numbers of dwellings, and the net density of the scheme</w:t>
      </w:r>
      <w:r w:rsidR="00987D78">
        <w:rPr>
          <w:rFonts w:ascii="Arial" w:hAnsi="Arial" w:cs="Arial"/>
        </w:rPr>
        <w:t>, as illustrated by Figure 1</w:t>
      </w:r>
      <w:r w:rsidR="00245213">
        <w:rPr>
          <w:rFonts w:ascii="Arial" w:hAnsi="Arial" w:cs="Arial"/>
        </w:rPr>
        <w:t xml:space="preserve"> and Table 1</w:t>
      </w:r>
      <w:r w:rsidR="008F3941">
        <w:rPr>
          <w:rFonts w:ascii="Arial" w:hAnsi="Arial" w:cs="Arial"/>
        </w:rPr>
        <w:t>.</w:t>
      </w:r>
      <w:r w:rsidR="00245CED">
        <w:rPr>
          <w:rFonts w:ascii="Arial" w:hAnsi="Arial" w:cs="Arial"/>
        </w:rPr>
        <w:t xml:space="preserve"> An exception to this is densities for large and strategic developments, when the latter achieve slightly lower net densities than the fo</w:t>
      </w:r>
      <w:r w:rsidR="00771BD7">
        <w:rPr>
          <w:rFonts w:ascii="Arial" w:hAnsi="Arial" w:cs="Arial"/>
        </w:rPr>
        <w:t>r</w:t>
      </w:r>
      <w:r w:rsidR="00245CED">
        <w:rPr>
          <w:rFonts w:ascii="Arial" w:hAnsi="Arial" w:cs="Arial"/>
        </w:rPr>
        <w:t xml:space="preserve">mer. </w:t>
      </w:r>
      <w:r w:rsidR="00987D78">
        <w:rPr>
          <w:rFonts w:ascii="Arial" w:hAnsi="Arial" w:cs="Arial"/>
        </w:rPr>
        <w:t xml:space="preserve"> Th</w:t>
      </w:r>
      <w:r w:rsidR="00245213">
        <w:rPr>
          <w:rFonts w:ascii="Arial" w:hAnsi="Arial" w:cs="Arial"/>
        </w:rPr>
        <w:t>e</w:t>
      </w:r>
      <w:r w:rsidR="00987D78">
        <w:rPr>
          <w:rFonts w:ascii="Arial" w:hAnsi="Arial" w:cs="Arial"/>
        </w:rPr>
        <w:t xml:space="preserve"> </w:t>
      </w:r>
      <w:r w:rsidR="00751CD7">
        <w:rPr>
          <w:rFonts w:ascii="Arial" w:hAnsi="Arial" w:cs="Arial"/>
        </w:rPr>
        <w:t>graph</w:t>
      </w:r>
      <w:r w:rsidR="00987D78">
        <w:rPr>
          <w:rFonts w:ascii="Arial" w:hAnsi="Arial" w:cs="Arial"/>
        </w:rPr>
        <w:t xml:space="preserve"> shows </w:t>
      </w:r>
      <w:r w:rsidR="00066586">
        <w:rPr>
          <w:rFonts w:ascii="Arial" w:hAnsi="Arial" w:cs="Arial"/>
        </w:rPr>
        <w:t xml:space="preserve">more limited variance in </w:t>
      </w:r>
      <w:r w:rsidR="00987D78">
        <w:rPr>
          <w:rFonts w:ascii="Arial" w:hAnsi="Arial" w:cs="Arial"/>
        </w:rPr>
        <w:t>average gross densities</w:t>
      </w:r>
      <w:r w:rsidR="00066586">
        <w:rPr>
          <w:rFonts w:ascii="Arial" w:hAnsi="Arial" w:cs="Arial"/>
        </w:rPr>
        <w:t xml:space="preserve"> in relation to development scale. This difference in averages demonstrates the effects of applying land area and open space provision adjustments</w:t>
      </w:r>
      <w:r w:rsidR="00751CD7">
        <w:rPr>
          <w:rFonts w:ascii="Arial" w:hAnsi="Arial" w:cs="Arial"/>
        </w:rPr>
        <w:t xml:space="preserve"> when calculating net densities</w:t>
      </w:r>
      <w:r w:rsidR="00066586">
        <w:rPr>
          <w:rFonts w:ascii="Arial" w:hAnsi="Arial" w:cs="Arial"/>
        </w:rPr>
        <w:t>, as described within the methodology.</w:t>
      </w:r>
      <w:r w:rsidR="00540377">
        <w:rPr>
          <w:rFonts w:ascii="Arial" w:hAnsi="Arial" w:cs="Arial"/>
        </w:rPr>
        <w:t xml:space="preserve"> </w:t>
      </w:r>
      <w:r w:rsidR="00415D7D">
        <w:rPr>
          <w:rFonts w:ascii="Arial" w:hAnsi="Arial" w:cs="Arial"/>
        </w:rPr>
        <w:t>Overall, t</w:t>
      </w:r>
      <w:r w:rsidR="00540377">
        <w:rPr>
          <w:rFonts w:ascii="Arial" w:hAnsi="Arial" w:cs="Arial"/>
        </w:rPr>
        <w:t xml:space="preserve">he results suggest higher densities are achievable </w:t>
      </w:r>
      <w:r w:rsidR="00004B18">
        <w:rPr>
          <w:rFonts w:ascii="Arial" w:hAnsi="Arial" w:cs="Arial"/>
        </w:rPr>
        <w:t>on</w:t>
      </w:r>
      <w:r w:rsidR="00540377">
        <w:rPr>
          <w:rFonts w:ascii="Arial" w:hAnsi="Arial" w:cs="Arial"/>
        </w:rPr>
        <w:t xml:space="preserve"> land available for dwellings </w:t>
      </w:r>
      <w:r w:rsidR="00004B18">
        <w:rPr>
          <w:rFonts w:ascii="Arial" w:hAnsi="Arial" w:cs="Arial"/>
        </w:rPr>
        <w:t>within</w:t>
      </w:r>
      <w:r w:rsidR="00540377">
        <w:rPr>
          <w:rFonts w:ascii="Arial" w:hAnsi="Arial" w:cs="Arial"/>
        </w:rPr>
        <w:t xml:space="preserve"> larger schemes. </w:t>
      </w:r>
      <w:r w:rsidR="00987D78">
        <w:rPr>
          <w:rFonts w:ascii="Arial" w:hAnsi="Arial" w:cs="Arial"/>
        </w:rPr>
        <w:t xml:space="preserve">  </w:t>
      </w:r>
      <w:r w:rsidR="008F3941">
        <w:rPr>
          <w:rFonts w:ascii="Arial" w:hAnsi="Arial" w:cs="Arial"/>
        </w:rPr>
        <w:t xml:space="preserve"> </w:t>
      </w:r>
    </w:p>
    <w:p w14:paraId="3232B9F6" w14:textId="671ADDE3" w:rsidR="00751CD7" w:rsidRDefault="00751CD7" w:rsidP="00D12420">
      <w:pPr>
        <w:pStyle w:val="ListParagraph"/>
        <w:ind w:left="0"/>
        <w:jc w:val="both"/>
        <w:rPr>
          <w:rFonts w:ascii="Arial" w:hAnsi="Arial" w:cs="Arial"/>
        </w:rPr>
      </w:pPr>
    </w:p>
    <w:p w14:paraId="27A661A1" w14:textId="1D557B4C" w:rsidR="00751CD7" w:rsidRDefault="0080161E" w:rsidP="002B101E">
      <w:pPr>
        <w:pStyle w:val="ListParagraph"/>
        <w:keepNext/>
        <w:ind w:left="0"/>
        <w:jc w:val="center"/>
      </w:pPr>
      <w:r>
        <w:rPr>
          <w:noProof/>
        </w:rPr>
        <w:drawing>
          <wp:inline distT="0" distB="0" distL="0" distR="0" wp14:anchorId="7367C81B" wp14:editId="20179602">
            <wp:extent cx="4572000" cy="2743200"/>
            <wp:effectExtent l="0" t="0" r="0" b="0"/>
            <wp:docPr id="15" name="Chart 15" descr="Bar chart comparing average densities of small to strategic scale developments. Illustrates higher densities for large sites, and greater variance within net than gross density ranges.">
              <a:extLst xmlns:a="http://schemas.openxmlformats.org/drawingml/2006/main">
                <a:ext uri="{FF2B5EF4-FFF2-40B4-BE49-F238E27FC236}">
                  <a16:creationId xmlns:a16="http://schemas.microsoft.com/office/drawing/2014/main" id="{4D4CE26D-26A6-4946-A9AA-E2E5D9231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CBF35C5" w14:textId="4B6899B8" w:rsidR="00751CD7" w:rsidRDefault="00751CD7" w:rsidP="002B101E">
      <w:pPr>
        <w:pStyle w:val="Caption"/>
        <w:rPr>
          <w:rFonts w:ascii="Arial" w:hAnsi="Arial" w:cs="Arial"/>
        </w:rPr>
      </w:pPr>
      <w:r>
        <w:t xml:space="preserve">Figure </w:t>
      </w:r>
      <w:fldSimple w:instr=" SEQ Figure \* ARABIC ">
        <w:r w:rsidR="00EC0F33">
          <w:rPr>
            <w:noProof/>
          </w:rPr>
          <w:t>1</w:t>
        </w:r>
      </w:fldSimple>
    </w:p>
    <w:p w14:paraId="54DBF432" w14:textId="6A590E1D" w:rsidR="005143D0" w:rsidRPr="005C042E" w:rsidRDefault="005C042E" w:rsidP="005C042E">
      <w:pPr>
        <w:pStyle w:val="ListParagraph"/>
        <w:ind w:left="0"/>
        <w:jc w:val="both"/>
        <w:rPr>
          <w:rFonts w:ascii="Arial" w:hAnsi="Arial" w:cs="Arial"/>
        </w:rPr>
      </w:pPr>
      <w:r>
        <w:rPr>
          <w:rFonts w:ascii="Arial" w:hAnsi="Arial" w:cs="Arial"/>
        </w:rPr>
        <w:t>6.3</w:t>
      </w:r>
      <w:r>
        <w:rPr>
          <w:rFonts w:ascii="Arial" w:hAnsi="Arial" w:cs="Arial"/>
        </w:rPr>
        <w:tab/>
      </w:r>
      <w:r w:rsidR="00751CD7">
        <w:rPr>
          <w:rFonts w:ascii="Arial" w:hAnsi="Arial" w:cs="Arial"/>
        </w:rPr>
        <w:t xml:space="preserve">It is prudent to note that the applied </w:t>
      </w:r>
      <w:r w:rsidR="008C0D74">
        <w:rPr>
          <w:rFonts w:ascii="Arial" w:hAnsi="Arial" w:cs="Arial"/>
        </w:rPr>
        <w:t xml:space="preserve">adjustment factors may introduce minor inaccuracies in terms of calculated average net densities </w:t>
      </w:r>
      <w:r w:rsidR="00245213">
        <w:rPr>
          <w:rFonts w:ascii="Arial" w:hAnsi="Arial" w:cs="Arial"/>
        </w:rPr>
        <w:t>versus</w:t>
      </w:r>
      <w:r w:rsidR="008C0D74">
        <w:rPr>
          <w:rFonts w:ascii="Arial" w:hAnsi="Arial" w:cs="Arial"/>
        </w:rPr>
        <w:t xml:space="preserve"> actual average net densities. This could result in the average net density </w:t>
      </w:r>
      <w:r w:rsidR="00DE626B">
        <w:rPr>
          <w:rFonts w:ascii="Arial" w:hAnsi="Arial" w:cs="Arial"/>
        </w:rPr>
        <w:t xml:space="preserve">calculations </w:t>
      </w:r>
      <w:r w:rsidR="008C0D74">
        <w:rPr>
          <w:rFonts w:ascii="Arial" w:hAnsi="Arial" w:cs="Arial"/>
        </w:rPr>
        <w:t xml:space="preserve">being overinflated when </w:t>
      </w:r>
      <w:r w:rsidR="006A217E">
        <w:rPr>
          <w:rFonts w:ascii="Arial" w:hAnsi="Arial" w:cs="Arial"/>
        </w:rPr>
        <w:t xml:space="preserve">accounting for collective non-housing </w:t>
      </w:r>
      <w:r w:rsidR="00DE626B">
        <w:rPr>
          <w:rFonts w:ascii="Arial" w:hAnsi="Arial" w:cs="Arial"/>
        </w:rPr>
        <w:t xml:space="preserve">on-site </w:t>
      </w:r>
      <w:r w:rsidR="006A217E">
        <w:rPr>
          <w:rFonts w:ascii="Arial" w:hAnsi="Arial" w:cs="Arial"/>
        </w:rPr>
        <w:t>provisions, especially for larger schemes.</w:t>
      </w:r>
      <w:r w:rsidR="00540377">
        <w:rPr>
          <w:rFonts w:ascii="Arial" w:hAnsi="Arial" w:cs="Arial"/>
        </w:rPr>
        <w:t xml:space="preserve"> This matter is considered further within individual development case studies.</w:t>
      </w:r>
      <w:r w:rsidR="006A217E">
        <w:rPr>
          <w:rFonts w:ascii="Arial" w:hAnsi="Arial" w:cs="Arial"/>
        </w:rPr>
        <w:t xml:space="preserve"> Notwithstanding this potential, it should be </w:t>
      </w:r>
      <w:r w:rsidR="00DE626B">
        <w:rPr>
          <w:rFonts w:ascii="Arial" w:hAnsi="Arial" w:cs="Arial"/>
        </w:rPr>
        <w:t>recognised</w:t>
      </w:r>
      <w:r w:rsidR="006A217E">
        <w:rPr>
          <w:rFonts w:ascii="Arial" w:hAnsi="Arial" w:cs="Arial"/>
        </w:rPr>
        <w:t xml:space="preserve"> that both gross and net average densities</w:t>
      </w:r>
      <w:r w:rsidR="00DE626B">
        <w:rPr>
          <w:rFonts w:ascii="Arial" w:hAnsi="Arial" w:cs="Arial"/>
        </w:rPr>
        <w:t xml:space="preserve"> for all development scales exceed the recommended minimum density </w:t>
      </w:r>
      <w:r w:rsidR="00771BD7">
        <w:rPr>
          <w:rFonts w:ascii="Arial" w:hAnsi="Arial" w:cs="Arial"/>
        </w:rPr>
        <w:t>expectation</w:t>
      </w:r>
      <w:r w:rsidR="00DE626B">
        <w:rPr>
          <w:rFonts w:ascii="Arial" w:hAnsi="Arial" w:cs="Arial"/>
        </w:rPr>
        <w:t xml:space="preserve"> of 35 </w:t>
      </w:r>
      <w:proofErr w:type="spellStart"/>
      <w:r w:rsidR="00DE626B">
        <w:rPr>
          <w:rFonts w:ascii="Arial" w:hAnsi="Arial" w:cs="Arial"/>
        </w:rPr>
        <w:t>dph</w:t>
      </w:r>
      <w:proofErr w:type="spellEnd"/>
      <w:r w:rsidR="00540377">
        <w:rPr>
          <w:rFonts w:ascii="Arial" w:hAnsi="Arial" w:cs="Arial"/>
        </w:rPr>
        <w:t>,</w:t>
      </w:r>
      <w:r w:rsidR="00DE626B">
        <w:rPr>
          <w:rFonts w:ascii="Arial" w:hAnsi="Arial" w:cs="Arial"/>
        </w:rPr>
        <w:t xml:space="preserve"> providing evidence to suggest </w:t>
      </w:r>
      <w:r w:rsidR="00540377">
        <w:rPr>
          <w:rFonts w:ascii="Arial" w:hAnsi="Arial" w:cs="Arial"/>
        </w:rPr>
        <w:t xml:space="preserve">the </w:t>
      </w:r>
      <w:r w:rsidR="00771BD7">
        <w:rPr>
          <w:rFonts w:ascii="Arial" w:hAnsi="Arial" w:cs="Arial"/>
        </w:rPr>
        <w:t>expectatio</w:t>
      </w:r>
      <w:r w:rsidR="00415D7D">
        <w:rPr>
          <w:rFonts w:ascii="Arial" w:hAnsi="Arial" w:cs="Arial"/>
        </w:rPr>
        <w:t>n</w:t>
      </w:r>
      <w:r w:rsidR="00540377">
        <w:rPr>
          <w:rFonts w:ascii="Arial" w:hAnsi="Arial" w:cs="Arial"/>
        </w:rPr>
        <w:t xml:space="preserve"> </w:t>
      </w:r>
      <w:r w:rsidR="00DE626B">
        <w:rPr>
          <w:rFonts w:ascii="Arial" w:hAnsi="Arial" w:cs="Arial"/>
        </w:rPr>
        <w:t>represents</w:t>
      </w:r>
      <w:r w:rsidR="00540377">
        <w:rPr>
          <w:rFonts w:ascii="Arial" w:hAnsi="Arial" w:cs="Arial"/>
        </w:rPr>
        <w:t xml:space="preserve"> an </w:t>
      </w:r>
      <w:r w:rsidR="00DE626B">
        <w:rPr>
          <w:rFonts w:ascii="Arial" w:hAnsi="Arial" w:cs="Arial"/>
        </w:rPr>
        <w:t>achievable and therefore reasonable minimum, a</w:t>
      </w:r>
      <w:r w:rsidR="00076766">
        <w:rPr>
          <w:rFonts w:ascii="Arial" w:hAnsi="Arial" w:cs="Arial"/>
        </w:rPr>
        <w:t>ttainable</w:t>
      </w:r>
      <w:r w:rsidR="00DE626B">
        <w:rPr>
          <w:rFonts w:ascii="Arial" w:hAnsi="Arial" w:cs="Arial"/>
        </w:rPr>
        <w:t xml:space="preserve"> for small to strategic development schemes</w:t>
      </w:r>
      <w:r w:rsidR="00540377">
        <w:rPr>
          <w:rFonts w:ascii="Arial" w:hAnsi="Arial" w:cs="Arial"/>
        </w:rPr>
        <w:t xml:space="preserve"> alike</w:t>
      </w:r>
      <w:r w:rsidR="00DE626B">
        <w:rPr>
          <w:rFonts w:ascii="Arial" w:hAnsi="Arial" w:cs="Arial"/>
        </w:rPr>
        <w:t xml:space="preserve">.  </w:t>
      </w:r>
    </w:p>
    <w:p w14:paraId="1D572FA8" w14:textId="5305B8BA" w:rsidR="005143D0" w:rsidRDefault="005143D0" w:rsidP="005143D0">
      <w:pPr>
        <w:pStyle w:val="Caption"/>
        <w:keepNext/>
        <w:rPr>
          <w:noProof/>
        </w:rPr>
      </w:pPr>
      <w:r>
        <w:t xml:space="preserve">Table </w:t>
      </w:r>
      <w:r w:rsidR="00245213">
        <w:t>1</w:t>
      </w:r>
    </w:p>
    <w:tbl>
      <w:tblPr>
        <w:tblStyle w:val="TableGrid"/>
        <w:tblW w:w="0" w:type="auto"/>
        <w:tblLook w:val="04A0" w:firstRow="1" w:lastRow="0" w:firstColumn="1" w:lastColumn="0" w:noHBand="0" w:noVBand="1"/>
      </w:tblPr>
      <w:tblGrid>
        <w:gridCol w:w="3005"/>
        <w:gridCol w:w="3005"/>
        <w:gridCol w:w="3006"/>
      </w:tblGrid>
      <w:tr w:rsidR="00E0042C" w14:paraId="1CE5EEB8" w14:textId="77777777" w:rsidTr="00E0042C">
        <w:tc>
          <w:tcPr>
            <w:tcW w:w="3005" w:type="dxa"/>
          </w:tcPr>
          <w:p w14:paraId="7869BA12" w14:textId="39513729" w:rsidR="00E0042C" w:rsidRPr="00624681" w:rsidRDefault="00E0042C" w:rsidP="00E0042C">
            <w:pPr>
              <w:rPr>
                <w:b/>
                <w:bCs/>
              </w:rPr>
            </w:pPr>
            <w:r w:rsidRPr="00624681">
              <w:rPr>
                <w:b/>
                <w:bCs/>
              </w:rPr>
              <w:t>Development Scale</w:t>
            </w:r>
          </w:p>
        </w:tc>
        <w:tc>
          <w:tcPr>
            <w:tcW w:w="3005" w:type="dxa"/>
          </w:tcPr>
          <w:p w14:paraId="0B144160" w14:textId="49BF1E36" w:rsidR="00E0042C" w:rsidRPr="00624681" w:rsidRDefault="00E0042C" w:rsidP="00E0042C">
            <w:pPr>
              <w:rPr>
                <w:b/>
                <w:bCs/>
              </w:rPr>
            </w:pPr>
            <w:r w:rsidRPr="00624681">
              <w:rPr>
                <w:b/>
                <w:bCs/>
              </w:rPr>
              <w:t>Average Gross Density</w:t>
            </w:r>
          </w:p>
        </w:tc>
        <w:tc>
          <w:tcPr>
            <w:tcW w:w="3006" w:type="dxa"/>
          </w:tcPr>
          <w:p w14:paraId="231CA4AB" w14:textId="507DE03D" w:rsidR="00E0042C" w:rsidRPr="00624681" w:rsidRDefault="00E0042C" w:rsidP="00E0042C">
            <w:pPr>
              <w:rPr>
                <w:b/>
                <w:bCs/>
              </w:rPr>
            </w:pPr>
            <w:r w:rsidRPr="00624681">
              <w:rPr>
                <w:b/>
                <w:bCs/>
              </w:rPr>
              <w:t>Average Net Density</w:t>
            </w:r>
          </w:p>
        </w:tc>
      </w:tr>
      <w:tr w:rsidR="00E0042C" w14:paraId="4584DDBD" w14:textId="77777777" w:rsidTr="00E0042C">
        <w:tc>
          <w:tcPr>
            <w:tcW w:w="3005" w:type="dxa"/>
          </w:tcPr>
          <w:p w14:paraId="3C03BDF8" w14:textId="0082BF71" w:rsidR="00E0042C" w:rsidRDefault="00E0042C" w:rsidP="00E0042C">
            <w:r>
              <w:t xml:space="preserve">Small </w:t>
            </w:r>
            <w:r w:rsidR="007954E4">
              <w:t>(&lt;10 dwellings)</w:t>
            </w:r>
          </w:p>
        </w:tc>
        <w:tc>
          <w:tcPr>
            <w:tcW w:w="3005" w:type="dxa"/>
          </w:tcPr>
          <w:p w14:paraId="769BA49D" w14:textId="5686329D" w:rsidR="00E0042C" w:rsidRDefault="007954E4" w:rsidP="00E0042C">
            <w:r>
              <w:t>36.45</w:t>
            </w:r>
          </w:p>
        </w:tc>
        <w:tc>
          <w:tcPr>
            <w:tcW w:w="3006" w:type="dxa"/>
          </w:tcPr>
          <w:p w14:paraId="4C070CDA" w14:textId="58909828" w:rsidR="00E0042C" w:rsidRDefault="007954E4" w:rsidP="00E0042C">
            <w:r>
              <w:t>37.45</w:t>
            </w:r>
          </w:p>
        </w:tc>
      </w:tr>
      <w:tr w:rsidR="00E0042C" w14:paraId="3255A1D0" w14:textId="77777777" w:rsidTr="00E0042C">
        <w:tc>
          <w:tcPr>
            <w:tcW w:w="3005" w:type="dxa"/>
          </w:tcPr>
          <w:p w14:paraId="153B6DA2" w14:textId="5B556999" w:rsidR="00E0042C" w:rsidRDefault="007954E4" w:rsidP="00E0042C">
            <w:r>
              <w:t>Medium (</w:t>
            </w:r>
            <w:r>
              <w:rPr>
                <w:rFonts w:cstheme="minorHAnsi"/>
              </w:rPr>
              <w:t>≥</w:t>
            </w:r>
            <w:r>
              <w:t>10, &lt;50 dwellings)</w:t>
            </w:r>
          </w:p>
        </w:tc>
        <w:tc>
          <w:tcPr>
            <w:tcW w:w="3005" w:type="dxa"/>
          </w:tcPr>
          <w:p w14:paraId="23E9AEC1" w14:textId="5B6501EA" w:rsidR="00E0042C" w:rsidRDefault="007954E4" w:rsidP="00E0042C">
            <w:r>
              <w:t>39.12</w:t>
            </w:r>
          </w:p>
        </w:tc>
        <w:tc>
          <w:tcPr>
            <w:tcW w:w="3006" w:type="dxa"/>
          </w:tcPr>
          <w:p w14:paraId="56E1DFDA" w14:textId="7181A20B" w:rsidR="00E0042C" w:rsidRDefault="007954E4" w:rsidP="00E0042C">
            <w:r>
              <w:t>48.</w:t>
            </w:r>
            <w:r w:rsidR="00245CED">
              <w:t>42</w:t>
            </w:r>
          </w:p>
        </w:tc>
      </w:tr>
      <w:tr w:rsidR="00E0042C" w14:paraId="67A563FA" w14:textId="77777777" w:rsidTr="00E0042C">
        <w:tc>
          <w:tcPr>
            <w:tcW w:w="3005" w:type="dxa"/>
          </w:tcPr>
          <w:p w14:paraId="1A2D6675" w14:textId="6EB9F860" w:rsidR="00E0042C" w:rsidRDefault="007954E4" w:rsidP="00E0042C">
            <w:r>
              <w:t>Large (</w:t>
            </w:r>
            <w:r>
              <w:rPr>
                <w:rFonts w:cstheme="minorHAnsi"/>
              </w:rPr>
              <w:t>≥</w:t>
            </w:r>
            <w:r>
              <w:t>50, &lt;200 dwellings)</w:t>
            </w:r>
          </w:p>
        </w:tc>
        <w:tc>
          <w:tcPr>
            <w:tcW w:w="3005" w:type="dxa"/>
          </w:tcPr>
          <w:p w14:paraId="5AC04B54" w14:textId="7800AE67" w:rsidR="00E0042C" w:rsidRDefault="00245CED" w:rsidP="00E0042C">
            <w:r>
              <w:t>40.72</w:t>
            </w:r>
          </w:p>
        </w:tc>
        <w:tc>
          <w:tcPr>
            <w:tcW w:w="3006" w:type="dxa"/>
          </w:tcPr>
          <w:p w14:paraId="1E16B188" w14:textId="788A3DF4" w:rsidR="00E0042C" w:rsidRDefault="007954E4" w:rsidP="00E0042C">
            <w:r>
              <w:t>5</w:t>
            </w:r>
            <w:r w:rsidR="00245CED">
              <w:t>7</w:t>
            </w:r>
            <w:r>
              <w:t>.</w:t>
            </w:r>
            <w:r w:rsidR="00245CED">
              <w:t>17</w:t>
            </w:r>
          </w:p>
        </w:tc>
      </w:tr>
      <w:tr w:rsidR="00E0042C" w14:paraId="5F92B489" w14:textId="77777777" w:rsidTr="00E0042C">
        <w:tc>
          <w:tcPr>
            <w:tcW w:w="3005" w:type="dxa"/>
          </w:tcPr>
          <w:p w14:paraId="4EF96927" w14:textId="5684631E" w:rsidR="00E0042C" w:rsidRDefault="007954E4" w:rsidP="00E0042C">
            <w:r>
              <w:lastRenderedPageBreak/>
              <w:t>Strategic (</w:t>
            </w:r>
            <w:r>
              <w:rPr>
                <w:rFonts w:cstheme="minorHAnsi"/>
              </w:rPr>
              <w:t>≥</w:t>
            </w:r>
            <w:r>
              <w:t>200 dwellings</w:t>
            </w:r>
            <w:r w:rsidR="00245CED">
              <w:t xml:space="preserve"> or part of SDL</w:t>
            </w:r>
            <w:r>
              <w:t>)</w:t>
            </w:r>
          </w:p>
        </w:tc>
        <w:tc>
          <w:tcPr>
            <w:tcW w:w="3005" w:type="dxa"/>
          </w:tcPr>
          <w:p w14:paraId="5143D642" w14:textId="49102F05" w:rsidR="00E0042C" w:rsidRDefault="007954E4" w:rsidP="00E0042C">
            <w:r>
              <w:t>40.21</w:t>
            </w:r>
          </w:p>
        </w:tc>
        <w:tc>
          <w:tcPr>
            <w:tcW w:w="3006" w:type="dxa"/>
          </w:tcPr>
          <w:p w14:paraId="327F7AB1" w14:textId="456BE41D" w:rsidR="00E0042C" w:rsidRDefault="00245CED" w:rsidP="00E0042C">
            <w:r>
              <w:t>55</w:t>
            </w:r>
            <w:r w:rsidR="007954E4">
              <w:t>.</w:t>
            </w:r>
            <w:r>
              <w:t>64</w:t>
            </w:r>
          </w:p>
        </w:tc>
      </w:tr>
    </w:tbl>
    <w:p w14:paraId="16458CD0" w14:textId="77777777" w:rsidR="00E0042C" w:rsidRPr="00E0042C" w:rsidRDefault="00E0042C" w:rsidP="002B101E"/>
    <w:p w14:paraId="7F9203BF" w14:textId="37A17910" w:rsidR="00331ED5" w:rsidRPr="00412499" w:rsidRDefault="00FA76B4" w:rsidP="00EC0F33">
      <w:pPr>
        <w:pStyle w:val="Heading3"/>
      </w:pPr>
      <w:bookmarkStart w:id="14" w:name="_Toc163590715"/>
      <w:r>
        <w:t>Previously Developed Land and Development Types</w:t>
      </w:r>
      <w:bookmarkEnd w:id="14"/>
    </w:p>
    <w:p w14:paraId="6B25EA01" w14:textId="41DC6DEC" w:rsidR="000F1A74" w:rsidRDefault="000F1A74" w:rsidP="00D12420">
      <w:pPr>
        <w:pStyle w:val="ListParagraph"/>
        <w:ind w:left="0"/>
        <w:jc w:val="both"/>
        <w:rPr>
          <w:rFonts w:ascii="Arial" w:hAnsi="Arial" w:cs="Arial"/>
        </w:rPr>
      </w:pPr>
    </w:p>
    <w:p w14:paraId="571EA8CC" w14:textId="2311E988" w:rsidR="00A820B3" w:rsidRDefault="00E35081" w:rsidP="00D12420">
      <w:pPr>
        <w:pStyle w:val="ListParagraph"/>
        <w:ind w:left="0"/>
        <w:jc w:val="both"/>
        <w:rPr>
          <w:rFonts w:ascii="Arial" w:hAnsi="Arial" w:cs="Arial"/>
        </w:rPr>
      </w:pPr>
      <w:r>
        <w:rPr>
          <w:rFonts w:ascii="Arial" w:hAnsi="Arial" w:cs="Arial"/>
        </w:rPr>
        <w:t>6.</w:t>
      </w:r>
      <w:r w:rsidR="005C042E">
        <w:rPr>
          <w:rFonts w:ascii="Arial" w:hAnsi="Arial" w:cs="Arial"/>
        </w:rPr>
        <w:t>4</w:t>
      </w:r>
      <w:r>
        <w:rPr>
          <w:rFonts w:ascii="Arial" w:hAnsi="Arial" w:cs="Arial"/>
        </w:rPr>
        <w:tab/>
      </w:r>
      <w:r w:rsidR="00A820B3">
        <w:rPr>
          <w:rFonts w:ascii="Arial" w:hAnsi="Arial" w:cs="Arial"/>
        </w:rPr>
        <w:t>Data</w:t>
      </w:r>
      <w:r w:rsidR="00412499">
        <w:rPr>
          <w:rFonts w:ascii="Arial" w:hAnsi="Arial" w:cs="Arial"/>
        </w:rPr>
        <w:t xml:space="preserve"> relating to greenfield and </w:t>
      </w:r>
      <w:r w:rsidR="00DB4C3A">
        <w:rPr>
          <w:rFonts w:ascii="Arial" w:hAnsi="Arial" w:cs="Arial"/>
        </w:rPr>
        <w:t xml:space="preserve">previously developed </w:t>
      </w:r>
      <w:r w:rsidR="00412499">
        <w:rPr>
          <w:rFonts w:ascii="Arial" w:hAnsi="Arial" w:cs="Arial"/>
        </w:rPr>
        <w:t xml:space="preserve">sites demonstrates differences in average net density, with overall averages of </w:t>
      </w:r>
      <w:r w:rsidR="007954E4">
        <w:rPr>
          <w:rFonts w:ascii="Arial" w:hAnsi="Arial" w:cs="Arial"/>
        </w:rPr>
        <w:t>approximately 3</w:t>
      </w:r>
      <w:r w:rsidR="00245CED">
        <w:rPr>
          <w:rFonts w:ascii="Arial" w:hAnsi="Arial" w:cs="Arial"/>
        </w:rPr>
        <w:t>6</w:t>
      </w:r>
      <w:r w:rsidR="00412499">
        <w:rPr>
          <w:rFonts w:ascii="Arial" w:hAnsi="Arial" w:cs="Arial"/>
        </w:rPr>
        <w:t xml:space="preserve"> </w:t>
      </w:r>
      <w:proofErr w:type="spellStart"/>
      <w:r w:rsidR="00412499">
        <w:rPr>
          <w:rFonts w:ascii="Arial" w:hAnsi="Arial" w:cs="Arial"/>
        </w:rPr>
        <w:t>dph</w:t>
      </w:r>
      <w:proofErr w:type="spellEnd"/>
      <w:r w:rsidR="00412499">
        <w:rPr>
          <w:rFonts w:ascii="Arial" w:hAnsi="Arial" w:cs="Arial"/>
        </w:rPr>
        <w:t xml:space="preserve"> and a </w:t>
      </w:r>
      <w:r w:rsidR="007954E4">
        <w:rPr>
          <w:rFonts w:ascii="Arial" w:hAnsi="Arial" w:cs="Arial"/>
        </w:rPr>
        <w:t>43</w:t>
      </w:r>
      <w:r w:rsidR="00412499">
        <w:rPr>
          <w:rFonts w:ascii="Arial" w:hAnsi="Arial" w:cs="Arial"/>
        </w:rPr>
        <w:t xml:space="preserve"> </w:t>
      </w:r>
      <w:proofErr w:type="spellStart"/>
      <w:r w:rsidR="00412499">
        <w:rPr>
          <w:rFonts w:ascii="Arial" w:hAnsi="Arial" w:cs="Arial"/>
        </w:rPr>
        <w:t>dph</w:t>
      </w:r>
      <w:proofErr w:type="spellEnd"/>
      <w:r w:rsidR="00412499">
        <w:rPr>
          <w:rFonts w:ascii="Arial" w:hAnsi="Arial" w:cs="Arial"/>
        </w:rPr>
        <w:t xml:space="preserve"> respectively</w:t>
      </w:r>
      <w:r w:rsidR="0026010B">
        <w:rPr>
          <w:rFonts w:ascii="Arial" w:hAnsi="Arial" w:cs="Arial"/>
        </w:rPr>
        <w:t xml:space="preserve"> (see Figure 2)</w:t>
      </w:r>
      <w:r w:rsidR="00412499">
        <w:rPr>
          <w:rFonts w:ascii="Arial" w:hAnsi="Arial" w:cs="Arial"/>
        </w:rPr>
        <w:t>. The achievement of higher densities on brownfield sites is likely to be a result of multiple factors, including their location within urban</w:t>
      </w:r>
      <w:r w:rsidR="00292ED7">
        <w:rPr>
          <w:rFonts w:ascii="Arial" w:hAnsi="Arial" w:cs="Arial"/>
        </w:rPr>
        <w:t>ised</w:t>
      </w:r>
      <w:r w:rsidR="00412499">
        <w:rPr>
          <w:rFonts w:ascii="Arial" w:hAnsi="Arial" w:cs="Arial"/>
        </w:rPr>
        <w:t xml:space="preserve"> areas </w:t>
      </w:r>
      <w:r w:rsidR="00754662">
        <w:rPr>
          <w:rFonts w:ascii="Arial" w:hAnsi="Arial" w:cs="Arial"/>
        </w:rPr>
        <w:t>enabling</w:t>
      </w:r>
      <w:r w:rsidR="005A359F">
        <w:rPr>
          <w:rFonts w:ascii="Arial" w:hAnsi="Arial" w:cs="Arial"/>
        </w:rPr>
        <w:t xml:space="preserve"> higher density development consistent with the established context</w:t>
      </w:r>
      <w:r w:rsidR="00412499">
        <w:rPr>
          <w:rFonts w:ascii="Arial" w:hAnsi="Arial" w:cs="Arial"/>
        </w:rPr>
        <w:t>,</w:t>
      </w:r>
      <w:r w:rsidR="00A820B3">
        <w:rPr>
          <w:rFonts w:ascii="Arial" w:hAnsi="Arial" w:cs="Arial"/>
        </w:rPr>
        <w:t xml:space="preserve"> </w:t>
      </w:r>
      <w:r w:rsidR="00FA76B4">
        <w:rPr>
          <w:rFonts w:ascii="Arial" w:hAnsi="Arial" w:cs="Arial"/>
        </w:rPr>
        <w:t>and/</w:t>
      </w:r>
      <w:r w:rsidR="00A820B3">
        <w:rPr>
          <w:rFonts w:ascii="Arial" w:hAnsi="Arial" w:cs="Arial"/>
        </w:rPr>
        <w:t>or development through conversion or change of use</w:t>
      </w:r>
      <w:r w:rsidR="007954E4">
        <w:rPr>
          <w:rFonts w:ascii="Arial" w:hAnsi="Arial" w:cs="Arial"/>
        </w:rPr>
        <w:t xml:space="preserve"> of existing </w:t>
      </w:r>
      <w:r w:rsidR="0026010B">
        <w:rPr>
          <w:rFonts w:ascii="Arial" w:hAnsi="Arial" w:cs="Arial"/>
        </w:rPr>
        <w:t xml:space="preserve">non-residential </w:t>
      </w:r>
      <w:r w:rsidR="007954E4">
        <w:rPr>
          <w:rFonts w:ascii="Arial" w:hAnsi="Arial" w:cs="Arial"/>
        </w:rPr>
        <w:t>buildings</w:t>
      </w:r>
      <w:r w:rsidR="00FA76B4">
        <w:rPr>
          <w:rFonts w:ascii="Arial" w:hAnsi="Arial" w:cs="Arial"/>
        </w:rPr>
        <w:t xml:space="preserve"> with capacity for high residential densities</w:t>
      </w:r>
      <w:r w:rsidR="00A820B3">
        <w:rPr>
          <w:rFonts w:ascii="Arial" w:hAnsi="Arial" w:cs="Arial"/>
        </w:rPr>
        <w:t>.</w:t>
      </w:r>
      <w:r w:rsidR="00FA76B4">
        <w:rPr>
          <w:rFonts w:ascii="Arial" w:hAnsi="Arial" w:cs="Arial"/>
        </w:rPr>
        <w:t xml:space="preserve"> Differences between average net densities for various development types are further illustrated by Figure 3. This shows that developments resulting from conversion and changes of use have higher densities than new development. </w:t>
      </w:r>
    </w:p>
    <w:p w14:paraId="353019B6" w14:textId="34BEADC2" w:rsidR="0026010B" w:rsidRDefault="0026010B" w:rsidP="00D12420">
      <w:pPr>
        <w:pStyle w:val="ListParagraph"/>
        <w:ind w:left="0"/>
        <w:jc w:val="both"/>
        <w:rPr>
          <w:rFonts w:ascii="Arial" w:hAnsi="Arial" w:cs="Arial"/>
        </w:rPr>
      </w:pPr>
    </w:p>
    <w:p w14:paraId="315B11E2" w14:textId="77777777" w:rsidR="0026010B" w:rsidRDefault="0026010B" w:rsidP="00D12420">
      <w:pPr>
        <w:pStyle w:val="ListParagraph"/>
        <w:ind w:left="0"/>
        <w:jc w:val="both"/>
        <w:rPr>
          <w:rFonts w:ascii="Arial" w:hAnsi="Arial" w:cs="Arial"/>
        </w:rPr>
      </w:pPr>
    </w:p>
    <w:p w14:paraId="3F73368B" w14:textId="7FC9CC4B" w:rsidR="0026010B" w:rsidRDefault="00245CED" w:rsidP="002B101E">
      <w:pPr>
        <w:pStyle w:val="ListParagraph"/>
        <w:keepNext/>
        <w:ind w:left="0"/>
        <w:jc w:val="center"/>
      </w:pPr>
      <w:r>
        <w:rPr>
          <w:noProof/>
        </w:rPr>
        <w:drawing>
          <wp:inline distT="0" distB="0" distL="0" distR="0" wp14:anchorId="7BAF4776" wp14:editId="0D4ED3B5">
            <wp:extent cx="4572000" cy="2743200"/>
            <wp:effectExtent l="0" t="0" r="0" b="0"/>
            <wp:docPr id="20" name="Chart 20" descr="Bar chart comparing average densities of greenfield and brownfield developments. Illustrates higher densities achieved on previously developed land. ">
              <a:extLst xmlns:a="http://schemas.openxmlformats.org/drawingml/2006/main">
                <a:ext uri="{FF2B5EF4-FFF2-40B4-BE49-F238E27FC236}">
                  <a16:creationId xmlns:a16="http://schemas.microsoft.com/office/drawing/2014/main" id="{1B43B2E8-6E2C-441C-8CC3-C5AF243F5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E37A16" w14:textId="52E4992E" w:rsidR="00412499" w:rsidRDefault="0026010B" w:rsidP="0026010B">
      <w:pPr>
        <w:pStyle w:val="Caption"/>
        <w:jc w:val="both"/>
      </w:pPr>
      <w:r>
        <w:t xml:space="preserve">Figure </w:t>
      </w:r>
      <w:fldSimple w:instr=" SEQ Figure \* ARABIC ">
        <w:r w:rsidR="00EC0F33">
          <w:rPr>
            <w:noProof/>
          </w:rPr>
          <w:t>2</w:t>
        </w:r>
      </w:fldSimple>
    </w:p>
    <w:p w14:paraId="1B1C3523" w14:textId="6644F9F6" w:rsidR="0026010B" w:rsidRDefault="00245CED" w:rsidP="002B101E">
      <w:pPr>
        <w:keepNext/>
        <w:jc w:val="center"/>
      </w:pPr>
      <w:r>
        <w:rPr>
          <w:noProof/>
        </w:rPr>
        <w:lastRenderedPageBreak/>
        <w:drawing>
          <wp:inline distT="0" distB="0" distL="0" distR="0" wp14:anchorId="7F3645AE" wp14:editId="1795DA65">
            <wp:extent cx="4572000" cy="2919413"/>
            <wp:effectExtent l="0" t="0" r="0" b="14605"/>
            <wp:docPr id="26" name="Chart 26" descr="Bar chart showing relative densities of developments according to development type. Illustrates higher densities achieved via schemes involving change of use, conversion or new development, compared with residential or non-residential redevelopment, or sub-division of existing buildings.">
              <a:extLst xmlns:a="http://schemas.openxmlformats.org/drawingml/2006/main">
                <a:ext uri="{FF2B5EF4-FFF2-40B4-BE49-F238E27FC236}">
                  <a16:creationId xmlns:a16="http://schemas.microsoft.com/office/drawing/2014/main" id="{F497492B-5E58-47FD-836E-6FB9CC48C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B99F72" w14:textId="304FDCD7" w:rsidR="0026010B" w:rsidRPr="002B101E" w:rsidRDefault="0026010B" w:rsidP="002B101E">
      <w:pPr>
        <w:pStyle w:val="Caption"/>
      </w:pPr>
      <w:r>
        <w:t xml:space="preserve">Figure </w:t>
      </w:r>
      <w:fldSimple w:instr=" SEQ Figure \* ARABIC ">
        <w:r w:rsidR="00EC0F33">
          <w:rPr>
            <w:noProof/>
          </w:rPr>
          <w:t>3</w:t>
        </w:r>
      </w:fldSimple>
    </w:p>
    <w:p w14:paraId="660C275B" w14:textId="66861757" w:rsidR="00DB4C3A" w:rsidRDefault="00DB4C3A" w:rsidP="00D12420">
      <w:pPr>
        <w:pStyle w:val="ListParagraph"/>
        <w:ind w:left="0"/>
        <w:jc w:val="both"/>
      </w:pPr>
    </w:p>
    <w:p w14:paraId="3DA53E84" w14:textId="25E6E1BC" w:rsidR="00412499" w:rsidRDefault="00412499" w:rsidP="00D12420">
      <w:pPr>
        <w:pStyle w:val="ListParagraph"/>
        <w:ind w:left="0"/>
        <w:jc w:val="both"/>
        <w:rPr>
          <w:rFonts w:ascii="Arial" w:hAnsi="Arial" w:cs="Arial"/>
        </w:rPr>
      </w:pPr>
    </w:p>
    <w:p w14:paraId="256EB32E" w14:textId="41C4335F" w:rsidR="00BF44C4" w:rsidRPr="002B101E" w:rsidRDefault="00BF44C4" w:rsidP="00EC0F33">
      <w:pPr>
        <w:pStyle w:val="Heading3"/>
      </w:pPr>
      <w:bookmarkStart w:id="15" w:name="_Toc163590716"/>
      <w:r w:rsidRPr="002B101E">
        <w:t>Housing Mix</w:t>
      </w:r>
      <w:bookmarkEnd w:id="15"/>
    </w:p>
    <w:p w14:paraId="1EF3A080" w14:textId="3E3CF9E6" w:rsidR="00BF44C4" w:rsidRDefault="00BF44C4" w:rsidP="00D12420">
      <w:pPr>
        <w:pStyle w:val="ListParagraph"/>
        <w:ind w:left="0"/>
        <w:jc w:val="both"/>
        <w:rPr>
          <w:rFonts w:ascii="Arial" w:hAnsi="Arial" w:cs="Arial"/>
        </w:rPr>
      </w:pPr>
    </w:p>
    <w:p w14:paraId="444BB6A9" w14:textId="6BCA4F71" w:rsidR="009F7EF9" w:rsidRDefault="005C042E" w:rsidP="00D12420">
      <w:pPr>
        <w:pStyle w:val="ListParagraph"/>
        <w:ind w:left="0"/>
        <w:jc w:val="both"/>
        <w:rPr>
          <w:rFonts w:ascii="Arial" w:hAnsi="Arial" w:cs="Arial"/>
        </w:rPr>
      </w:pPr>
      <w:r>
        <w:rPr>
          <w:rFonts w:ascii="Arial" w:hAnsi="Arial" w:cs="Arial"/>
        </w:rPr>
        <w:t>6.5</w:t>
      </w:r>
      <w:r>
        <w:rPr>
          <w:rFonts w:ascii="Arial" w:hAnsi="Arial" w:cs="Arial"/>
        </w:rPr>
        <w:tab/>
      </w:r>
      <w:r w:rsidR="009F7EF9">
        <w:rPr>
          <w:rFonts w:ascii="Arial" w:hAnsi="Arial" w:cs="Arial"/>
        </w:rPr>
        <w:t xml:space="preserve">Analysis of densities for developments with varying dwelling mixes identified an average density of 28 </w:t>
      </w:r>
      <w:proofErr w:type="spellStart"/>
      <w:r w:rsidR="009F7EF9">
        <w:rPr>
          <w:rFonts w:ascii="Arial" w:hAnsi="Arial" w:cs="Arial"/>
        </w:rPr>
        <w:t>dph</w:t>
      </w:r>
      <w:proofErr w:type="spellEnd"/>
      <w:r w:rsidR="009F7EF9">
        <w:rPr>
          <w:rFonts w:ascii="Arial" w:hAnsi="Arial" w:cs="Arial"/>
        </w:rPr>
        <w:t xml:space="preserve"> where developments were predominantly (more than 50%) houses, in comparison to 8</w:t>
      </w:r>
      <w:r w:rsidR="00245CED">
        <w:rPr>
          <w:rFonts w:ascii="Arial" w:hAnsi="Arial" w:cs="Arial"/>
        </w:rPr>
        <w:t>4</w:t>
      </w:r>
      <w:r w:rsidR="009F7EF9">
        <w:rPr>
          <w:rFonts w:ascii="Arial" w:hAnsi="Arial" w:cs="Arial"/>
        </w:rPr>
        <w:t xml:space="preserve"> </w:t>
      </w:r>
      <w:proofErr w:type="spellStart"/>
      <w:r w:rsidR="009F7EF9">
        <w:rPr>
          <w:rFonts w:ascii="Arial" w:hAnsi="Arial" w:cs="Arial"/>
        </w:rPr>
        <w:t>dph</w:t>
      </w:r>
      <w:proofErr w:type="spellEnd"/>
      <w:r w:rsidR="009F7EF9">
        <w:rPr>
          <w:rFonts w:ascii="Arial" w:hAnsi="Arial" w:cs="Arial"/>
        </w:rPr>
        <w:t xml:space="preserve"> for developments which were predominantly comprised of flats. Further analysis, illustrated by Figure 4, identified that 38% of predominantly housing developments were </w:t>
      </w:r>
      <w:r w:rsidR="001E6EEC">
        <w:rPr>
          <w:rFonts w:ascii="Arial" w:hAnsi="Arial" w:cs="Arial"/>
        </w:rPr>
        <w:t xml:space="preserve">permitted </w:t>
      </w:r>
      <w:r w:rsidR="009F7EF9">
        <w:rPr>
          <w:rFonts w:ascii="Arial" w:hAnsi="Arial" w:cs="Arial"/>
        </w:rPr>
        <w:t xml:space="preserve">for greenfield sites, compared with 21% of predominantly flatted developments. </w:t>
      </w:r>
      <w:r w:rsidR="001E6EEC">
        <w:rPr>
          <w:rFonts w:ascii="Arial" w:hAnsi="Arial" w:cs="Arial"/>
        </w:rPr>
        <w:t xml:space="preserve">This demonstrates a relationship between the two variables, in that higher density developments comprised of a high proportion of flats are more typically permitted on previously developed land. </w:t>
      </w:r>
      <w:r w:rsidR="009F7EF9">
        <w:rPr>
          <w:rFonts w:ascii="Arial" w:hAnsi="Arial" w:cs="Arial"/>
        </w:rPr>
        <w:t xml:space="preserve">   </w:t>
      </w:r>
    </w:p>
    <w:p w14:paraId="3DF3BFA2" w14:textId="77777777" w:rsidR="00BF44C4" w:rsidRDefault="00BF44C4" w:rsidP="00D12420">
      <w:pPr>
        <w:pStyle w:val="ListParagraph"/>
        <w:ind w:left="0"/>
        <w:jc w:val="both"/>
        <w:rPr>
          <w:rFonts w:ascii="Arial" w:hAnsi="Arial" w:cs="Arial"/>
        </w:rPr>
      </w:pPr>
    </w:p>
    <w:p w14:paraId="1E2CEFB5" w14:textId="325DBB75" w:rsidR="0092095E" w:rsidRDefault="00917086" w:rsidP="002B101E">
      <w:pPr>
        <w:pStyle w:val="ListParagraph"/>
        <w:keepNext/>
        <w:ind w:left="0"/>
        <w:jc w:val="center"/>
      </w:pPr>
      <w:r>
        <w:rPr>
          <w:noProof/>
        </w:rPr>
        <w:drawing>
          <wp:inline distT="0" distB="0" distL="0" distR="0" wp14:anchorId="50ED4D12" wp14:editId="19DE5754">
            <wp:extent cx="4572000" cy="2743200"/>
            <wp:effectExtent l="0" t="0" r="0" b="0"/>
            <wp:docPr id="29" name="Chart 29" descr="Bar and line graph comparing average densities for development schemes comprised predominantly of houses (lower density) versus flats (higher density). Also compares greenfield and brownfield sites, illustrating relationship between proportion of flats and percentage of schemes on previously developed land.">
              <a:extLst xmlns:a="http://schemas.openxmlformats.org/drawingml/2006/main">
                <a:ext uri="{FF2B5EF4-FFF2-40B4-BE49-F238E27FC236}">
                  <a16:creationId xmlns:a16="http://schemas.microsoft.com/office/drawing/2014/main" id="{3F32F88D-4CF6-4E82-98A1-1B29C46F37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515B8D" w14:textId="69264334" w:rsidR="00BF44C4" w:rsidRDefault="0092095E" w:rsidP="002B101E">
      <w:pPr>
        <w:pStyle w:val="Caption"/>
        <w:rPr>
          <w:rFonts w:ascii="Arial" w:hAnsi="Arial" w:cs="Arial"/>
        </w:rPr>
      </w:pPr>
      <w:r>
        <w:t xml:space="preserve">Figure </w:t>
      </w:r>
      <w:fldSimple w:instr=" SEQ Figure \* ARABIC ">
        <w:r w:rsidR="00EC0F33">
          <w:rPr>
            <w:noProof/>
          </w:rPr>
          <w:t>4</w:t>
        </w:r>
      </w:fldSimple>
    </w:p>
    <w:p w14:paraId="7780509E" w14:textId="77A25D7F" w:rsidR="00412499" w:rsidRPr="00D12420" w:rsidRDefault="00412499" w:rsidP="00D12420">
      <w:pPr>
        <w:pStyle w:val="ListParagraph"/>
        <w:ind w:left="0"/>
        <w:jc w:val="both"/>
        <w:rPr>
          <w:rFonts w:ascii="Arial" w:hAnsi="Arial" w:cs="Arial"/>
        </w:rPr>
      </w:pPr>
    </w:p>
    <w:p w14:paraId="7DDC4C91" w14:textId="1B8BFEE4" w:rsidR="00670E02" w:rsidRPr="00A0215C" w:rsidRDefault="00F74545" w:rsidP="00EC0F33">
      <w:pPr>
        <w:pStyle w:val="Heading3"/>
      </w:pPr>
      <w:bookmarkStart w:id="16" w:name="_Toc163590717"/>
      <w:r w:rsidRPr="00A0215C">
        <w:t>Settlement Hierarchy and Proximity to Settlement Boundaries</w:t>
      </w:r>
      <w:bookmarkEnd w:id="16"/>
      <w:r w:rsidRPr="00A0215C">
        <w:t xml:space="preserve"> </w:t>
      </w:r>
    </w:p>
    <w:p w14:paraId="71A5C92D" w14:textId="7C7DA21D" w:rsidR="00A820B3" w:rsidRDefault="00A820B3" w:rsidP="00670E02">
      <w:pPr>
        <w:pStyle w:val="ListParagraph"/>
        <w:ind w:left="0"/>
        <w:jc w:val="both"/>
        <w:rPr>
          <w:rFonts w:ascii="Arial" w:hAnsi="Arial" w:cs="Arial"/>
        </w:rPr>
      </w:pPr>
    </w:p>
    <w:p w14:paraId="77414D51" w14:textId="3D7626E5" w:rsidR="008D3D6F" w:rsidRPr="007A16AB" w:rsidRDefault="00E35081" w:rsidP="00670E02">
      <w:pPr>
        <w:pStyle w:val="ListParagraph"/>
        <w:ind w:left="0"/>
        <w:jc w:val="both"/>
        <w:rPr>
          <w:rFonts w:ascii="Arial" w:hAnsi="Arial" w:cs="Arial"/>
        </w:rPr>
      </w:pPr>
      <w:r>
        <w:rPr>
          <w:rFonts w:ascii="Arial" w:hAnsi="Arial" w:cs="Arial"/>
        </w:rPr>
        <w:t>6.</w:t>
      </w:r>
      <w:r w:rsidR="005C042E">
        <w:rPr>
          <w:rFonts w:ascii="Arial" w:hAnsi="Arial" w:cs="Arial"/>
        </w:rPr>
        <w:t>6</w:t>
      </w:r>
      <w:r>
        <w:rPr>
          <w:rFonts w:ascii="Arial" w:hAnsi="Arial" w:cs="Arial"/>
        </w:rPr>
        <w:tab/>
      </w:r>
      <w:r w:rsidR="00A0215C">
        <w:rPr>
          <w:rFonts w:ascii="Arial" w:hAnsi="Arial" w:cs="Arial"/>
        </w:rPr>
        <w:t xml:space="preserve">Analysis indicates density delivery adheres to the settlement hierarchy, with an overall average net density of </w:t>
      </w:r>
      <w:r w:rsidR="00007A36">
        <w:rPr>
          <w:rFonts w:ascii="Arial" w:hAnsi="Arial" w:cs="Arial"/>
        </w:rPr>
        <w:t>66</w:t>
      </w:r>
      <w:r w:rsidR="00A0215C">
        <w:rPr>
          <w:rFonts w:ascii="Arial" w:hAnsi="Arial" w:cs="Arial"/>
        </w:rPr>
        <w:t xml:space="preserve"> </w:t>
      </w:r>
      <w:proofErr w:type="spellStart"/>
      <w:r w:rsidR="00A0215C">
        <w:rPr>
          <w:rFonts w:ascii="Arial" w:hAnsi="Arial" w:cs="Arial"/>
        </w:rPr>
        <w:t>dph</w:t>
      </w:r>
      <w:proofErr w:type="spellEnd"/>
      <w:r w:rsidR="00A0215C">
        <w:rPr>
          <w:rFonts w:ascii="Arial" w:hAnsi="Arial" w:cs="Arial"/>
        </w:rPr>
        <w:t xml:space="preserve"> being achieved in Chichester City, the sub-regional centre, and 4</w:t>
      </w:r>
      <w:r w:rsidR="00917086">
        <w:rPr>
          <w:rFonts w:ascii="Arial" w:hAnsi="Arial" w:cs="Arial"/>
        </w:rPr>
        <w:t>8</w:t>
      </w:r>
      <w:r w:rsidR="00A0215C">
        <w:rPr>
          <w:rFonts w:ascii="Arial" w:hAnsi="Arial" w:cs="Arial"/>
        </w:rPr>
        <w:t xml:space="preserve"> </w:t>
      </w:r>
      <w:proofErr w:type="spellStart"/>
      <w:r w:rsidR="00A0215C">
        <w:rPr>
          <w:rFonts w:ascii="Arial" w:hAnsi="Arial" w:cs="Arial"/>
        </w:rPr>
        <w:t>dph</w:t>
      </w:r>
      <w:proofErr w:type="spellEnd"/>
      <w:r w:rsidR="00A0215C">
        <w:rPr>
          <w:rFonts w:ascii="Arial" w:hAnsi="Arial" w:cs="Arial"/>
        </w:rPr>
        <w:t xml:space="preserve"> within the settlement hubs (East Wittering and Bracklesham, </w:t>
      </w:r>
      <w:proofErr w:type="spellStart"/>
      <w:r w:rsidR="00A0215C">
        <w:rPr>
          <w:rFonts w:ascii="Arial" w:hAnsi="Arial" w:cs="Arial"/>
        </w:rPr>
        <w:t>Selsey</w:t>
      </w:r>
      <w:proofErr w:type="spellEnd"/>
      <w:r w:rsidR="00A0215C">
        <w:rPr>
          <w:rFonts w:ascii="Arial" w:hAnsi="Arial" w:cs="Arial"/>
        </w:rPr>
        <w:t xml:space="preserve">, Southbourne and Tangmere). Average densities within service villages and the </w:t>
      </w:r>
      <w:r w:rsidR="00DF0764">
        <w:rPr>
          <w:rFonts w:ascii="Arial" w:hAnsi="Arial" w:cs="Arial"/>
        </w:rPr>
        <w:t>ROPA</w:t>
      </w:r>
      <w:r w:rsidR="00A0215C">
        <w:rPr>
          <w:rFonts w:ascii="Arial" w:hAnsi="Arial" w:cs="Arial"/>
        </w:rPr>
        <w:t xml:space="preserve"> were below the recommended 35 </w:t>
      </w:r>
      <w:proofErr w:type="spellStart"/>
      <w:r w:rsidR="00A0215C">
        <w:rPr>
          <w:rFonts w:ascii="Arial" w:hAnsi="Arial" w:cs="Arial"/>
        </w:rPr>
        <w:t>dph</w:t>
      </w:r>
      <w:proofErr w:type="spellEnd"/>
      <w:r w:rsidR="00A0215C">
        <w:rPr>
          <w:rFonts w:ascii="Arial" w:hAnsi="Arial" w:cs="Arial"/>
        </w:rPr>
        <w:t xml:space="preserve"> minimum, at approx. </w:t>
      </w:r>
      <w:r w:rsidR="00007A36">
        <w:rPr>
          <w:rFonts w:ascii="Arial" w:hAnsi="Arial" w:cs="Arial"/>
        </w:rPr>
        <w:t xml:space="preserve">27 </w:t>
      </w:r>
      <w:r w:rsidR="00917086">
        <w:rPr>
          <w:rFonts w:ascii="Arial" w:hAnsi="Arial" w:cs="Arial"/>
        </w:rPr>
        <w:t xml:space="preserve">and 24 </w:t>
      </w:r>
      <w:proofErr w:type="spellStart"/>
      <w:r w:rsidR="00A0215C">
        <w:rPr>
          <w:rFonts w:ascii="Arial" w:hAnsi="Arial" w:cs="Arial"/>
        </w:rPr>
        <w:t>dph</w:t>
      </w:r>
      <w:proofErr w:type="spellEnd"/>
      <w:r w:rsidR="00A0215C">
        <w:rPr>
          <w:rFonts w:ascii="Arial" w:hAnsi="Arial" w:cs="Arial"/>
        </w:rPr>
        <w:t xml:space="preserve"> in these more rural and less accessible locations</w:t>
      </w:r>
      <w:r w:rsidR="008D3D6F">
        <w:rPr>
          <w:rFonts w:ascii="Arial" w:hAnsi="Arial" w:cs="Arial"/>
        </w:rPr>
        <w:t xml:space="preserve"> (see Figure </w:t>
      </w:r>
      <w:r w:rsidR="00B733CF">
        <w:rPr>
          <w:rFonts w:ascii="Arial" w:hAnsi="Arial" w:cs="Arial"/>
        </w:rPr>
        <w:t>5</w:t>
      </w:r>
      <w:r w:rsidR="008D3D6F">
        <w:rPr>
          <w:rFonts w:ascii="Arial" w:hAnsi="Arial" w:cs="Arial"/>
        </w:rPr>
        <w:t>)</w:t>
      </w:r>
      <w:r w:rsidR="00A0215C">
        <w:rPr>
          <w:rFonts w:ascii="Arial" w:hAnsi="Arial" w:cs="Arial"/>
        </w:rPr>
        <w:t>.</w:t>
      </w:r>
    </w:p>
    <w:p w14:paraId="1F400CF8" w14:textId="1D37C7D3" w:rsidR="008D3D6F" w:rsidRDefault="008D3D6F" w:rsidP="008D3D6F">
      <w:pPr>
        <w:pStyle w:val="Caption"/>
        <w:keepNext/>
        <w:jc w:val="both"/>
      </w:pPr>
    </w:p>
    <w:p w14:paraId="7AC13355" w14:textId="7FF9B746" w:rsidR="00A0215C" w:rsidRDefault="00A0215C" w:rsidP="00670E02">
      <w:pPr>
        <w:pStyle w:val="ListParagraph"/>
        <w:ind w:left="0"/>
        <w:jc w:val="both"/>
        <w:rPr>
          <w:rFonts w:ascii="Arial" w:hAnsi="Arial" w:cs="Arial"/>
        </w:rPr>
      </w:pPr>
    </w:p>
    <w:p w14:paraId="3020166C" w14:textId="51661543" w:rsidR="00007A36" w:rsidRDefault="00007A36" w:rsidP="00670E02">
      <w:pPr>
        <w:pStyle w:val="ListParagraph"/>
        <w:ind w:left="0"/>
        <w:jc w:val="both"/>
        <w:rPr>
          <w:rFonts w:ascii="Arial" w:hAnsi="Arial" w:cs="Arial"/>
        </w:rPr>
      </w:pPr>
    </w:p>
    <w:p w14:paraId="0D019079" w14:textId="7B28633D" w:rsidR="00007A36" w:rsidRDefault="00917086" w:rsidP="002B101E">
      <w:pPr>
        <w:pStyle w:val="ListParagraph"/>
        <w:keepNext/>
        <w:ind w:left="0"/>
        <w:jc w:val="center"/>
      </w:pPr>
      <w:r>
        <w:rPr>
          <w:noProof/>
        </w:rPr>
        <w:drawing>
          <wp:inline distT="0" distB="0" distL="0" distR="0" wp14:anchorId="577405EF" wp14:editId="102D967A">
            <wp:extent cx="4572000" cy="2743200"/>
            <wp:effectExtent l="0" t="0" r="0" b="0"/>
            <wp:docPr id="30" name="Chart 30" descr="Bar chart comparing densities of development within Chichester city, settlement hubs, service villages and the rest of plan area, illustrating a proportionate relationship between higher order settlements and higher densities.">
              <a:extLst xmlns:a="http://schemas.openxmlformats.org/drawingml/2006/main">
                <a:ext uri="{FF2B5EF4-FFF2-40B4-BE49-F238E27FC236}">
                  <a16:creationId xmlns:a16="http://schemas.microsoft.com/office/drawing/2014/main" id="{4C32682D-DBC6-46D4-A0C9-85E4EE175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4A7BE3" w14:textId="6571F9C9" w:rsidR="00007A36" w:rsidRDefault="00007A36" w:rsidP="002B101E">
      <w:pPr>
        <w:pStyle w:val="Caption"/>
        <w:rPr>
          <w:rFonts w:ascii="Arial" w:hAnsi="Arial" w:cs="Arial"/>
        </w:rPr>
      </w:pPr>
      <w:r>
        <w:t xml:space="preserve">Figure </w:t>
      </w:r>
      <w:r w:rsidR="00B733CF">
        <w:t>5</w:t>
      </w:r>
    </w:p>
    <w:p w14:paraId="6733B84D" w14:textId="46324806" w:rsidR="007A16AB" w:rsidRDefault="007A16AB" w:rsidP="00670E02">
      <w:pPr>
        <w:pStyle w:val="ListParagraph"/>
        <w:ind w:left="0"/>
        <w:jc w:val="both"/>
        <w:rPr>
          <w:rFonts w:ascii="Arial" w:hAnsi="Arial" w:cs="Arial"/>
        </w:rPr>
      </w:pPr>
    </w:p>
    <w:p w14:paraId="1201F728" w14:textId="1BFE64DA" w:rsidR="007A16AB" w:rsidRDefault="00E35081" w:rsidP="00670E02">
      <w:pPr>
        <w:pStyle w:val="ListParagraph"/>
        <w:ind w:left="0"/>
        <w:jc w:val="both"/>
        <w:rPr>
          <w:rFonts w:ascii="Arial" w:hAnsi="Arial" w:cs="Arial"/>
        </w:rPr>
      </w:pPr>
      <w:r>
        <w:rPr>
          <w:rFonts w:ascii="Arial" w:hAnsi="Arial" w:cs="Arial"/>
        </w:rPr>
        <w:t>6.</w:t>
      </w:r>
      <w:r w:rsidR="005C042E">
        <w:rPr>
          <w:rFonts w:ascii="Arial" w:hAnsi="Arial" w:cs="Arial"/>
        </w:rPr>
        <w:t>7</w:t>
      </w:r>
      <w:r>
        <w:rPr>
          <w:rFonts w:ascii="Arial" w:hAnsi="Arial" w:cs="Arial"/>
        </w:rPr>
        <w:tab/>
      </w:r>
      <w:r w:rsidR="007A16AB">
        <w:rPr>
          <w:rFonts w:ascii="Arial" w:hAnsi="Arial" w:cs="Arial"/>
        </w:rPr>
        <w:t xml:space="preserve">In terms of proximity to settlement boundaries, the most conducive </w:t>
      </w:r>
      <w:r w:rsidR="00006B67">
        <w:rPr>
          <w:rFonts w:ascii="Arial" w:hAnsi="Arial" w:cs="Arial"/>
        </w:rPr>
        <w:t>location</w:t>
      </w:r>
      <w:r w:rsidR="007A16AB">
        <w:rPr>
          <w:rFonts w:ascii="Arial" w:hAnsi="Arial" w:cs="Arial"/>
        </w:rPr>
        <w:t xml:space="preserve"> for higher densities was determined to be within the settlement boundary</w:t>
      </w:r>
      <w:r w:rsidR="00007A36">
        <w:rPr>
          <w:rFonts w:ascii="Arial" w:hAnsi="Arial" w:cs="Arial"/>
        </w:rPr>
        <w:t xml:space="preserve"> (SB)</w:t>
      </w:r>
      <w:r w:rsidR="007A16AB">
        <w:rPr>
          <w:rFonts w:ascii="Arial" w:hAnsi="Arial" w:cs="Arial"/>
        </w:rPr>
        <w:t xml:space="preserve">, with an average net density of </w:t>
      </w:r>
      <w:r w:rsidR="00EB62F6">
        <w:rPr>
          <w:rFonts w:ascii="Arial" w:hAnsi="Arial" w:cs="Arial"/>
        </w:rPr>
        <w:t>50</w:t>
      </w:r>
      <w:r w:rsidR="007A16AB">
        <w:rPr>
          <w:rFonts w:ascii="Arial" w:hAnsi="Arial" w:cs="Arial"/>
        </w:rPr>
        <w:t xml:space="preserve"> </w:t>
      </w:r>
      <w:proofErr w:type="spellStart"/>
      <w:r w:rsidR="007A16AB">
        <w:rPr>
          <w:rFonts w:ascii="Arial" w:hAnsi="Arial" w:cs="Arial"/>
        </w:rPr>
        <w:t>dph</w:t>
      </w:r>
      <w:proofErr w:type="spellEnd"/>
      <w:r w:rsidR="007A16AB">
        <w:rPr>
          <w:rFonts w:ascii="Arial" w:hAnsi="Arial" w:cs="Arial"/>
        </w:rPr>
        <w:t xml:space="preserve"> </w:t>
      </w:r>
      <w:r w:rsidR="00EB62F6">
        <w:rPr>
          <w:rFonts w:ascii="Arial" w:hAnsi="Arial" w:cs="Arial"/>
        </w:rPr>
        <w:t xml:space="preserve">(see Figure </w:t>
      </w:r>
      <w:r w:rsidR="00B733CF">
        <w:rPr>
          <w:rFonts w:ascii="Arial" w:hAnsi="Arial" w:cs="Arial"/>
        </w:rPr>
        <w:t>6</w:t>
      </w:r>
      <w:r w:rsidR="00EB62F6">
        <w:rPr>
          <w:rFonts w:ascii="Arial" w:hAnsi="Arial" w:cs="Arial"/>
        </w:rPr>
        <w:t>)</w:t>
      </w:r>
      <w:r w:rsidR="00BF0EC0">
        <w:rPr>
          <w:rFonts w:ascii="Arial" w:hAnsi="Arial" w:cs="Arial"/>
        </w:rPr>
        <w:t xml:space="preserve">. </w:t>
      </w:r>
      <w:r w:rsidR="007A16AB">
        <w:rPr>
          <w:rFonts w:ascii="Arial" w:hAnsi="Arial" w:cs="Arial"/>
        </w:rPr>
        <w:t>A</w:t>
      </w:r>
      <w:r w:rsidR="00EB62F6">
        <w:rPr>
          <w:rFonts w:ascii="Arial" w:hAnsi="Arial" w:cs="Arial"/>
        </w:rPr>
        <w:t>n</w:t>
      </w:r>
      <w:r w:rsidR="007A16AB">
        <w:rPr>
          <w:rFonts w:ascii="Arial" w:hAnsi="Arial" w:cs="Arial"/>
        </w:rPr>
        <w:t xml:space="preserve"> overall average </w:t>
      </w:r>
      <w:r w:rsidR="000F1A4C">
        <w:rPr>
          <w:rFonts w:ascii="Arial" w:hAnsi="Arial" w:cs="Arial"/>
        </w:rPr>
        <w:t xml:space="preserve">net density </w:t>
      </w:r>
      <w:r w:rsidR="00EB62F6">
        <w:rPr>
          <w:rFonts w:ascii="Arial" w:hAnsi="Arial" w:cs="Arial"/>
        </w:rPr>
        <w:t xml:space="preserve">of 39 </w:t>
      </w:r>
      <w:proofErr w:type="spellStart"/>
      <w:r w:rsidR="00EB62F6">
        <w:rPr>
          <w:rFonts w:ascii="Arial" w:hAnsi="Arial" w:cs="Arial"/>
        </w:rPr>
        <w:t>dph</w:t>
      </w:r>
      <w:proofErr w:type="spellEnd"/>
      <w:r w:rsidR="00EB62F6">
        <w:rPr>
          <w:rFonts w:ascii="Arial" w:hAnsi="Arial" w:cs="Arial"/>
        </w:rPr>
        <w:t xml:space="preserve"> </w:t>
      </w:r>
      <w:r w:rsidR="007A16AB">
        <w:rPr>
          <w:rFonts w:ascii="Arial" w:hAnsi="Arial" w:cs="Arial"/>
        </w:rPr>
        <w:t>was achieved by development outside of but adjacent</w:t>
      </w:r>
      <w:r w:rsidR="00EB62F6">
        <w:rPr>
          <w:rFonts w:ascii="Arial" w:hAnsi="Arial" w:cs="Arial"/>
        </w:rPr>
        <w:t xml:space="preserve"> or near</w:t>
      </w:r>
      <w:r w:rsidR="007A16AB">
        <w:rPr>
          <w:rFonts w:ascii="Arial" w:hAnsi="Arial" w:cs="Arial"/>
        </w:rPr>
        <w:t xml:space="preserve"> to the settlement boundary</w:t>
      </w:r>
      <w:r w:rsidR="00EB62F6">
        <w:rPr>
          <w:rFonts w:ascii="Arial" w:hAnsi="Arial" w:cs="Arial"/>
        </w:rPr>
        <w:t>. 6</w:t>
      </w:r>
      <w:r w:rsidR="00917086">
        <w:rPr>
          <w:rFonts w:ascii="Arial" w:hAnsi="Arial" w:cs="Arial"/>
        </w:rPr>
        <w:t>1</w:t>
      </w:r>
      <w:r w:rsidR="00EB62F6">
        <w:rPr>
          <w:rFonts w:ascii="Arial" w:hAnsi="Arial" w:cs="Arial"/>
        </w:rPr>
        <w:t>% of developments within this category were new developments on greenfield land.</w:t>
      </w:r>
      <w:r w:rsidR="0095295E">
        <w:rPr>
          <w:rFonts w:ascii="Arial" w:hAnsi="Arial" w:cs="Arial"/>
        </w:rPr>
        <w:t xml:space="preserve"> </w:t>
      </w:r>
      <w:r w:rsidR="002C23D8">
        <w:rPr>
          <w:rFonts w:ascii="Arial" w:hAnsi="Arial" w:cs="Arial"/>
        </w:rPr>
        <w:t xml:space="preserve">By comparison, both within the SB and further afield (in the </w:t>
      </w:r>
      <w:r w:rsidR="00DF0764">
        <w:rPr>
          <w:rFonts w:ascii="Arial" w:hAnsi="Arial" w:cs="Arial"/>
        </w:rPr>
        <w:t>ROPA</w:t>
      </w:r>
      <w:r w:rsidR="002C23D8">
        <w:rPr>
          <w:rFonts w:ascii="Arial" w:hAnsi="Arial" w:cs="Arial"/>
        </w:rPr>
        <w:t xml:space="preserve">) only approx. 30% of the developments were greenfield sites. </w:t>
      </w:r>
      <w:r w:rsidR="00EB62F6">
        <w:rPr>
          <w:rFonts w:ascii="Arial" w:hAnsi="Arial" w:cs="Arial"/>
        </w:rPr>
        <w:t xml:space="preserve"> </w:t>
      </w:r>
    </w:p>
    <w:p w14:paraId="52DE230B" w14:textId="1FCFC408" w:rsidR="00AB5512" w:rsidRDefault="00AB5512" w:rsidP="00670E02">
      <w:pPr>
        <w:pStyle w:val="ListParagraph"/>
        <w:ind w:left="0"/>
        <w:jc w:val="both"/>
        <w:rPr>
          <w:rFonts w:ascii="Arial" w:hAnsi="Arial" w:cs="Arial"/>
        </w:rPr>
      </w:pPr>
    </w:p>
    <w:p w14:paraId="0DFF802A" w14:textId="20686FB1" w:rsidR="000F1A4C" w:rsidRDefault="00917086" w:rsidP="002B101E">
      <w:pPr>
        <w:pStyle w:val="ListParagraph"/>
        <w:keepNext/>
        <w:ind w:left="0"/>
        <w:jc w:val="center"/>
      </w:pPr>
      <w:r>
        <w:rPr>
          <w:noProof/>
        </w:rPr>
        <w:lastRenderedPageBreak/>
        <w:drawing>
          <wp:inline distT="0" distB="0" distL="0" distR="0" wp14:anchorId="6191AAAC" wp14:editId="5F9824B5">
            <wp:extent cx="4572000" cy="2743200"/>
            <wp:effectExtent l="0" t="0" r="0" b="0"/>
            <wp:docPr id="31" name="Chart 31" descr="Bar and line chart showing inversely proportionate relationship between housing density and proximity to settlement boundaries. Also illustrates higher proportion of greenfield developments within 400m of the settlement boundary compares to those within or further from the boundary. ">
              <a:extLst xmlns:a="http://schemas.openxmlformats.org/drawingml/2006/main">
                <a:ext uri="{FF2B5EF4-FFF2-40B4-BE49-F238E27FC236}">
                  <a16:creationId xmlns:a16="http://schemas.microsoft.com/office/drawing/2014/main" id="{B44FA101-09B0-4A31-A88D-5BBCB7B13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3B7A0E" w14:textId="59A7EB32" w:rsidR="00AB5512" w:rsidRDefault="000F1A4C" w:rsidP="00292ED7">
      <w:pPr>
        <w:pStyle w:val="Caption"/>
        <w:jc w:val="both"/>
        <w:rPr>
          <w:rFonts w:ascii="Arial" w:hAnsi="Arial" w:cs="Arial"/>
        </w:rPr>
      </w:pPr>
      <w:r>
        <w:t xml:space="preserve">Figure </w:t>
      </w:r>
      <w:r w:rsidR="00B733CF">
        <w:t>6</w:t>
      </w:r>
    </w:p>
    <w:p w14:paraId="628909B6" w14:textId="78CD5542" w:rsidR="00AB5512" w:rsidRPr="00244506" w:rsidRDefault="00244506" w:rsidP="00EC0F33">
      <w:pPr>
        <w:pStyle w:val="Heading3"/>
      </w:pPr>
      <w:bookmarkStart w:id="17" w:name="_Toc163590718"/>
      <w:r w:rsidRPr="00244506">
        <w:t>Transport and Service Accessibility</w:t>
      </w:r>
      <w:bookmarkEnd w:id="17"/>
    </w:p>
    <w:p w14:paraId="784CAC99" w14:textId="308671E1" w:rsidR="00244506" w:rsidRDefault="00244506" w:rsidP="00670E02">
      <w:pPr>
        <w:pStyle w:val="ListParagraph"/>
        <w:ind w:left="0"/>
        <w:jc w:val="both"/>
        <w:rPr>
          <w:rFonts w:ascii="Arial" w:hAnsi="Arial" w:cs="Arial"/>
        </w:rPr>
      </w:pPr>
    </w:p>
    <w:p w14:paraId="68DD0B6B" w14:textId="00CAAEE6" w:rsidR="00524990" w:rsidRDefault="00E35081" w:rsidP="00670E02">
      <w:pPr>
        <w:pStyle w:val="ListParagraph"/>
        <w:ind w:left="0"/>
        <w:jc w:val="both"/>
        <w:rPr>
          <w:rFonts w:ascii="Arial" w:hAnsi="Arial" w:cs="Arial"/>
        </w:rPr>
      </w:pPr>
      <w:r>
        <w:rPr>
          <w:rFonts w:ascii="Arial" w:hAnsi="Arial" w:cs="Arial"/>
        </w:rPr>
        <w:t>6.</w:t>
      </w:r>
      <w:r w:rsidR="005C042E">
        <w:rPr>
          <w:rFonts w:ascii="Arial" w:hAnsi="Arial" w:cs="Arial"/>
        </w:rPr>
        <w:t>8</w:t>
      </w:r>
      <w:r>
        <w:rPr>
          <w:rFonts w:ascii="Arial" w:hAnsi="Arial" w:cs="Arial"/>
        </w:rPr>
        <w:tab/>
      </w:r>
      <w:r w:rsidR="00C64AAD">
        <w:rPr>
          <w:rFonts w:ascii="Arial" w:hAnsi="Arial" w:cs="Arial"/>
        </w:rPr>
        <w:t xml:space="preserve">Reflecting the adopted policy approach that </w:t>
      </w:r>
      <w:r w:rsidR="00244506" w:rsidRPr="00AA4C68">
        <w:rPr>
          <w:rFonts w:ascii="Arial" w:hAnsi="Arial" w:cs="Arial"/>
        </w:rPr>
        <w:t>higher densities may be s</w:t>
      </w:r>
      <w:r w:rsidR="00244506">
        <w:rPr>
          <w:rFonts w:ascii="Arial" w:hAnsi="Arial" w:cs="Arial"/>
        </w:rPr>
        <w:t>o</w:t>
      </w:r>
      <w:r w:rsidR="00244506" w:rsidRPr="00AA4C68">
        <w:rPr>
          <w:rFonts w:ascii="Arial" w:hAnsi="Arial" w:cs="Arial"/>
        </w:rPr>
        <w:t>ught where sites are better served by public transport and have access to a range of services and facilities</w:t>
      </w:r>
      <w:r w:rsidR="00C64AAD">
        <w:rPr>
          <w:rFonts w:ascii="Arial" w:hAnsi="Arial" w:cs="Arial"/>
        </w:rPr>
        <w:t xml:space="preserve">, average densities </w:t>
      </w:r>
      <w:r w:rsidR="00883542">
        <w:rPr>
          <w:rFonts w:ascii="Arial" w:hAnsi="Arial" w:cs="Arial"/>
        </w:rPr>
        <w:t xml:space="preserve">demonstrated </w:t>
      </w:r>
      <w:r w:rsidR="00C64AAD">
        <w:rPr>
          <w:rFonts w:ascii="Arial" w:hAnsi="Arial" w:cs="Arial"/>
        </w:rPr>
        <w:t xml:space="preserve">an inversely proportionate relationship to distances from train stations and retail centres (illustrated by Figure </w:t>
      </w:r>
      <w:r w:rsidR="00B733CF">
        <w:rPr>
          <w:rFonts w:ascii="Arial" w:hAnsi="Arial" w:cs="Arial"/>
        </w:rPr>
        <w:t>7</w:t>
      </w:r>
      <w:r w:rsidR="00081324">
        <w:rPr>
          <w:rFonts w:ascii="Arial" w:hAnsi="Arial" w:cs="Arial"/>
        </w:rPr>
        <w:t>).</w:t>
      </w:r>
      <w:r w:rsidR="00A05E32">
        <w:rPr>
          <w:rFonts w:ascii="Arial" w:hAnsi="Arial" w:cs="Arial"/>
        </w:rPr>
        <w:t xml:space="preserve"> A high average net density of 96dph was calculated for recently approved developments within 400m of the Plan Area’s stations</w:t>
      </w:r>
      <w:r w:rsidR="0007249D">
        <w:rPr>
          <w:rFonts w:ascii="Arial" w:hAnsi="Arial" w:cs="Arial"/>
        </w:rPr>
        <w:t xml:space="preserve"> (51dph within 800m)</w:t>
      </w:r>
      <w:r w:rsidR="00A05E32">
        <w:rPr>
          <w:rFonts w:ascii="Arial" w:hAnsi="Arial" w:cs="Arial"/>
        </w:rPr>
        <w:t>, while 74dph was the average net density for developments within 400m of retail centres</w:t>
      </w:r>
      <w:r w:rsidR="0007249D">
        <w:rPr>
          <w:rFonts w:ascii="Arial" w:hAnsi="Arial" w:cs="Arial"/>
        </w:rPr>
        <w:t xml:space="preserve"> (56dph within 800m)</w:t>
      </w:r>
      <w:r w:rsidR="00A05E32">
        <w:rPr>
          <w:rFonts w:ascii="Arial" w:hAnsi="Arial" w:cs="Arial"/>
        </w:rPr>
        <w:t xml:space="preserve">. </w:t>
      </w:r>
    </w:p>
    <w:p w14:paraId="417C352C" w14:textId="77777777" w:rsidR="00524990" w:rsidRDefault="00524990" w:rsidP="00670E02">
      <w:pPr>
        <w:pStyle w:val="ListParagraph"/>
        <w:ind w:left="0"/>
        <w:jc w:val="both"/>
        <w:rPr>
          <w:rFonts w:ascii="Arial" w:hAnsi="Arial" w:cs="Arial"/>
        </w:rPr>
      </w:pPr>
    </w:p>
    <w:p w14:paraId="279AAF7B" w14:textId="13CE52D4" w:rsidR="00524990" w:rsidRDefault="00917086" w:rsidP="002B101E">
      <w:pPr>
        <w:pStyle w:val="ListParagraph"/>
        <w:keepNext/>
        <w:ind w:left="0"/>
        <w:jc w:val="center"/>
      </w:pPr>
      <w:r>
        <w:rPr>
          <w:noProof/>
        </w:rPr>
        <w:drawing>
          <wp:inline distT="0" distB="0" distL="0" distR="0" wp14:anchorId="6D4C4F00" wp14:editId="53AE0700">
            <wp:extent cx="4572000" cy="2743200"/>
            <wp:effectExtent l="0" t="0" r="0" b="0"/>
            <wp:docPr id="32" name="Chart 32" descr="Bar chart illustrating inversely proportionate relationship between housing densities and distance from train stations and retail centres.">
              <a:extLst xmlns:a="http://schemas.openxmlformats.org/drawingml/2006/main">
                <a:ext uri="{FF2B5EF4-FFF2-40B4-BE49-F238E27FC236}">
                  <a16:creationId xmlns:a16="http://schemas.microsoft.com/office/drawing/2014/main" id="{415ACB90-43FF-48FD-824B-D44785AE6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5AC2CB" w14:textId="3585FE3C" w:rsidR="00524990" w:rsidRDefault="00524990" w:rsidP="002B101E">
      <w:pPr>
        <w:pStyle w:val="Caption"/>
        <w:rPr>
          <w:rFonts w:ascii="Arial" w:hAnsi="Arial" w:cs="Arial"/>
        </w:rPr>
      </w:pPr>
      <w:r>
        <w:t xml:space="preserve">Figure </w:t>
      </w:r>
      <w:r w:rsidR="00B733CF">
        <w:t>7</w:t>
      </w:r>
    </w:p>
    <w:p w14:paraId="5969FEB4" w14:textId="77777777" w:rsidR="00524990" w:rsidRDefault="00524990" w:rsidP="00670E02">
      <w:pPr>
        <w:pStyle w:val="ListParagraph"/>
        <w:ind w:left="0"/>
        <w:jc w:val="both"/>
        <w:rPr>
          <w:rFonts w:ascii="Arial" w:hAnsi="Arial" w:cs="Arial"/>
        </w:rPr>
      </w:pPr>
    </w:p>
    <w:p w14:paraId="5D1840B6" w14:textId="77777777" w:rsidR="00524990" w:rsidRDefault="00524990" w:rsidP="00670E02">
      <w:pPr>
        <w:pStyle w:val="ListParagraph"/>
        <w:ind w:left="0"/>
        <w:jc w:val="both"/>
        <w:rPr>
          <w:rFonts w:ascii="Arial" w:hAnsi="Arial" w:cs="Arial"/>
        </w:rPr>
      </w:pPr>
    </w:p>
    <w:p w14:paraId="219A4CE7" w14:textId="099DFCA1" w:rsidR="009F4970" w:rsidRDefault="005C042E" w:rsidP="00670E02">
      <w:pPr>
        <w:pStyle w:val="ListParagraph"/>
        <w:ind w:left="0"/>
        <w:jc w:val="both"/>
        <w:rPr>
          <w:rFonts w:ascii="Arial" w:hAnsi="Arial" w:cs="Arial"/>
        </w:rPr>
      </w:pPr>
      <w:r>
        <w:rPr>
          <w:rFonts w:ascii="Arial" w:hAnsi="Arial" w:cs="Arial"/>
        </w:rPr>
        <w:t>6.9</w:t>
      </w:r>
      <w:r>
        <w:rPr>
          <w:rFonts w:ascii="Arial" w:hAnsi="Arial" w:cs="Arial"/>
        </w:rPr>
        <w:tab/>
      </w:r>
      <w:r w:rsidR="0007249D">
        <w:rPr>
          <w:rFonts w:ascii="Arial" w:hAnsi="Arial" w:cs="Arial"/>
        </w:rPr>
        <w:t xml:space="preserve">It is recognised that ‘crow-fly’ distances may not reflect the reality of travel station accessibility. By comparison, average net densities within 5 and 10 mins walk of stations were </w:t>
      </w:r>
      <w:r w:rsidR="0007249D">
        <w:rPr>
          <w:rFonts w:ascii="Arial" w:hAnsi="Arial" w:cs="Arial"/>
        </w:rPr>
        <w:lastRenderedPageBreak/>
        <w:t xml:space="preserve">lower, calculated to be </w:t>
      </w:r>
      <w:bookmarkStart w:id="18" w:name="_Hlk159837843"/>
      <w:r w:rsidR="0007249D">
        <w:rPr>
          <w:rFonts w:ascii="Arial" w:hAnsi="Arial" w:cs="Arial"/>
        </w:rPr>
        <w:t xml:space="preserve">90dph and 42dph </w:t>
      </w:r>
      <w:bookmarkEnd w:id="18"/>
      <w:r w:rsidR="0007249D">
        <w:rPr>
          <w:rFonts w:ascii="Arial" w:hAnsi="Arial" w:cs="Arial"/>
        </w:rPr>
        <w:t xml:space="preserve">respectively. This may be indicative of </w:t>
      </w:r>
      <w:r w:rsidR="009F4970">
        <w:rPr>
          <w:rFonts w:ascii="Arial" w:hAnsi="Arial" w:cs="Arial"/>
        </w:rPr>
        <w:t>fragmented access, including by the rail corridor itself, increasing travel times to stations.</w:t>
      </w:r>
      <w:r w:rsidR="0007249D">
        <w:rPr>
          <w:rFonts w:ascii="Arial" w:hAnsi="Arial" w:cs="Arial"/>
        </w:rPr>
        <w:t xml:space="preserve"> </w:t>
      </w:r>
    </w:p>
    <w:p w14:paraId="70B6C6A0" w14:textId="77777777" w:rsidR="009F4970" w:rsidRDefault="009F4970" w:rsidP="00670E02">
      <w:pPr>
        <w:pStyle w:val="ListParagraph"/>
        <w:ind w:left="0"/>
        <w:jc w:val="both"/>
        <w:rPr>
          <w:rFonts w:ascii="Arial" w:hAnsi="Arial" w:cs="Arial"/>
        </w:rPr>
      </w:pPr>
    </w:p>
    <w:p w14:paraId="50DC3C6E" w14:textId="4B96DEE8" w:rsidR="00A54721" w:rsidRDefault="005C042E" w:rsidP="00670E02">
      <w:pPr>
        <w:pStyle w:val="ListParagraph"/>
        <w:ind w:left="0"/>
        <w:jc w:val="both"/>
        <w:rPr>
          <w:rFonts w:ascii="Arial" w:hAnsi="Arial" w:cs="Arial"/>
        </w:rPr>
      </w:pPr>
      <w:r>
        <w:rPr>
          <w:rFonts w:ascii="Arial" w:hAnsi="Arial" w:cs="Arial"/>
        </w:rPr>
        <w:t>6.10</w:t>
      </w:r>
      <w:r>
        <w:rPr>
          <w:rFonts w:ascii="Arial" w:hAnsi="Arial" w:cs="Arial"/>
        </w:rPr>
        <w:tab/>
      </w:r>
      <w:r w:rsidR="00883542">
        <w:rPr>
          <w:rFonts w:ascii="Arial" w:hAnsi="Arial" w:cs="Arial"/>
        </w:rPr>
        <w:t>The comparison</w:t>
      </w:r>
      <w:r w:rsidR="00C64AAD">
        <w:rPr>
          <w:rFonts w:ascii="Arial" w:hAnsi="Arial" w:cs="Arial"/>
        </w:rPr>
        <w:t xml:space="preserve"> of </w:t>
      </w:r>
      <w:r w:rsidR="003113E3">
        <w:rPr>
          <w:rFonts w:ascii="Arial" w:hAnsi="Arial" w:cs="Arial"/>
        </w:rPr>
        <w:t xml:space="preserve">train station and retail centre </w:t>
      </w:r>
      <w:r w:rsidR="00883542">
        <w:rPr>
          <w:rFonts w:ascii="Arial" w:hAnsi="Arial" w:cs="Arial"/>
        </w:rPr>
        <w:t xml:space="preserve">walking and cycling </w:t>
      </w:r>
      <w:r w:rsidR="00C64AAD">
        <w:rPr>
          <w:rFonts w:ascii="Arial" w:hAnsi="Arial" w:cs="Arial"/>
        </w:rPr>
        <w:t>times</w:t>
      </w:r>
      <w:r>
        <w:rPr>
          <w:rFonts w:ascii="Arial" w:hAnsi="Arial" w:cs="Arial"/>
        </w:rPr>
        <w:t xml:space="preserve"> </w:t>
      </w:r>
      <w:r w:rsidR="00C64AAD">
        <w:rPr>
          <w:rFonts w:ascii="Arial" w:hAnsi="Arial" w:cs="Arial"/>
        </w:rPr>
        <w:t>revealed that</w:t>
      </w:r>
      <w:r>
        <w:rPr>
          <w:rFonts w:ascii="Arial" w:hAnsi="Arial" w:cs="Arial"/>
        </w:rPr>
        <w:t xml:space="preserve"> </w:t>
      </w:r>
      <w:r w:rsidR="00157699">
        <w:rPr>
          <w:rFonts w:ascii="Arial" w:hAnsi="Arial" w:cs="Arial"/>
        </w:rPr>
        <w:t xml:space="preserve">average densities of developments within </w:t>
      </w:r>
      <w:r w:rsidR="00883542">
        <w:rPr>
          <w:rFonts w:ascii="Arial" w:hAnsi="Arial" w:cs="Arial"/>
        </w:rPr>
        <w:t>10</w:t>
      </w:r>
      <w:r w:rsidR="00157699">
        <w:rPr>
          <w:rFonts w:ascii="Arial" w:hAnsi="Arial" w:cs="Arial"/>
        </w:rPr>
        <w:t xml:space="preserve"> mins</w:t>
      </w:r>
      <w:r w:rsidR="00AD67CB">
        <w:rPr>
          <w:rFonts w:ascii="Arial" w:hAnsi="Arial" w:cs="Arial"/>
        </w:rPr>
        <w:t xml:space="preserve"> walk or 5 mins cycling from train stations were lower than equivalent times for retail centres, and than might be expected from the </w:t>
      </w:r>
      <w:r w:rsidR="00524990">
        <w:rPr>
          <w:rFonts w:ascii="Arial" w:hAnsi="Arial" w:cs="Arial"/>
        </w:rPr>
        <w:t xml:space="preserve">general </w:t>
      </w:r>
      <w:r w:rsidR="00AD67CB">
        <w:rPr>
          <w:rFonts w:ascii="Arial" w:hAnsi="Arial" w:cs="Arial"/>
        </w:rPr>
        <w:t>pattern of inverse proportion</w:t>
      </w:r>
      <w:r w:rsidR="005028FD">
        <w:rPr>
          <w:rFonts w:ascii="Arial" w:hAnsi="Arial" w:cs="Arial"/>
        </w:rPr>
        <w:t xml:space="preserve"> (see Figures </w:t>
      </w:r>
      <w:r w:rsidR="00B733CF">
        <w:rPr>
          <w:rFonts w:ascii="Arial" w:hAnsi="Arial" w:cs="Arial"/>
        </w:rPr>
        <w:t>8</w:t>
      </w:r>
      <w:r w:rsidR="005028FD">
        <w:rPr>
          <w:rFonts w:ascii="Arial" w:hAnsi="Arial" w:cs="Arial"/>
        </w:rPr>
        <w:t xml:space="preserve"> &amp; </w:t>
      </w:r>
      <w:r w:rsidR="00B733CF">
        <w:rPr>
          <w:rFonts w:ascii="Arial" w:hAnsi="Arial" w:cs="Arial"/>
        </w:rPr>
        <w:t>9</w:t>
      </w:r>
      <w:r w:rsidR="005028FD">
        <w:rPr>
          <w:rFonts w:ascii="Arial" w:hAnsi="Arial" w:cs="Arial"/>
        </w:rPr>
        <w:t>)</w:t>
      </w:r>
      <w:r w:rsidR="00AD67CB">
        <w:rPr>
          <w:rFonts w:ascii="Arial" w:hAnsi="Arial" w:cs="Arial"/>
        </w:rPr>
        <w:t xml:space="preserve">. This may be reflective of </w:t>
      </w:r>
      <w:r w:rsidR="00524990">
        <w:rPr>
          <w:rFonts w:ascii="Arial" w:hAnsi="Arial" w:cs="Arial"/>
        </w:rPr>
        <w:t xml:space="preserve">the </w:t>
      </w:r>
      <w:r w:rsidR="00B733CF">
        <w:rPr>
          <w:rFonts w:ascii="Arial" w:hAnsi="Arial" w:cs="Arial"/>
        </w:rPr>
        <w:t xml:space="preserve">established </w:t>
      </w:r>
      <w:r w:rsidR="00524990">
        <w:rPr>
          <w:rFonts w:ascii="Arial" w:hAnsi="Arial" w:cs="Arial"/>
        </w:rPr>
        <w:t>context</w:t>
      </w:r>
      <w:r w:rsidR="00AD67CB">
        <w:rPr>
          <w:rFonts w:ascii="Arial" w:hAnsi="Arial" w:cs="Arial"/>
        </w:rPr>
        <w:t xml:space="preserve">, with residential development </w:t>
      </w:r>
      <w:r w:rsidR="003113E3">
        <w:rPr>
          <w:rFonts w:ascii="Arial" w:hAnsi="Arial" w:cs="Arial"/>
        </w:rPr>
        <w:t>more conventionally transitioning from urban centres to suburban scale development</w:t>
      </w:r>
      <w:r w:rsidR="00AD67CB">
        <w:rPr>
          <w:rFonts w:ascii="Arial" w:hAnsi="Arial" w:cs="Arial"/>
        </w:rPr>
        <w:t>, especially within Chichester city, but being less predictable in relation to</w:t>
      </w:r>
      <w:r w:rsidR="00524990">
        <w:rPr>
          <w:rFonts w:ascii="Arial" w:hAnsi="Arial" w:cs="Arial"/>
        </w:rPr>
        <w:t xml:space="preserve"> the</w:t>
      </w:r>
      <w:r w:rsidR="00AD67CB">
        <w:rPr>
          <w:rFonts w:ascii="Arial" w:hAnsi="Arial" w:cs="Arial"/>
        </w:rPr>
        <w:t xml:space="preserve"> transport hubs where development </w:t>
      </w:r>
      <w:r w:rsidR="00524990">
        <w:rPr>
          <w:rFonts w:ascii="Arial" w:hAnsi="Arial" w:cs="Arial"/>
        </w:rPr>
        <w:t xml:space="preserve">opportunities </w:t>
      </w:r>
      <w:r w:rsidR="00AD67CB">
        <w:rPr>
          <w:rFonts w:ascii="Arial" w:hAnsi="Arial" w:cs="Arial"/>
        </w:rPr>
        <w:t xml:space="preserve">may be limited by </w:t>
      </w:r>
      <w:r w:rsidR="003113E3">
        <w:rPr>
          <w:rFonts w:ascii="Arial" w:hAnsi="Arial" w:cs="Arial"/>
        </w:rPr>
        <w:t xml:space="preserve">existing </w:t>
      </w:r>
      <w:r w:rsidR="00AD67CB">
        <w:rPr>
          <w:rFonts w:ascii="Arial" w:hAnsi="Arial" w:cs="Arial"/>
        </w:rPr>
        <w:t xml:space="preserve">non-residential </w:t>
      </w:r>
      <w:r w:rsidR="00524990">
        <w:rPr>
          <w:rFonts w:ascii="Arial" w:hAnsi="Arial" w:cs="Arial"/>
        </w:rPr>
        <w:t>uses</w:t>
      </w:r>
      <w:r w:rsidR="003113E3">
        <w:rPr>
          <w:rFonts w:ascii="Arial" w:hAnsi="Arial" w:cs="Arial"/>
        </w:rPr>
        <w:t xml:space="preserve"> </w:t>
      </w:r>
      <w:r w:rsidR="00AD67CB">
        <w:rPr>
          <w:rFonts w:ascii="Arial" w:hAnsi="Arial" w:cs="Arial"/>
        </w:rPr>
        <w:t>or open space</w:t>
      </w:r>
      <w:r w:rsidR="003113E3">
        <w:rPr>
          <w:rFonts w:ascii="Arial" w:hAnsi="Arial" w:cs="Arial"/>
        </w:rPr>
        <w:t>, or other constraints</w:t>
      </w:r>
      <w:r w:rsidR="00AD67CB">
        <w:rPr>
          <w:rFonts w:ascii="Arial" w:hAnsi="Arial" w:cs="Arial"/>
        </w:rPr>
        <w:t>. This is explored further</w:t>
      </w:r>
      <w:r w:rsidR="008D656B">
        <w:rPr>
          <w:rFonts w:ascii="Arial" w:hAnsi="Arial" w:cs="Arial"/>
        </w:rPr>
        <w:t xml:space="preserve"> later in the study</w:t>
      </w:r>
      <w:r w:rsidR="00524990">
        <w:rPr>
          <w:rFonts w:ascii="Arial" w:hAnsi="Arial" w:cs="Arial"/>
        </w:rPr>
        <w:t>.</w:t>
      </w:r>
    </w:p>
    <w:p w14:paraId="2DC9C5F7" w14:textId="785CB9DB" w:rsidR="00021F55" w:rsidRDefault="00021F55" w:rsidP="00670E02">
      <w:pPr>
        <w:pStyle w:val="ListParagraph"/>
        <w:ind w:left="0"/>
        <w:jc w:val="both"/>
        <w:rPr>
          <w:rFonts w:ascii="Arial" w:hAnsi="Arial" w:cs="Arial"/>
        </w:rPr>
      </w:pPr>
    </w:p>
    <w:p w14:paraId="17739F53" w14:textId="57C7A800" w:rsidR="005028FD" w:rsidRDefault="00166E42" w:rsidP="005C042E">
      <w:pPr>
        <w:pStyle w:val="ListParagraph"/>
        <w:keepNext/>
        <w:ind w:left="0"/>
        <w:jc w:val="center"/>
      </w:pPr>
      <w:r>
        <w:rPr>
          <w:noProof/>
        </w:rPr>
        <w:drawing>
          <wp:inline distT="0" distB="0" distL="0" distR="0" wp14:anchorId="2184F925" wp14:editId="6DDC680A">
            <wp:extent cx="4572000" cy="2743200"/>
            <wp:effectExtent l="0" t="0" r="0" b="0"/>
            <wp:docPr id="33" name="Chart 33" descr="Bar chart illustrating broadly inversely proportionate relationship between housing densities and walking time to train stations and retail centres.">
              <a:extLst xmlns:a="http://schemas.openxmlformats.org/drawingml/2006/main">
                <a:ext uri="{FF2B5EF4-FFF2-40B4-BE49-F238E27FC236}">
                  <a16:creationId xmlns:a16="http://schemas.microsoft.com/office/drawing/2014/main" id="{26E8308C-7284-4B63-8918-AB80A86EC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945815" w14:textId="75F238CE" w:rsidR="00021F55" w:rsidRDefault="005028FD" w:rsidP="005C042E">
      <w:pPr>
        <w:pStyle w:val="Caption"/>
        <w:jc w:val="both"/>
        <w:rPr>
          <w:rFonts w:ascii="Arial" w:hAnsi="Arial" w:cs="Arial"/>
        </w:rPr>
      </w:pPr>
      <w:r>
        <w:t xml:space="preserve">Figure </w:t>
      </w:r>
      <w:r w:rsidR="00B733CF">
        <w:t>8</w:t>
      </w:r>
    </w:p>
    <w:p w14:paraId="6C63DE30" w14:textId="1C27B137" w:rsidR="005028FD" w:rsidRDefault="00166E42" w:rsidP="005C042E">
      <w:pPr>
        <w:pStyle w:val="ListParagraph"/>
        <w:keepNext/>
        <w:ind w:left="0"/>
        <w:jc w:val="center"/>
      </w:pPr>
      <w:r>
        <w:rPr>
          <w:noProof/>
        </w:rPr>
        <w:drawing>
          <wp:inline distT="0" distB="0" distL="0" distR="0" wp14:anchorId="39C6438D" wp14:editId="4F4044B9">
            <wp:extent cx="4572000" cy="2743200"/>
            <wp:effectExtent l="0" t="0" r="0" b="0"/>
            <wp:docPr id="34" name="Chart 34" descr="Bar chart illustrating broadly inversely proportionate relationship between housing densities and cycling time to train stations and retail centres.">
              <a:extLst xmlns:a="http://schemas.openxmlformats.org/drawingml/2006/main">
                <a:ext uri="{FF2B5EF4-FFF2-40B4-BE49-F238E27FC236}">
                  <a16:creationId xmlns:a16="http://schemas.microsoft.com/office/drawing/2014/main" id="{A4CDB676-8888-4102-AFDC-8658E108F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BC4552" w14:textId="2FEF76CD" w:rsidR="005028FD" w:rsidRDefault="005028FD" w:rsidP="005C042E">
      <w:pPr>
        <w:pStyle w:val="Caption"/>
        <w:jc w:val="both"/>
        <w:rPr>
          <w:rFonts w:ascii="Arial" w:hAnsi="Arial" w:cs="Arial"/>
        </w:rPr>
      </w:pPr>
      <w:r>
        <w:t xml:space="preserve">Figure </w:t>
      </w:r>
      <w:r w:rsidR="00B733CF">
        <w:t>9</w:t>
      </w:r>
    </w:p>
    <w:p w14:paraId="7B9AECD8" w14:textId="36BD8C14" w:rsidR="00021F55" w:rsidRPr="00477BAA" w:rsidRDefault="00477BAA" w:rsidP="00EC0F33">
      <w:pPr>
        <w:pStyle w:val="Heading3"/>
      </w:pPr>
      <w:bookmarkStart w:id="19" w:name="_Toc163590719"/>
      <w:r w:rsidRPr="00477BAA">
        <w:lastRenderedPageBreak/>
        <w:t>Comparison of Existing Built Densities with Recent Development Densities</w:t>
      </w:r>
      <w:bookmarkEnd w:id="19"/>
    </w:p>
    <w:p w14:paraId="38B6FBBF" w14:textId="77777777" w:rsidR="00021F55" w:rsidRDefault="00021F55" w:rsidP="00670E02">
      <w:pPr>
        <w:pStyle w:val="ListParagraph"/>
        <w:ind w:left="0"/>
        <w:jc w:val="both"/>
        <w:rPr>
          <w:rFonts w:ascii="Arial" w:hAnsi="Arial" w:cs="Arial"/>
        </w:rPr>
      </w:pPr>
    </w:p>
    <w:p w14:paraId="3A52B83D" w14:textId="37FCAA03" w:rsidR="00AA5201" w:rsidRDefault="00E35081" w:rsidP="00670E02">
      <w:pPr>
        <w:pStyle w:val="ListParagraph"/>
        <w:ind w:left="0"/>
        <w:jc w:val="both"/>
        <w:rPr>
          <w:rFonts w:ascii="Arial" w:hAnsi="Arial" w:cs="Arial"/>
        </w:rPr>
      </w:pPr>
      <w:r>
        <w:rPr>
          <w:rFonts w:ascii="Arial" w:hAnsi="Arial" w:cs="Arial"/>
        </w:rPr>
        <w:t>6.1</w:t>
      </w:r>
      <w:r w:rsidR="005C042E">
        <w:rPr>
          <w:rFonts w:ascii="Arial" w:hAnsi="Arial" w:cs="Arial"/>
        </w:rPr>
        <w:t>1</w:t>
      </w:r>
      <w:r>
        <w:rPr>
          <w:rFonts w:ascii="Arial" w:hAnsi="Arial" w:cs="Arial"/>
        </w:rPr>
        <w:tab/>
      </w:r>
      <w:r w:rsidR="00477BAA">
        <w:rPr>
          <w:rFonts w:ascii="Arial" w:hAnsi="Arial" w:cs="Arial"/>
        </w:rPr>
        <w:t xml:space="preserve">GIS data analysis enabled the determination of average existing densities within the settlement boundaries of locations identified as </w:t>
      </w:r>
      <w:r w:rsidR="006F52FD">
        <w:rPr>
          <w:rFonts w:ascii="Arial" w:hAnsi="Arial" w:cs="Arial"/>
        </w:rPr>
        <w:t xml:space="preserve">settlements considered </w:t>
      </w:r>
      <w:r w:rsidR="00477BAA">
        <w:rPr>
          <w:rFonts w:ascii="Arial" w:hAnsi="Arial" w:cs="Arial"/>
        </w:rPr>
        <w:t>accessible to public transport</w:t>
      </w:r>
      <w:r w:rsidR="000F4B57">
        <w:rPr>
          <w:rFonts w:ascii="Arial" w:hAnsi="Arial" w:cs="Arial"/>
        </w:rPr>
        <w:t xml:space="preserve"> (train)</w:t>
      </w:r>
      <w:r w:rsidR="00477BAA">
        <w:rPr>
          <w:rFonts w:ascii="Arial" w:hAnsi="Arial" w:cs="Arial"/>
        </w:rPr>
        <w:t>, or with good general transport access</w:t>
      </w:r>
      <w:r w:rsidR="00F57067">
        <w:rPr>
          <w:rFonts w:ascii="Arial" w:hAnsi="Arial" w:cs="Arial"/>
        </w:rPr>
        <w:t xml:space="preserve"> (see Appendix B for raw data)</w:t>
      </w:r>
      <w:r w:rsidR="00477BAA">
        <w:rPr>
          <w:rFonts w:ascii="Arial" w:hAnsi="Arial" w:cs="Arial"/>
        </w:rPr>
        <w:t>. As recognised with</w:t>
      </w:r>
      <w:r>
        <w:rPr>
          <w:rFonts w:ascii="Arial" w:hAnsi="Arial" w:cs="Arial"/>
        </w:rPr>
        <w:t>in</w:t>
      </w:r>
      <w:r w:rsidR="00477BAA">
        <w:rPr>
          <w:rFonts w:ascii="Arial" w:hAnsi="Arial" w:cs="Arial"/>
        </w:rPr>
        <w:t xml:space="preserve"> the proposed submission Local Plan, these densities </w:t>
      </w:r>
      <w:r w:rsidR="00AA5201">
        <w:rPr>
          <w:rFonts w:ascii="Arial" w:hAnsi="Arial" w:cs="Arial"/>
        </w:rPr>
        <w:t xml:space="preserve">were found to be considerably </w:t>
      </w:r>
      <w:r w:rsidR="00477BAA">
        <w:rPr>
          <w:rFonts w:ascii="Arial" w:hAnsi="Arial" w:cs="Arial"/>
        </w:rPr>
        <w:t xml:space="preserve">below the </w:t>
      </w:r>
      <w:r w:rsidR="005028FD">
        <w:rPr>
          <w:rFonts w:ascii="Arial" w:hAnsi="Arial" w:cs="Arial"/>
        </w:rPr>
        <w:t xml:space="preserve">recommended </w:t>
      </w:r>
      <w:r w:rsidR="00477BAA">
        <w:rPr>
          <w:rFonts w:ascii="Arial" w:hAnsi="Arial" w:cs="Arial"/>
        </w:rPr>
        <w:t xml:space="preserve">minimum of 35 </w:t>
      </w:r>
      <w:proofErr w:type="spellStart"/>
      <w:r w:rsidR="00477BAA">
        <w:rPr>
          <w:rFonts w:ascii="Arial" w:hAnsi="Arial" w:cs="Arial"/>
        </w:rPr>
        <w:t>dph</w:t>
      </w:r>
      <w:proofErr w:type="spellEnd"/>
      <w:r w:rsidR="00477BAA">
        <w:rPr>
          <w:rFonts w:ascii="Arial" w:hAnsi="Arial" w:cs="Arial"/>
        </w:rPr>
        <w:t xml:space="preserve">, ranging from </w:t>
      </w:r>
      <w:r w:rsidR="00AA5201">
        <w:rPr>
          <w:rFonts w:ascii="Arial" w:hAnsi="Arial" w:cs="Arial"/>
        </w:rPr>
        <w:t xml:space="preserve">approx. </w:t>
      </w:r>
      <w:r w:rsidR="00477BAA">
        <w:rPr>
          <w:rFonts w:ascii="Arial" w:hAnsi="Arial" w:cs="Arial"/>
        </w:rPr>
        <w:t>18</w:t>
      </w:r>
      <w:r w:rsidR="00AA5201">
        <w:rPr>
          <w:rFonts w:ascii="Arial" w:hAnsi="Arial" w:cs="Arial"/>
        </w:rPr>
        <w:t xml:space="preserve"> </w:t>
      </w:r>
      <w:proofErr w:type="spellStart"/>
      <w:r w:rsidR="00477BAA">
        <w:rPr>
          <w:rFonts w:ascii="Arial" w:hAnsi="Arial" w:cs="Arial"/>
        </w:rPr>
        <w:t>dph</w:t>
      </w:r>
      <w:proofErr w:type="spellEnd"/>
      <w:r w:rsidR="00477BAA">
        <w:rPr>
          <w:rFonts w:ascii="Arial" w:hAnsi="Arial" w:cs="Arial"/>
        </w:rPr>
        <w:t xml:space="preserve"> (Chidham and Hambrook) to 27</w:t>
      </w:r>
      <w:r w:rsidR="00AA5201">
        <w:rPr>
          <w:rFonts w:ascii="Arial" w:hAnsi="Arial" w:cs="Arial"/>
        </w:rPr>
        <w:t xml:space="preserve"> </w:t>
      </w:r>
      <w:proofErr w:type="spellStart"/>
      <w:r w:rsidR="00AA5201">
        <w:rPr>
          <w:rFonts w:ascii="Arial" w:hAnsi="Arial" w:cs="Arial"/>
        </w:rPr>
        <w:t>dph</w:t>
      </w:r>
      <w:proofErr w:type="spellEnd"/>
      <w:r w:rsidR="00477BAA">
        <w:rPr>
          <w:rFonts w:ascii="Arial" w:hAnsi="Arial" w:cs="Arial"/>
        </w:rPr>
        <w:t xml:space="preserve"> (Tangmere)</w:t>
      </w:r>
      <w:r w:rsidR="005028FD">
        <w:rPr>
          <w:rFonts w:ascii="Arial" w:hAnsi="Arial" w:cs="Arial"/>
        </w:rPr>
        <w:t xml:space="preserve"> – see Figure </w:t>
      </w:r>
      <w:r w:rsidR="00B733CF">
        <w:rPr>
          <w:rFonts w:ascii="Arial" w:hAnsi="Arial" w:cs="Arial"/>
        </w:rPr>
        <w:t>10</w:t>
      </w:r>
      <w:r w:rsidR="00477BAA">
        <w:rPr>
          <w:rFonts w:ascii="Arial" w:hAnsi="Arial" w:cs="Arial"/>
        </w:rPr>
        <w:t>.</w:t>
      </w:r>
      <w:r w:rsidR="00AA5201">
        <w:rPr>
          <w:rFonts w:ascii="Arial" w:hAnsi="Arial" w:cs="Arial"/>
        </w:rPr>
        <w:t xml:space="preserve"> The statistics are provided as approximations only, however, as </w:t>
      </w:r>
      <w:r w:rsidR="00B733CF">
        <w:rPr>
          <w:rFonts w:ascii="Arial" w:hAnsi="Arial" w:cs="Arial"/>
        </w:rPr>
        <w:t xml:space="preserve">whilst </w:t>
      </w:r>
      <w:r w:rsidR="00AA5201">
        <w:rPr>
          <w:rFonts w:ascii="Arial" w:hAnsi="Arial" w:cs="Arial"/>
        </w:rPr>
        <w:t xml:space="preserve">non-residential </w:t>
      </w:r>
      <w:r w:rsidR="004F2B6E">
        <w:rPr>
          <w:rFonts w:ascii="Arial" w:hAnsi="Arial" w:cs="Arial"/>
        </w:rPr>
        <w:t xml:space="preserve">properties </w:t>
      </w:r>
      <w:r w:rsidR="00AA5201">
        <w:rPr>
          <w:rFonts w:ascii="Arial" w:hAnsi="Arial" w:cs="Arial"/>
        </w:rPr>
        <w:t>were excluded from</w:t>
      </w:r>
      <w:r w:rsidR="00B733CF">
        <w:rPr>
          <w:rFonts w:ascii="Arial" w:hAnsi="Arial" w:cs="Arial"/>
        </w:rPr>
        <w:t xml:space="preserve"> the total number of properties for which densities were derived, the total areas determined were inclusive of land used for purposes other than housing, such as commercial and industrial buildings and open space. </w:t>
      </w:r>
    </w:p>
    <w:p w14:paraId="15D82C1D" w14:textId="6651B647" w:rsidR="005028FD" w:rsidRDefault="005028FD" w:rsidP="00670E02">
      <w:pPr>
        <w:pStyle w:val="ListParagraph"/>
        <w:ind w:left="0"/>
        <w:jc w:val="both"/>
        <w:rPr>
          <w:rFonts w:ascii="Arial" w:hAnsi="Arial" w:cs="Arial"/>
        </w:rPr>
      </w:pPr>
    </w:p>
    <w:p w14:paraId="458005E5" w14:textId="77777777" w:rsidR="005028FD" w:rsidRDefault="005028FD" w:rsidP="002B101E">
      <w:pPr>
        <w:pStyle w:val="ListParagraph"/>
        <w:keepNext/>
        <w:ind w:left="0"/>
        <w:jc w:val="both"/>
      </w:pPr>
      <w:r>
        <w:rPr>
          <w:noProof/>
        </w:rPr>
        <w:drawing>
          <wp:inline distT="0" distB="0" distL="0" distR="0" wp14:anchorId="63015F25" wp14:editId="4D6E8333">
            <wp:extent cx="5848350" cy="2867025"/>
            <wp:effectExtent l="0" t="0" r="0" b="9525"/>
            <wp:docPr id="24" name="Chart 24" descr="Bar chart showing average existing densities within Plan Area settlements considered to have good public transport or general transport accessibility. ">
              <a:extLst xmlns:a="http://schemas.openxmlformats.org/drawingml/2006/main">
                <a:ext uri="{FF2B5EF4-FFF2-40B4-BE49-F238E27FC236}">
                  <a16:creationId xmlns:a16="http://schemas.microsoft.com/office/drawing/2014/main" id="{CAD9BD1B-BDAF-4AC6-8264-7E16BFEDB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A0112B" w14:textId="460198EE" w:rsidR="00AA5201" w:rsidRDefault="005028FD" w:rsidP="005C042E">
      <w:pPr>
        <w:pStyle w:val="Caption"/>
        <w:jc w:val="both"/>
        <w:rPr>
          <w:rFonts w:ascii="Arial" w:hAnsi="Arial" w:cs="Arial"/>
        </w:rPr>
      </w:pPr>
      <w:r>
        <w:t xml:space="preserve">Figure </w:t>
      </w:r>
      <w:r w:rsidR="00B733CF">
        <w:t>10</w:t>
      </w:r>
    </w:p>
    <w:p w14:paraId="19645516" w14:textId="77777777" w:rsidR="005C042E" w:rsidRDefault="00E35081" w:rsidP="00183606">
      <w:pPr>
        <w:pStyle w:val="Caption"/>
        <w:keepNext/>
        <w:jc w:val="both"/>
        <w:rPr>
          <w:rFonts w:ascii="Arial" w:hAnsi="Arial" w:cs="Arial"/>
          <w:i w:val="0"/>
          <w:iCs w:val="0"/>
          <w:color w:val="auto"/>
          <w:sz w:val="22"/>
          <w:szCs w:val="22"/>
        </w:rPr>
      </w:pPr>
      <w:r w:rsidRPr="005C042E">
        <w:rPr>
          <w:rFonts w:ascii="Arial" w:hAnsi="Arial" w:cs="Arial"/>
          <w:i w:val="0"/>
          <w:iCs w:val="0"/>
          <w:color w:val="auto"/>
          <w:sz w:val="22"/>
          <w:szCs w:val="22"/>
        </w:rPr>
        <w:t>6.1</w:t>
      </w:r>
      <w:r w:rsidR="005C042E">
        <w:rPr>
          <w:rFonts w:ascii="Arial" w:hAnsi="Arial" w:cs="Arial"/>
          <w:i w:val="0"/>
          <w:iCs w:val="0"/>
          <w:color w:val="auto"/>
          <w:sz w:val="22"/>
          <w:szCs w:val="22"/>
        </w:rPr>
        <w:t>2</w:t>
      </w:r>
      <w:r w:rsidRPr="005C042E">
        <w:rPr>
          <w:rFonts w:ascii="Arial" w:hAnsi="Arial" w:cs="Arial"/>
          <w:i w:val="0"/>
          <w:iCs w:val="0"/>
          <w:color w:val="auto"/>
          <w:sz w:val="22"/>
          <w:szCs w:val="22"/>
        </w:rPr>
        <w:tab/>
      </w:r>
      <w:r w:rsidR="00477BAA" w:rsidRPr="005C042E">
        <w:rPr>
          <w:rFonts w:ascii="Arial" w:hAnsi="Arial" w:cs="Arial"/>
          <w:i w:val="0"/>
          <w:iCs w:val="0"/>
          <w:color w:val="auto"/>
          <w:sz w:val="22"/>
          <w:szCs w:val="22"/>
        </w:rPr>
        <w:t>Th</w:t>
      </w:r>
      <w:r w:rsidR="00AA5201" w:rsidRPr="005C042E">
        <w:rPr>
          <w:rFonts w:ascii="Arial" w:hAnsi="Arial" w:cs="Arial"/>
          <w:i w:val="0"/>
          <w:iCs w:val="0"/>
          <w:color w:val="auto"/>
          <w:sz w:val="22"/>
          <w:szCs w:val="22"/>
        </w:rPr>
        <w:t>e GIS</w:t>
      </w:r>
      <w:r w:rsidR="00477BAA" w:rsidRPr="005C042E">
        <w:rPr>
          <w:rFonts w:ascii="Arial" w:hAnsi="Arial" w:cs="Arial"/>
          <w:i w:val="0"/>
          <w:iCs w:val="0"/>
          <w:color w:val="auto"/>
          <w:sz w:val="22"/>
          <w:szCs w:val="22"/>
        </w:rPr>
        <w:t xml:space="preserve"> data was compared to average densities </w:t>
      </w:r>
      <w:r w:rsidR="00166E42" w:rsidRPr="005C042E">
        <w:rPr>
          <w:rFonts w:ascii="Arial" w:hAnsi="Arial" w:cs="Arial"/>
          <w:i w:val="0"/>
          <w:iCs w:val="0"/>
          <w:color w:val="auto"/>
          <w:sz w:val="22"/>
          <w:szCs w:val="22"/>
        </w:rPr>
        <w:t xml:space="preserve">for development </w:t>
      </w:r>
      <w:r w:rsidR="00193B5B" w:rsidRPr="005C042E">
        <w:rPr>
          <w:rFonts w:ascii="Arial" w:hAnsi="Arial" w:cs="Arial"/>
          <w:i w:val="0"/>
          <w:iCs w:val="0"/>
          <w:color w:val="auto"/>
          <w:sz w:val="22"/>
          <w:szCs w:val="22"/>
        </w:rPr>
        <w:t xml:space="preserve">recently </w:t>
      </w:r>
      <w:r w:rsidR="00166E42" w:rsidRPr="005C042E">
        <w:rPr>
          <w:rFonts w:ascii="Arial" w:hAnsi="Arial" w:cs="Arial"/>
          <w:i w:val="0"/>
          <w:iCs w:val="0"/>
          <w:color w:val="auto"/>
          <w:sz w:val="22"/>
          <w:szCs w:val="22"/>
        </w:rPr>
        <w:t>approved</w:t>
      </w:r>
      <w:r w:rsidR="005028FD" w:rsidRPr="005C042E">
        <w:rPr>
          <w:rFonts w:ascii="Arial" w:hAnsi="Arial" w:cs="Arial"/>
          <w:i w:val="0"/>
          <w:iCs w:val="0"/>
          <w:color w:val="auto"/>
          <w:sz w:val="22"/>
          <w:szCs w:val="22"/>
        </w:rPr>
        <w:t xml:space="preserve"> </w:t>
      </w:r>
      <w:r w:rsidR="00477BAA" w:rsidRPr="005C042E">
        <w:rPr>
          <w:rFonts w:ascii="Arial" w:hAnsi="Arial" w:cs="Arial"/>
          <w:i w:val="0"/>
          <w:iCs w:val="0"/>
          <w:color w:val="auto"/>
          <w:sz w:val="22"/>
          <w:szCs w:val="22"/>
        </w:rPr>
        <w:t xml:space="preserve">within the same </w:t>
      </w:r>
      <w:r w:rsidR="008D209B" w:rsidRPr="005C042E">
        <w:rPr>
          <w:rFonts w:ascii="Arial" w:hAnsi="Arial" w:cs="Arial"/>
          <w:i w:val="0"/>
          <w:iCs w:val="0"/>
          <w:color w:val="auto"/>
          <w:sz w:val="22"/>
          <w:szCs w:val="22"/>
        </w:rPr>
        <w:t>settlement boundaries</w:t>
      </w:r>
      <w:r w:rsidR="00477BAA" w:rsidRPr="005C042E">
        <w:rPr>
          <w:rFonts w:ascii="Arial" w:hAnsi="Arial" w:cs="Arial"/>
          <w:i w:val="0"/>
          <w:iCs w:val="0"/>
          <w:color w:val="auto"/>
          <w:sz w:val="22"/>
          <w:szCs w:val="22"/>
        </w:rPr>
        <w:t>, calculated from the data from 2018-2022</w:t>
      </w:r>
      <w:r w:rsidR="00AA5201" w:rsidRPr="005C042E">
        <w:rPr>
          <w:rFonts w:ascii="Arial" w:hAnsi="Arial" w:cs="Arial"/>
          <w:i w:val="0"/>
          <w:iCs w:val="0"/>
          <w:color w:val="auto"/>
          <w:sz w:val="22"/>
          <w:szCs w:val="22"/>
        </w:rPr>
        <w:t xml:space="preserve"> (see Figure 1</w:t>
      </w:r>
      <w:r w:rsidR="00B733CF" w:rsidRPr="005C042E">
        <w:rPr>
          <w:rFonts w:ascii="Arial" w:hAnsi="Arial" w:cs="Arial"/>
          <w:i w:val="0"/>
          <w:iCs w:val="0"/>
          <w:color w:val="auto"/>
          <w:sz w:val="22"/>
          <w:szCs w:val="22"/>
        </w:rPr>
        <w:t>1</w:t>
      </w:r>
      <w:r w:rsidR="00AA5201" w:rsidRPr="005C042E">
        <w:rPr>
          <w:rFonts w:ascii="Arial" w:hAnsi="Arial" w:cs="Arial"/>
          <w:i w:val="0"/>
          <w:iCs w:val="0"/>
          <w:color w:val="auto"/>
          <w:sz w:val="22"/>
          <w:szCs w:val="22"/>
        </w:rPr>
        <w:t>)</w:t>
      </w:r>
      <w:r w:rsidR="00477BAA" w:rsidRPr="005C042E">
        <w:rPr>
          <w:rFonts w:ascii="Arial" w:hAnsi="Arial" w:cs="Arial"/>
          <w:i w:val="0"/>
          <w:iCs w:val="0"/>
          <w:color w:val="auto"/>
          <w:sz w:val="22"/>
          <w:szCs w:val="22"/>
        </w:rPr>
        <w:t xml:space="preserve">. </w:t>
      </w:r>
      <w:r w:rsidR="00070504" w:rsidRPr="005C042E">
        <w:rPr>
          <w:rFonts w:ascii="Arial" w:hAnsi="Arial" w:cs="Arial"/>
          <w:i w:val="0"/>
          <w:iCs w:val="0"/>
          <w:color w:val="auto"/>
          <w:sz w:val="22"/>
          <w:szCs w:val="22"/>
        </w:rPr>
        <w:t>The average densities of recent developments within Chichester, Fishbourne and Tangmere exceed</w:t>
      </w:r>
      <w:r w:rsidR="00B733CF" w:rsidRPr="005C042E">
        <w:rPr>
          <w:rFonts w:ascii="Arial" w:hAnsi="Arial" w:cs="Arial"/>
          <w:i w:val="0"/>
          <w:iCs w:val="0"/>
          <w:color w:val="auto"/>
          <w:sz w:val="22"/>
          <w:szCs w:val="22"/>
        </w:rPr>
        <w:t>ed</w:t>
      </w:r>
      <w:r w:rsidR="00070504" w:rsidRPr="005C042E">
        <w:rPr>
          <w:rFonts w:ascii="Arial" w:hAnsi="Arial" w:cs="Arial"/>
          <w:i w:val="0"/>
          <w:iCs w:val="0"/>
          <w:color w:val="auto"/>
          <w:sz w:val="22"/>
          <w:szCs w:val="22"/>
        </w:rPr>
        <w:t xml:space="preserve"> both the existing built densities calculated for these locations, as well as the expected minimum of 35dph. </w:t>
      </w:r>
      <w:r w:rsidR="00183606" w:rsidRPr="005C042E">
        <w:rPr>
          <w:rFonts w:ascii="Arial" w:hAnsi="Arial" w:cs="Arial"/>
          <w:i w:val="0"/>
          <w:iCs w:val="0"/>
          <w:color w:val="auto"/>
          <w:sz w:val="22"/>
          <w:szCs w:val="22"/>
        </w:rPr>
        <w:t>In the case of Chichester in particular, the recent average net density was determined to be 6</w:t>
      </w:r>
      <w:r w:rsidR="008D209B" w:rsidRPr="005C042E">
        <w:rPr>
          <w:rFonts w:ascii="Arial" w:hAnsi="Arial" w:cs="Arial"/>
          <w:i w:val="0"/>
          <w:iCs w:val="0"/>
          <w:color w:val="auto"/>
          <w:sz w:val="22"/>
          <w:szCs w:val="22"/>
        </w:rPr>
        <w:t>8</w:t>
      </w:r>
      <w:r w:rsidR="00183606" w:rsidRPr="005C042E">
        <w:rPr>
          <w:rFonts w:ascii="Arial" w:hAnsi="Arial" w:cs="Arial"/>
          <w:i w:val="0"/>
          <w:iCs w:val="0"/>
          <w:color w:val="auto"/>
          <w:sz w:val="22"/>
          <w:szCs w:val="22"/>
        </w:rPr>
        <w:t xml:space="preserve"> </w:t>
      </w:r>
      <w:proofErr w:type="spellStart"/>
      <w:r w:rsidR="00183606" w:rsidRPr="005C042E">
        <w:rPr>
          <w:rFonts w:ascii="Arial" w:hAnsi="Arial" w:cs="Arial"/>
          <w:i w:val="0"/>
          <w:iCs w:val="0"/>
          <w:color w:val="auto"/>
          <w:sz w:val="22"/>
          <w:szCs w:val="22"/>
        </w:rPr>
        <w:t>dph</w:t>
      </w:r>
      <w:proofErr w:type="spellEnd"/>
      <w:r w:rsidR="00183606" w:rsidRPr="005C042E">
        <w:rPr>
          <w:rFonts w:ascii="Arial" w:hAnsi="Arial" w:cs="Arial"/>
          <w:i w:val="0"/>
          <w:iCs w:val="0"/>
          <w:color w:val="auto"/>
          <w:sz w:val="22"/>
          <w:szCs w:val="22"/>
        </w:rPr>
        <w:t>, compared with 2</w:t>
      </w:r>
      <w:r w:rsidR="008D209B" w:rsidRPr="005C042E">
        <w:rPr>
          <w:rFonts w:ascii="Arial" w:hAnsi="Arial" w:cs="Arial"/>
          <w:i w:val="0"/>
          <w:iCs w:val="0"/>
          <w:color w:val="auto"/>
          <w:sz w:val="22"/>
          <w:szCs w:val="22"/>
        </w:rPr>
        <w:t>1</w:t>
      </w:r>
      <w:r w:rsidR="00183606" w:rsidRPr="005C042E">
        <w:rPr>
          <w:rFonts w:ascii="Arial" w:hAnsi="Arial" w:cs="Arial"/>
          <w:i w:val="0"/>
          <w:iCs w:val="0"/>
          <w:color w:val="auto"/>
          <w:sz w:val="22"/>
          <w:szCs w:val="22"/>
        </w:rPr>
        <w:t xml:space="preserve"> </w:t>
      </w:r>
      <w:proofErr w:type="spellStart"/>
      <w:r w:rsidR="00183606" w:rsidRPr="005C042E">
        <w:rPr>
          <w:rFonts w:ascii="Arial" w:hAnsi="Arial" w:cs="Arial"/>
          <w:i w:val="0"/>
          <w:iCs w:val="0"/>
          <w:color w:val="auto"/>
          <w:sz w:val="22"/>
          <w:szCs w:val="22"/>
        </w:rPr>
        <w:t>dph</w:t>
      </w:r>
      <w:proofErr w:type="spellEnd"/>
      <w:r w:rsidR="00183606" w:rsidRPr="005C042E">
        <w:rPr>
          <w:rFonts w:ascii="Arial" w:hAnsi="Arial" w:cs="Arial"/>
          <w:i w:val="0"/>
          <w:iCs w:val="0"/>
          <w:color w:val="auto"/>
          <w:sz w:val="22"/>
          <w:szCs w:val="22"/>
        </w:rPr>
        <w:t xml:space="preserve"> for the existing built environment. It is therefore suggested that the existing density figure for Chichester reflects the presence of </w:t>
      </w:r>
      <w:r w:rsidR="00201620" w:rsidRPr="005C042E">
        <w:rPr>
          <w:rFonts w:ascii="Arial" w:hAnsi="Arial" w:cs="Arial"/>
          <w:i w:val="0"/>
          <w:iCs w:val="0"/>
          <w:color w:val="auto"/>
          <w:sz w:val="22"/>
          <w:szCs w:val="22"/>
        </w:rPr>
        <w:t>significant</w:t>
      </w:r>
      <w:r w:rsidR="00183606" w:rsidRPr="005C042E">
        <w:rPr>
          <w:rFonts w:ascii="Arial" w:hAnsi="Arial" w:cs="Arial"/>
          <w:i w:val="0"/>
          <w:iCs w:val="0"/>
          <w:color w:val="auto"/>
          <w:sz w:val="22"/>
          <w:szCs w:val="22"/>
        </w:rPr>
        <w:t xml:space="preserve"> non-residential building infrastructure, including retail and commercial premises, </w:t>
      </w:r>
      <w:r w:rsidR="00201620" w:rsidRPr="005C042E">
        <w:rPr>
          <w:rFonts w:ascii="Arial" w:hAnsi="Arial" w:cs="Arial"/>
          <w:i w:val="0"/>
          <w:iCs w:val="0"/>
          <w:color w:val="auto"/>
          <w:sz w:val="22"/>
          <w:szCs w:val="22"/>
        </w:rPr>
        <w:t>and large areas of open space</w:t>
      </w:r>
      <w:r w:rsidR="00183606" w:rsidRPr="005C042E">
        <w:rPr>
          <w:rFonts w:ascii="Arial" w:hAnsi="Arial" w:cs="Arial"/>
          <w:i w:val="0"/>
          <w:iCs w:val="0"/>
          <w:color w:val="auto"/>
          <w:sz w:val="22"/>
          <w:szCs w:val="22"/>
        </w:rPr>
        <w:t xml:space="preserve">.  </w:t>
      </w:r>
      <w:r w:rsidR="008D209B" w:rsidRPr="005C042E">
        <w:rPr>
          <w:rFonts w:ascii="Arial" w:hAnsi="Arial" w:cs="Arial"/>
          <w:i w:val="0"/>
          <w:iCs w:val="0"/>
          <w:color w:val="auto"/>
          <w:sz w:val="22"/>
          <w:szCs w:val="22"/>
        </w:rPr>
        <w:t xml:space="preserve"> </w:t>
      </w:r>
    </w:p>
    <w:p w14:paraId="46A541FC" w14:textId="77777777" w:rsidR="006046D5" w:rsidRPr="00446B86" w:rsidRDefault="006046D5" w:rsidP="00446B86">
      <w:pPr>
        <w:rPr>
          <w:i/>
          <w:iCs/>
        </w:rPr>
      </w:pPr>
    </w:p>
    <w:p w14:paraId="2C6C3C56" w14:textId="42783A60" w:rsidR="00183606" w:rsidRDefault="005028FD" w:rsidP="00183606">
      <w:pPr>
        <w:pStyle w:val="Caption"/>
        <w:keepNext/>
        <w:jc w:val="both"/>
      </w:pPr>
      <w:r>
        <w:rPr>
          <w:i w:val="0"/>
          <w:iCs w:val="0"/>
          <w:noProof/>
        </w:rPr>
        <w:lastRenderedPageBreak/>
        <w:drawing>
          <wp:inline distT="0" distB="0" distL="0" distR="0" wp14:anchorId="4783EF03" wp14:editId="58A09E14">
            <wp:extent cx="6038850" cy="3057525"/>
            <wp:effectExtent l="0" t="0" r="0" b="9525"/>
            <wp:docPr id="25" name="Chart 25" descr="Bar chart comparing existing densities of accessible locations with recently permitted development densities. Illustrates notable differences between the two density measures in Chichester, Fishbourne and Tangmere.  ">
              <a:extLst xmlns:a="http://schemas.openxmlformats.org/drawingml/2006/main">
                <a:ext uri="{FF2B5EF4-FFF2-40B4-BE49-F238E27FC236}">
                  <a16:creationId xmlns:a16="http://schemas.microsoft.com/office/drawing/2014/main" id="{4F152027-890A-4867-8DEE-7F432C87C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BB9D59" w14:textId="3E9D9E44" w:rsidR="00F972D0" w:rsidRPr="005C042E" w:rsidRDefault="00183606" w:rsidP="005C042E">
      <w:pPr>
        <w:pStyle w:val="Caption"/>
        <w:jc w:val="both"/>
      </w:pPr>
      <w:r>
        <w:t xml:space="preserve">Figure </w:t>
      </w:r>
      <w:r w:rsidR="00B733CF">
        <w:t>11</w:t>
      </w:r>
    </w:p>
    <w:p w14:paraId="6324D020" w14:textId="44ABB577" w:rsidR="001E65FF" w:rsidRDefault="00E35081" w:rsidP="00670E02">
      <w:pPr>
        <w:pStyle w:val="ListParagraph"/>
        <w:ind w:left="0"/>
        <w:jc w:val="both"/>
        <w:rPr>
          <w:rFonts w:ascii="Arial" w:hAnsi="Arial" w:cs="Arial"/>
        </w:rPr>
      </w:pPr>
      <w:r>
        <w:rPr>
          <w:rFonts w:ascii="Arial" w:hAnsi="Arial" w:cs="Arial"/>
        </w:rPr>
        <w:t>6.1</w:t>
      </w:r>
      <w:r w:rsidR="005C042E">
        <w:rPr>
          <w:rFonts w:ascii="Arial" w:hAnsi="Arial" w:cs="Arial"/>
        </w:rPr>
        <w:t>3</w:t>
      </w:r>
      <w:r>
        <w:rPr>
          <w:rFonts w:ascii="Arial" w:hAnsi="Arial" w:cs="Arial"/>
        </w:rPr>
        <w:tab/>
      </w:r>
      <w:r w:rsidR="00CA4602">
        <w:rPr>
          <w:rFonts w:ascii="Arial" w:hAnsi="Arial" w:cs="Arial"/>
        </w:rPr>
        <w:t xml:space="preserve">GIS analysis focused on average existing built densities in close proximity to Bosham, Chichester, Fishbourne, Nutbourne and Southbourne train stations. As illustrated </w:t>
      </w:r>
      <w:r w:rsidR="001E65FF">
        <w:rPr>
          <w:rFonts w:ascii="Arial" w:hAnsi="Arial" w:cs="Arial"/>
        </w:rPr>
        <w:t xml:space="preserve">by the maps within Appendix C, with the exception of Chichester, areas within 10 mins walking distance from train stations extended beyond the settlement boundaries into </w:t>
      </w:r>
      <w:r w:rsidR="003B54DB">
        <w:rPr>
          <w:rFonts w:ascii="Arial" w:hAnsi="Arial" w:cs="Arial"/>
        </w:rPr>
        <w:t>the</w:t>
      </w:r>
      <w:r w:rsidR="001E65FF">
        <w:rPr>
          <w:rFonts w:ascii="Arial" w:hAnsi="Arial" w:cs="Arial"/>
        </w:rPr>
        <w:t xml:space="preserve"> countryside</w:t>
      </w:r>
      <w:r w:rsidR="00311324">
        <w:rPr>
          <w:rFonts w:ascii="Arial" w:hAnsi="Arial" w:cs="Arial"/>
        </w:rPr>
        <w:t xml:space="preserve"> (and in several instances the Chichester Harbour National Landscape)</w:t>
      </w:r>
      <w:r w:rsidR="00183606">
        <w:rPr>
          <w:rFonts w:ascii="Arial" w:hAnsi="Arial" w:cs="Arial"/>
        </w:rPr>
        <w:t xml:space="preserve"> where development is limited</w:t>
      </w:r>
      <w:r w:rsidR="001E65FF">
        <w:rPr>
          <w:rFonts w:ascii="Arial" w:hAnsi="Arial" w:cs="Arial"/>
        </w:rPr>
        <w:t xml:space="preserve">. </w:t>
      </w:r>
      <w:r w:rsidR="00311324">
        <w:rPr>
          <w:rFonts w:ascii="Arial" w:hAnsi="Arial" w:cs="Arial"/>
        </w:rPr>
        <w:t>This provides an explanation as to why</w:t>
      </w:r>
      <w:r w:rsidR="001E65FF">
        <w:rPr>
          <w:rFonts w:ascii="Arial" w:hAnsi="Arial" w:cs="Arial"/>
        </w:rPr>
        <w:t xml:space="preserve"> built densities </w:t>
      </w:r>
      <w:r w:rsidR="00311324">
        <w:rPr>
          <w:rFonts w:ascii="Arial" w:hAnsi="Arial" w:cs="Arial"/>
        </w:rPr>
        <w:t>within reasonable walking distance of train stations are</w:t>
      </w:r>
      <w:r w:rsidR="001E65FF">
        <w:rPr>
          <w:rFonts w:ascii="Arial" w:hAnsi="Arial" w:cs="Arial"/>
        </w:rPr>
        <w:t xml:space="preserve"> lower than average densities within the settlement boundary (see also Figure 1</w:t>
      </w:r>
      <w:r w:rsidR="00201620">
        <w:rPr>
          <w:rFonts w:ascii="Arial" w:hAnsi="Arial" w:cs="Arial"/>
        </w:rPr>
        <w:t>2</w:t>
      </w:r>
      <w:r w:rsidR="001E65FF">
        <w:rPr>
          <w:rFonts w:ascii="Arial" w:hAnsi="Arial" w:cs="Arial"/>
        </w:rPr>
        <w:t xml:space="preserve">). </w:t>
      </w:r>
    </w:p>
    <w:p w14:paraId="26424A30" w14:textId="73269567" w:rsidR="00EC0F33" w:rsidRDefault="003B54DB" w:rsidP="00EC0F33">
      <w:pPr>
        <w:pStyle w:val="Caption"/>
        <w:keepNext/>
        <w:jc w:val="center"/>
      </w:pPr>
      <w:r>
        <w:rPr>
          <w:noProof/>
        </w:rPr>
        <w:drawing>
          <wp:inline distT="0" distB="0" distL="0" distR="0" wp14:anchorId="3E234554" wp14:editId="7B476F7F">
            <wp:extent cx="4572000" cy="2743200"/>
            <wp:effectExtent l="0" t="0" r="0" b="0"/>
            <wp:docPr id="13" name="Chart 13" descr="Bar chart comparing housing densities within train-accessible locations. Illustrates lower densities within reasonable walking distances of train stations than within the settlement boundary. ">
              <a:extLst xmlns:a="http://schemas.openxmlformats.org/drawingml/2006/main">
                <a:ext uri="{FF2B5EF4-FFF2-40B4-BE49-F238E27FC236}">
                  <a16:creationId xmlns:a16="http://schemas.microsoft.com/office/drawing/2014/main" id="{1D846C49-2DF5-9569-D38E-A885AA149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357E2A" w14:textId="4CB1E356" w:rsidR="003B54DB" w:rsidRDefault="00EC0F33" w:rsidP="00EC0F33">
      <w:pPr>
        <w:pStyle w:val="Caption"/>
        <w:rPr>
          <w:rFonts w:ascii="Arial" w:hAnsi="Arial" w:cs="Arial"/>
        </w:rPr>
      </w:pPr>
      <w:r>
        <w:t>Figure 12</w:t>
      </w:r>
    </w:p>
    <w:p w14:paraId="1FCB458B" w14:textId="5437BA3D" w:rsidR="003B54DB" w:rsidRDefault="003B54DB" w:rsidP="00670E02">
      <w:pPr>
        <w:pStyle w:val="ListParagraph"/>
        <w:ind w:left="0"/>
        <w:jc w:val="both"/>
        <w:rPr>
          <w:rFonts w:ascii="Arial" w:hAnsi="Arial" w:cs="Arial"/>
        </w:rPr>
      </w:pPr>
    </w:p>
    <w:p w14:paraId="78F0A0B4" w14:textId="1DFBABC7" w:rsidR="003B54DB" w:rsidRDefault="00E35081" w:rsidP="00670E02">
      <w:pPr>
        <w:pStyle w:val="ListParagraph"/>
        <w:ind w:left="0"/>
        <w:jc w:val="both"/>
        <w:rPr>
          <w:rFonts w:ascii="Arial" w:hAnsi="Arial" w:cs="Arial"/>
        </w:rPr>
      </w:pPr>
      <w:r>
        <w:rPr>
          <w:rFonts w:ascii="Arial" w:hAnsi="Arial" w:cs="Arial"/>
        </w:rPr>
        <w:t>6.1</w:t>
      </w:r>
      <w:r w:rsidR="00EC0F33">
        <w:rPr>
          <w:rFonts w:ascii="Arial" w:hAnsi="Arial" w:cs="Arial"/>
        </w:rPr>
        <w:t>4</w:t>
      </w:r>
      <w:r>
        <w:rPr>
          <w:rFonts w:ascii="Arial" w:hAnsi="Arial" w:cs="Arial"/>
        </w:rPr>
        <w:tab/>
      </w:r>
      <w:r w:rsidR="003B54DB">
        <w:rPr>
          <w:rFonts w:ascii="Arial" w:hAnsi="Arial" w:cs="Arial"/>
        </w:rPr>
        <w:t xml:space="preserve">For Chichester, the area of the city within 10 mins walking distance of the train station is 150ha, compared with approx. 770ha within the settlement boundary. The station is located to the south of the city centre, and is surrounded by commercial and industrial development, </w:t>
      </w:r>
      <w:r w:rsidR="003B54DB">
        <w:rPr>
          <w:rFonts w:ascii="Arial" w:hAnsi="Arial" w:cs="Arial"/>
        </w:rPr>
        <w:lastRenderedPageBreak/>
        <w:t>as well as green open spaces. By contra</w:t>
      </w:r>
      <w:r w:rsidR="004D1B30">
        <w:rPr>
          <w:rFonts w:ascii="Arial" w:hAnsi="Arial" w:cs="Arial"/>
        </w:rPr>
        <w:t>s</w:t>
      </w:r>
      <w:r w:rsidR="003B54DB">
        <w:rPr>
          <w:rFonts w:ascii="Arial" w:hAnsi="Arial" w:cs="Arial"/>
        </w:rPr>
        <w:t xml:space="preserve">t, the retail centre is surrounded by </w:t>
      </w:r>
      <w:r w:rsidR="004D1B30">
        <w:rPr>
          <w:rFonts w:ascii="Arial" w:hAnsi="Arial" w:cs="Arial"/>
        </w:rPr>
        <w:t xml:space="preserve">a </w:t>
      </w:r>
      <w:r w:rsidR="00624681">
        <w:rPr>
          <w:rFonts w:ascii="Arial" w:hAnsi="Arial" w:cs="Arial"/>
        </w:rPr>
        <w:t>denser</w:t>
      </w:r>
      <w:r w:rsidR="00311324">
        <w:rPr>
          <w:rFonts w:ascii="Arial" w:hAnsi="Arial" w:cs="Arial"/>
        </w:rPr>
        <w:t xml:space="preserve"> </w:t>
      </w:r>
      <w:r w:rsidR="004D1B30">
        <w:rPr>
          <w:rFonts w:ascii="Arial" w:hAnsi="Arial" w:cs="Arial"/>
        </w:rPr>
        <w:t>built environment</w:t>
      </w:r>
      <w:r w:rsidR="00311324">
        <w:rPr>
          <w:rFonts w:ascii="Arial" w:hAnsi="Arial" w:cs="Arial"/>
        </w:rPr>
        <w:t xml:space="preserve"> comprising </w:t>
      </w:r>
      <w:r w:rsidR="00201620">
        <w:rPr>
          <w:rFonts w:ascii="Arial" w:hAnsi="Arial" w:cs="Arial"/>
        </w:rPr>
        <w:t>commerc</w:t>
      </w:r>
      <w:r w:rsidR="007E73A1">
        <w:rPr>
          <w:rFonts w:ascii="Arial" w:hAnsi="Arial" w:cs="Arial"/>
        </w:rPr>
        <w:t>i</w:t>
      </w:r>
      <w:r w:rsidR="00201620">
        <w:rPr>
          <w:rFonts w:ascii="Arial" w:hAnsi="Arial" w:cs="Arial"/>
        </w:rPr>
        <w:t>al</w:t>
      </w:r>
      <w:r w:rsidR="00311324">
        <w:rPr>
          <w:rFonts w:ascii="Arial" w:hAnsi="Arial" w:cs="Arial"/>
        </w:rPr>
        <w:t xml:space="preserve"> and residential uses</w:t>
      </w:r>
      <w:r w:rsidR="004D1B30">
        <w:rPr>
          <w:rFonts w:ascii="Arial" w:hAnsi="Arial" w:cs="Arial"/>
        </w:rPr>
        <w:t xml:space="preserve">. Average existing </w:t>
      </w:r>
      <w:r w:rsidR="00F52EC0">
        <w:rPr>
          <w:rFonts w:ascii="Arial" w:hAnsi="Arial" w:cs="Arial"/>
        </w:rPr>
        <w:t xml:space="preserve">residential </w:t>
      </w:r>
      <w:r w:rsidR="004D1B30">
        <w:rPr>
          <w:rFonts w:ascii="Arial" w:hAnsi="Arial" w:cs="Arial"/>
        </w:rPr>
        <w:t>densities were significantly greater in areas within close walking distance of the retail centre as compared with the train station (</w:t>
      </w:r>
      <w:r w:rsidR="00F52EC0">
        <w:rPr>
          <w:rFonts w:ascii="Arial" w:hAnsi="Arial" w:cs="Arial"/>
        </w:rPr>
        <w:t>Approx. 180% denser within 5 mins walking distance, and approx. 170% denser within 10 mins</w:t>
      </w:r>
      <w:r w:rsidR="004D1B30">
        <w:rPr>
          <w:rFonts w:ascii="Arial" w:hAnsi="Arial" w:cs="Arial"/>
        </w:rPr>
        <w:t>)</w:t>
      </w:r>
      <w:r w:rsidR="000F65C1">
        <w:rPr>
          <w:rFonts w:ascii="Arial" w:hAnsi="Arial" w:cs="Arial"/>
        </w:rPr>
        <w:t xml:space="preserve"> (see also Figure 1</w:t>
      </w:r>
      <w:r w:rsidR="00201620">
        <w:rPr>
          <w:rFonts w:ascii="Arial" w:hAnsi="Arial" w:cs="Arial"/>
        </w:rPr>
        <w:t>3</w:t>
      </w:r>
      <w:r w:rsidR="000F65C1">
        <w:rPr>
          <w:rFonts w:ascii="Arial" w:hAnsi="Arial" w:cs="Arial"/>
        </w:rPr>
        <w:t>).</w:t>
      </w:r>
      <w:r w:rsidR="005136FA">
        <w:rPr>
          <w:rFonts w:ascii="Arial" w:hAnsi="Arial" w:cs="Arial"/>
        </w:rPr>
        <w:t xml:space="preserve"> </w:t>
      </w:r>
    </w:p>
    <w:p w14:paraId="40E70291" w14:textId="7C2CF0F5" w:rsidR="00CA4602" w:rsidRDefault="001E65FF" w:rsidP="00670E02">
      <w:pPr>
        <w:pStyle w:val="ListParagraph"/>
        <w:ind w:left="0"/>
        <w:jc w:val="both"/>
        <w:rPr>
          <w:rFonts w:ascii="Arial" w:hAnsi="Arial" w:cs="Arial"/>
        </w:rPr>
      </w:pPr>
      <w:r>
        <w:rPr>
          <w:rFonts w:ascii="Arial" w:hAnsi="Arial" w:cs="Arial"/>
        </w:rPr>
        <w:t xml:space="preserve"> </w:t>
      </w:r>
      <w:r w:rsidR="00CA4602">
        <w:rPr>
          <w:rFonts w:ascii="Arial" w:hAnsi="Arial" w:cs="Arial"/>
        </w:rPr>
        <w:t xml:space="preserve"> </w:t>
      </w:r>
    </w:p>
    <w:p w14:paraId="16D3362B" w14:textId="77777777" w:rsidR="00EC0F33" w:rsidRDefault="005C3957" w:rsidP="00EC0F33">
      <w:pPr>
        <w:pStyle w:val="ListParagraph"/>
        <w:keepNext/>
        <w:ind w:left="0"/>
        <w:jc w:val="center"/>
      </w:pPr>
      <w:r>
        <w:rPr>
          <w:noProof/>
        </w:rPr>
        <w:drawing>
          <wp:inline distT="0" distB="0" distL="0" distR="0" wp14:anchorId="4BA78DD4" wp14:editId="7717561D">
            <wp:extent cx="4572000" cy="2743200"/>
            <wp:effectExtent l="0" t="0" r="0" b="0"/>
            <wp:docPr id="14" name="Chart 14" descr="Bar chart comparing Chichester housing densities within walking distance of its train station (lower) and its retail centre (higher). ">
              <a:extLst xmlns:a="http://schemas.openxmlformats.org/drawingml/2006/main">
                <a:ext uri="{FF2B5EF4-FFF2-40B4-BE49-F238E27FC236}">
                  <a16:creationId xmlns:a16="http://schemas.microsoft.com/office/drawing/2014/main" id="{CB6AD3C6-592F-0483-1E70-D5DE22228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6F78D7" w14:textId="3ED7483F" w:rsidR="00F972D0" w:rsidRDefault="00EC0F33" w:rsidP="00EC0F33">
      <w:pPr>
        <w:pStyle w:val="Caption"/>
        <w:jc w:val="both"/>
        <w:rPr>
          <w:rFonts w:ascii="Arial" w:hAnsi="Arial" w:cs="Arial"/>
        </w:rPr>
      </w:pPr>
      <w:r>
        <w:t>Figure 13</w:t>
      </w:r>
    </w:p>
    <w:p w14:paraId="4C7DD0A0" w14:textId="11B97A25" w:rsidR="005C3957" w:rsidRDefault="005C3957" w:rsidP="00670E02">
      <w:pPr>
        <w:pStyle w:val="ListParagraph"/>
        <w:ind w:left="0"/>
        <w:jc w:val="both"/>
        <w:rPr>
          <w:rFonts w:ascii="Arial" w:hAnsi="Arial" w:cs="Arial"/>
        </w:rPr>
      </w:pPr>
    </w:p>
    <w:p w14:paraId="6A8EE6A0" w14:textId="7B294602" w:rsidR="00754832" w:rsidRDefault="0093628D" w:rsidP="00EC0F33">
      <w:pPr>
        <w:pStyle w:val="Heading2"/>
      </w:pPr>
      <w:bookmarkStart w:id="20" w:name="_Toc163590720"/>
      <w:r w:rsidRPr="00EC0F33">
        <w:t>Case studies</w:t>
      </w:r>
      <w:bookmarkEnd w:id="20"/>
    </w:p>
    <w:p w14:paraId="1FC12428" w14:textId="77777777" w:rsidR="00DF0764" w:rsidRPr="00DF0764" w:rsidRDefault="00DF0764" w:rsidP="00DF0764"/>
    <w:p w14:paraId="1718B809" w14:textId="64D46113" w:rsidR="00E75025" w:rsidRDefault="00EC0F33" w:rsidP="00670E02">
      <w:pPr>
        <w:pStyle w:val="ListParagraph"/>
        <w:ind w:left="0"/>
        <w:jc w:val="both"/>
        <w:rPr>
          <w:rFonts w:ascii="Arial" w:hAnsi="Arial" w:cs="Arial"/>
        </w:rPr>
      </w:pPr>
      <w:r>
        <w:rPr>
          <w:rFonts w:ascii="Arial" w:hAnsi="Arial" w:cs="Arial"/>
        </w:rPr>
        <w:t>6.15</w:t>
      </w:r>
      <w:r>
        <w:rPr>
          <w:rFonts w:ascii="Arial" w:hAnsi="Arial" w:cs="Arial"/>
        </w:rPr>
        <w:tab/>
      </w:r>
      <w:r w:rsidR="004F3949">
        <w:rPr>
          <w:rFonts w:ascii="Arial" w:hAnsi="Arial" w:cs="Arial"/>
        </w:rPr>
        <w:t>In-depth case study analysis</w:t>
      </w:r>
      <w:r w:rsidR="00580FF5">
        <w:rPr>
          <w:rFonts w:ascii="Arial" w:hAnsi="Arial" w:cs="Arial"/>
        </w:rPr>
        <w:t xml:space="preserve"> (see Appendix D)</w:t>
      </w:r>
      <w:r w:rsidR="004F3949">
        <w:rPr>
          <w:rFonts w:ascii="Arial" w:hAnsi="Arial" w:cs="Arial"/>
        </w:rPr>
        <w:t xml:space="preserve"> </w:t>
      </w:r>
      <w:r w:rsidR="00925ACF">
        <w:rPr>
          <w:rFonts w:ascii="Arial" w:hAnsi="Arial" w:cs="Arial"/>
        </w:rPr>
        <w:t xml:space="preserve">of </w:t>
      </w:r>
      <w:r w:rsidR="00ED77B9">
        <w:rPr>
          <w:rFonts w:ascii="Arial" w:hAnsi="Arial" w:cs="Arial"/>
        </w:rPr>
        <w:t>seven</w:t>
      </w:r>
      <w:r w:rsidR="009C4A86">
        <w:rPr>
          <w:rFonts w:ascii="Arial" w:hAnsi="Arial" w:cs="Arial"/>
        </w:rPr>
        <w:t xml:space="preserve"> approved</w:t>
      </w:r>
      <w:r w:rsidR="00925ACF">
        <w:rPr>
          <w:rFonts w:ascii="Arial" w:hAnsi="Arial" w:cs="Arial"/>
        </w:rPr>
        <w:t xml:space="preserve"> developments within </w:t>
      </w:r>
      <w:r w:rsidR="00ED77B9">
        <w:rPr>
          <w:rFonts w:ascii="Arial" w:hAnsi="Arial" w:cs="Arial"/>
        </w:rPr>
        <w:t xml:space="preserve">the </w:t>
      </w:r>
      <w:r w:rsidR="00DF0764">
        <w:rPr>
          <w:rFonts w:ascii="Arial" w:hAnsi="Arial" w:cs="Arial"/>
        </w:rPr>
        <w:t>P</w:t>
      </w:r>
      <w:r w:rsidR="00ED77B9">
        <w:rPr>
          <w:rFonts w:ascii="Arial" w:hAnsi="Arial" w:cs="Arial"/>
        </w:rPr>
        <w:t xml:space="preserve">lan </w:t>
      </w:r>
      <w:r w:rsidR="00DF0764">
        <w:rPr>
          <w:rFonts w:ascii="Arial" w:hAnsi="Arial" w:cs="Arial"/>
        </w:rPr>
        <w:t>A</w:t>
      </w:r>
      <w:r w:rsidR="00ED77B9">
        <w:rPr>
          <w:rFonts w:ascii="Arial" w:hAnsi="Arial" w:cs="Arial"/>
        </w:rPr>
        <w:t>rea</w:t>
      </w:r>
      <w:r w:rsidR="00925ACF">
        <w:rPr>
          <w:rFonts w:ascii="Arial" w:hAnsi="Arial" w:cs="Arial"/>
        </w:rPr>
        <w:t xml:space="preserve"> </w:t>
      </w:r>
      <w:r w:rsidR="004F3949">
        <w:rPr>
          <w:rFonts w:ascii="Arial" w:hAnsi="Arial" w:cs="Arial"/>
        </w:rPr>
        <w:t xml:space="preserve">compared </w:t>
      </w:r>
      <w:r w:rsidR="00ED77B9">
        <w:rPr>
          <w:rFonts w:ascii="Arial" w:hAnsi="Arial" w:cs="Arial"/>
        </w:rPr>
        <w:t xml:space="preserve">study </w:t>
      </w:r>
      <w:r w:rsidR="004F3949">
        <w:rPr>
          <w:rFonts w:ascii="Arial" w:hAnsi="Arial" w:cs="Arial"/>
        </w:rPr>
        <w:t>calculated densities</w:t>
      </w:r>
      <w:r w:rsidR="00ED77B9">
        <w:rPr>
          <w:rFonts w:ascii="Arial" w:hAnsi="Arial" w:cs="Arial"/>
        </w:rPr>
        <w:t xml:space="preserve"> (see </w:t>
      </w:r>
      <w:r w:rsidR="006D1717">
        <w:rPr>
          <w:rFonts w:ascii="Arial" w:hAnsi="Arial" w:cs="Arial"/>
        </w:rPr>
        <w:t xml:space="preserve">Methodology and </w:t>
      </w:r>
      <w:r w:rsidR="00ED77B9">
        <w:rPr>
          <w:rFonts w:ascii="Arial" w:hAnsi="Arial" w:cs="Arial"/>
        </w:rPr>
        <w:t>Appendix A)</w:t>
      </w:r>
      <w:r w:rsidR="004F3949">
        <w:rPr>
          <w:rFonts w:ascii="Arial" w:hAnsi="Arial" w:cs="Arial"/>
        </w:rPr>
        <w:t xml:space="preserve"> with those stat</w:t>
      </w:r>
      <w:r w:rsidR="00E75025">
        <w:rPr>
          <w:rFonts w:ascii="Arial" w:hAnsi="Arial" w:cs="Arial"/>
        </w:rPr>
        <w:t>ed</w:t>
      </w:r>
      <w:r w:rsidR="004F3949">
        <w:rPr>
          <w:rFonts w:ascii="Arial" w:hAnsi="Arial" w:cs="Arial"/>
        </w:rPr>
        <w:t xml:space="preserve"> in application information or </w:t>
      </w:r>
      <w:r w:rsidR="00DD7965">
        <w:rPr>
          <w:rFonts w:ascii="Arial" w:hAnsi="Arial" w:cs="Arial"/>
        </w:rPr>
        <w:t>o</w:t>
      </w:r>
      <w:r w:rsidR="004F3949">
        <w:rPr>
          <w:rFonts w:ascii="Arial" w:hAnsi="Arial" w:cs="Arial"/>
        </w:rPr>
        <w:t xml:space="preserve">fficer </w:t>
      </w:r>
      <w:r w:rsidR="00DD7965">
        <w:rPr>
          <w:rFonts w:ascii="Arial" w:hAnsi="Arial" w:cs="Arial"/>
        </w:rPr>
        <w:t>r</w:t>
      </w:r>
      <w:r w:rsidR="004F3949">
        <w:rPr>
          <w:rFonts w:ascii="Arial" w:hAnsi="Arial" w:cs="Arial"/>
        </w:rPr>
        <w:t>eport</w:t>
      </w:r>
      <w:r w:rsidR="00E75025">
        <w:rPr>
          <w:rFonts w:ascii="Arial" w:hAnsi="Arial" w:cs="Arial"/>
        </w:rPr>
        <w:t>s</w:t>
      </w:r>
      <w:r w:rsidR="009C4A86">
        <w:rPr>
          <w:rFonts w:ascii="Arial" w:hAnsi="Arial" w:cs="Arial"/>
        </w:rPr>
        <w:t xml:space="preserve"> (where available)</w:t>
      </w:r>
      <w:r w:rsidR="004F3949">
        <w:rPr>
          <w:rFonts w:ascii="Arial" w:hAnsi="Arial" w:cs="Arial"/>
        </w:rPr>
        <w:t xml:space="preserve">. </w:t>
      </w:r>
      <w:r w:rsidR="00580FF5">
        <w:rPr>
          <w:rFonts w:ascii="Arial" w:hAnsi="Arial" w:cs="Arial"/>
        </w:rPr>
        <w:t>I</w:t>
      </w:r>
      <w:r w:rsidR="00DD7965">
        <w:rPr>
          <w:rFonts w:ascii="Arial" w:hAnsi="Arial" w:cs="Arial"/>
        </w:rPr>
        <w:t>t</w:t>
      </w:r>
      <w:r w:rsidR="004F3949">
        <w:rPr>
          <w:rFonts w:ascii="Arial" w:hAnsi="Arial" w:cs="Arial"/>
        </w:rPr>
        <w:t xml:space="preserve"> was revealed </w:t>
      </w:r>
      <w:r w:rsidR="00580FF5">
        <w:rPr>
          <w:rFonts w:ascii="Arial" w:hAnsi="Arial" w:cs="Arial"/>
        </w:rPr>
        <w:t>that</w:t>
      </w:r>
      <w:r w:rsidR="004F3949">
        <w:rPr>
          <w:rFonts w:ascii="Arial" w:hAnsi="Arial" w:cs="Arial"/>
        </w:rPr>
        <w:t xml:space="preserve"> the study densities, determined by applying land use adjustments and open space provision assumptions, </w:t>
      </w:r>
      <w:r w:rsidR="006D1717">
        <w:rPr>
          <w:rFonts w:ascii="Arial" w:hAnsi="Arial" w:cs="Arial"/>
        </w:rPr>
        <w:t xml:space="preserve">in the majority of cases </w:t>
      </w:r>
      <w:r w:rsidR="004F3949">
        <w:rPr>
          <w:rFonts w:ascii="Arial" w:hAnsi="Arial" w:cs="Arial"/>
        </w:rPr>
        <w:t xml:space="preserve">provided </w:t>
      </w:r>
      <w:r w:rsidR="00580FF5">
        <w:rPr>
          <w:rFonts w:ascii="Arial" w:hAnsi="Arial" w:cs="Arial"/>
        </w:rPr>
        <w:t>higher</w:t>
      </w:r>
      <w:r w:rsidR="004F3949">
        <w:rPr>
          <w:rFonts w:ascii="Arial" w:hAnsi="Arial" w:cs="Arial"/>
        </w:rPr>
        <w:t xml:space="preserve"> density figure</w:t>
      </w:r>
      <w:r w:rsidR="00580FF5">
        <w:rPr>
          <w:rFonts w:ascii="Arial" w:hAnsi="Arial" w:cs="Arial"/>
        </w:rPr>
        <w:t>s</w:t>
      </w:r>
      <w:r w:rsidR="004F3949">
        <w:rPr>
          <w:rFonts w:ascii="Arial" w:hAnsi="Arial" w:cs="Arial"/>
        </w:rPr>
        <w:t xml:space="preserve"> tha</w:t>
      </w:r>
      <w:r w:rsidR="00925ACF">
        <w:rPr>
          <w:rFonts w:ascii="Arial" w:hAnsi="Arial" w:cs="Arial"/>
        </w:rPr>
        <w:t>n</w:t>
      </w:r>
      <w:r w:rsidR="004F3949">
        <w:rPr>
          <w:rFonts w:ascii="Arial" w:hAnsi="Arial" w:cs="Arial"/>
        </w:rPr>
        <w:t xml:space="preserve"> </w:t>
      </w:r>
      <w:r w:rsidR="00580FF5">
        <w:rPr>
          <w:rFonts w:ascii="Arial" w:hAnsi="Arial" w:cs="Arial"/>
        </w:rPr>
        <w:t>those</w:t>
      </w:r>
      <w:r w:rsidR="004F3949">
        <w:rPr>
          <w:rFonts w:ascii="Arial" w:hAnsi="Arial" w:cs="Arial"/>
        </w:rPr>
        <w:t xml:space="preserve"> cited</w:t>
      </w:r>
      <w:r w:rsidR="006D1717">
        <w:rPr>
          <w:rFonts w:ascii="Arial" w:hAnsi="Arial" w:cs="Arial"/>
        </w:rPr>
        <w:t xml:space="preserve"> within permitted applications</w:t>
      </w:r>
      <w:r w:rsidR="004F3949">
        <w:rPr>
          <w:rFonts w:ascii="Arial" w:hAnsi="Arial" w:cs="Arial"/>
        </w:rPr>
        <w:t xml:space="preserve">. </w:t>
      </w:r>
      <w:r w:rsidR="00DD7965">
        <w:rPr>
          <w:rFonts w:ascii="Arial" w:hAnsi="Arial" w:cs="Arial"/>
        </w:rPr>
        <w:t xml:space="preserve">In several </w:t>
      </w:r>
      <w:r w:rsidR="009E4F17">
        <w:rPr>
          <w:rFonts w:ascii="Arial" w:hAnsi="Arial" w:cs="Arial"/>
        </w:rPr>
        <w:t>instances</w:t>
      </w:r>
      <w:r w:rsidR="00DD7965">
        <w:rPr>
          <w:rFonts w:ascii="Arial" w:hAnsi="Arial" w:cs="Arial"/>
        </w:rPr>
        <w:t xml:space="preserve">, the calculated density figure was considered to </w:t>
      </w:r>
      <w:r w:rsidR="00624681">
        <w:rPr>
          <w:rFonts w:ascii="Arial" w:hAnsi="Arial" w:cs="Arial"/>
        </w:rPr>
        <w:t>represent densities most accurately</w:t>
      </w:r>
      <w:r w:rsidR="00DD7965">
        <w:rPr>
          <w:rFonts w:ascii="Arial" w:hAnsi="Arial" w:cs="Arial"/>
        </w:rPr>
        <w:t xml:space="preserve"> on site, however. The observations highlight </w:t>
      </w:r>
      <w:r w:rsidR="00E75025">
        <w:rPr>
          <w:rFonts w:ascii="Arial" w:hAnsi="Arial" w:cs="Arial"/>
        </w:rPr>
        <w:t>the absence of a single source of density information that can be considered wholly reliable</w:t>
      </w:r>
      <w:r w:rsidR="00DD7965">
        <w:rPr>
          <w:rFonts w:ascii="Arial" w:hAnsi="Arial" w:cs="Arial"/>
        </w:rPr>
        <w:t>. It is suggested that t</w:t>
      </w:r>
      <w:r w:rsidR="00E75025">
        <w:rPr>
          <w:rFonts w:ascii="Arial" w:hAnsi="Arial" w:cs="Arial"/>
        </w:rPr>
        <w:t xml:space="preserve">he average net densities determined </w:t>
      </w:r>
      <w:r w:rsidR="00CF2BC7">
        <w:rPr>
          <w:rFonts w:ascii="Arial" w:hAnsi="Arial" w:cs="Arial"/>
        </w:rPr>
        <w:t xml:space="preserve">consistently </w:t>
      </w:r>
      <w:r w:rsidR="00E75025">
        <w:rPr>
          <w:rFonts w:ascii="Arial" w:hAnsi="Arial" w:cs="Arial"/>
        </w:rPr>
        <w:t xml:space="preserve">within the study can be considered </w:t>
      </w:r>
      <w:r w:rsidR="00DD7965">
        <w:rPr>
          <w:rFonts w:ascii="Arial" w:hAnsi="Arial" w:cs="Arial"/>
        </w:rPr>
        <w:t xml:space="preserve">to provide </w:t>
      </w:r>
      <w:r w:rsidR="00E75025">
        <w:rPr>
          <w:rFonts w:ascii="Arial" w:hAnsi="Arial" w:cs="Arial"/>
        </w:rPr>
        <w:t xml:space="preserve">reasonable </w:t>
      </w:r>
      <w:r w:rsidR="00DD7965">
        <w:rPr>
          <w:rFonts w:ascii="Arial" w:hAnsi="Arial" w:cs="Arial"/>
        </w:rPr>
        <w:t xml:space="preserve">and broadly applicable </w:t>
      </w:r>
      <w:r w:rsidR="00E75025">
        <w:rPr>
          <w:rFonts w:ascii="Arial" w:hAnsi="Arial" w:cs="Arial"/>
        </w:rPr>
        <w:t xml:space="preserve">approximations of density. </w:t>
      </w:r>
    </w:p>
    <w:p w14:paraId="259C9459" w14:textId="2AA0AC17" w:rsidR="00E75025" w:rsidRDefault="00E75025" w:rsidP="00670E02">
      <w:pPr>
        <w:pStyle w:val="ListParagraph"/>
        <w:ind w:left="0"/>
        <w:jc w:val="both"/>
        <w:rPr>
          <w:rFonts w:ascii="Arial" w:hAnsi="Arial" w:cs="Arial"/>
        </w:rPr>
      </w:pPr>
    </w:p>
    <w:p w14:paraId="46826B2F" w14:textId="4444F1AC" w:rsidR="00995F95" w:rsidRDefault="00EC0F33" w:rsidP="00670E02">
      <w:pPr>
        <w:pStyle w:val="ListParagraph"/>
        <w:ind w:left="0"/>
        <w:jc w:val="both"/>
        <w:rPr>
          <w:rFonts w:ascii="Arial" w:hAnsi="Arial" w:cs="Arial"/>
        </w:rPr>
      </w:pPr>
      <w:r>
        <w:rPr>
          <w:rFonts w:ascii="Arial" w:hAnsi="Arial" w:cs="Arial"/>
        </w:rPr>
        <w:t>6.16</w:t>
      </w:r>
      <w:r>
        <w:rPr>
          <w:rFonts w:ascii="Arial" w:hAnsi="Arial" w:cs="Arial"/>
        </w:rPr>
        <w:tab/>
      </w:r>
      <w:r w:rsidR="00E75025">
        <w:rPr>
          <w:rFonts w:ascii="Arial" w:hAnsi="Arial" w:cs="Arial"/>
        </w:rPr>
        <w:t>Key insights derived from the case studie</w:t>
      </w:r>
      <w:r w:rsidR="00CF2BC7">
        <w:rPr>
          <w:rFonts w:ascii="Arial" w:hAnsi="Arial" w:cs="Arial"/>
        </w:rPr>
        <w:t>s</w:t>
      </w:r>
      <w:r w:rsidR="00E75025">
        <w:rPr>
          <w:rFonts w:ascii="Arial" w:hAnsi="Arial" w:cs="Arial"/>
        </w:rPr>
        <w:t xml:space="preserve"> reflect consideration of</w:t>
      </w:r>
      <w:r w:rsidR="00CF2BC7">
        <w:rPr>
          <w:rFonts w:ascii="Arial" w:hAnsi="Arial" w:cs="Arial"/>
        </w:rPr>
        <w:t xml:space="preserve"> living standards and residential amenity associated with high</w:t>
      </w:r>
      <w:r w:rsidR="006D1717">
        <w:rPr>
          <w:rFonts w:ascii="Arial" w:hAnsi="Arial" w:cs="Arial"/>
        </w:rPr>
        <w:t>er</w:t>
      </w:r>
      <w:r w:rsidR="00CF2BC7">
        <w:rPr>
          <w:rFonts w:ascii="Arial" w:hAnsi="Arial" w:cs="Arial"/>
        </w:rPr>
        <w:t xml:space="preserve"> density housing, including potential noise impacts associated with </w:t>
      </w:r>
      <w:r w:rsidR="00341216">
        <w:rPr>
          <w:rFonts w:ascii="Arial" w:hAnsi="Arial" w:cs="Arial"/>
        </w:rPr>
        <w:t>pre-</w:t>
      </w:r>
      <w:r w:rsidR="00CF2BC7">
        <w:rPr>
          <w:rFonts w:ascii="Arial" w:hAnsi="Arial" w:cs="Arial"/>
        </w:rPr>
        <w:t xml:space="preserve">existing neighbouring uses, and the availability of daylight/sunlight. </w:t>
      </w:r>
      <w:r w:rsidR="006D1717">
        <w:rPr>
          <w:rFonts w:ascii="Arial" w:hAnsi="Arial" w:cs="Arial"/>
        </w:rPr>
        <w:t>The analysis of compliance with Nationally Described Space Standards</w:t>
      </w:r>
      <w:r w:rsidR="00A36865">
        <w:rPr>
          <w:rFonts w:ascii="Arial" w:hAnsi="Arial" w:cs="Arial"/>
        </w:rPr>
        <w:t xml:space="preserve"> (see Appendix E for raw data)</w:t>
      </w:r>
      <w:r w:rsidR="006D1717">
        <w:rPr>
          <w:rFonts w:ascii="Arial" w:hAnsi="Arial" w:cs="Arial"/>
        </w:rPr>
        <w:t xml:space="preserve"> revealed that higher density developments</w:t>
      </w:r>
      <w:r w:rsidR="00927C5B">
        <w:rPr>
          <w:rFonts w:ascii="Arial" w:hAnsi="Arial" w:cs="Arial"/>
        </w:rPr>
        <w:t>, including</w:t>
      </w:r>
      <w:r w:rsidR="006D1717">
        <w:rPr>
          <w:rFonts w:ascii="Arial" w:hAnsi="Arial" w:cs="Arial"/>
        </w:rPr>
        <w:t xml:space="preserve"> </w:t>
      </w:r>
      <w:r w:rsidR="00800BB1">
        <w:rPr>
          <w:rFonts w:ascii="Arial" w:hAnsi="Arial" w:cs="Arial"/>
        </w:rPr>
        <w:t xml:space="preserve">those </w:t>
      </w:r>
      <w:r w:rsidR="006D1717">
        <w:rPr>
          <w:rFonts w:ascii="Arial" w:hAnsi="Arial" w:cs="Arial"/>
        </w:rPr>
        <w:t>on previously developed and constrained sites</w:t>
      </w:r>
      <w:r w:rsidR="00800BB1">
        <w:rPr>
          <w:rFonts w:ascii="Arial" w:hAnsi="Arial" w:cs="Arial"/>
        </w:rPr>
        <w:t>,</w:t>
      </w:r>
      <w:r w:rsidR="006D1717">
        <w:rPr>
          <w:rFonts w:ascii="Arial" w:hAnsi="Arial" w:cs="Arial"/>
        </w:rPr>
        <w:t xml:space="preserve"> </w:t>
      </w:r>
      <w:r w:rsidR="00624681">
        <w:rPr>
          <w:rFonts w:ascii="Arial" w:hAnsi="Arial" w:cs="Arial"/>
        </w:rPr>
        <w:t>met the</w:t>
      </w:r>
      <w:r w:rsidR="006D1717">
        <w:rPr>
          <w:rFonts w:ascii="Arial" w:hAnsi="Arial" w:cs="Arial"/>
        </w:rPr>
        <w:t xml:space="preserve"> standards, regardless of this not being a policy requirement to date. </w:t>
      </w:r>
      <w:r w:rsidR="00927C5B">
        <w:rPr>
          <w:rFonts w:ascii="Arial" w:hAnsi="Arial" w:cs="Arial"/>
        </w:rPr>
        <w:t>This is consistent with the finding</w:t>
      </w:r>
      <w:r w:rsidR="00592DC5">
        <w:rPr>
          <w:rFonts w:ascii="Arial" w:hAnsi="Arial" w:cs="Arial"/>
        </w:rPr>
        <w:t>s</w:t>
      </w:r>
      <w:r w:rsidR="00927C5B">
        <w:rPr>
          <w:rFonts w:ascii="Arial" w:hAnsi="Arial" w:cs="Arial"/>
        </w:rPr>
        <w:t xml:space="preserve"> of CDC’s separate Residential Space Standards Background Evidence Paper which concluded that housing density was unlikely to be limited by proposed adoption of NDSS. Developers, in the majority of instances, need not increase Gross Internal Areas (GIAs) of dwellings to </w:t>
      </w:r>
      <w:r w:rsidR="00800BB1">
        <w:rPr>
          <w:rFonts w:ascii="Arial" w:hAnsi="Arial" w:cs="Arial"/>
        </w:rPr>
        <w:t>ensure compliance, rather improve internal design</w:t>
      </w:r>
      <w:r w:rsidR="006D1717">
        <w:rPr>
          <w:rFonts w:ascii="Arial" w:hAnsi="Arial" w:cs="Arial"/>
        </w:rPr>
        <w:t xml:space="preserve"> </w:t>
      </w:r>
      <w:r w:rsidR="00800BB1">
        <w:rPr>
          <w:rFonts w:ascii="Arial" w:hAnsi="Arial" w:cs="Arial"/>
        </w:rPr>
        <w:t xml:space="preserve">elements to ensure an appropriate standard of amenity for future residents. </w:t>
      </w:r>
      <w:r w:rsidR="00CB6E2C">
        <w:rPr>
          <w:rFonts w:ascii="Arial" w:hAnsi="Arial" w:cs="Arial"/>
        </w:rPr>
        <w:t xml:space="preserve">It should be noted </w:t>
      </w:r>
      <w:r w:rsidR="00CB6E2C">
        <w:rPr>
          <w:rFonts w:ascii="Arial" w:hAnsi="Arial" w:cs="Arial"/>
        </w:rPr>
        <w:lastRenderedPageBreak/>
        <w:t xml:space="preserve">that the overall density study does not include dwellings achieved via the exercise of permitted development rights, including for change of use from non-residential. </w:t>
      </w:r>
      <w:r w:rsidR="00033824">
        <w:rPr>
          <w:rFonts w:ascii="Arial" w:hAnsi="Arial" w:cs="Arial"/>
        </w:rPr>
        <w:t>Permitted development l</w:t>
      </w:r>
      <w:r w:rsidR="003278BE">
        <w:rPr>
          <w:rFonts w:ascii="Arial" w:hAnsi="Arial" w:cs="Arial"/>
        </w:rPr>
        <w:t>egislati</w:t>
      </w:r>
      <w:r w:rsidR="00033824">
        <w:rPr>
          <w:rFonts w:ascii="Arial" w:hAnsi="Arial" w:cs="Arial"/>
        </w:rPr>
        <w:t>on</w:t>
      </w:r>
      <w:r w:rsidR="003278BE">
        <w:rPr>
          <w:rFonts w:ascii="Arial" w:hAnsi="Arial" w:cs="Arial"/>
        </w:rPr>
        <w:t xml:space="preserve"> currently require</w:t>
      </w:r>
      <w:r w:rsidR="00033824">
        <w:rPr>
          <w:rFonts w:ascii="Arial" w:hAnsi="Arial" w:cs="Arial"/>
        </w:rPr>
        <w:t>s</w:t>
      </w:r>
      <w:r w:rsidR="003278BE">
        <w:rPr>
          <w:rFonts w:ascii="Arial" w:hAnsi="Arial" w:cs="Arial"/>
        </w:rPr>
        <w:t xml:space="preserve"> the provision of adequate daylight and for </w:t>
      </w:r>
      <w:r w:rsidR="00800BB1">
        <w:rPr>
          <w:rFonts w:ascii="Arial" w:hAnsi="Arial" w:cs="Arial"/>
        </w:rPr>
        <w:t>NDSS</w:t>
      </w:r>
      <w:r w:rsidR="00033824">
        <w:rPr>
          <w:rFonts w:ascii="Arial" w:hAnsi="Arial" w:cs="Arial"/>
        </w:rPr>
        <w:t xml:space="preserve"> to be met, although this is subject to change.</w:t>
      </w:r>
      <w:r w:rsidR="003278BE">
        <w:rPr>
          <w:rFonts w:ascii="Arial" w:hAnsi="Arial" w:cs="Arial"/>
        </w:rPr>
        <w:t xml:space="preserve"> </w:t>
      </w:r>
    </w:p>
    <w:p w14:paraId="740AD3F6" w14:textId="77777777" w:rsidR="00995F95" w:rsidRDefault="00995F95" w:rsidP="00670E02">
      <w:pPr>
        <w:pStyle w:val="ListParagraph"/>
        <w:ind w:left="0"/>
        <w:jc w:val="both"/>
        <w:rPr>
          <w:rFonts w:ascii="Arial" w:hAnsi="Arial" w:cs="Arial"/>
        </w:rPr>
      </w:pPr>
    </w:p>
    <w:p w14:paraId="70F6AFB1" w14:textId="7A661B40" w:rsidR="00E75025" w:rsidRDefault="00EC0F33" w:rsidP="00670E02">
      <w:pPr>
        <w:pStyle w:val="ListParagraph"/>
        <w:ind w:left="0"/>
        <w:jc w:val="both"/>
        <w:rPr>
          <w:rFonts w:ascii="Arial" w:hAnsi="Arial" w:cs="Arial"/>
        </w:rPr>
      </w:pPr>
      <w:r>
        <w:rPr>
          <w:rFonts w:ascii="Arial" w:hAnsi="Arial" w:cs="Arial"/>
        </w:rPr>
        <w:t>6.17</w:t>
      </w:r>
      <w:r>
        <w:rPr>
          <w:rFonts w:ascii="Arial" w:hAnsi="Arial" w:cs="Arial"/>
        </w:rPr>
        <w:tab/>
      </w:r>
      <w:r w:rsidR="00CB6E2C">
        <w:rPr>
          <w:rFonts w:ascii="Arial" w:hAnsi="Arial" w:cs="Arial"/>
        </w:rPr>
        <w:t>Protecting the</w:t>
      </w:r>
      <w:r w:rsidR="00341216">
        <w:rPr>
          <w:rFonts w:ascii="Arial" w:hAnsi="Arial" w:cs="Arial"/>
        </w:rPr>
        <w:t xml:space="preserve"> historic environment of Chichester City, including its Conservation Areas, was a key consideration</w:t>
      </w:r>
      <w:r w:rsidR="003278BE">
        <w:rPr>
          <w:rFonts w:ascii="Arial" w:hAnsi="Arial" w:cs="Arial"/>
        </w:rPr>
        <w:t xml:space="preserve"> within several case studies</w:t>
      </w:r>
      <w:r w:rsidR="00995F95">
        <w:rPr>
          <w:rFonts w:ascii="Arial" w:hAnsi="Arial" w:cs="Arial"/>
        </w:rPr>
        <w:t xml:space="preserve"> but </w:t>
      </w:r>
      <w:r w:rsidR="00CB6E2C">
        <w:rPr>
          <w:rFonts w:ascii="Arial" w:hAnsi="Arial" w:cs="Arial"/>
        </w:rPr>
        <w:t xml:space="preserve">revealed to </w:t>
      </w:r>
      <w:r w:rsidR="00995F95">
        <w:rPr>
          <w:rFonts w:ascii="Arial" w:hAnsi="Arial" w:cs="Arial"/>
        </w:rPr>
        <w:t xml:space="preserve">not necessarily </w:t>
      </w:r>
      <w:r w:rsidR="00CB6E2C">
        <w:rPr>
          <w:rFonts w:ascii="Arial" w:hAnsi="Arial" w:cs="Arial"/>
        </w:rPr>
        <w:t xml:space="preserve">be </w:t>
      </w:r>
      <w:r w:rsidR="00995F95">
        <w:rPr>
          <w:rFonts w:ascii="Arial" w:hAnsi="Arial" w:cs="Arial"/>
        </w:rPr>
        <w:t xml:space="preserve">a constraint, with </w:t>
      </w:r>
      <w:r w:rsidR="00341216">
        <w:rPr>
          <w:rFonts w:ascii="Arial" w:hAnsi="Arial" w:cs="Arial"/>
        </w:rPr>
        <w:t xml:space="preserve">densification considered to enhance the surrounding historic context in one </w:t>
      </w:r>
      <w:r w:rsidR="00033824">
        <w:rPr>
          <w:rFonts w:ascii="Arial" w:hAnsi="Arial" w:cs="Arial"/>
        </w:rPr>
        <w:t>instance</w:t>
      </w:r>
      <w:r w:rsidR="00341216">
        <w:rPr>
          <w:rFonts w:ascii="Arial" w:hAnsi="Arial" w:cs="Arial"/>
        </w:rPr>
        <w:t xml:space="preserve"> </w:t>
      </w:r>
      <w:r w:rsidR="00995F95">
        <w:rPr>
          <w:rFonts w:ascii="Arial" w:hAnsi="Arial" w:cs="Arial"/>
        </w:rPr>
        <w:t xml:space="preserve">(19 Southgate). </w:t>
      </w:r>
      <w:r w:rsidR="00592DC5">
        <w:rPr>
          <w:rFonts w:ascii="Arial" w:hAnsi="Arial" w:cs="Arial"/>
        </w:rPr>
        <w:t xml:space="preserve">Two distinct developments within Chichester City North </w:t>
      </w:r>
      <w:r w:rsidR="00BD43C1">
        <w:rPr>
          <w:rFonts w:ascii="Arial" w:hAnsi="Arial" w:cs="Arial"/>
        </w:rPr>
        <w:t xml:space="preserve">were also studied, </w:t>
      </w:r>
      <w:r w:rsidR="00CB6E2C">
        <w:rPr>
          <w:rFonts w:ascii="Arial" w:hAnsi="Arial" w:cs="Arial"/>
        </w:rPr>
        <w:t xml:space="preserve">noting Historic England’s recognition of </w:t>
      </w:r>
      <w:r w:rsidR="00BD43C1">
        <w:rPr>
          <w:rFonts w:ascii="Arial" w:hAnsi="Arial" w:cs="Arial"/>
        </w:rPr>
        <w:t>previous</w:t>
      </w:r>
      <w:r w:rsidR="00673132">
        <w:rPr>
          <w:rFonts w:ascii="Arial" w:hAnsi="Arial" w:cs="Arial"/>
        </w:rPr>
        <w:t xml:space="preserve"> </w:t>
      </w:r>
      <w:r w:rsidR="00995F95">
        <w:rPr>
          <w:rFonts w:ascii="Arial" w:hAnsi="Arial" w:cs="Arial"/>
        </w:rPr>
        <w:t xml:space="preserve">development </w:t>
      </w:r>
      <w:r w:rsidR="00BD43C1">
        <w:rPr>
          <w:rFonts w:ascii="Arial" w:hAnsi="Arial" w:cs="Arial"/>
        </w:rPr>
        <w:t xml:space="preserve">within the strategic location </w:t>
      </w:r>
      <w:r w:rsidR="00CB6E2C">
        <w:rPr>
          <w:rFonts w:ascii="Arial" w:hAnsi="Arial" w:cs="Arial"/>
        </w:rPr>
        <w:t>as</w:t>
      </w:r>
      <w:r w:rsidR="00995F95">
        <w:rPr>
          <w:rFonts w:ascii="Arial" w:hAnsi="Arial" w:cs="Arial"/>
        </w:rPr>
        <w:t xml:space="preserve"> an exemplar in terms of its delivery of increased residential density within an historic context. The </w:t>
      </w:r>
      <w:r w:rsidR="00BD43C1">
        <w:rPr>
          <w:rFonts w:ascii="Arial" w:hAnsi="Arial" w:cs="Arial"/>
        </w:rPr>
        <w:t>use</w:t>
      </w:r>
      <w:r w:rsidR="00995F95">
        <w:rPr>
          <w:rFonts w:ascii="Arial" w:hAnsi="Arial" w:cs="Arial"/>
        </w:rPr>
        <w:t xml:space="preserve"> of characterisation studies to inform zoned density ranges within masterplans was highlighted</w:t>
      </w:r>
      <w:r w:rsidR="00BD43C1">
        <w:rPr>
          <w:rFonts w:ascii="Arial" w:hAnsi="Arial" w:cs="Arial"/>
        </w:rPr>
        <w:t xml:space="preserve">, </w:t>
      </w:r>
      <w:r w:rsidR="00332DE5">
        <w:rPr>
          <w:rFonts w:ascii="Arial" w:hAnsi="Arial" w:cs="Arial"/>
        </w:rPr>
        <w:t>informing</w:t>
      </w:r>
      <w:r w:rsidR="00BD43C1">
        <w:rPr>
          <w:rFonts w:ascii="Arial" w:hAnsi="Arial" w:cs="Arial"/>
        </w:rPr>
        <w:t xml:space="preserve"> differen</w:t>
      </w:r>
      <w:r w:rsidR="00332DE5">
        <w:rPr>
          <w:rFonts w:ascii="Arial" w:hAnsi="Arial" w:cs="Arial"/>
        </w:rPr>
        <w:t>t</w:t>
      </w:r>
      <w:r w:rsidR="00BD43C1">
        <w:rPr>
          <w:rFonts w:ascii="Arial" w:hAnsi="Arial" w:cs="Arial"/>
        </w:rPr>
        <w:t xml:space="preserve"> approach</w:t>
      </w:r>
      <w:r w:rsidR="00332DE5">
        <w:rPr>
          <w:rFonts w:ascii="Arial" w:hAnsi="Arial" w:cs="Arial"/>
        </w:rPr>
        <w:t>e</w:t>
      </w:r>
      <w:r w:rsidR="00BD43C1">
        <w:rPr>
          <w:rFonts w:ascii="Arial" w:hAnsi="Arial" w:cs="Arial"/>
        </w:rPr>
        <w:t>s to density in each case</w:t>
      </w:r>
      <w:r w:rsidR="00332DE5">
        <w:rPr>
          <w:rFonts w:ascii="Arial" w:hAnsi="Arial" w:cs="Arial"/>
        </w:rPr>
        <w:t>. It was observed that delivery of a higher density scheme within a less constrained greenfield site further from historic assets resulted in a more standardised, less innovative design, with arguably related impacts on its successful consideration of amenity and landscape.</w:t>
      </w:r>
    </w:p>
    <w:p w14:paraId="2A3F1D2F" w14:textId="77777777" w:rsidR="00906A41" w:rsidRDefault="00906A41" w:rsidP="00670E02">
      <w:pPr>
        <w:pStyle w:val="ListParagraph"/>
        <w:ind w:left="0"/>
        <w:jc w:val="both"/>
        <w:rPr>
          <w:rFonts w:ascii="Arial" w:hAnsi="Arial" w:cs="Arial"/>
        </w:rPr>
      </w:pPr>
    </w:p>
    <w:p w14:paraId="0DDE659E" w14:textId="3F8F3A96" w:rsidR="009E4F17" w:rsidRDefault="00EC0F33" w:rsidP="00670E02">
      <w:pPr>
        <w:pStyle w:val="ListParagraph"/>
        <w:ind w:left="0"/>
        <w:jc w:val="both"/>
        <w:rPr>
          <w:rFonts w:ascii="Arial" w:hAnsi="Arial" w:cs="Arial"/>
        </w:rPr>
      </w:pPr>
      <w:r>
        <w:rPr>
          <w:rFonts w:ascii="Arial" w:hAnsi="Arial" w:cs="Arial"/>
        </w:rPr>
        <w:t>6.18</w:t>
      </w:r>
      <w:r>
        <w:rPr>
          <w:rFonts w:ascii="Arial" w:hAnsi="Arial" w:cs="Arial"/>
        </w:rPr>
        <w:tab/>
      </w:r>
      <w:r w:rsidR="00906A41">
        <w:rPr>
          <w:rFonts w:ascii="Arial" w:hAnsi="Arial" w:cs="Arial"/>
        </w:rPr>
        <w:t>Within the context of a greenfield urban extension</w:t>
      </w:r>
      <w:r w:rsidR="00FC688D">
        <w:rPr>
          <w:rFonts w:ascii="Arial" w:hAnsi="Arial" w:cs="Arial"/>
        </w:rPr>
        <w:t xml:space="preserve"> (West of Chichester)</w:t>
      </w:r>
      <w:r w:rsidR="00906A41">
        <w:rPr>
          <w:rFonts w:ascii="Arial" w:hAnsi="Arial" w:cs="Arial"/>
        </w:rPr>
        <w:t>,</w:t>
      </w:r>
      <w:r w:rsidR="00DB767C">
        <w:rPr>
          <w:rFonts w:ascii="Arial" w:hAnsi="Arial" w:cs="Arial"/>
        </w:rPr>
        <w:t xml:space="preserve"> a </w:t>
      </w:r>
      <w:r w:rsidR="00FC416F">
        <w:rPr>
          <w:rFonts w:ascii="Arial" w:hAnsi="Arial" w:cs="Arial"/>
        </w:rPr>
        <w:t>r</w:t>
      </w:r>
      <w:r w:rsidR="00DB767C">
        <w:rPr>
          <w:rFonts w:ascii="Arial" w:hAnsi="Arial" w:cs="Arial"/>
        </w:rPr>
        <w:t xml:space="preserve">esidential </w:t>
      </w:r>
      <w:r w:rsidR="00FC416F">
        <w:rPr>
          <w:rFonts w:ascii="Arial" w:hAnsi="Arial" w:cs="Arial"/>
        </w:rPr>
        <w:t>a</w:t>
      </w:r>
      <w:r w:rsidR="00DB767C">
        <w:rPr>
          <w:rFonts w:ascii="Arial" w:hAnsi="Arial" w:cs="Arial"/>
        </w:rPr>
        <w:t xml:space="preserve">rchitectural </w:t>
      </w:r>
      <w:r w:rsidR="00FC416F">
        <w:rPr>
          <w:rFonts w:ascii="Arial" w:hAnsi="Arial" w:cs="Arial"/>
        </w:rPr>
        <w:t>d</w:t>
      </w:r>
      <w:r w:rsidR="00DB767C">
        <w:rPr>
          <w:rFonts w:ascii="Arial" w:hAnsi="Arial" w:cs="Arial"/>
        </w:rPr>
        <w:t xml:space="preserve">esign </w:t>
      </w:r>
      <w:r w:rsidR="00FC416F">
        <w:rPr>
          <w:rFonts w:ascii="Arial" w:hAnsi="Arial" w:cs="Arial"/>
        </w:rPr>
        <w:t>s</w:t>
      </w:r>
      <w:r w:rsidR="00DB767C">
        <w:rPr>
          <w:rFonts w:ascii="Arial" w:hAnsi="Arial" w:cs="Arial"/>
        </w:rPr>
        <w:t xml:space="preserve">trategy and quantum </w:t>
      </w:r>
      <w:r w:rsidR="00082315">
        <w:rPr>
          <w:rFonts w:ascii="Arial" w:hAnsi="Arial" w:cs="Arial"/>
        </w:rPr>
        <w:t xml:space="preserve">of </w:t>
      </w:r>
      <w:r w:rsidR="00DB767C">
        <w:rPr>
          <w:rFonts w:ascii="Arial" w:hAnsi="Arial" w:cs="Arial"/>
        </w:rPr>
        <w:t>development parameter plan informed a range of densities and building forms as well as layouts considered appropriate to</w:t>
      </w:r>
      <w:r w:rsidR="003C3155">
        <w:rPr>
          <w:rFonts w:ascii="Arial" w:hAnsi="Arial" w:cs="Arial"/>
        </w:rPr>
        <w:t xml:space="preserve"> varied</w:t>
      </w:r>
      <w:r w:rsidR="00DB767C">
        <w:rPr>
          <w:rFonts w:ascii="Arial" w:hAnsi="Arial" w:cs="Arial"/>
        </w:rPr>
        <w:t xml:space="preserve"> topo</w:t>
      </w:r>
      <w:r w:rsidR="0071743C">
        <w:rPr>
          <w:rFonts w:ascii="Arial" w:hAnsi="Arial" w:cs="Arial"/>
        </w:rPr>
        <w:t>graphical</w:t>
      </w:r>
      <w:r w:rsidR="00673132">
        <w:rPr>
          <w:rFonts w:ascii="Arial" w:hAnsi="Arial" w:cs="Arial"/>
        </w:rPr>
        <w:t xml:space="preserve"> </w:t>
      </w:r>
      <w:r w:rsidR="00DB767C">
        <w:rPr>
          <w:rFonts w:ascii="Arial" w:hAnsi="Arial" w:cs="Arial"/>
        </w:rPr>
        <w:t>characteristics and surrounding land</w:t>
      </w:r>
      <w:r w:rsidR="001A6DC0">
        <w:rPr>
          <w:rFonts w:ascii="Arial" w:hAnsi="Arial" w:cs="Arial"/>
        </w:rPr>
        <w:t>s</w:t>
      </w:r>
      <w:r w:rsidR="00DB767C">
        <w:rPr>
          <w:rFonts w:ascii="Arial" w:hAnsi="Arial" w:cs="Arial"/>
        </w:rPr>
        <w:t xml:space="preserve">cape. </w:t>
      </w:r>
      <w:r w:rsidR="00FC416F">
        <w:rPr>
          <w:rFonts w:ascii="Arial" w:hAnsi="Arial" w:cs="Arial"/>
        </w:rPr>
        <w:t>In particular, t</w:t>
      </w:r>
      <w:r w:rsidR="00DB767C">
        <w:rPr>
          <w:rFonts w:ascii="Arial" w:hAnsi="Arial" w:cs="Arial"/>
        </w:rPr>
        <w:t>he need to lessen densities close to the edge of the new settlement in response to landscape sensitivities</w:t>
      </w:r>
      <w:r w:rsidR="001A6DC0">
        <w:rPr>
          <w:rFonts w:ascii="Arial" w:hAnsi="Arial" w:cs="Arial"/>
        </w:rPr>
        <w:t xml:space="preserve"> was recognised</w:t>
      </w:r>
      <w:r w:rsidR="00D61F8E">
        <w:rPr>
          <w:rFonts w:ascii="Arial" w:hAnsi="Arial" w:cs="Arial"/>
        </w:rPr>
        <w:t xml:space="preserve">. The </w:t>
      </w:r>
      <w:r w:rsidR="00EA4CE6">
        <w:rPr>
          <w:rFonts w:ascii="Arial" w:hAnsi="Arial" w:cs="Arial"/>
        </w:rPr>
        <w:t>opportunity for higher density forms to provide focal points and signify transitions in terms of land use from residential to mixed development area</w:t>
      </w:r>
      <w:r w:rsidR="009E4F17">
        <w:rPr>
          <w:rFonts w:ascii="Arial" w:hAnsi="Arial" w:cs="Arial"/>
        </w:rPr>
        <w:t xml:space="preserve"> within the broader development area</w:t>
      </w:r>
      <w:r w:rsidR="00D61F8E">
        <w:rPr>
          <w:rFonts w:ascii="Arial" w:hAnsi="Arial" w:cs="Arial"/>
        </w:rPr>
        <w:t xml:space="preserve"> was also a key design consideration</w:t>
      </w:r>
      <w:r w:rsidR="009E4F17">
        <w:rPr>
          <w:rFonts w:ascii="Arial" w:hAnsi="Arial" w:cs="Arial"/>
        </w:rPr>
        <w:t>.</w:t>
      </w:r>
    </w:p>
    <w:p w14:paraId="4B8DA039" w14:textId="77777777" w:rsidR="0071743C" w:rsidRDefault="0071743C" w:rsidP="00670E02">
      <w:pPr>
        <w:pStyle w:val="ListParagraph"/>
        <w:ind w:left="0"/>
        <w:jc w:val="both"/>
        <w:rPr>
          <w:rFonts w:ascii="Arial" w:hAnsi="Arial" w:cs="Arial"/>
        </w:rPr>
      </w:pPr>
    </w:p>
    <w:p w14:paraId="338790ED" w14:textId="22CEF872" w:rsidR="00413B14" w:rsidRDefault="00FC688D" w:rsidP="00413B14">
      <w:pPr>
        <w:pStyle w:val="ListParagraph"/>
        <w:numPr>
          <w:ilvl w:val="1"/>
          <w:numId w:val="19"/>
        </w:numPr>
        <w:jc w:val="both"/>
        <w:rPr>
          <w:rFonts w:ascii="Arial" w:hAnsi="Arial" w:cs="Arial"/>
        </w:rPr>
      </w:pPr>
      <w:r>
        <w:rPr>
          <w:rFonts w:ascii="Arial" w:hAnsi="Arial" w:cs="Arial"/>
        </w:rPr>
        <w:t>The</w:t>
      </w:r>
      <w:r w:rsidR="001A6DC0">
        <w:rPr>
          <w:rFonts w:ascii="Arial" w:hAnsi="Arial" w:cs="Arial"/>
        </w:rPr>
        <w:t xml:space="preserve"> impact of market factors on the realisation of densities was reflected</w:t>
      </w:r>
      <w:r w:rsidR="00FC416F">
        <w:rPr>
          <w:rFonts w:ascii="Arial" w:hAnsi="Arial" w:cs="Arial"/>
        </w:rPr>
        <w:t xml:space="preserve"> in several case studies. </w:t>
      </w:r>
      <w:r w:rsidR="009D7AC4">
        <w:rPr>
          <w:rFonts w:ascii="Arial" w:hAnsi="Arial" w:cs="Arial"/>
        </w:rPr>
        <w:t>Proposals</w:t>
      </w:r>
      <w:r w:rsidR="00FC416F">
        <w:rPr>
          <w:rFonts w:ascii="Arial" w:hAnsi="Arial" w:cs="Arial"/>
        </w:rPr>
        <w:t xml:space="preserve"> were altered in response to changes in the market, driving need for smaller, family houses and enabling higher densities to be approved.</w:t>
      </w:r>
      <w:r w:rsidR="009D7AC4">
        <w:rPr>
          <w:rFonts w:ascii="Arial" w:hAnsi="Arial" w:cs="Arial"/>
        </w:rPr>
        <w:t xml:space="preserve"> </w:t>
      </w:r>
      <w:r w:rsidR="00D61F8E">
        <w:rPr>
          <w:rFonts w:ascii="Arial" w:hAnsi="Arial" w:cs="Arial"/>
        </w:rPr>
        <w:t>Most notably, a</w:t>
      </w:r>
      <w:r w:rsidR="003C3155">
        <w:rPr>
          <w:rFonts w:ascii="Arial" w:hAnsi="Arial" w:cs="Arial"/>
        </w:rPr>
        <w:t xml:space="preserve"> p</w:t>
      </w:r>
      <w:r w:rsidR="009D7AC4">
        <w:rPr>
          <w:rFonts w:ascii="Arial" w:hAnsi="Arial" w:cs="Arial"/>
        </w:rPr>
        <w:t xml:space="preserve">roposal to deliver a housing mix entirety comprised </w:t>
      </w:r>
      <w:r w:rsidR="003C3155">
        <w:rPr>
          <w:rFonts w:ascii="Arial" w:hAnsi="Arial" w:cs="Arial"/>
        </w:rPr>
        <w:t xml:space="preserve">of </w:t>
      </w:r>
      <w:r w:rsidR="009D7AC4">
        <w:rPr>
          <w:rFonts w:ascii="Arial" w:hAnsi="Arial" w:cs="Arial"/>
        </w:rPr>
        <w:t>affordable homes w</w:t>
      </w:r>
      <w:r w:rsidR="003C3155">
        <w:rPr>
          <w:rFonts w:ascii="Arial" w:hAnsi="Arial" w:cs="Arial"/>
        </w:rPr>
        <w:t>as</w:t>
      </w:r>
      <w:r w:rsidR="009D7AC4">
        <w:rPr>
          <w:rFonts w:ascii="Arial" w:hAnsi="Arial" w:cs="Arial"/>
        </w:rPr>
        <w:t xml:space="preserve"> </w:t>
      </w:r>
      <w:r w:rsidR="00D61F8E">
        <w:rPr>
          <w:rFonts w:ascii="Arial" w:hAnsi="Arial" w:cs="Arial"/>
        </w:rPr>
        <w:t>permitted</w:t>
      </w:r>
      <w:r w:rsidR="009D7AC4">
        <w:rPr>
          <w:rFonts w:ascii="Arial" w:hAnsi="Arial" w:cs="Arial"/>
        </w:rPr>
        <w:t xml:space="preserve">, enabling high densities to be realised via </w:t>
      </w:r>
      <w:r>
        <w:rPr>
          <w:rFonts w:ascii="Arial" w:hAnsi="Arial" w:cs="Arial"/>
        </w:rPr>
        <w:t xml:space="preserve">an innovative design-led approach to </w:t>
      </w:r>
      <w:r w:rsidR="00D61F8E">
        <w:rPr>
          <w:rFonts w:ascii="Arial" w:hAnsi="Arial" w:cs="Arial"/>
        </w:rPr>
        <w:t xml:space="preserve">the </w:t>
      </w:r>
      <w:r w:rsidR="009D7AC4">
        <w:rPr>
          <w:rFonts w:ascii="Arial" w:hAnsi="Arial" w:cs="Arial"/>
        </w:rPr>
        <w:t>redevelopment of a site</w:t>
      </w:r>
      <w:r>
        <w:rPr>
          <w:rFonts w:ascii="Arial" w:hAnsi="Arial" w:cs="Arial"/>
        </w:rPr>
        <w:t xml:space="preserve"> (49-51 Fishbourne Road).</w:t>
      </w:r>
    </w:p>
    <w:p w14:paraId="23882503" w14:textId="77777777" w:rsidR="00413B14" w:rsidRDefault="00413B14" w:rsidP="00446B86">
      <w:pPr>
        <w:pStyle w:val="ListParagraph"/>
        <w:ind w:left="0"/>
        <w:jc w:val="both"/>
        <w:rPr>
          <w:rFonts w:ascii="Arial" w:hAnsi="Arial" w:cs="Arial"/>
        </w:rPr>
      </w:pPr>
    </w:p>
    <w:p w14:paraId="72E2E47B" w14:textId="4C206455" w:rsidR="00D61F8E" w:rsidRDefault="00FC688D" w:rsidP="00EC0F33">
      <w:pPr>
        <w:pStyle w:val="ListParagraph"/>
        <w:numPr>
          <w:ilvl w:val="1"/>
          <w:numId w:val="19"/>
        </w:numPr>
        <w:jc w:val="both"/>
        <w:rPr>
          <w:rFonts w:ascii="Arial" w:hAnsi="Arial" w:cs="Arial"/>
        </w:rPr>
      </w:pPr>
      <w:r w:rsidRPr="00D61F8E">
        <w:rPr>
          <w:rFonts w:ascii="Arial" w:hAnsi="Arial" w:cs="Arial"/>
        </w:rPr>
        <w:t xml:space="preserve">Finally, the consideration of density for a development </w:t>
      </w:r>
      <w:r w:rsidR="00D61F8E">
        <w:rPr>
          <w:rFonts w:ascii="Arial" w:hAnsi="Arial" w:cs="Arial"/>
        </w:rPr>
        <w:t xml:space="preserve">outside Chichester City, </w:t>
      </w:r>
      <w:r w:rsidRPr="00D61F8E">
        <w:rPr>
          <w:rFonts w:ascii="Arial" w:hAnsi="Arial" w:cs="Arial"/>
        </w:rPr>
        <w:t>within a settlement hub well-served by public transport</w:t>
      </w:r>
      <w:r w:rsidR="00D61F8E">
        <w:rPr>
          <w:rFonts w:ascii="Arial" w:hAnsi="Arial" w:cs="Arial"/>
        </w:rPr>
        <w:t>,</w:t>
      </w:r>
      <w:r w:rsidRPr="00D61F8E">
        <w:rPr>
          <w:rFonts w:ascii="Arial" w:hAnsi="Arial" w:cs="Arial"/>
        </w:rPr>
        <w:t xml:space="preserve"> was explored. </w:t>
      </w:r>
      <w:r w:rsidR="00413B14" w:rsidRPr="00D61F8E">
        <w:rPr>
          <w:rFonts w:ascii="Arial" w:hAnsi="Arial" w:cs="Arial"/>
        </w:rPr>
        <w:t xml:space="preserve">Despite the sustainability of the </w:t>
      </w:r>
      <w:r w:rsidR="000F1805" w:rsidRPr="00D61F8E">
        <w:rPr>
          <w:rFonts w:ascii="Arial" w:hAnsi="Arial" w:cs="Arial"/>
        </w:rPr>
        <w:t xml:space="preserve">urban </w:t>
      </w:r>
      <w:r w:rsidR="00413B14" w:rsidRPr="00D61F8E">
        <w:rPr>
          <w:rFonts w:ascii="Arial" w:hAnsi="Arial" w:cs="Arial"/>
        </w:rPr>
        <w:t>location (Southbourne), overriding constraints limit</w:t>
      </w:r>
      <w:r w:rsidR="000F1805" w:rsidRPr="00D61F8E">
        <w:rPr>
          <w:rFonts w:ascii="Arial" w:hAnsi="Arial" w:cs="Arial"/>
        </w:rPr>
        <w:t>ed</w:t>
      </w:r>
      <w:r w:rsidR="00413B14" w:rsidRPr="00D61F8E">
        <w:rPr>
          <w:rFonts w:ascii="Arial" w:hAnsi="Arial" w:cs="Arial"/>
        </w:rPr>
        <w:t xml:space="preserve"> density to below the Plan Area average and the minimum 35dph guideline</w:t>
      </w:r>
      <w:r w:rsidR="00D61F8E">
        <w:rPr>
          <w:rFonts w:ascii="Arial" w:hAnsi="Arial" w:cs="Arial"/>
        </w:rPr>
        <w:t>. Key considerations</w:t>
      </w:r>
      <w:r w:rsidR="00413B14" w:rsidRPr="00D61F8E">
        <w:rPr>
          <w:rFonts w:ascii="Arial" w:hAnsi="Arial" w:cs="Arial"/>
        </w:rPr>
        <w:t xml:space="preserve"> included landscape and conformity with the prevailing character of the settlement. The potential opportunity to further explore gentle densification in relation to existing development via the forthcoming Southbourne allocation DPD was recognised within the analysis. </w:t>
      </w:r>
    </w:p>
    <w:p w14:paraId="05642691" w14:textId="77777777" w:rsidR="00D61F8E" w:rsidRPr="00D61F8E" w:rsidRDefault="00D61F8E" w:rsidP="00D61F8E">
      <w:pPr>
        <w:pStyle w:val="ListParagraph"/>
        <w:rPr>
          <w:rFonts w:ascii="Arial" w:hAnsi="Arial" w:cs="Arial"/>
        </w:rPr>
      </w:pPr>
    </w:p>
    <w:p w14:paraId="31D96195" w14:textId="58A788EF" w:rsidR="00460868" w:rsidRPr="00D61F8E" w:rsidRDefault="00D92C05" w:rsidP="00D61F8E">
      <w:pPr>
        <w:pStyle w:val="Heading1"/>
        <w:rPr>
          <w:rFonts w:ascii="Arial" w:hAnsi="Arial" w:cs="Arial"/>
        </w:rPr>
      </w:pPr>
      <w:bookmarkStart w:id="21" w:name="_Toc163590721"/>
      <w:r>
        <w:t>Conclusions</w:t>
      </w:r>
      <w:bookmarkEnd w:id="21"/>
    </w:p>
    <w:p w14:paraId="3CF2F0A5" w14:textId="54A33DDA" w:rsidR="00EC0F33" w:rsidRDefault="00EC0F33" w:rsidP="00EC0F33"/>
    <w:p w14:paraId="0FE3D92F" w14:textId="2C83C833" w:rsidR="00734A9A" w:rsidRPr="001F2C1D" w:rsidRDefault="00DC3D50" w:rsidP="00FA1795">
      <w:pPr>
        <w:jc w:val="both"/>
        <w:rPr>
          <w:rFonts w:ascii="Arial" w:hAnsi="Arial" w:cs="Arial"/>
        </w:rPr>
      </w:pPr>
      <w:r w:rsidRPr="001F2C1D">
        <w:rPr>
          <w:rFonts w:ascii="Arial" w:hAnsi="Arial" w:cs="Arial"/>
        </w:rPr>
        <w:t>7.1</w:t>
      </w:r>
      <w:r w:rsidRPr="001F2C1D">
        <w:rPr>
          <w:rFonts w:ascii="Arial" w:hAnsi="Arial" w:cs="Arial"/>
        </w:rPr>
        <w:tab/>
        <w:t>A key finding of the analysis is that the adopted policy approach</w:t>
      </w:r>
      <w:r w:rsidR="003F6B0B">
        <w:rPr>
          <w:rFonts w:ascii="Arial" w:hAnsi="Arial" w:cs="Arial"/>
        </w:rPr>
        <w:t xml:space="preserve">, which entails a flexible approach to density within the relevant policy but supplemented by a 35 </w:t>
      </w:r>
      <w:proofErr w:type="spellStart"/>
      <w:r w:rsidR="003F6B0B">
        <w:rPr>
          <w:rFonts w:ascii="Arial" w:hAnsi="Arial" w:cs="Arial"/>
        </w:rPr>
        <w:t>dph</w:t>
      </w:r>
      <w:proofErr w:type="spellEnd"/>
      <w:r w:rsidR="003F6B0B">
        <w:rPr>
          <w:rFonts w:ascii="Arial" w:hAnsi="Arial" w:cs="Arial"/>
        </w:rPr>
        <w:t xml:space="preserve"> guideline within the supporting text,</w:t>
      </w:r>
      <w:r w:rsidRPr="001F2C1D">
        <w:rPr>
          <w:rFonts w:ascii="Arial" w:hAnsi="Arial" w:cs="Arial"/>
        </w:rPr>
        <w:t xml:space="preserve"> has enabled the approval of developments with an </w:t>
      </w:r>
      <w:r w:rsidR="00D94B96" w:rsidRPr="001F2C1D">
        <w:rPr>
          <w:rFonts w:ascii="Arial" w:hAnsi="Arial" w:cs="Arial"/>
        </w:rPr>
        <w:t xml:space="preserve">overall </w:t>
      </w:r>
      <w:r w:rsidRPr="001F2C1D">
        <w:rPr>
          <w:rFonts w:ascii="Arial" w:hAnsi="Arial" w:cs="Arial"/>
        </w:rPr>
        <w:t xml:space="preserve">average net density </w:t>
      </w:r>
      <w:r w:rsidR="0078403E" w:rsidRPr="001F2C1D">
        <w:rPr>
          <w:rFonts w:ascii="Arial" w:hAnsi="Arial" w:cs="Arial"/>
        </w:rPr>
        <w:t xml:space="preserve">of 41 </w:t>
      </w:r>
      <w:proofErr w:type="spellStart"/>
      <w:r w:rsidR="0078403E" w:rsidRPr="001F2C1D">
        <w:rPr>
          <w:rFonts w:ascii="Arial" w:hAnsi="Arial" w:cs="Arial"/>
        </w:rPr>
        <w:t>dph</w:t>
      </w:r>
      <w:proofErr w:type="spellEnd"/>
      <w:r w:rsidR="0078403E" w:rsidRPr="001F2C1D">
        <w:rPr>
          <w:rFonts w:ascii="Arial" w:hAnsi="Arial" w:cs="Arial"/>
        </w:rPr>
        <w:t>, e</w:t>
      </w:r>
      <w:r w:rsidRPr="001F2C1D">
        <w:rPr>
          <w:rFonts w:ascii="Arial" w:hAnsi="Arial" w:cs="Arial"/>
        </w:rPr>
        <w:t>xceed</w:t>
      </w:r>
      <w:r w:rsidR="0078403E" w:rsidRPr="001F2C1D">
        <w:rPr>
          <w:rFonts w:ascii="Arial" w:hAnsi="Arial" w:cs="Arial"/>
        </w:rPr>
        <w:t>ing</w:t>
      </w:r>
      <w:r w:rsidRPr="001F2C1D">
        <w:rPr>
          <w:rFonts w:ascii="Arial" w:hAnsi="Arial" w:cs="Arial"/>
        </w:rPr>
        <w:t xml:space="preserve"> </w:t>
      </w:r>
      <w:r w:rsidR="0078403E" w:rsidRPr="001F2C1D">
        <w:rPr>
          <w:rFonts w:ascii="Arial" w:hAnsi="Arial" w:cs="Arial"/>
        </w:rPr>
        <w:t>the</w:t>
      </w:r>
      <w:r w:rsidR="00D94B96" w:rsidRPr="001F2C1D">
        <w:rPr>
          <w:rFonts w:ascii="Arial" w:hAnsi="Arial" w:cs="Arial"/>
        </w:rPr>
        <w:t xml:space="preserve"> </w:t>
      </w:r>
      <w:r w:rsidRPr="001F2C1D">
        <w:rPr>
          <w:rFonts w:ascii="Arial" w:hAnsi="Arial" w:cs="Arial"/>
        </w:rPr>
        <w:t xml:space="preserve">35 </w:t>
      </w:r>
      <w:proofErr w:type="spellStart"/>
      <w:r w:rsidRPr="001F2C1D">
        <w:rPr>
          <w:rFonts w:ascii="Arial" w:hAnsi="Arial" w:cs="Arial"/>
        </w:rPr>
        <w:t>dph</w:t>
      </w:r>
      <w:proofErr w:type="spellEnd"/>
      <w:r w:rsidRPr="001F2C1D">
        <w:rPr>
          <w:rFonts w:ascii="Arial" w:hAnsi="Arial" w:cs="Arial"/>
        </w:rPr>
        <w:t xml:space="preserve"> </w:t>
      </w:r>
      <w:r w:rsidR="003F6B0B">
        <w:rPr>
          <w:rFonts w:ascii="Arial" w:hAnsi="Arial" w:cs="Arial"/>
        </w:rPr>
        <w:t>guideline</w:t>
      </w:r>
      <w:r w:rsidR="0078403E" w:rsidRPr="001F2C1D">
        <w:rPr>
          <w:rFonts w:ascii="Arial" w:hAnsi="Arial" w:cs="Arial"/>
        </w:rPr>
        <w:t xml:space="preserve"> </w:t>
      </w:r>
      <w:r w:rsidRPr="001F2C1D">
        <w:rPr>
          <w:rFonts w:ascii="Arial" w:hAnsi="Arial" w:cs="Arial"/>
        </w:rPr>
        <w:t xml:space="preserve">and therefore </w:t>
      </w:r>
      <w:r w:rsidR="00D953F3" w:rsidRPr="001F2C1D">
        <w:rPr>
          <w:rFonts w:ascii="Arial" w:hAnsi="Arial" w:cs="Arial"/>
        </w:rPr>
        <w:t xml:space="preserve">generally </w:t>
      </w:r>
      <w:r w:rsidRPr="001F2C1D">
        <w:rPr>
          <w:rFonts w:ascii="Arial" w:hAnsi="Arial" w:cs="Arial"/>
        </w:rPr>
        <w:t>avoid</w:t>
      </w:r>
      <w:r w:rsidR="0078403E" w:rsidRPr="001F2C1D">
        <w:rPr>
          <w:rFonts w:ascii="Arial" w:hAnsi="Arial" w:cs="Arial"/>
        </w:rPr>
        <w:t>ing</w:t>
      </w:r>
      <w:r w:rsidRPr="001F2C1D">
        <w:rPr>
          <w:rFonts w:ascii="Arial" w:hAnsi="Arial" w:cs="Arial"/>
        </w:rPr>
        <w:t xml:space="preserve"> homes being built at low densities</w:t>
      </w:r>
      <w:r w:rsidR="0078403E" w:rsidRPr="001F2C1D">
        <w:rPr>
          <w:rFonts w:ascii="Arial" w:hAnsi="Arial" w:cs="Arial"/>
        </w:rPr>
        <w:t xml:space="preserve"> across the Plan Area</w:t>
      </w:r>
      <w:r w:rsidRPr="001F2C1D">
        <w:rPr>
          <w:rFonts w:ascii="Arial" w:hAnsi="Arial" w:cs="Arial"/>
        </w:rPr>
        <w:t xml:space="preserve">. </w:t>
      </w:r>
      <w:r w:rsidR="00D94B96" w:rsidRPr="001F2C1D">
        <w:rPr>
          <w:rFonts w:ascii="Arial" w:hAnsi="Arial" w:cs="Arial"/>
        </w:rPr>
        <w:t xml:space="preserve"> The</w:t>
      </w:r>
      <w:r w:rsidR="00D953F3" w:rsidRPr="001F2C1D">
        <w:rPr>
          <w:rFonts w:ascii="Arial" w:hAnsi="Arial" w:cs="Arial"/>
        </w:rPr>
        <w:t xml:space="preserve"> detailed</w:t>
      </w:r>
      <w:r w:rsidR="00D94B96" w:rsidRPr="001F2C1D">
        <w:rPr>
          <w:rFonts w:ascii="Arial" w:hAnsi="Arial" w:cs="Arial"/>
        </w:rPr>
        <w:t xml:space="preserve"> findings demonstrate that densities above 35 </w:t>
      </w:r>
      <w:proofErr w:type="spellStart"/>
      <w:r w:rsidR="00D94B96" w:rsidRPr="001F2C1D">
        <w:rPr>
          <w:rFonts w:ascii="Arial" w:hAnsi="Arial" w:cs="Arial"/>
        </w:rPr>
        <w:t>dph</w:t>
      </w:r>
      <w:proofErr w:type="spellEnd"/>
      <w:r w:rsidR="00D94B96" w:rsidRPr="001F2C1D">
        <w:rPr>
          <w:rFonts w:ascii="Arial" w:hAnsi="Arial" w:cs="Arial"/>
        </w:rPr>
        <w:t xml:space="preserve"> are achievable for all scales of development, and for greenfield as well </w:t>
      </w:r>
      <w:r w:rsidR="00D94B96" w:rsidRPr="001F2C1D">
        <w:rPr>
          <w:rFonts w:ascii="Arial" w:hAnsi="Arial" w:cs="Arial"/>
        </w:rPr>
        <w:lastRenderedPageBreak/>
        <w:t xml:space="preserve">as brownfield sites, </w:t>
      </w:r>
      <w:r w:rsidR="000C52D5">
        <w:rPr>
          <w:rFonts w:ascii="Arial" w:hAnsi="Arial" w:cs="Arial"/>
        </w:rPr>
        <w:t>illustrating</w:t>
      </w:r>
      <w:r w:rsidR="00D94B96" w:rsidRPr="001F2C1D">
        <w:rPr>
          <w:rFonts w:ascii="Arial" w:hAnsi="Arial" w:cs="Arial"/>
        </w:rPr>
        <w:t xml:space="preserve"> the broad applicability of the proposed minimum expectation</w:t>
      </w:r>
      <w:r w:rsidR="00734A9A" w:rsidRPr="001F2C1D">
        <w:rPr>
          <w:rFonts w:ascii="Arial" w:hAnsi="Arial" w:cs="Arial"/>
        </w:rPr>
        <w:t>, continued from the adopted approach</w:t>
      </w:r>
      <w:r w:rsidR="00D94B96" w:rsidRPr="001F2C1D">
        <w:rPr>
          <w:rFonts w:ascii="Arial" w:hAnsi="Arial" w:cs="Arial"/>
        </w:rPr>
        <w:t xml:space="preserve">. </w:t>
      </w:r>
    </w:p>
    <w:p w14:paraId="5D52FA43" w14:textId="2B1A42F9" w:rsidR="00DC3D50" w:rsidRDefault="001F2C1D" w:rsidP="00FA1795">
      <w:pPr>
        <w:jc w:val="both"/>
        <w:rPr>
          <w:rFonts w:ascii="Arial" w:hAnsi="Arial" w:cs="Arial"/>
        </w:rPr>
      </w:pPr>
      <w:r w:rsidRPr="001F2C1D">
        <w:rPr>
          <w:rFonts w:ascii="Arial" w:hAnsi="Arial" w:cs="Arial"/>
        </w:rPr>
        <w:t>7.2</w:t>
      </w:r>
      <w:r w:rsidRPr="001F2C1D">
        <w:rPr>
          <w:rFonts w:ascii="Arial" w:hAnsi="Arial" w:cs="Arial"/>
        </w:rPr>
        <w:tab/>
      </w:r>
      <w:r w:rsidR="00D94B96" w:rsidRPr="001F2C1D">
        <w:rPr>
          <w:rFonts w:ascii="Arial" w:hAnsi="Arial" w:cs="Arial"/>
        </w:rPr>
        <w:t xml:space="preserve">The results </w:t>
      </w:r>
      <w:r w:rsidR="00734A9A" w:rsidRPr="001F2C1D">
        <w:rPr>
          <w:rFonts w:ascii="Arial" w:hAnsi="Arial" w:cs="Arial"/>
        </w:rPr>
        <w:t xml:space="preserve">reflect the approval of higher </w:t>
      </w:r>
      <w:r w:rsidR="00D953F3" w:rsidRPr="001F2C1D">
        <w:rPr>
          <w:rFonts w:ascii="Arial" w:hAnsi="Arial" w:cs="Arial"/>
        </w:rPr>
        <w:t xml:space="preserve">housing </w:t>
      </w:r>
      <w:r w:rsidR="00734A9A" w:rsidRPr="001F2C1D">
        <w:rPr>
          <w:rFonts w:ascii="Arial" w:hAnsi="Arial" w:cs="Arial"/>
        </w:rPr>
        <w:t>densities within urban areas, averaging</w:t>
      </w:r>
      <w:r w:rsidR="00D953F3" w:rsidRPr="001F2C1D">
        <w:rPr>
          <w:rFonts w:ascii="Arial" w:hAnsi="Arial" w:cs="Arial"/>
        </w:rPr>
        <w:t xml:space="preserve"> 66dph</w:t>
      </w:r>
      <w:r w:rsidR="00734A9A" w:rsidRPr="001F2C1D">
        <w:rPr>
          <w:rFonts w:ascii="Arial" w:hAnsi="Arial" w:cs="Arial"/>
        </w:rPr>
        <w:t xml:space="preserve"> within the sub-regional centre, and </w:t>
      </w:r>
      <w:r w:rsidR="00D953F3" w:rsidRPr="001F2C1D">
        <w:rPr>
          <w:rFonts w:ascii="Arial" w:hAnsi="Arial" w:cs="Arial"/>
        </w:rPr>
        <w:t xml:space="preserve">48dph within settlement hubs. In addition to these locations, </w:t>
      </w:r>
      <w:r w:rsidRPr="001F2C1D">
        <w:rPr>
          <w:rFonts w:ascii="Arial" w:hAnsi="Arial" w:cs="Arial"/>
        </w:rPr>
        <w:t xml:space="preserve">application </w:t>
      </w:r>
      <w:r w:rsidR="00D953F3" w:rsidRPr="001F2C1D">
        <w:rPr>
          <w:rFonts w:ascii="Arial" w:hAnsi="Arial" w:cs="Arial"/>
        </w:rPr>
        <w:t>sites identified as being well-served by public transport,</w:t>
      </w:r>
      <w:r w:rsidRPr="001F2C1D">
        <w:rPr>
          <w:rFonts w:ascii="Arial" w:hAnsi="Arial" w:cs="Arial"/>
        </w:rPr>
        <w:t xml:space="preserve"> </w:t>
      </w:r>
      <w:r w:rsidR="00F47D09">
        <w:rPr>
          <w:rFonts w:ascii="Arial" w:hAnsi="Arial" w:cs="Arial"/>
        </w:rPr>
        <w:t>specifically</w:t>
      </w:r>
      <w:r w:rsidR="005132E5">
        <w:rPr>
          <w:rFonts w:ascii="Arial" w:hAnsi="Arial" w:cs="Arial"/>
        </w:rPr>
        <w:t xml:space="preserve"> </w:t>
      </w:r>
      <w:r w:rsidRPr="001F2C1D">
        <w:rPr>
          <w:rFonts w:ascii="Arial" w:hAnsi="Arial" w:cs="Arial"/>
        </w:rPr>
        <w:t xml:space="preserve">within </w:t>
      </w:r>
      <w:r w:rsidR="00624681">
        <w:rPr>
          <w:rFonts w:ascii="Arial" w:hAnsi="Arial" w:cs="Arial"/>
        </w:rPr>
        <w:t xml:space="preserve">a </w:t>
      </w:r>
      <w:r w:rsidR="00624681" w:rsidRPr="001F2C1D">
        <w:rPr>
          <w:rFonts w:ascii="Arial" w:hAnsi="Arial" w:cs="Arial"/>
        </w:rPr>
        <w:t>5- or 10-minute</w:t>
      </w:r>
      <w:r w:rsidRPr="001F2C1D">
        <w:rPr>
          <w:rFonts w:ascii="Arial" w:hAnsi="Arial" w:cs="Arial"/>
        </w:rPr>
        <w:t xml:space="preserve"> walk from a train station, were determined with average densities of 90dph and 42dph respectively. </w:t>
      </w:r>
      <w:r w:rsidR="00BB1380" w:rsidRPr="00BB1380">
        <w:rPr>
          <w:rFonts w:ascii="Arial" w:hAnsi="Arial" w:cs="Arial"/>
        </w:rPr>
        <w:t xml:space="preserve">This demonstrates the deliverability of higher density developments </w:t>
      </w:r>
      <w:r w:rsidR="00BB1380">
        <w:rPr>
          <w:rFonts w:ascii="Arial" w:hAnsi="Arial" w:cs="Arial"/>
        </w:rPr>
        <w:t xml:space="preserve">within sustainable locations </w:t>
      </w:r>
      <w:r w:rsidR="00BB1380" w:rsidRPr="00BB1380">
        <w:rPr>
          <w:rFonts w:ascii="Arial" w:hAnsi="Arial" w:cs="Arial"/>
        </w:rPr>
        <w:t>without the use of additional minimum density standards specifically for city and town centres</w:t>
      </w:r>
      <w:r w:rsidR="00BB1380">
        <w:rPr>
          <w:rFonts w:ascii="Arial" w:hAnsi="Arial" w:cs="Arial"/>
        </w:rPr>
        <w:t>.</w:t>
      </w:r>
    </w:p>
    <w:p w14:paraId="7AAD13DC" w14:textId="4AFF3806" w:rsidR="005132E5" w:rsidRDefault="000C52D5" w:rsidP="00FA1795">
      <w:pPr>
        <w:jc w:val="both"/>
        <w:rPr>
          <w:rFonts w:ascii="Arial" w:hAnsi="Arial" w:cs="Arial"/>
        </w:rPr>
      </w:pPr>
      <w:r>
        <w:rPr>
          <w:rFonts w:ascii="Arial" w:hAnsi="Arial" w:cs="Arial"/>
        </w:rPr>
        <w:t>7.3</w:t>
      </w:r>
      <w:r>
        <w:rPr>
          <w:rFonts w:ascii="Arial" w:hAnsi="Arial" w:cs="Arial"/>
        </w:rPr>
        <w:tab/>
      </w:r>
      <w:r w:rsidR="005E01B5">
        <w:rPr>
          <w:rFonts w:ascii="Arial" w:hAnsi="Arial" w:cs="Arial"/>
        </w:rPr>
        <w:t>Case stud</w:t>
      </w:r>
      <w:r w:rsidR="000C4243">
        <w:rPr>
          <w:rFonts w:ascii="Arial" w:hAnsi="Arial" w:cs="Arial"/>
        </w:rPr>
        <w:t>ies have been conducted in order to gain an</w:t>
      </w:r>
      <w:r w:rsidR="005E01B5">
        <w:rPr>
          <w:rFonts w:ascii="Arial" w:hAnsi="Arial" w:cs="Arial"/>
        </w:rPr>
        <w:t xml:space="preserve"> in-depth </w:t>
      </w:r>
      <w:r w:rsidR="000C4243">
        <w:rPr>
          <w:rFonts w:ascii="Arial" w:hAnsi="Arial" w:cs="Arial"/>
        </w:rPr>
        <w:t>understanding as to</w:t>
      </w:r>
      <w:r w:rsidR="005E01B5">
        <w:rPr>
          <w:rFonts w:ascii="Arial" w:hAnsi="Arial" w:cs="Arial"/>
        </w:rPr>
        <w:t xml:space="preserve"> whether proposals are providing appropriate densities for the immediate context, in keeping with the character of the surrounding area. </w:t>
      </w:r>
      <w:r w:rsidR="00433192">
        <w:rPr>
          <w:rFonts w:ascii="Arial" w:hAnsi="Arial" w:cs="Arial"/>
        </w:rPr>
        <w:t xml:space="preserve">This includes </w:t>
      </w:r>
      <w:r w:rsidR="009618CB">
        <w:rPr>
          <w:rFonts w:ascii="Arial" w:hAnsi="Arial" w:cs="Arial"/>
        </w:rPr>
        <w:t xml:space="preserve">examples of </w:t>
      </w:r>
      <w:r w:rsidR="00433192">
        <w:rPr>
          <w:rFonts w:ascii="Arial" w:hAnsi="Arial" w:cs="Arial"/>
        </w:rPr>
        <w:t xml:space="preserve">the use of characterisation studies to inform the agreement of </w:t>
      </w:r>
      <w:r w:rsidR="00624681">
        <w:rPr>
          <w:rFonts w:ascii="Arial" w:hAnsi="Arial" w:cs="Arial"/>
        </w:rPr>
        <w:t>master planned</w:t>
      </w:r>
      <w:r w:rsidR="00433192">
        <w:rPr>
          <w:rFonts w:ascii="Arial" w:hAnsi="Arial" w:cs="Arial"/>
        </w:rPr>
        <w:t xml:space="preserve"> density parameters within strategic developments</w:t>
      </w:r>
      <w:r w:rsidR="009618CB">
        <w:rPr>
          <w:rFonts w:ascii="Arial" w:hAnsi="Arial" w:cs="Arial"/>
        </w:rPr>
        <w:t>, enabling the application of a flexible density range, rather than a more rigid single standard</w:t>
      </w:r>
      <w:r w:rsidR="00433192">
        <w:rPr>
          <w:rFonts w:ascii="Arial" w:hAnsi="Arial" w:cs="Arial"/>
        </w:rPr>
        <w:t xml:space="preserve">. </w:t>
      </w:r>
      <w:r w:rsidR="005E01B5">
        <w:rPr>
          <w:rFonts w:ascii="Arial" w:hAnsi="Arial" w:cs="Arial"/>
        </w:rPr>
        <w:t>The proposed Local Plan policy continue</w:t>
      </w:r>
      <w:r w:rsidR="00F47D09">
        <w:rPr>
          <w:rFonts w:ascii="Arial" w:hAnsi="Arial" w:cs="Arial"/>
        </w:rPr>
        <w:t xml:space="preserve">s </w:t>
      </w:r>
      <w:r w:rsidR="005E01B5">
        <w:rPr>
          <w:rFonts w:ascii="Arial" w:hAnsi="Arial" w:cs="Arial"/>
        </w:rPr>
        <w:t>to require that particular attention</w:t>
      </w:r>
      <w:r w:rsidR="00F47D09">
        <w:rPr>
          <w:rFonts w:ascii="Arial" w:hAnsi="Arial" w:cs="Arial"/>
        </w:rPr>
        <w:t xml:space="preserve"> is given to </w:t>
      </w:r>
      <w:r w:rsidR="009618CB">
        <w:rPr>
          <w:rFonts w:ascii="Arial" w:hAnsi="Arial" w:cs="Arial"/>
        </w:rPr>
        <w:t>context and character</w:t>
      </w:r>
      <w:r w:rsidR="00F47D09">
        <w:rPr>
          <w:rFonts w:ascii="Arial" w:hAnsi="Arial" w:cs="Arial"/>
        </w:rPr>
        <w:t xml:space="preserve"> considerations as part of the optimisation of development densities</w:t>
      </w:r>
      <w:r w:rsidR="009618CB">
        <w:rPr>
          <w:rFonts w:ascii="Arial" w:hAnsi="Arial" w:cs="Arial"/>
        </w:rPr>
        <w:t>, ensuring flexibility</w:t>
      </w:r>
      <w:r w:rsidR="00D16631">
        <w:rPr>
          <w:rFonts w:ascii="Arial" w:hAnsi="Arial" w:cs="Arial"/>
        </w:rPr>
        <w:t xml:space="preserve"> on a </w:t>
      </w:r>
      <w:r w:rsidR="00624681">
        <w:rPr>
          <w:rFonts w:ascii="Arial" w:hAnsi="Arial" w:cs="Arial"/>
        </w:rPr>
        <w:t>case-by-case</w:t>
      </w:r>
      <w:r w:rsidR="00D16631">
        <w:rPr>
          <w:rFonts w:ascii="Arial" w:hAnsi="Arial" w:cs="Arial"/>
        </w:rPr>
        <w:t xml:space="preserve"> basis</w:t>
      </w:r>
      <w:r w:rsidR="004C1CF3">
        <w:rPr>
          <w:rFonts w:ascii="Arial" w:hAnsi="Arial" w:cs="Arial"/>
        </w:rPr>
        <w:t xml:space="preserve"> in order</w:t>
      </w:r>
      <w:r w:rsidR="002C12B4">
        <w:rPr>
          <w:rFonts w:ascii="Arial" w:hAnsi="Arial" w:cs="Arial"/>
        </w:rPr>
        <w:t xml:space="preserve"> </w:t>
      </w:r>
      <w:r w:rsidR="00C4155B">
        <w:rPr>
          <w:rFonts w:ascii="Arial" w:hAnsi="Arial" w:cs="Arial"/>
        </w:rPr>
        <w:t>to strike an appropriate balance between increasing densities, while also responding appropriate</w:t>
      </w:r>
      <w:r w:rsidR="00F274AB">
        <w:rPr>
          <w:rFonts w:ascii="Arial" w:hAnsi="Arial" w:cs="Arial"/>
        </w:rPr>
        <w:t>ly</w:t>
      </w:r>
      <w:r w:rsidR="00C4155B">
        <w:rPr>
          <w:rFonts w:ascii="Arial" w:hAnsi="Arial" w:cs="Arial"/>
        </w:rPr>
        <w:t xml:space="preserve"> to constraints. </w:t>
      </w:r>
      <w:r w:rsidR="005E01B5">
        <w:rPr>
          <w:rFonts w:ascii="Arial" w:hAnsi="Arial" w:cs="Arial"/>
        </w:rPr>
        <w:t xml:space="preserve"> </w:t>
      </w:r>
    </w:p>
    <w:p w14:paraId="127CB7EE" w14:textId="31A02C06" w:rsidR="00F274AB" w:rsidRPr="001F2C1D" w:rsidRDefault="00F274AB" w:rsidP="00FA1795">
      <w:pPr>
        <w:jc w:val="both"/>
        <w:rPr>
          <w:rFonts w:ascii="Arial" w:hAnsi="Arial" w:cs="Arial"/>
        </w:rPr>
      </w:pPr>
      <w:r>
        <w:rPr>
          <w:rFonts w:ascii="Arial" w:hAnsi="Arial" w:cs="Arial"/>
        </w:rPr>
        <w:t>7.4</w:t>
      </w:r>
      <w:r>
        <w:rPr>
          <w:rFonts w:ascii="Arial" w:hAnsi="Arial" w:cs="Arial"/>
        </w:rPr>
        <w:tab/>
        <w:t xml:space="preserve">There may be opportunities to take a more specific and ambitious approach to densities in the future, particularly in relation to highly sustainable locations. Such an approach should be supported by extensive contextual analysis and detailed design requirements. Consequently, this is likely to be most appropriately tackled </w:t>
      </w:r>
      <w:r w:rsidR="000F1805">
        <w:rPr>
          <w:rFonts w:ascii="Arial" w:hAnsi="Arial" w:cs="Arial"/>
        </w:rPr>
        <w:t xml:space="preserve">for the Plan Area </w:t>
      </w:r>
      <w:r>
        <w:rPr>
          <w:rFonts w:ascii="Arial" w:hAnsi="Arial" w:cs="Arial"/>
        </w:rPr>
        <w:t xml:space="preserve">via the future design coding process.  </w:t>
      </w:r>
    </w:p>
    <w:p w14:paraId="401EE6C3" w14:textId="77777777" w:rsidR="000A0771" w:rsidRPr="00A42F33" w:rsidRDefault="000A0771" w:rsidP="00A42F33">
      <w:pPr>
        <w:jc w:val="both"/>
        <w:rPr>
          <w:rFonts w:ascii="Arial" w:hAnsi="Arial" w:cs="Arial"/>
        </w:rPr>
      </w:pPr>
    </w:p>
    <w:sectPr w:rsidR="000A0771" w:rsidRPr="00A42F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267BE" w14:textId="77777777" w:rsidR="00774754" w:rsidRDefault="00774754" w:rsidP="00774754">
      <w:pPr>
        <w:spacing w:after="0" w:line="240" w:lineRule="auto"/>
      </w:pPr>
      <w:r>
        <w:separator/>
      </w:r>
    </w:p>
  </w:endnote>
  <w:endnote w:type="continuationSeparator" w:id="0">
    <w:p w14:paraId="52F2581B" w14:textId="77777777" w:rsidR="00774754" w:rsidRDefault="00774754" w:rsidP="00774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D18F6" w14:textId="77777777" w:rsidR="00774754" w:rsidRDefault="00774754" w:rsidP="00774754">
      <w:pPr>
        <w:spacing w:after="0" w:line="240" w:lineRule="auto"/>
      </w:pPr>
      <w:r>
        <w:separator/>
      </w:r>
    </w:p>
  </w:footnote>
  <w:footnote w:type="continuationSeparator" w:id="0">
    <w:p w14:paraId="44ABE632" w14:textId="77777777" w:rsidR="00774754" w:rsidRDefault="00774754" w:rsidP="00774754">
      <w:pPr>
        <w:spacing w:after="0" w:line="240" w:lineRule="auto"/>
      </w:pPr>
      <w:r>
        <w:continuationSeparator/>
      </w:r>
    </w:p>
  </w:footnote>
  <w:footnote w:id="1">
    <w:p w14:paraId="46CAC323" w14:textId="2F5EC98C" w:rsidR="00CF50CB" w:rsidRDefault="00CF50CB">
      <w:pPr>
        <w:pStyle w:val="FootnoteText"/>
      </w:pPr>
      <w:r>
        <w:rPr>
          <w:rStyle w:val="FootnoteReference"/>
        </w:rPr>
        <w:footnoteRef/>
      </w:r>
      <w:r>
        <w:t xml:space="preserve"> </w:t>
      </w:r>
      <w:hyperlink r:id="rId1" w:history="1">
        <w:r w:rsidR="0059050A" w:rsidRPr="0059050A">
          <w:rPr>
            <w:color w:val="0000FF"/>
            <w:sz w:val="22"/>
            <w:szCs w:val="22"/>
            <w:u w:val="single"/>
          </w:rPr>
          <w:t>Government response to the Levelling-up and Regeneration Bill: reforms to national planning policy consultation - GOV.UK (www.gov.uk)</w:t>
        </w:r>
      </w:hyperlink>
    </w:p>
  </w:footnote>
  <w:footnote w:id="2">
    <w:p w14:paraId="4F470476" w14:textId="3B335884" w:rsidR="00795590" w:rsidRDefault="00795590">
      <w:pPr>
        <w:pStyle w:val="FootnoteText"/>
      </w:pPr>
      <w:r>
        <w:rPr>
          <w:rStyle w:val="FootnoteReference"/>
        </w:rPr>
        <w:footnoteRef/>
      </w:r>
      <w:r>
        <w:t xml:space="preserve"> </w:t>
      </w:r>
      <w:hyperlink r:id="rId2" w:history="1">
        <w:r w:rsidRPr="00446B86">
          <w:rPr>
            <w:rStyle w:val="Hyperlink"/>
            <w:sz w:val="22"/>
            <w:szCs w:val="22"/>
          </w:rPr>
          <w:t>Strengthening planning policy for brownfield development - GOV.UK (www.gov.uk)</w:t>
        </w:r>
      </w:hyperlink>
    </w:p>
  </w:footnote>
  <w:footnote w:id="3">
    <w:p w14:paraId="56EEAB7E" w14:textId="1A3924E2" w:rsidR="00774754" w:rsidRDefault="00774754">
      <w:pPr>
        <w:pStyle w:val="FootnoteText"/>
      </w:pPr>
      <w:r>
        <w:rPr>
          <w:rStyle w:val="FootnoteReference"/>
        </w:rPr>
        <w:footnoteRef/>
      </w:r>
      <w:r>
        <w:t xml:space="preserve"> </w:t>
      </w:r>
      <w:hyperlink r:id="rId3" w:history="1">
        <w:r>
          <w:rPr>
            <w:rStyle w:val="Hyperlink"/>
          </w:rPr>
          <w:t>Local_Authority_Districts_ranked_by_rural_and_rural-related_populations_with_Rural_Urban_Classification.pdf (publishing.service.gov.uk)</w:t>
        </w:r>
      </w:hyperlink>
    </w:p>
  </w:footnote>
  <w:footnote w:id="4">
    <w:p w14:paraId="3E0CE03A" w14:textId="30DD9A87" w:rsidR="007C2A60" w:rsidRDefault="007C2A60">
      <w:pPr>
        <w:pStyle w:val="FootnoteText"/>
      </w:pPr>
      <w:r>
        <w:rPr>
          <w:rStyle w:val="FootnoteReference"/>
        </w:rPr>
        <w:footnoteRef/>
      </w:r>
      <w:r>
        <w:t xml:space="preserve"> Replacement dwellings were excluded from the study</w:t>
      </w:r>
    </w:p>
  </w:footnote>
  <w:footnote w:id="5">
    <w:p w14:paraId="03BC1838" w14:textId="77777777" w:rsidR="00014596" w:rsidRDefault="00014596" w:rsidP="00014596">
      <w:pPr>
        <w:pStyle w:val="FootnoteText"/>
      </w:pPr>
      <w:r>
        <w:rPr>
          <w:rStyle w:val="FootnoteReference"/>
        </w:rPr>
        <w:footnoteRef/>
      </w:r>
      <w:r>
        <w:t xml:space="preserve"> 20-Minute Neighbourhoods (March 2021), TCPA. </w:t>
      </w:r>
      <w:hyperlink r:id="rId4" w:history="1">
        <w:r w:rsidRPr="00430F85">
          <w:rPr>
            <w:color w:val="0000FF"/>
            <w:sz w:val="22"/>
            <w:szCs w:val="22"/>
            <w:u w:val="single"/>
          </w:rPr>
          <w:t>20MN_Main.qxd (tcpa.org.uk)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527"/>
    <w:multiLevelType w:val="hybridMultilevel"/>
    <w:tmpl w:val="FA4CD4B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46328B"/>
    <w:multiLevelType w:val="multilevel"/>
    <w:tmpl w:val="6AFA89E0"/>
    <w:styleLink w:val="CurrentList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6B3334A"/>
    <w:multiLevelType w:val="multilevel"/>
    <w:tmpl w:val="6AFA89E0"/>
    <w:styleLink w:val="CurrentList1"/>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7796579"/>
    <w:multiLevelType w:val="multilevel"/>
    <w:tmpl w:val="26923216"/>
    <w:lvl w:ilvl="0">
      <w:start w:val="2"/>
      <w:numFmt w:val="decimal"/>
      <w:lvlText w:val="%1"/>
      <w:lvlJc w:val="left"/>
      <w:pPr>
        <w:ind w:left="360" w:hanging="360"/>
      </w:pPr>
      <w:rPr>
        <w:rFonts w:hint="default"/>
        <w:sz w:val="22"/>
      </w:rPr>
    </w:lvl>
    <w:lvl w:ilvl="1">
      <w:start w:val="3"/>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4" w15:restartNumberingAfterBreak="0">
    <w:nsid w:val="1D3F3C55"/>
    <w:multiLevelType w:val="hybridMultilevel"/>
    <w:tmpl w:val="A0160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D31EAC"/>
    <w:multiLevelType w:val="hybridMultilevel"/>
    <w:tmpl w:val="E3A23FF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15:restartNumberingAfterBreak="0">
    <w:nsid w:val="25C06296"/>
    <w:multiLevelType w:val="hybridMultilevel"/>
    <w:tmpl w:val="E5E893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AF1FAC"/>
    <w:multiLevelType w:val="hybridMultilevel"/>
    <w:tmpl w:val="26E462FA"/>
    <w:lvl w:ilvl="0" w:tplc="94AC0E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79538D"/>
    <w:multiLevelType w:val="hybridMultilevel"/>
    <w:tmpl w:val="70B414E6"/>
    <w:lvl w:ilvl="0" w:tplc="9BDA805A">
      <w:start w:val="2"/>
      <w:numFmt w:val="decimal"/>
      <w:lvlText w:val="%1."/>
      <w:lvlJc w:val="left"/>
      <w:pPr>
        <w:ind w:left="720" w:hanging="36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C65514"/>
    <w:multiLevelType w:val="hybridMultilevel"/>
    <w:tmpl w:val="1C2AE9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5650D6"/>
    <w:multiLevelType w:val="hybridMultilevel"/>
    <w:tmpl w:val="31F4D35C"/>
    <w:lvl w:ilvl="0" w:tplc="08090001">
      <w:start w:val="1"/>
      <w:numFmt w:val="bullet"/>
      <w:lvlText w:val=""/>
      <w:lvlJc w:val="left"/>
      <w:pPr>
        <w:ind w:left="720" w:hanging="360"/>
      </w:pPr>
      <w:rPr>
        <w:rFonts w:ascii="Symbol" w:hAnsi="Symbol" w:hint="default"/>
      </w:rPr>
    </w:lvl>
    <w:lvl w:ilvl="1" w:tplc="E822FE8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1D6445"/>
    <w:multiLevelType w:val="multilevel"/>
    <w:tmpl w:val="DF848C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2EC7D7D"/>
    <w:multiLevelType w:val="multilevel"/>
    <w:tmpl w:val="A6FC8F02"/>
    <w:lvl w:ilvl="0">
      <w:start w:val="4"/>
      <w:numFmt w:val="decimal"/>
      <w:lvlText w:val="%1"/>
      <w:lvlJc w:val="left"/>
      <w:pPr>
        <w:ind w:left="360" w:hanging="360"/>
      </w:pPr>
      <w:rPr>
        <w:rFonts w:hint="default"/>
      </w:rPr>
    </w:lvl>
    <w:lvl w:ilvl="1">
      <w:start w:val="4"/>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6221913"/>
    <w:multiLevelType w:val="multilevel"/>
    <w:tmpl w:val="CC963DB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9C24032"/>
    <w:multiLevelType w:val="multilevel"/>
    <w:tmpl w:val="D3B41898"/>
    <w:lvl w:ilvl="0">
      <w:start w:val="3"/>
      <w:numFmt w:val="decimal"/>
      <w:lvlText w:val="%1"/>
      <w:lvlJc w:val="left"/>
      <w:pPr>
        <w:ind w:left="360" w:hanging="360"/>
      </w:pPr>
      <w:rPr>
        <w:rFonts w:hint="default"/>
      </w:rPr>
    </w:lvl>
    <w:lvl w:ilvl="1">
      <w:start w:val="5"/>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2B75CAB"/>
    <w:multiLevelType w:val="multilevel"/>
    <w:tmpl w:val="872665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C60CCF"/>
    <w:multiLevelType w:val="multilevel"/>
    <w:tmpl w:val="0CAEE66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33C062A"/>
    <w:multiLevelType w:val="hybridMultilevel"/>
    <w:tmpl w:val="60589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4037CF"/>
    <w:multiLevelType w:val="multilevel"/>
    <w:tmpl w:val="87E6FB60"/>
    <w:lvl w:ilvl="0">
      <w:start w:val="5"/>
      <w:numFmt w:val="decimal"/>
      <w:lvlText w:val="%1"/>
      <w:lvlJc w:val="left"/>
      <w:pPr>
        <w:ind w:left="360" w:hanging="360"/>
      </w:pPr>
      <w:rPr>
        <w:rFonts w:eastAsiaTheme="minorHAnsi" w:hint="default"/>
      </w:rPr>
    </w:lvl>
    <w:lvl w:ilvl="1">
      <w:start w:val="4"/>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9" w15:restartNumberingAfterBreak="0">
    <w:nsid w:val="7FCE4D98"/>
    <w:multiLevelType w:val="multilevel"/>
    <w:tmpl w:val="B8AE63EC"/>
    <w:lvl w:ilvl="0">
      <w:start w:val="6"/>
      <w:numFmt w:val="decimal"/>
      <w:lvlText w:val="%1"/>
      <w:lvlJc w:val="left"/>
      <w:pPr>
        <w:ind w:left="420" w:hanging="420"/>
      </w:pPr>
      <w:rPr>
        <w:rFonts w:hint="default"/>
      </w:rPr>
    </w:lvl>
    <w:lvl w:ilvl="1">
      <w:start w:val="19"/>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13017426">
    <w:abstractNumId w:val="16"/>
  </w:num>
  <w:num w:numId="2" w16cid:durableId="206647163">
    <w:abstractNumId w:val="7"/>
  </w:num>
  <w:num w:numId="3" w16cid:durableId="173541613">
    <w:abstractNumId w:val="9"/>
  </w:num>
  <w:num w:numId="4" w16cid:durableId="1555004094">
    <w:abstractNumId w:val="2"/>
  </w:num>
  <w:num w:numId="5" w16cid:durableId="849443530">
    <w:abstractNumId w:val="1"/>
  </w:num>
  <w:num w:numId="6" w16cid:durableId="633487399">
    <w:abstractNumId w:val="8"/>
  </w:num>
  <w:num w:numId="7" w16cid:durableId="74909415">
    <w:abstractNumId w:val="0"/>
  </w:num>
  <w:num w:numId="8" w16cid:durableId="1449356541">
    <w:abstractNumId w:val="15"/>
  </w:num>
  <w:num w:numId="9" w16cid:durableId="598559179">
    <w:abstractNumId w:val="10"/>
  </w:num>
  <w:num w:numId="10" w16cid:durableId="762991975">
    <w:abstractNumId w:val="6"/>
  </w:num>
  <w:num w:numId="11" w16cid:durableId="66807064">
    <w:abstractNumId w:val="4"/>
  </w:num>
  <w:num w:numId="12" w16cid:durableId="582682721">
    <w:abstractNumId w:val="5"/>
  </w:num>
  <w:num w:numId="13" w16cid:durableId="795681796">
    <w:abstractNumId w:val="18"/>
  </w:num>
  <w:num w:numId="14" w16cid:durableId="1819149320">
    <w:abstractNumId w:val="3"/>
  </w:num>
  <w:num w:numId="15" w16cid:durableId="411660310">
    <w:abstractNumId w:val="11"/>
  </w:num>
  <w:num w:numId="16" w16cid:durableId="1983121474">
    <w:abstractNumId w:val="13"/>
  </w:num>
  <w:num w:numId="17" w16cid:durableId="1648510830">
    <w:abstractNumId w:val="14"/>
  </w:num>
  <w:num w:numId="18" w16cid:durableId="2106264303">
    <w:abstractNumId w:val="12"/>
  </w:num>
  <w:num w:numId="19" w16cid:durableId="1424570145">
    <w:abstractNumId w:val="19"/>
  </w:num>
  <w:num w:numId="20" w16cid:durableId="1606312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C05"/>
    <w:rsid w:val="00004B18"/>
    <w:rsid w:val="00006B67"/>
    <w:rsid w:val="00007A36"/>
    <w:rsid w:val="00010752"/>
    <w:rsid w:val="00014596"/>
    <w:rsid w:val="00021F55"/>
    <w:rsid w:val="00022722"/>
    <w:rsid w:val="00033824"/>
    <w:rsid w:val="00034DA2"/>
    <w:rsid w:val="0004179F"/>
    <w:rsid w:val="00054D95"/>
    <w:rsid w:val="00066586"/>
    <w:rsid w:val="00070504"/>
    <w:rsid w:val="0007249D"/>
    <w:rsid w:val="00076766"/>
    <w:rsid w:val="00081324"/>
    <w:rsid w:val="00082315"/>
    <w:rsid w:val="00087080"/>
    <w:rsid w:val="00087241"/>
    <w:rsid w:val="00091043"/>
    <w:rsid w:val="00094BDE"/>
    <w:rsid w:val="000A0771"/>
    <w:rsid w:val="000A2A0D"/>
    <w:rsid w:val="000B7787"/>
    <w:rsid w:val="000C4243"/>
    <w:rsid w:val="000C52D5"/>
    <w:rsid w:val="000C798F"/>
    <w:rsid w:val="000D0181"/>
    <w:rsid w:val="000D6DDA"/>
    <w:rsid w:val="000E5B5E"/>
    <w:rsid w:val="000F1805"/>
    <w:rsid w:val="000F1A4C"/>
    <w:rsid w:val="000F1A74"/>
    <w:rsid w:val="000F4B57"/>
    <w:rsid w:val="000F65C1"/>
    <w:rsid w:val="001024C8"/>
    <w:rsid w:val="00103890"/>
    <w:rsid w:val="00111747"/>
    <w:rsid w:val="00121813"/>
    <w:rsid w:val="00123850"/>
    <w:rsid w:val="001256A0"/>
    <w:rsid w:val="001374BA"/>
    <w:rsid w:val="00141A8F"/>
    <w:rsid w:val="00152315"/>
    <w:rsid w:val="00157699"/>
    <w:rsid w:val="00157911"/>
    <w:rsid w:val="00163709"/>
    <w:rsid w:val="00166E42"/>
    <w:rsid w:val="0018260C"/>
    <w:rsid w:val="00183606"/>
    <w:rsid w:val="00193B5B"/>
    <w:rsid w:val="001A4672"/>
    <w:rsid w:val="001A5290"/>
    <w:rsid w:val="001A6B90"/>
    <w:rsid w:val="001A6DC0"/>
    <w:rsid w:val="001B079E"/>
    <w:rsid w:val="001D0405"/>
    <w:rsid w:val="001D2854"/>
    <w:rsid w:val="001E2B8E"/>
    <w:rsid w:val="001E378F"/>
    <w:rsid w:val="001E4828"/>
    <w:rsid w:val="001E65FF"/>
    <w:rsid w:val="001E6EEC"/>
    <w:rsid w:val="001F2C1D"/>
    <w:rsid w:val="001F3A0F"/>
    <w:rsid w:val="00201620"/>
    <w:rsid w:val="00211296"/>
    <w:rsid w:val="00212753"/>
    <w:rsid w:val="002208E0"/>
    <w:rsid w:val="0023041A"/>
    <w:rsid w:val="00235B3E"/>
    <w:rsid w:val="00241CBE"/>
    <w:rsid w:val="00244506"/>
    <w:rsid w:val="00245213"/>
    <w:rsid w:val="00245CED"/>
    <w:rsid w:val="00253D53"/>
    <w:rsid w:val="0026010B"/>
    <w:rsid w:val="002737AE"/>
    <w:rsid w:val="00273E27"/>
    <w:rsid w:val="00287A26"/>
    <w:rsid w:val="00292ED7"/>
    <w:rsid w:val="002A234D"/>
    <w:rsid w:val="002A6733"/>
    <w:rsid w:val="002B0214"/>
    <w:rsid w:val="002B0342"/>
    <w:rsid w:val="002B101E"/>
    <w:rsid w:val="002C12B4"/>
    <w:rsid w:val="002C23D8"/>
    <w:rsid w:val="002C4D66"/>
    <w:rsid w:val="002D56B6"/>
    <w:rsid w:val="002F4E11"/>
    <w:rsid w:val="002F751D"/>
    <w:rsid w:val="002F7567"/>
    <w:rsid w:val="003061FC"/>
    <w:rsid w:val="00311324"/>
    <w:rsid w:val="003113E3"/>
    <w:rsid w:val="00316640"/>
    <w:rsid w:val="003278BE"/>
    <w:rsid w:val="00331ED5"/>
    <w:rsid w:val="00332DE5"/>
    <w:rsid w:val="00334BEE"/>
    <w:rsid w:val="00341216"/>
    <w:rsid w:val="0035248B"/>
    <w:rsid w:val="00352AC3"/>
    <w:rsid w:val="00355E2B"/>
    <w:rsid w:val="00371B73"/>
    <w:rsid w:val="00393553"/>
    <w:rsid w:val="003A0608"/>
    <w:rsid w:val="003B54DB"/>
    <w:rsid w:val="003C3155"/>
    <w:rsid w:val="003C732A"/>
    <w:rsid w:val="003D1637"/>
    <w:rsid w:val="003D7D87"/>
    <w:rsid w:val="003E00DD"/>
    <w:rsid w:val="003E4599"/>
    <w:rsid w:val="003E7169"/>
    <w:rsid w:val="003F6B0B"/>
    <w:rsid w:val="00412499"/>
    <w:rsid w:val="00413B14"/>
    <w:rsid w:val="00415D7D"/>
    <w:rsid w:val="0042124F"/>
    <w:rsid w:val="004250E5"/>
    <w:rsid w:val="00430F85"/>
    <w:rsid w:val="00433192"/>
    <w:rsid w:val="00445582"/>
    <w:rsid w:val="00446B86"/>
    <w:rsid w:val="00460868"/>
    <w:rsid w:val="00477BAA"/>
    <w:rsid w:val="00483A20"/>
    <w:rsid w:val="004851C9"/>
    <w:rsid w:val="0049743C"/>
    <w:rsid w:val="004B1BF1"/>
    <w:rsid w:val="004C1CF3"/>
    <w:rsid w:val="004C7875"/>
    <w:rsid w:val="004D1B30"/>
    <w:rsid w:val="004D2F86"/>
    <w:rsid w:val="004D67F8"/>
    <w:rsid w:val="004D786D"/>
    <w:rsid w:val="004E3C65"/>
    <w:rsid w:val="004F2B6E"/>
    <w:rsid w:val="004F3949"/>
    <w:rsid w:val="005028FD"/>
    <w:rsid w:val="00507364"/>
    <w:rsid w:val="00510B30"/>
    <w:rsid w:val="00512A70"/>
    <w:rsid w:val="005132E5"/>
    <w:rsid w:val="005136FA"/>
    <w:rsid w:val="005143D0"/>
    <w:rsid w:val="00524990"/>
    <w:rsid w:val="00530AA6"/>
    <w:rsid w:val="00533224"/>
    <w:rsid w:val="00537598"/>
    <w:rsid w:val="00537B52"/>
    <w:rsid w:val="00540377"/>
    <w:rsid w:val="0055015E"/>
    <w:rsid w:val="00562265"/>
    <w:rsid w:val="00562307"/>
    <w:rsid w:val="005653DA"/>
    <w:rsid w:val="00567B62"/>
    <w:rsid w:val="00580FF5"/>
    <w:rsid w:val="00583C56"/>
    <w:rsid w:val="005865D6"/>
    <w:rsid w:val="0059050A"/>
    <w:rsid w:val="00592DC5"/>
    <w:rsid w:val="005A16B1"/>
    <w:rsid w:val="005A2CE6"/>
    <w:rsid w:val="005A359F"/>
    <w:rsid w:val="005A44EF"/>
    <w:rsid w:val="005A6447"/>
    <w:rsid w:val="005B14BA"/>
    <w:rsid w:val="005C042E"/>
    <w:rsid w:val="005C3957"/>
    <w:rsid w:val="005E01B5"/>
    <w:rsid w:val="005E20AA"/>
    <w:rsid w:val="005E2E46"/>
    <w:rsid w:val="005E6E59"/>
    <w:rsid w:val="006046D5"/>
    <w:rsid w:val="00606DB9"/>
    <w:rsid w:val="006122EF"/>
    <w:rsid w:val="00624681"/>
    <w:rsid w:val="00635894"/>
    <w:rsid w:val="006375B0"/>
    <w:rsid w:val="0064278D"/>
    <w:rsid w:val="00645CFA"/>
    <w:rsid w:val="006532AD"/>
    <w:rsid w:val="00655576"/>
    <w:rsid w:val="00667B92"/>
    <w:rsid w:val="00670E02"/>
    <w:rsid w:val="00673132"/>
    <w:rsid w:val="00686604"/>
    <w:rsid w:val="00686926"/>
    <w:rsid w:val="0069481B"/>
    <w:rsid w:val="0069618B"/>
    <w:rsid w:val="006A217E"/>
    <w:rsid w:val="006C4BDD"/>
    <w:rsid w:val="006C712D"/>
    <w:rsid w:val="006D1717"/>
    <w:rsid w:val="006D4890"/>
    <w:rsid w:val="006D5CCA"/>
    <w:rsid w:val="006F0110"/>
    <w:rsid w:val="006F31D2"/>
    <w:rsid w:val="006F37DA"/>
    <w:rsid w:val="006F52FD"/>
    <w:rsid w:val="007011E8"/>
    <w:rsid w:val="00706BC6"/>
    <w:rsid w:val="00711EA8"/>
    <w:rsid w:val="00712D8D"/>
    <w:rsid w:val="0071743C"/>
    <w:rsid w:val="00722517"/>
    <w:rsid w:val="00725BFC"/>
    <w:rsid w:val="00734A9A"/>
    <w:rsid w:val="0074464D"/>
    <w:rsid w:val="00751CD7"/>
    <w:rsid w:val="00754662"/>
    <w:rsid w:val="00754832"/>
    <w:rsid w:val="00755921"/>
    <w:rsid w:val="00771BD7"/>
    <w:rsid w:val="00774754"/>
    <w:rsid w:val="007828BF"/>
    <w:rsid w:val="007832E8"/>
    <w:rsid w:val="0078403E"/>
    <w:rsid w:val="00785A9C"/>
    <w:rsid w:val="00794290"/>
    <w:rsid w:val="007954E4"/>
    <w:rsid w:val="00795590"/>
    <w:rsid w:val="007A16AB"/>
    <w:rsid w:val="007A28B6"/>
    <w:rsid w:val="007B31CC"/>
    <w:rsid w:val="007C2A60"/>
    <w:rsid w:val="007E73A1"/>
    <w:rsid w:val="007E79A3"/>
    <w:rsid w:val="00800BB1"/>
    <w:rsid w:val="0080161E"/>
    <w:rsid w:val="00802A88"/>
    <w:rsid w:val="00802F3C"/>
    <w:rsid w:val="00811CE7"/>
    <w:rsid w:val="00822C25"/>
    <w:rsid w:val="00823CDF"/>
    <w:rsid w:val="0082713A"/>
    <w:rsid w:val="00840A46"/>
    <w:rsid w:val="00841C3D"/>
    <w:rsid w:val="00842887"/>
    <w:rsid w:val="0086642D"/>
    <w:rsid w:val="0087090C"/>
    <w:rsid w:val="00883542"/>
    <w:rsid w:val="00891110"/>
    <w:rsid w:val="008949B3"/>
    <w:rsid w:val="00896059"/>
    <w:rsid w:val="008A1DF5"/>
    <w:rsid w:val="008A3702"/>
    <w:rsid w:val="008B23A1"/>
    <w:rsid w:val="008B32A3"/>
    <w:rsid w:val="008B4950"/>
    <w:rsid w:val="008B62BB"/>
    <w:rsid w:val="008B7743"/>
    <w:rsid w:val="008C0D74"/>
    <w:rsid w:val="008C47F1"/>
    <w:rsid w:val="008C7BAA"/>
    <w:rsid w:val="008D209B"/>
    <w:rsid w:val="008D2240"/>
    <w:rsid w:val="008D3D6F"/>
    <w:rsid w:val="008D3F72"/>
    <w:rsid w:val="008D656B"/>
    <w:rsid w:val="008E062C"/>
    <w:rsid w:val="008F24A7"/>
    <w:rsid w:val="008F3941"/>
    <w:rsid w:val="008F5428"/>
    <w:rsid w:val="00906A41"/>
    <w:rsid w:val="0091278A"/>
    <w:rsid w:val="00917086"/>
    <w:rsid w:val="0092095E"/>
    <w:rsid w:val="00925ACF"/>
    <w:rsid w:val="00927C5B"/>
    <w:rsid w:val="0093628D"/>
    <w:rsid w:val="00945AF2"/>
    <w:rsid w:val="009503AB"/>
    <w:rsid w:val="00951CB6"/>
    <w:rsid w:val="0095295E"/>
    <w:rsid w:val="00952FBD"/>
    <w:rsid w:val="009532B9"/>
    <w:rsid w:val="00953CD0"/>
    <w:rsid w:val="009618CB"/>
    <w:rsid w:val="00964BF8"/>
    <w:rsid w:val="00987D78"/>
    <w:rsid w:val="00995F95"/>
    <w:rsid w:val="009B5941"/>
    <w:rsid w:val="009C3BF9"/>
    <w:rsid w:val="009C4A86"/>
    <w:rsid w:val="009D7AC4"/>
    <w:rsid w:val="009E20E8"/>
    <w:rsid w:val="009E4F17"/>
    <w:rsid w:val="009F4970"/>
    <w:rsid w:val="009F545C"/>
    <w:rsid w:val="009F6990"/>
    <w:rsid w:val="009F7367"/>
    <w:rsid w:val="009F7EF9"/>
    <w:rsid w:val="00A0215C"/>
    <w:rsid w:val="00A02EE5"/>
    <w:rsid w:val="00A05C73"/>
    <w:rsid w:val="00A05E32"/>
    <w:rsid w:val="00A1161A"/>
    <w:rsid w:val="00A32FC3"/>
    <w:rsid w:val="00A36865"/>
    <w:rsid w:val="00A40CE4"/>
    <w:rsid w:val="00A42F33"/>
    <w:rsid w:val="00A52A5F"/>
    <w:rsid w:val="00A54721"/>
    <w:rsid w:val="00A73DC0"/>
    <w:rsid w:val="00A75C74"/>
    <w:rsid w:val="00A76C3D"/>
    <w:rsid w:val="00A820B3"/>
    <w:rsid w:val="00A855DD"/>
    <w:rsid w:val="00A9032F"/>
    <w:rsid w:val="00A91B76"/>
    <w:rsid w:val="00A93FA5"/>
    <w:rsid w:val="00A96AA4"/>
    <w:rsid w:val="00AA10E5"/>
    <w:rsid w:val="00AA1F72"/>
    <w:rsid w:val="00AA34A1"/>
    <w:rsid w:val="00AA4C68"/>
    <w:rsid w:val="00AA5201"/>
    <w:rsid w:val="00AB5512"/>
    <w:rsid w:val="00AB7C7A"/>
    <w:rsid w:val="00AC518E"/>
    <w:rsid w:val="00AC7103"/>
    <w:rsid w:val="00AD67CB"/>
    <w:rsid w:val="00AE0852"/>
    <w:rsid w:val="00AF50F9"/>
    <w:rsid w:val="00B07BE6"/>
    <w:rsid w:val="00B10604"/>
    <w:rsid w:val="00B10894"/>
    <w:rsid w:val="00B37C0D"/>
    <w:rsid w:val="00B52A60"/>
    <w:rsid w:val="00B5564F"/>
    <w:rsid w:val="00B57DB0"/>
    <w:rsid w:val="00B61093"/>
    <w:rsid w:val="00B71E6C"/>
    <w:rsid w:val="00B733CF"/>
    <w:rsid w:val="00B75A54"/>
    <w:rsid w:val="00B91B7A"/>
    <w:rsid w:val="00B96441"/>
    <w:rsid w:val="00BB1380"/>
    <w:rsid w:val="00BC2CA6"/>
    <w:rsid w:val="00BC4E5F"/>
    <w:rsid w:val="00BD43C1"/>
    <w:rsid w:val="00BD53D4"/>
    <w:rsid w:val="00BD6393"/>
    <w:rsid w:val="00BD6DB5"/>
    <w:rsid w:val="00BE3A6A"/>
    <w:rsid w:val="00BF0EC0"/>
    <w:rsid w:val="00BF44C4"/>
    <w:rsid w:val="00C0405E"/>
    <w:rsid w:val="00C04875"/>
    <w:rsid w:val="00C06383"/>
    <w:rsid w:val="00C13114"/>
    <w:rsid w:val="00C17127"/>
    <w:rsid w:val="00C204EE"/>
    <w:rsid w:val="00C4155B"/>
    <w:rsid w:val="00C52E48"/>
    <w:rsid w:val="00C53FFA"/>
    <w:rsid w:val="00C6107B"/>
    <w:rsid w:val="00C61C06"/>
    <w:rsid w:val="00C64AAD"/>
    <w:rsid w:val="00C71B16"/>
    <w:rsid w:val="00CA4602"/>
    <w:rsid w:val="00CA53A1"/>
    <w:rsid w:val="00CB6E2C"/>
    <w:rsid w:val="00CD4FA2"/>
    <w:rsid w:val="00CE137C"/>
    <w:rsid w:val="00CE1679"/>
    <w:rsid w:val="00CE18B6"/>
    <w:rsid w:val="00CE3D88"/>
    <w:rsid w:val="00CE4087"/>
    <w:rsid w:val="00CF2BC7"/>
    <w:rsid w:val="00CF50CB"/>
    <w:rsid w:val="00D02BC0"/>
    <w:rsid w:val="00D12420"/>
    <w:rsid w:val="00D16631"/>
    <w:rsid w:val="00D175AD"/>
    <w:rsid w:val="00D21AA6"/>
    <w:rsid w:val="00D344E8"/>
    <w:rsid w:val="00D4077F"/>
    <w:rsid w:val="00D61F8E"/>
    <w:rsid w:val="00D82199"/>
    <w:rsid w:val="00D92C05"/>
    <w:rsid w:val="00D94B96"/>
    <w:rsid w:val="00D953F3"/>
    <w:rsid w:val="00DA221C"/>
    <w:rsid w:val="00DA3B86"/>
    <w:rsid w:val="00DB0602"/>
    <w:rsid w:val="00DB4C3A"/>
    <w:rsid w:val="00DB767C"/>
    <w:rsid w:val="00DC3D50"/>
    <w:rsid w:val="00DD0AB9"/>
    <w:rsid w:val="00DD72C3"/>
    <w:rsid w:val="00DD7965"/>
    <w:rsid w:val="00DE626B"/>
    <w:rsid w:val="00DF0764"/>
    <w:rsid w:val="00DF412B"/>
    <w:rsid w:val="00E0042C"/>
    <w:rsid w:val="00E0096C"/>
    <w:rsid w:val="00E1075E"/>
    <w:rsid w:val="00E14DA2"/>
    <w:rsid w:val="00E21658"/>
    <w:rsid w:val="00E271AA"/>
    <w:rsid w:val="00E35081"/>
    <w:rsid w:val="00E47AE7"/>
    <w:rsid w:val="00E53C5F"/>
    <w:rsid w:val="00E72A94"/>
    <w:rsid w:val="00E72DEB"/>
    <w:rsid w:val="00E75025"/>
    <w:rsid w:val="00E77F2E"/>
    <w:rsid w:val="00E80AC2"/>
    <w:rsid w:val="00E87DC7"/>
    <w:rsid w:val="00E975AF"/>
    <w:rsid w:val="00E97A0D"/>
    <w:rsid w:val="00EA4CE6"/>
    <w:rsid w:val="00EA5C24"/>
    <w:rsid w:val="00EB40ED"/>
    <w:rsid w:val="00EB62F6"/>
    <w:rsid w:val="00EC0F33"/>
    <w:rsid w:val="00EC578D"/>
    <w:rsid w:val="00ED77B9"/>
    <w:rsid w:val="00EE708A"/>
    <w:rsid w:val="00EF616D"/>
    <w:rsid w:val="00F11291"/>
    <w:rsid w:val="00F15357"/>
    <w:rsid w:val="00F24DF2"/>
    <w:rsid w:val="00F274AB"/>
    <w:rsid w:val="00F34714"/>
    <w:rsid w:val="00F37018"/>
    <w:rsid w:val="00F47D09"/>
    <w:rsid w:val="00F52EC0"/>
    <w:rsid w:val="00F57067"/>
    <w:rsid w:val="00F74545"/>
    <w:rsid w:val="00F972D0"/>
    <w:rsid w:val="00FA1795"/>
    <w:rsid w:val="00FA539D"/>
    <w:rsid w:val="00FA597E"/>
    <w:rsid w:val="00FA76B4"/>
    <w:rsid w:val="00FB5A9A"/>
    <w:rsid w:val="00FC416F"/>
    <w:rsid w:val="00FC485B"/>
    <w:rsid w:val="00FC688D"/>
    <w:rsid w:val="00FE6412"/>
    <w:rsid w:val="00FF37D8"/>
    <w:rsid w:val="00FF45DB"/>
    <w:rsid w:val="00FF5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2E30C"/>
  <w15:chartTrackingRefBased/>
  <w15:docId w15:val="{24C0C3BD-E4DA-4FDE-8640-FC6518BB7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C05"/>
  </w:style>
  <w:style w:type="paragraph" w:styleId="Heading1">
    <w:name w:val="heading 1"/>
    <w:basedOn w:val="Normal"/>
    <w:next w:val="Normal"/>
    <w:link w:val="Heading1Char"/>
    <w:uiPriority w:val="9"/>
    <w:qFormat/>
    <w:rsid w:val="000E5B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04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C0F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C05"/>
    <w:pPr>
      <w:ind w:left="720"/>
      <w:contextualSpacing/>
    </w:pPr>
  </w:style>
  <w:style w:type="numbering" w:customStyle="1" w:styleId="CurrentList1">
    <w:name w:val="Current List1"/>
    <w:uiPriority w:val="99"/>
    <w:rsid w:val="008A1DF5"/>
    <w:pPr>
      <w:numPr>
        <w:numId w:val="4"/>
      </w:numPr>
    </w:pPr>
  </w:style>
  <w:style w:type="numbering" w:customStyle="1" w:styleId="CurrentList2">
    <w:name w:val="Current List2"/>
    <w:uiPriority w:val="99"/>
    <w:rsid w:val="008A1DF5"/>
    <w:pPr>
      <w:numPr>
        <w:numId w:val="5"/>
      </w:numPr>
    </w:pPr>
  </w:style>
  <w:style w:type="paragraph" w:styleId="FootnoteText">
    <w:name w:val="footnote text"/>
    <w:basedOn w:val="Normal"/>
    <w:link w:val="FootnoteTextChar"/>
    <w:uiPriority w:val="99"/>
    <w:semiHidden/>
    <w:unhideWhenUsed/>
    <w:rsid w:val="007747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4754"/>
    <w:rPr>
      <w:sz w:val="20"/>
      <w:szCs w:val="20"/>
    </w:rPr>
  </w:style>
  <w:style w:type="character" w:styleId="FootnoteReference">
    <w:name w:val="footnote reference"/>
    <w:basedOn w:val="DefaultParagraphFont"/>
    <w:uiPriority w:val="99"/>
    <w:semiHidden/>
    <w:unhideWhenUsed/>
    <w:rsid w:val="00774754"/>
    <w:rPr>
      <w:vertAlign w:val="superscript"/>
    </w:rPr>
  </w:style>
  <w:style w:type="character" w:styleId="Hyperlink">
    <w:name w:val="Hyperlink"/>
    <w:basedOn w:val="DefaultParagraphFont"/>
    <w:uiPriority w:val="99"/>
    <w:unhideWhenUsed/>
    <w:rsid w:val="00774754"/>
    <w:rPr>
      <w:color w:val="0000FF"/>
      <w:u w:val="single"/>
    </w:rPr>
  </w:style>
  <w:style w:type="table" w:styleId="TableGrid">
    <w:name w:val="Table Grid"/>
    <w:basedOn w:val="TableNormal"/>
    <w:uiPriority w:val="39"/>
    <w:rsid w:val="001D0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45CFA"/>
    <w:pPr>
      <w:spacing w:after="200" w:line="240" w:lineRule="auto"/>
    </w:pPr>
    <w:rPr>
      <w:i/>
      <w:iCs/>
      <w:color w:val="44546A" w:themeColor="text2"/>
      <w:sz w:val="18"/>
      <w:szCs w:val="18"/>
    </w:rPr>
  </w:style>
  <w:style w:type="paragraph" w:styleId="NoSpacing">
    <w:name w:val="No Spacing"/>
    <w:uiPriority w:val="1"/>
    <w:qFormat/>
    <w:rsid w:val="00B61093"/>
    <w:pPr>
      <w:spacing w:after="0" w:line="240" w:lineRule="auto"/>
    </w:pPr>
  </w:style>
  <w:style w:type="character" w:customStyle="1" w:styleId="Heading1Char">
    <w:name w:val="Heading 1 Char"/>
    <w:basedOn w:val="DefaultParagraphFont"/>
    <w:link w:val="Heading1"/>
    <w:uiPriority w:val="9"/>
    <w:rsid w:val="000E5B5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72A94"/>
    <w:rPr>
      <w:sz w:val="16"/>
      <w:szCs w:val="16"/>
    </w:rPr>
  </w:style>
  <w:style w:type="paragraph" w:styleId="CommentText">
    <w:name w:val="annotation text"/>
    <w:basedOn w:val="Normal"/>
    <w:link w:val="CommentTextChar"/>
    <w:uiPriority w:val="99"/>
    <w:unhideWhenUsed/>
    <w:rsid w:val="00E72A94"/>
    <w:pPr>
      <w:spacing w:line="240" w:lineRule="auto"/>
    </w:pPr>
    <w:rPr>
      <w:sz w:val="20"/>
      <w:szCs w:val="20"/>
    </w:rPr>
  </w:style>
  <w:style w:type="character" w:customStyle="1" w:styleId="CommentTextChar">
    <w:name w:val="Comment Text Char"/>
    <w:basedOn w:val="DefaultParagraphFont"/>
    <w:link w:val="CommentText"/>
    <w:uiPriority w:val="99"/>
    <w:rsid w:val="00E72A94"/>
    <w:rPr>
      <w:sz w:val="20"/>
      <w:szCs w:val="20"/>
    </w:rPr>
  </w:style>
  <w:style w:type="paragraph" w:styleId="CommentSubject">
    <w:name w:val="annotation subject"/>
    <w:basedOn w:val="CommentText"/>
    <w:next w:val="CommentText"/>
    <w:link w:val="CommentSubjectChar"/>
    <w:uiPriority w:val="99"/>
    <w:semiHidden/>
    <w:unhideWhenUsed/>
    <w:rsid w:val="00E72A94"/>
    <w:rPr>
      <w:b/>
      <w:bCs/>
    </w:rPr>
  </w:style>
  <w:style w:type="character" w:customStyle="1" w:styleId="CommentSubjectChar">
    <w:name w:val="Comment Subject Char"/>
    <w:basedOn w:val="CommentTextChar"/>
    <w:link w:val="CommentSubject"/>
    <w:uiPriority w:val="99"/>
    <w:semiHidden/>
    <w:rsid w:val="00E72A94"/>
    <w:rPr>
      <w:b/>
      <w:bCs/>
      <w:sz w:val="20"/>
      <w:szCs w:val="20"/>
    </w:rPr>
  </w:style>
  <w:style w:type="paragraph" w:styleId="Revision">
    <w:name w:val="Revision"/>
    <w:hidden/>
    <w:uiPriority w:val="99"/>
    <w:semiHidden/>
    <w:rsid w:val="00D344E8"/>
    <w:pPr>
      <w:spacing w:after="0" w:line="240" w:lineRule="auto"/>
    </w:pPr>
  </w:style>
  <w:style w:type="character" w:styleId="PlaceholderText">
    <w:name w:val="Placeholder Text"/>
    <w:basedOn w:val="DefaultParagraphFont"/>
    <w:uiPriority w:val="99"/>
    <w:semiHidden/>
    <w:rsid w:val="00E0042C"/>
    <w:rPr>
      <w:color w:val="808080"/>
    </w:rPr>
  </w:style>
  <w:style w:type="character" w:customStyle="1" w:styleId="Heading2Char">
    <w:name w:val="Heading 2 Char"/>
    <w:basedOn w:val="DefaultParagraphFont"/>
    <w:link w:val="Heading2"/>
    <w:uiPriority w:val="9"/>
    <w:rsid w:val="005C042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C0F33"/>
    <w:pPr>
      <w:outlineLvl w:val="9"/>
    </w:pPr>
    <w:rPr>
      <w:lang w:val="en-US"/>
    </w:rPr>
  </w:style>
  <w:style w:type="paragraph" w:styleId="TOC2">
    <w:name w:val="toc 2"/>
    <w:basedOn w:val="Normal"/>
    <w:next w:val="Normal"/>
    <w:autoRedefine/>
    <w:uiPriority w:val="39"/>
    <w:unhideWhenUsed/>
    <w:rsid w:val="00EC0F33"/>
    <w:pPr>
      <w:spacing w:after="100"/>
      <w:ind w:left="220"/>
    </w:pPr>
  </w:style>
  <w:style w:type="character" w:customStyle="1" w:styleId="Heading3Char">
    <w:name w:val="Heading 3 Char"/>
    <w:basedOn w:val="DefaultParagraphFont"/>
    <w:link w:val="Heading3"/>
    <w:uiPriority w:val="9"/>
    <w:rsid w:val="00EC0F33"/>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EC0F33"/>
    <w:pPr>
      <w:spacing w:after="100"/>
    </w:pPr>
  </w:style>
  <w:style w:type="paragraph" w:styleId="TOC3">
    <w:name w:val="toc 3"/>
    <w:basedOn w:val="Normal"/>
    <w:next w:val="Normal"/>
    <w:autoRedefine/>
    <w:uiPriority w:val="39"/>
    <w:unhideWhenUsed/>
    <w:rsid w:val="00EC0F33"/>
    <w:pPr>
      <w:spacing w:after="100"/>
      <w:ind w:left="440"/>
    </w:pPr>
  </w:style>
  <w:style w:type="character" w:styleId="UnresolvedMention">
    <w:name w:val="Unresolved Mention"/>
    <w:basedOn w:val="DefaultParagraphFont"/>
    <w:uiPriority w:val="99"/>
    <w:semiHidden/>
    <w:unhideWhenUsed/>
    <w:rsid w:val="00795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yperlink" Target="http://www.chichester.gov.uk/" TargetMode="External"/><Relationship Id="rId14" Type="http://schemas.openxmlformats.org/officeDocument/2006/relationships/chart" Target="charts/chart5.xml"/><Relationship Id="rId22" Type="http://schemas.openxmlformats.org/officeDocument/2006/relationships/chart" Target="charts/chart13.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media/5a7f88aaed915d74e622b0c1/Local_Authority_Districts_ranked_by_rural_and_rural-related_populations_with_Rural_Urban_Classification.pdf" TargetMode="External"/><Relationship Id="rId2" Type="http://schemas.openxmlformats.org/officeDocument/2006/relationships/hyperlink" Target="https://www.gov.uk/government/consultations/strengthening-planning-policy-for-brownfield-development/strengthening-planning-policy-for-brownfield-development" TargetMode="External"/><Relationship Id="rId1" Type="http://schemas.openxmlformats.org/officeDocument/2006/relationships/hyperlink" Target="https://www.gov.uk/government/consultations/levelling-up-and-regeneration-bill-reforms-to-national-planning-policy/outcome/government-response-to-the-levelling-up-and-regeneration-bill-reforms-to-national-planning-policy-consultation" TargetMode="External"/><Relationship Id="rId4" Type="http://schemas.openxmlformats.org/officeDocument/2006/relationships/hyperlink" Target="https://www.tcpa.org.uk/wp-content/uploads/2021/11/final_20mnguide-compressed.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Comparison</a:t>
            </a:r>
            <a:r>
              <a:rPr lang="en-US" sz="1100" baseline="0"/>
              <a:t> of A</a:t>
            </a:r>
            <a:r>
              <a:rPr lang="en-US" sz="1100"/>
              <a:t>verage Densities by Development Scale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Gross</c:v>
          </c:tx>
          <c:spPr>
            <a:solidFill>
              <a:schemeClr val="accent1"/>
            </a:solidFill>
            <a:ln>
              <a:noFill/>
            </a:ln>
            <a:effectLst/>
          </c:spPr>
          <c:invertIfNegative val="0"/>
          <c:cat>
            <c:strRef>
              <c:f>Analysis!$A$4:$A$7</c:f>
              <c:strCache>
                <c:ptCount val="4"/>
                <c:pt idx="0">
                  <c:v>Small</c:v>
                </c:pt>
                <c:pt idx="1">
                  <c:v>Medium</c:v>
                </c:pt>
                <c:pt idx="2">
                  <c:v>Large</c:v>
                </c:pt>
                <c:pt idx="3">
                  <c:v>Strategic</c:v>
                </c:pt>
              </c:strCache>
            </c:strRef>
          </c:cat>
          <c:val>
            <c:numRef>
              <c:f>Analysis!$E$4:$E$7</c:f>
              <c:numCache>
                <c:formatCode>0.00</c:formatCode>
                <c:ptCount val="4"/>
                <c:pt idx="0">
                  <c:v>36.447337584396969</c:v>
                </c:pt>
                <c:pt idx="1">
                  <c:v>37.426093241771987</c:v>
                </c:pt>
                <c:pt idx="2">
                  <c:v>40.721258536823299</c:v>
                </c:pt>
                <c:pt idx="3">
                  <c:v>40.237744004761709</c:v>
                </c:pt>
              </c:numCache>
            </c:numRef>
          </c:val>
          <c:extLst>
            <c:ext xmlns:c16="http://schemas.microsoft.com/office/drawing/2014/chart" uri="{C3380CC4-5D6E-409C-BE32-E72D297353CC}">
              <c16:uniqueId val="{00000000-445D-4462-8D76-6758F789F594}"/>
            </c:ext>
          </c:extLst>
        </c:ser>
        <c:ser>
          <c:idx val="1"/>
          <c:order val="1"/>
          <c:tx>
            <c:v>Net</c:v>
          </c:tx>
          <c:spPr>
            <a:solidFill>
              <a:schemeClr val="accent2"/>
            </a:solidFill>
            <a:ln>
              <a:noFill/>
            </a:ln>
            <a:effectLst/>
          </c:spPr>
          <c:invertIfNegative val="0"/>
          <c:cat>
            <c:strRef>
              <c:f>Analysis!$A$4:$A$7</c:f>
              <c:strCache>
                <c:ptCount val="4"/>
                <c:pt idx="0">
                  <c:v>Small</c:v>
                </c:pt>
                <c:pt idx="1">
                  <c:v>Medium</c:v>
                </c:pt>
                <c:pt idx="2">
                  <c:v>Large</c:v>
                </c:pt>
                <c:pt idx="3">
                  <c:v>Strategic</c:v>
                </c:pt>
              </c:strCache>
            </c:strRef>
          </c:cat>
          <c:val>
            <c:numRef>
              <c:f>Analysis!$F$4:$F$7</c:f>
              <c:numCache>
                <c:formatCode>0.00</c:formatCode>
                <c:ptCount val="4"/>
                <c:pt idx="0">
                  <c:v>37.454569275594338</c:v>
                </c:pt>
                <c:pt idx="1">
                  <c:v>48.423420588468382</c:v>
                </c:pt>
                <c:pt idx="2">
                  <c:v>57.16918690242148</c:v>
                </c:pt>
                <c:pt idx="3">
                  <c:v>55.637920880423557</c:v>
                </c:pt>
              </c:numCache>
            </c:numRef>
          </c:val>
          <c:extLst>
            <c:ext xmlns:c16="http://schemas.microsoft.com/office/drawing/2014/chart" uri="{C3380CC4-5D6E-409C-BE32-E72D297353CC}">
              <c16:uniqueId val="{00000001-445D-4462-8D76-6758F789F594}"/>
            </c:ext>
          </c:extLst>
        </c:ser>
        <c:dLbls>
          <c:showLegendKey val="0"/>
          <c:showVal val="0"/>
          <c:showCatName val="0"/>
          <c:showSerName val="0"/>
          <c:showPercent val="0"/>
          <c:showBubbleSize val="0"/>
        </c:dLbls>
        <c:gapWidth val="219"/>
        <c:overlap val="-27"/>
        <c:axId val="599440760"/>
        <c:axId val="599441120"/>
      </c:barChart>
      <c:catAx>
        <c:axId val="599440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441120"/>
        <c:crosses val="autoZero"/>
        <c:auto val="1"/>
        <c:lblAlgn val="ctr"/>
        <c:lblOffset val="100"/>
        <c:noMultiLvlLbl val="0"/>
      </c:catAx>
      <c:valAx>
        <c:axId val="59944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Dwellings</a:t>
                </a:r>
                <a:r>
                  <a:rPr lang="en-GB" baseline="0"/>
                  <a:t> per Hectare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440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Average Existing</a:t>
            </a:r>
            <a:r>
              <a:rPr lang="en-GB" sz="1100" baseline="0"/>
              <a:t> </a:t>
            </a:r>
            <a:r>
              <a:rPr lang="en-GB" sz="1100"/>
              <a:t>Densities within Settlement Boundaries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Data!$A$3:$A$9</c:f>
              <c:strCache>
                <c:ptCount val="7"/>
                <c:pt idx="0">
                  <c:v>Bosham (Broadbridge)</c:v>
                </c:pt>
                <c:pt idx="1">
                  <c:v>Chichester</c:v>
                </c:pt>
                <c:pt idx="2">
                  <c:v>Chidham and Hambrook</c:v>
                </c:pt>
                <c:pt idx="3">
                  <c:v>Fishbourne</c:v>
                </c:pt>
                <c:pt idx="4">
                  <c:v>Southbourne</c:v>
                </c:pt>
                <c:pt idx="5">
                  <c:v>Tangmere</c:v>
                </c:pt>
                <c:pt idx="6">
                  <c:v>Westhampnett</c:v>
                </c:pt>
              </c:strCache>
            </c:strRef>
          </c:cat>
          <c:val>
            <c:numRef>
              <c:f>Data!$D$3:$D$9</c:f>
              <c:numCache>
                <c:formatCode>0.00</c:formatCode>
                <c:ptCount val="7"/>
                <c:pt idx="0">
                  <c:v>27.236000000000001</c:v>
                </c:pt>
                <c:pt idx="1">
                  <c:v>21.321999999999999</c:v>
                </c:pt>
                <c:pt idx="2">
                  <c:v>18.283999999999999</c:v>
                </c:pt>
                <c:pt idx="3">
                  <c:v>21.733000000000001</c:v>
                </c:pt>
                <c:pt idx="4">
                  <c:v>23.390999999999998</c:v>
                </c:pt>
                <c:pt idx="5">
                  <c:v>27.465</c:v>
                </c:pt>
                <c:pt idx="6">
                  <c:v>23.64</c:v>
                </c:pt>
              </c:numCache>
            </c:numRef>
          </c:val>
          <c:extLst>
            <c:ext xmlns:c16="http://schemas.microsoft.com/office/drawing/2014/chart" uri="{C3380CC4-5D6E-409C-BE32-E72D297353CC}">
              <c16:uniqueId val="{00000000-8F7A-4CE0-B3F8-F46EF0AA38AD}"/>
            </c:ext>
          </c:extLst>
        </c:ser>
        <c:dLbls>
          <c:dLblPos val="outEnd"/>
          <c:showLegendKey val="0"/>
          <c:showVal val="1"/>
          <c:showCatName val="0"/>
          <c:showSerName val="0"/>
          <c:showPercent val="0"/>
          <c:showBubbleSize val="0"/>
        </c:dLbls>
        <c:gapWidth val="219"/>
        <c:overlap val="-27"/>
        <c:axId val="612365864"/>
        <c:axId val="612366224"/>
      </c:barChart>
      <c:catAx>
        <c:axId val="612365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Settlement</a:t>
                </a:r>
                <a:r>
                  <a:rPr lang="en-GB" baseline="0"/>
                  <a:t> Boundary</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366224"/>
        <c:crosses val="autoZero"/>
        <c:auto val="1"/>
        <c:lblAlgn val="ctr"/>
        <c:lblOffset val="100"/>
        <c:noMultiLvlLbl val="0"/>
      </c:catAx>
      <c:valAx>
        <c:axId val="612366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Density</a:t>
                </a:r>
                <a:r>
                  <a:rPr lang="en-GB" baseline="0"/>
                  <a:t> (dpha)</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365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Comparison</a:t>
            </a:r>
            <a:r>
              <a:rPr lang="en-GB" sz="1100" baseline="0"/>
              <a:t> of </a:t>
            </a:r>
            <a:r>
              <a:rPr lang="en-GB" sz="1100"/>
              <a:t>Existing</a:t>
            </a:r>
            <a:r>
              <a:rPr lang="en-GB" sz="1100" baseline="0"/>
              <a:t> Built </a:t>
            </a:r>
            <a:r>
              <a:rPr lang="en-GB" sz="1100"/>
              <a:t>Densities with</a:t>
            </a:r>
            <a:r>
              <a:rPr lang="en-GB" sz="1100" baseline="0"/>
              <a:t> Recent Development Densities</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Existing</c:v>
          </c:tx>
          <c:spPr>
            <a:solidFill>
              <a:schemeClr val="accent1"/>
            </a:solidFill>
            <a:ln>
              <a:noFill/>
            </a:ln>
            <a:effectLst/>
          </c:spPr>
          <c:invertIfNegative val="0"/>
          <c:cat>
            <c:strRef>
              <c:f>Data!$A$3:$A$9</c:f>
              <c:strCache>
                <c:ptCount val="7"/>
                <c:pt idx="0">
                  <c:v>Bosham (Broadbridge)</c:v>
                </c:pt>
                <c:pt idx="1">
                  <c:v>Chichester</c:v>
                </c:pt>
                <c:pt idx="2">
                  <c:v>Chidham and Hambrook</c:v>
                </c:pt>
                <c:pt idx="3">
                  <c:v>Fishbourne</c:v>
                </c:pt>
                <c:pt idx="4">
                  <c:v>Southbourne</c:v>
                </c:pt>
                <c:pt idx="5">
                  <c:v>Tangmere</c:v>
                </c:pt>
                <c:pt idx="6">
                  <c:v>Westhampnett</c:v>
                </c:pt>
              </c:strCache>
            </c:strRef>
          </c:cat>
          <c:val>
            <c:numRef>
              <c:f>Data!$D$3:$D$9</c:f>
              <c:numCache>
                <c:formatCode>0.00</c:formatCode>
                <c:ptCount val="7"/>
                <c:pt idx="0">
                  <c:v>27.236000000000001</c:v>
                </c:pt>
                <c:pt idx="1">
                  <c:v>21.321999999999999</c:v>
                </c:pt>
                <c:pt idx="2">
                  <c:v>18.283999999999999</c:v>
                </c:pt>
                <c:pt idx="3">
                  <c:v>21.733000000000001</c:v>
                </c:pt>
                <c:pt idx="4">
                  <c:v>23.390999999999998</c:v>
                </c:pt>
                <c:pt idx="5">
                  <c:v>27.465</c:v>
                </c:pt>
                <c:pt idx="6">
                  <c:v>23.64</c:v>
                </c:pt>
              </c:numCache>
            </c:numRef>
          </c:val>
          <c:extLst>
            <c:ext xmlns:c16="http://schemas.microsoft.com/office/drawing/2014/chart" uri="{C3380CC4-5D6E-409C-BE32-E72D297353CC}">
              <c16:uniqueId val="{00000000-78EE-4419-9C28-BAA853DC6888}"/>
            </c:ext>
          </c:extLst>
        </c:ser>
        <c:ser>
          <c:idx val="1"/>
          <c:order val="1"/>
          <c:tx>
            <c:v>Recent Development</c:v>
          </c:tx>
          <c:spPr>
            <a:solidFill>
              <a:schemeClr val="accent2"/>
            </a:solidFill>
            <a:ln>
              <a:noFill/>
            </a:ln>
            <a:effectLst/>
          </c:spPr>
          <c:invertIfNegative val="0"/>
          <c:val>
            <c:numRef>
              <c:f>Data!$E$3:$E$9</c:f>
              <c:numCache>
                <c:formatCode>General</c:formatCode>
                <c:ptCount val="7"/>
                <c:pt idx="0">
                  <c:v>22.58</c:v>
                </c:pt>
                <c:pt idx="1">
                  <c:v>65.81</c:v>
                </c:pt>
                <c:pt idx="2">
                  <c:v>17.22</c:v>
                </c:pt>
                <c:pt idx="3">
                  <c:v>44.9</c:v>
                </c:pt>
                <c:pt idx="4">
                  <c:v>20.13</c:v>
                </c:pt>
                <c:pt idx="5">
                  <c:v>42.8</c:v>
                </c:pt>
                <c:pt idx="6">
                  <c:v>21.22</c:v>
                </c:pt>
              </c:numCache>
            </c:numRef>
          </c:val>
          <c:extLst>
            <c:ext xmlns:c16="http://schemas.microsoft.com/office/drawing/2014/chart" uri="{C3380CC4-5D6E-409C-BE32-E72D297353CC}">
              <c16:uniqueId val="{00000001-78EE-4419-9C28-BAA853DC6888}"/>
            </c:ext>
          </c:extLst>
        </c:ser>
        <c:dLbls>
          <c:showLegendKey val="0"/>
          <c:showVal val="0"/>
          <c:showCatName val="0"/>
          <c:showSerName val="0"/>
          <c:showPercent val="0"/>
          <c:showBubbleSize val="0"/>
        </c:dLbls>
        <c:gapWidth val="219"/>
        <c:overlap val="-27"/>
        <c:axId val="612365864"/>
        <c:axId val="612366224"/>
      </c:barChart>
      <c:catAx>
        <c:axId val="612365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Parish / Settlement</a:t>
                </a:r>
                <a:r>
                  <a:rPr lang="en-GB" baseline="0"/>
                  <a:t> Boundary</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366224"/>
        <c:crosses val="autoZero"/>
        <c:auto val="1"/>
        <c:lblAlgn val="ctr"/>
        <c:lblOffset val="100"/>
        <c:noMultiLvlLbl val="0"/>
      </c:catAx>
      <c:valAx>
        <c:axId val="612366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Density</a:t>
                </a:r>
                <a:r>
                  <a:rPr lang="en-GB" baseline="0"/>
                  <a:t> (dph)</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365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050"/>
              <a:t>Comparison of Average Existing Densities within Settlement Boundaries and within 10</a:t>
            </a:r>
            <a:r>
              <a:rPr lang="en-US" sz="1050" baseline="0"/>
              <a:t> Mins</a:t>
            </a:r>
            <a:r>
              <a:rPr lang="en-US" sz="1050"/>
              <a:t> Walking Distance of Train Stations</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Settlement Boundary</c:v>
          </c:tx>
          <c:spPr>
            <a:solidFill>
              <a:schemeClr val="accent1"/>
            </a:solidFill>
            <a:ln>
              <a:noFill/>
            </a:ln>
            <a:effectLst/>
          </c:spPr>
          <c:invertIfNegative val="0"/>
          <c:cat>
            <c:strRef>
              <c:f>Data!$A$11:$A$15</c:f>
              <c:strCache>
                <c:ptCount val="5"/>
                <c:pt idx="0">
                  <c:v>Bosham</c:v>
                </c:pt>
                <c:pt idx="1">
                  <c:v>Chichester</c:v>
                </c:pt>
                <c:pt idx="2">
                  <c:v>Fishbourne</c:v>
                </c:pt>
                <c:pt idx="3">
                  <c:v>Nutbourne </c:v>
                </c:pt>
                <c:pt idx="4">
                  <c:v>Southbourne</c:v>
                </c:pt>
              </c:strCache>
            </c:strRef>
          </c:cat>
          <c:val>
            <c:numRef>
              <c:f>Data!$F$11:$F$15</c:f>
              <c:numCache>
                <c:formatCode>General</c:formatCode>
                <c:ptCount val="5"/>
                <c:pt idx="0">
                  <c:v>27.24</c:v>
                </c:pt>
                <c:pt idx="1">
                  <c:v>21.32</c:v>
                </c:pt>
                <c:pt idx="2">
                  <c:v>21.73</c:v>
                </c:pt>
                <c:pt idx="3">
                  <c:v>18.28</c:v>
                </c:pt>
                <c:pt idx="4">
                  <c:v>23.39</c:v>
                </c:pt>
              </c:numCache>
            </c:numRef>
          </c:val>
          <c:extLst>
            <c:ext xmlns:c16="http://schemas.microsoft.com/office/drawing/2014/chart" uri="{C3380CC4-5D6E-409C-BE32-E72D297353CC}">
              <c16:uniqueId val="{00000000-3B54-4141-80FF-075C97CD164F}"/>
            </c:ext>
          </c:extLst>
        </c:ser>
        <c:ser>
          <c:idx val="1"/>
          <c:order val="1"/>
          <c:tx>
            <c:v>10 Mins Walking Distance</c:v>
          </c:tx>
          <c:spPr>
            <a:solidFill>
              <a:schemeClr val="accent2"/>
            </a:solidFill>
            <a:ln>
              <a:noFill/>
            </a:ln>
            <a:effectLst/>
          </c:spPr>
          <c:invertIfNegative val="0"/>
          <c:cat>
            <c:strRef>
              <c:f>Data!$A$11:$A$15</c:f>
              <c:strCache>
                <c:ptCount val="5"/>
                <c:pt idx="0">
                  <c:v>Bosham</c:v>
                </c:pt>
                <c:pt idx="1">
                  <c:v>Chichester</c:v>
                </c:pt>
                <c:pt idx="2">
                  <c:v>Fishbourne</c:v>
                </c:pt>
                <c:pt idx="3">
                  <c:v>Nutbourne </c:v>
                </c:pt>
                <c:pt idx="4">
                  <c:v>Southbourne</c:v>
                </c:pt>
              </c:strCache>
            </c:strRef>
          </c:cat>
          <c:val>
            <c:numRef>
              <c:f>Data!$D$11:$D$15</c:f>
              <c:numCache>
                <c:formatCode>General</c:formatCode>
                <c:ptCount val="5"/>
                <c:pt idx="0">
                  <c:v>7.51</c:v>
                </c:pt>
                <c:pt idx="1">
                  <c:v>15.35</c:v>
                </c:pt>
                <c:pt idx="2">
                  <c:v>12.27</c:v>
                </c:pt>
                <c:pt idx="3">
                  <c:v>7.02</c:v>
                </c:pt>
                <c:pt idx="4">
                  <c:v>14.15</c:v>
                </c:pt>
              </c:numCache>
            </c:numRef>
          </c:val>
          <c:extLst>
            <c:ext xmlns:c16="http://schemas.microsoft.com/office/drawing/2014/chart" uri="{C3380CC4-5D6E-409C-BE32-E72D297353CC}">
              <c16:uniqueId val="{00000001-3B54-4141-80FF-075C97CD164F}"/>
            </c:ext>
          </c:extLst>
        </c:ser>
        <c:dLbls>
          <c:showLegendKey val="0"/>
          <c:showVal val="0"/>
          <c:showCatName val="0"/>
          <c:showSerName val="0"/>
          <c:showPercent val="0"/>
          <c:showBubbleSize val="0"/>
        </c:dLbls>
        <c:gapWidth val="219"/>
        <c:overlap val="-27"/>
        <c:axId val="550416640"/>
        <c:axId val="550422040"/>
      </c:barChart>
      <c:catAx>
        <c:axId val="550416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Train Station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22040"/>
        <c:crosses val="autoZero"/>
        <c:auto val="1"/>
        <c:lblAlgn val="ctr"/>
        <c:lblOffset val="100"/>
        <c:noMultiLvlLbl val="0"/>
      </c:catAx>
      <c:valAx>
        <c:axId val="550422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Density</a:t>
                </a:r>
                <a:r>
                  <a:rPr lang="en-GB" baseline="0"/>
                  <a:t> (dph)</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1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t>Comparison of Average Existing Densities</a:t>
            </a:r>
            <a:r>
              <a:rPr lang="en-GB" sz="1050" baseline="0"/>
              <a:t> within </a:t>
            </a:r>
            <a:r>
              <a:rPr lang="en-GB" sz="1050"/>
              <a:t>Walking Distance</a:t>
            </a:r>
            <a:r>
              <a:rPr lang="en-GB" sz="1050" baseline="0"/>
              <a:t> of Chichester Train Station and Retail Centre</a:t>
            </a:r>
            <a:endParaRPr lang="en-GB"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Train Station</c:v>
          </c:tx>
          <c:spPr>
            <a:solidFill>
              <a:schemeClr val="accent1"/>
            </a:solidFill>
            <a:ln>
              <a:noFill/>
            </a:ln>
            <a:effectLst/>
          </c:spPr>
          <c:invertIfNegative val="0"/>
          <c:cat>
            <c:strRef>
              <c:f>Data!$C$24:$C$25</c:f>
              <c:strCache>
                <c:ptCount val="2"/>
                <c:pt idx="0">
                  <c:v>Within 5 mins</c:v>
                </c:pt>
                <c:pt idx="1">
                  <c:v>Within 10 Mins</c:v>
                </c:pt>
              </c:strCache>
            </c:strRef>
          </c:cat>
          <c:val>
            <c:numRef>
              <c:f>Data!$D$24:$D$25</c:f>
              <c:numCache>
                <c:formatCode>General</c:formatCode>
                <c:ptCount val="2"/>
                <c:pt idx="0">
                  <c:v>20.82</c:v>
                </c:pt>
                <c:pt idx="1">
                  <c:v>15.35</c:v>
                </c:pt>
              </c:numCache>
            </c:numRef>
          </c:val>
          <c:extLst>
            <c:ext xmlns:c16="http://schemas.microsoft.com/office/drawing/2014/chart" uri="{C3380CC4-5D6E-409C-BE32-E72D297353CC}">
              <c16:uniqueId val="{00000000-A7AC-4A48-B538-E466B9C5D933}"/>
            </c:ext>
          </c:extLst>
        </c:ser>
        <c:ser>
          <c:idx val="1"/>
          <c:order val="1"/>
          <c:tx>
            <c:v>Retail Centre</c:v>
          </c:tx>
          <c:spPr>
            <a:solidFill>
              <a:schemeClr val="accent2"/>
            </a:solidFill>
            <a:ln>
              <a:noFill/>
            </a:ln>
            <a:effectLst/>
          </c:spPr>
          <c:invertIfNegative val="0"/>
          <c:cat>
            <c:strRef>
              <c:f>Data!$C$24:$C$25</c:f>
              <c:strCache>
                <c:ptCount val="2"/>
                <c:pt idx="0">
                  <c:v>Within 5 mins</c:v>
                </c:pt>
                <c:pt idx="1">
                  <c:v>Within 10 Mins</c:v>
                </c:pt>
              </c:strCache>
            </c:strRef>
          </c:cat>
          <c:val>
            <c:numRef>
              <c:f>Data!$E$24:$E$25</c:f>
              <c:numCache>
                <c:formatCode>General</c:formatCode>
                <c:ptCount val="2"/>
                <c:pt idx="0">
                  <c:v>38.380000000000003</c:v>
                </c:pt>
                <c:pt idx="1">
                  <c:v>26.18</c:v>
                </c:pt>
              </c:numCache>
            </c:numRef>
          </c:val>
          <c:extLst>
            <c:ext xmlns:c16="http://schemas.microsoft.com/office/drawing/2014/chart" uri="{C3380CC4-5D6E-409C-BE32-E72D297353CC}">
              <c16:uniqueId val="{00000001-A7AC-4A48-B538-E466B9C5D933}"/>
            </c:ext>
          </c:extLst>
        </c:ser>
        <c:dLbls>
          <c:showLegendKey val="0"/>
          <c:showVal val="0"/>
          <c:showCatName val="0"/>
          <c:showSerName val="0"/>
          <c:showPercent val="0"/>
          <c:showBubbleSize val="0"/>
        </c:dLbls>
        <c:gapWidth val="219"/>
        <c:overlap val="-27"/>
        <c:axId val="806427080"/>
        <c:axId val="806428520"/>
      </c:barChart>
      <c:catAx>
        <c:axId val="806427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28520"/>
        <c:crosses val="autoZero"/>
        <c:auto val="1"/>
        <c:lblAlgn val="ctr"/>
        <c:lblOffset val="100"/>
        <c:noMultiLvlLbl val="0"/>
      </c:catAx>
      <c:valAx>
        <c:axId val="80642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27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Comparison</a:t>
            </a:r>
            <a:r>
              <a:rPr lang="en-GB" sz="1100" baseline="0"/>
              <a:t> of Average Net Densities for Greenfield and PDL Developments</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54-4D76-8786-93184D7E78C6}"/>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54-4D76-8786-93184D7E78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Analysis!$A$13:$A$14</c:f>
              <c:strCache>
                <c:ptCount val="2"/>
                <c:pt idx="0">
                  <c:v>Greenfield</c:v>
                </c:pt>
                <c:pt idx="1">
                  <c:v>PDL</c:v>
                </c:pt>
              </c:strCache>
            </c:strRef>
          </c:cat>
          <c:val>
            <c:numRef>
              <c:f>Analysis!$F$13:$F$14</c:f>
              <c:numCache>
                <c:formatCode>0.00</c:formatCode>
                <c:ptCount val="2"/>
                <c:pt idx="0">
                  <c:v>36.14354806983895</c:v>
                </c:pt>
                <c:pt idx="1">
                  <c:v>42.862680009314595</c:v>
                </c:pt>
              </c:numCache>
            </c:numRef>
          </c:val>
          <c:extLst>
            <c:ext xmlns:c16="http://schemas.microsoft.com/office/drawing/2014/chart" uri="{C3380CC4-5D6E-409C-BE32-E72D297353CC}">
              <c16:uniqueId val="{00000002-9654-4D76-8786-93184D7E78C6}"/>
            </c:ext>
          </c:extLst>
        </c:ser>
        <c:dLbls>
          <c:showLegendKey val="0"/>
          <c:showVal val="0"/>
          <c:showCatName val="0"/>
          <c:showSerName val="0"/>
          <c:showPercent val="0"/>
          <c:showBubbleSize val="0"/>
        </c:dLbls>
        <c:gapWidth val="219"/>
        <c:overlap val="-27"/>
        <c:axId val="828315704"/>
        <c:axId val="828313184"/>
      </c:barChart>
      <c:catAx>
        <c:axId val="828315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313184"/>
        <c:crosses val="autoZero"/>
        <c:auto val="1"/>
        <c:lblAlgn val="ctr"/>
        <c:lblOffset val="100"/>
        <c:noMultiLvlLbl val="0"/>
      </c:catAx>
      <c:valAx>
        <c:axId val="82831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Dwellings per Hectare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315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Comparison of Average Net Densities by Development Type</a:t>
            </a:r>
          </a:p>
        </c:rich>
      </c:tx>
      <c:layout>
        <c:manualLayout>
          <c:xMode val="edge"/>
          <c:yMode val="edge"/>
          <c:x val="0.19493066491688538"/>
          <c:y val="3.64782235332924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Analysis!$A$19:$A$24</c:f>
              <c:strCache>
                <c:ptCount val="6"/>
                <c:pt idx="0">
                  <c:v>Change of Use</c:v>
                </c:pt>
                <c:pt idx="1">
                  <c:v>Conversion</c:v>
                </c:pt>
                <c:pt idx="2">
                  <c:v>New Development</c:v>
                </c:pt>
                <c:pt idx="3">
                  <c:v>Residential Redev</c:v>
                </c:pt>
                <c:pt idx="4">
                  <c:v>Non-resi Redev</c:v>
                </c:pt>
                <c:pt idx="5">
                  <c:v>Subdivision</c:v>
                </c:pt>
              </c:strCache>
            </c:strRef>
          </c:cat>
          <c:val>
            <c:numRef>
              <c:f>Analysis!$F$19:$F$24</c:f>
              <c:numCache>
                <c:formatCode>0.00</c:formatCode>
                <c:ptCount val="6"/>
                <c:pt idx="0">
                  <c:v>78.267307065370332</c:v>
                </c:pt>
                <c:pt idx="1">
                  <c:v>49.626851235291511</c:v>
                </c:pt>
                <c:pt idx="2">
                  <c:v>38.477842341540239</c:v>
                </c:pt>
                <c:pt idx="3">
                  <c:v>35.932541300240011</c:v>
                </c:pt>
                <c:pt idx="4">
                  <c:v>31.709208075522813</c:v>
                </c:pt>
                <c:pt idx="5">
                  <c:v>19.894587036325568</c:v>
                </c:pt>
              </c:numCache>
            </c:numRef>
          </c:val>
          <c:extLst>
            <c:ext xmlns:c16="http://schemas.microsoft.com/office/drawing/2014/chart" uri="{C3380CC4-5D6E-409C-BE32-E72D297353CC}">
              <c16:uniqueId val="{00000000-85C5-4EFE-A632-242D257C7171}"/>
            </c:ext>
          </c:extLst>
        </c:ser>
        <c:dLbls>
          <c:showLegendKey val="0"/>
          <c:showVal val="0"/>
          <c:showCatName val="0"/>
          <c:showSerName val="0"/>
          <c:showPercent val="0"/>
          <c:showBubbleSize val="0"/>
        </c:dLbls>
        <c:gapWidth val="219"/>
        <c:overlap val="-27"/>
        <c:axId val="932525240"/>
        <c:axId val="932524160"/>
      </c:barChart>
      <c:catAx>
        <c:axId val="932525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524160"/>
        <c:crosses val="autoZero"/>
        <c:auto val="1"/>
        <c:lblAlgn val="ctr"/>
        <c:lblOffset val="100"/>
        <c:noMultiLvlLbl val="0"/>
      </c:catAx>
      <c:valAx>
        <c:axId val="932524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Dwellings per Hectare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525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Comparison</a:t>
            </a:r>
            <a:r>
              <a:rPr lang="en-GB" sz="1100" baseline="0"/>
              <a:t> of Average Net Densities and % Greenfield by Housing Mix</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Density</c:v>
          </c:tx>
          <c:spPr>
            <a:solidFill>
              <a:schemeClr val="accent1"/>
            </a:solidFill>
            <a:ln>
              <a:noFill/>
            </a:ln>
            <a:effectLst/>
          </c:spPr>
          <c:invertIfNegative val="0"/>
          <c:cat>
            <c:strRef>
              <c:f>Analysis!$A$16:$A$17</c:f>
              <c:strCache>
                <c:ptCount val="2"/>
                <c:pt idx="0">
                  <c:v>Greater than 50</c:v>
                </c:pt>
                <c:pt idx="1">
                  <c:v>50 or less</c:v>
                </c:pt>
              </c:strCache>
            </c:strRef>
          </c:cat>
          <c:val>
            <c:numRef>
              <c:f>Analysis!$F$16:$F$17</c:f>
              <c:numCache>
                <c:formatCode>0.00</c:formatCode>
                <c:ptCount val="2"/>
                <c:pt idx="0">
                  <c:v>27.794624255495307</c:v>
                </c:pt>
                <c:pt idx="1">
                  <c:v>84.266505925650335</c:v>
                </c:pt>
              </c:numCache>
            </c:numRef>
          </c:val>
          <c:extLst>
            <c:ext xmlns:c16="http://schemas.microsoft.com/office/drawing/2014/chart" uri="{C3380CC4-5D6E-409C-BE32-E72D297353CC}">
              <c16:uniqueId val="{00000000-9D60-4954-894C-271E78B0E66A}"/>
            </c:ext>
          </c:extLst>
        </c:ser>
        <c:dLbls>
          <c:showLegendKey val="0"/>
          <c:showVal val="0"/>
          <c:showCatName val="0"/>
          <c:showSerName val="0"/>
          <c:showPercent val="0"/>
          <c:showBubbleSize val="0"/>
        </c:dLbls>
        <c:gapWidth val="219"/>
        <c:axId val="459858776"/>
        <c:axId val="459855896"/>
      </c:barChart>
      <c:lineChart>
        <c:grouping val="standard"/>
        <c:varyColors val="0"/>
        <c:ser>
          <c:idx val="1"/>
          <c:order val="1"/>
          <c:tx>
            <c:v>% Greenfield</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Analysis!$I$16:$I$17</c:f>
              <c:numCache>
                <c:formatCode>General</c:formatCode>
                <c:ptCount val="2"/>
                <c:pt idx="0">
                  <c:v>37.804878048780488</c:v>
                </c:pt>
                <c:pt idx="1">
                  <c:v>20.833333333333336</c:v>
                </c:pt>
              </c:numCache>
            </c:numRef>
          </c:val>
          <c:smooth val="0"/>
          <c:extLst>
            <c:ext xmlns:c16="http://schemas.microsoft.com/office/drawing/2014/chart" uri="{C3380CC4-5D6E-409C-BE32-E72D297353CC}">
              <c16:uniqueId val="{00000001-9D60-4954-894C-271E78B0E66A}"/>
            </c:ext>
          </c:extLst>
        </c:ser>
        <c:dLbls>
          <c:showLegendKey val="0"/>
          <c:showVal val="0"/>
          <c:showCatName val="0"/>
          <c:showSerName val="0"/>
          <c:showPercent val="0"/>
          <c:showBubbleSize val="0"/>
        </c:dLbls>
        <c:marker val="1"/>
        <c:smooth val="0"/>
        <c:axId val="315534272"/>
        <c:axId val="315530672"/>
      </c:lineChart>
      <c:catAx>
        <c:axId val="459858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Houses as % of Dwelling Mix</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855896"/>
        <c:crosses val="autoZero"/>
        <c:auto val="1"/>
        <c:lblAlgn val="ctr"/>
        <c:lblOffset val="100"/>
        <c:noMultiLvlLbl val="0"/>
      </c:catAx>
      <c:valAx>
        <c:axId val="459855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Dwelling per Hectare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858776"/>
        <c:crosses val="autoZero"/>
        <c:crossBetween val="between"/>
      </c:valAx>
      <c:valAx>
        <c:axId val="3155306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534272"/>
        <c:crosses val="max"/>
        <c:crossBetween val="between"/>
      </c:valAx>
      <c:catAx>
        <c:axId val="315534272"/>
        <c:scaling>
          <c:orientation val="minMax"/>
        </c:scaling>
        <c:delete val="1"/>
        <c:axPos val="b"/>
        <c:majorTickMark val="out"/>
        <c:minorTickMark val="none"/>
        <c:tickLblPos val="nextTo"/>
        <c:crossAx val="3155306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Comparison</a:t>
            </a:r>
            <a:r>
              <a:rPr lang="en-GB" sz="1100" baseline="0"/>
              <a:t> of Average Net Densities according to Settlement Hierarchy</a:t>
            </a:r>
          </a:p>
        </c:rich>
      </c:tx>
      <c:layout>
        <c:manualLayout>
          <c:xMode val="edge"/>
          <c:yMode val="edge"/>
          <c:x val="0.1177430008748906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Analysis!$A$54:$A$57</c:f>
              <c:strCache>
                <c:ptCount val="4"/>
                <c:pt idx="0">
                  <c:v>City Centre</c:v>
                </c:pt>
                <c:pt idx="1">
                  <c:v>Settlement Hub</c:v>
                </c:pt>
                <c:pt idx="2">
                  <c:v>Service Village</c:v>
                </c:pt>
                <c:pt idx="3">
                  <c:v>Rest of Plan Area</c:v>
                </c:pt>
              </c:strCache>
            </c:strRef>
          </c:cat>
          <c:val>
            <c:numRef>
              <c:f>Analysis!$F$54:$F$57</c:f>
              <c:numCache>
                <c:formatCode>0.00</c:formatCode>
                <c:ptCount val="4"/>
                <c:pt idx="0">
                  <c:v>66.242291338180465</c:v>
                </c:pt>
                <c:pt idx="1">
                  <c:v>47.799530174574954</c:v>
                </c:pt>
                <c:pt idx="2">
                  <c:v>27.278810314079283</c:v>
                </c:pt>
                <c:pt idx="3">
                  <c:v>24.695373800955451</c:v>
                </c:pt>
              </c:numCache>
            </c:numRef>
          </c:val>
          <c:extLst>
            <c:ext xmlns:c16="http://schemas.microsoft.com/office/drawing/2014/chart" uri="{C3380CC4-5D6E-409C-BE32-E72D297353CC}">
              <c16:uniqueId val="{00000000-143D-4023-93EF-85F2D3E7CBA0}"/>
            </c:ext>
          </c:extLst>
        </c:ser>
        <c:dLbls>
          <c:showLegendKey val="0"/>
          <c:showVal val="0"/>
          <c:showCatName val="0"/>
          <c:showSerName val="0"/>
          <c:showPercent val="0"/>
          <c:showBubbleSize val="0"/>
        </c:dLbls>
        <c:gapWidth val="219"/>
        <c:overlap val="-27"/>
        <c:axId val="828310304"/>
        <c:axId val="828316424"/>
      </c:barChart>
      <c:catAx>
        <c:axId val="82831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316424"/>
        <c:crosses val="autoZero"/>
        <c:auto val="1"/>
        <c:lblAlgn val="ctr"/>
        <c:lblOffset val="100"/>
        <c:noMultiLvlLbl val="0"/>
      </c:catAx>
      <c:valAx>
        <c:axId val="82831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Dwellings per Hectare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310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Comparison</a:t>
            </a:r>
            <a:r>
              <a:rPr lang="en-GB" sz="1100" baseline="0"/>
              <a:t> of Average Net Densities and % Greenfield by Proximity to Settlement Boundaries</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Density</c:v>
          </c:tx>
          <c:spPr>
            <a:solidFill>
              <a:schemeClr val="accent1"/>
            </a:solidFill>
            <a:ln>
              <a:noFill/>
            </a:ln>
            <a:effectLst/>
          </c:spPr>
          <c:invertIfNegative val="0"/>
          <c:cat>
            <c:strRef>
              <c:f>Analysis!$A$59:$A$61</c:f>
              <c:strCache>
                <c:ptCount val="3"/>
                <c:pt idx="0">
                  <c:v>Within</c:v>
                </c:pt>
                <c:pt idx="1">
                  <c:v>Within 400m</c:v>
                </c:pt>
                <c:pt idx="2">
                  <c:v>More than 400m</c:v>
                </c:pt>
              </c:strCache>
            </c:strRef>
          </c:cat>
          <c:val>
            <c:numRef>
              <c:f>Analysis!$F$59:$F$61</c:f>
              <c:numCache>
                <c:formatCode>0.00</c:formatCode>
                <c:ptCount val="3"/>
                <c:pt idx="0">
                  <c:v>49.790766543114941</c:v>
                </c:pt>
                <c:pt idx="1">
                  <c:v>38.791807166021421</c:v>
                </c:pt>
                <c:pt idx="2">
                  <c:v>19.383896654095704</c:v>
                </c:pt>
              </c:numCache>
            </c:numRef>
          </c:val>
          <c:extLst>
            <c:ext xmlns:c16="http://schemas.microsoft.com/office/drawing/2014/chart" uri="{C3380CC4-5D6E-409C-BE32-E72D297353CC}">
              <c16:uniqueId val="{00000000-CE39-43F5-B0EA-26FB51801548}"/>
            </c:ext>
          </c:extLst>
        </c:ser>
        <c:dLbls>
          <c:showLegendKey val="0"/>
          <c:showVal val="0"/>
          <c:showCatName val="0"/>
          <c:showSerName val="0"/>
          <c:showPercent val="0"/>
          <c:showBubbleSize val="0"/>
        </c:dLbls>
        <c:gapWidth val="219"/>
        <c:axId val="459858776"/>
        <c:axId val="459855896"/>
      </c:barChart>
      <c:lineChart>
        <c:grouping val="standard"/>
        <c:varyColors val="0"/>
        <c:ser>
          <c:idx val="1"/>
          <c:order val="1"/>
          <c:tx>
            <c:v>% Greenfield</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Analysis!$I$59:$I$61</c:f>
              <c:numCache>
                <c:formatCode>General</c:formatCode>
                <c:ptCount val="3"/>
                <c:pt idx="0">
                  <c:v>28.90625</c:v>
                </c:pt>
                <c:pt idx="1">
                  <c:v>61.29032258064516</c:v>
                </c:pt>
                <c:pt idx="2">
                  <c:v>30.188679245283019</c:v>
                </c:pt>
              </c:numCache>
            </c:numRef>
          </c:val>
          <c:smooth val="0"/>
          <c:extLst>
            <c:ext xmlns:c16="http://schemas.microsoft.com/office/drawing/2014/chart" uri="{C3380CC4-5D6E-409C-BE32-E72D297353CC}">
              <c16:uniqueId val="{00000001-CE39-43F5-B0EA-26FB51801548}"/>
            </c:ext>
          </c:extLst>
        </c:ser>
        <c:dLbls>
          <c:showLegendKey val="0"/>
          <c:showVal val="0"/>
          <c:showCatName val="0"/>
          <c:showSerName val="0"/>
          <c:showPercent val="0"/>
          <c:showBubbleSize val="0"/>
        </c:dLbls>
        <c:marker val="1"/>
        <c:smooth val="0"/>
        <c:axId val="315534272"/>
        <c:axId val="315530672"/>
      </c:lineChart>
      <c:catAx>
        <c:axId val="459858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Proximity</a:t>
                </a:r>
                <a:r>
                  <a:rPr lang="en-US" baseline="0"/>
                  <a:t> to Settlement Boundary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855896"/>
        <c:crosses val="autoZero"/>
        <c:auto val="1"/>
        <c:lblAlgn val="ctr"/>
        <c:lblOffset val="100"/>
        <c:noMultiLvlLbl val="0"/>
      </c:catAx>
      <c:valAx>
        <c:axId val="459855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Dwelling per Hectare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858776"/>
        <c:crosses val="autoZero"/>
        <c:crossBetween val="between"/>
      </c:valAx>
      <c:valAx>
        <c:axId val="3155306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534272"/>
        <c:crosses val="max"/>
        <c:crossBetween val="between"/>
      </c:valAx>
      <c:catAx>
        <c:axId val="315534272"/>
        <c:scaling>
          <c:orientation val="minMax"/>
        </c:scaling>
        <c:delete val="1"/>
        <c:axPos val="b"/>
        <c:majorTickMark val="out"/>
        <c:minorTickMark val="none"/>
        <c:tickLblPos val="nextTo"/>
        <c:crossAx val="3155306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a:t>
            </a:r>
            <a:r>
              <a:rPr lang="en-GB" sz="1100"/>
              <a:t>Comparison</a:t>
            </a:r>
            <a:r>
              <a:rPr lang="en-GB" sz="1100" baseline="0"/>
              <a:t> of Average Net Densities by Proximity to Train Stations and Retail Centres</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Analysis!$A$62</c:f>
              <c:strCache>
                <c:ptCount val="1"/>
                <c:pt idx="0">
                  <c:v>Proximity to Train Station</c:v>
                </c:pt>
              </c:strCache>
            </c:strRef>
          </c:tx>
          <c:spPr>
            <a:solidFill>
              <a:schemeClr val="accent1"/>
            </a:solidFill>
            <a:ln>
              <a:noFill/>
            </a:ln>
            <a:effectLst/>
          </c:spPr>
          <c:invertIfNegative val="0"/>
          <c:cat>
            <c:strRef>
              <c:f>Analysis!$A$63:$A$65</c:f>
              <c:strCache>
                <c:ptCount val="3"/>
                <c:pt idx="0">
                  <c:v>Within 400m</c:v>
                </c:pt>
                <c:pt idx="1">
                  <c:v>Within 800m</c:v>
                </c:pt>
                <c:pt idx="2">
                  <c:v>More than 800m</c:v>
                </c:pt>
              </c:strCache>
            </c:strRef>
          </c:cat>
          <c:val>
            <c:numRef>
              <c:f>Analysis!$F$63:$F$65</c:f>
              <c:numCache>
                <c:formatCode>0.00</c:formatCode>
                <c:ptCount val="3"/>
                <c:pt idx="0">
                  <c:v>95.942469071498763</c:v>
                </c:pt>
                <c:pt idx="1">
                  <c:v>51.080428717536392</c:v>
                </c:pt>
                <c:pt idx="2">
                  <c:v>35.961532835018517</c:v>
                </c:pt>
              </c:numCache>
            </c:numRef>
          </c:val>
          <c:extLst>
            <c:ext xmlns:c16="http://schemas.microsoft.com/office/drawing/2014/chart" uri="{C3380CC4-5D6E-409C-BE32-E72D297353CC}">
              <c16:uniqueId val="{00000000-0794-4C49-B635-54C5F04D1851}"/>
            </c:ext>
          </c:extLst>
        </c:ser>
        <c:ser>
          <c:idx val="1"/>
          <c:order val="1"/>
          <c:tx>
            <c:strRef>
              <c:f>Analysis!$A$66</c:f>
              <c:strCache>
                <c:ptCount val="1"/>
                <c:pt idx="0">
                  <c:v>Proximity to Retail Centre</c:v>
                </c:pt>
              </c:strCache>
            </c:strRef>
          </c:tx>
          <c:spPr>
            <a:solidFill>
              <a:schemeClr val="accent2"/>
            </a:solidFill>
            <a:ln>
              <a:noFill/>
            </a:ln>
            <a:effectLst/>
          </c:spPr>
          <c:invertIfNegative val="0"/>
          <c:cat>
            <c:strRef>
              <c:f>Analysis!$A$63:$A$65</c:f>
              <c:strCache>
                <c:ptCount val="3"/>
                <c:pt idx="0">
                  <c:v>Within 400m</c:v>
                </c:pt>
                <c:pt idx="1">
                  <c:v>Within 800m</c:v>
                </c:pt>
                <c:pt idx="2">
                  <c:v>More than 800m</c:v>
                </c:pt>
              </c:strCache>
            </c:strRef>
          </c:cat>
          <c:val>
            <c:numRef>
              <c:f>Analysis!$G$63:$G$65</c:f>
              <c:numCache>
                <c:formatCode>0.00</c:formatCode>
                <c:ptCount val="3"/>
                <c:pt idx="0">
                  <c:v>74.469014857902778</c:v>
                </c:pt>
                <c:pt idx="1">
                  <c:v>56.244825891893171</c:v>
                </c:pt>
                <c:pt idx="2">
                  <c:v>34.114951495637982</c:v>
                </c:pt>
              </c:numCache>
            </c:numRef>
          </c:val>
          <c:extLst>
            <c:ext xmlns:c16="http://schemas.microsoft.com/office/drawing/2014/chart" uri="{C3380CC4-5D6E-409C-BE32-E72D297353CC}">
              <c16:uniqueId val="{00000001-0794-4C49-B635-54C5F04D1851}"/>
            </c:ext>
          </c:extLst>
        </c:ser>
        <c:dLbls>
          <c:showLegendKey val="0"/>
          <c:showVal val="0"/>
          <c:showCatName val="0"/>
          <c:showSerName val="0"/>
          <c:showPercent val="0"/>
          <c:showBubbleSize val="0"/>
        </c:dLbls>
        <c:gapWidth val="219"/>
        <c:overlap val="-27"/>
        <c:axId val="704620200"/>
        <c:axId val="704615160"/>
      </c:barChart>
      <c:catAx>
        <c:axId val="70462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615160"/>
        <c:crosses val="autoZero"/>
        <c:auto val="1"/>
        <c:lblAlgn val="ctr"/>
        <c:lblOffset val="100"/>
        <c:noMultiLvlLbl val="0"/>
      </c:catAx>
      <c:valAx>
        <c:axId val="704615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Dwellings per Hectare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620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 </a:t>
            </a:r>
            <a:r>
              <a:rPr lang="en-GB" sz="1100"/>
              <a:t>Comparison</a:t>
            </a:r>
            <a:r>
              <a:rPr lang="en-GB" sz="1100" baseline="0"/>
              <a:t> of Average Net Densities by Walking Time to Train Stations and Retail Centres</a:t>
            </a:r>
            <a:endParaRPr lang="en-GB" sz="1100"/>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Analysis!$A$70</c:f>
              <c:strCache>
                <c:ptCount val="1"/>
                <c:pt idx="0">
                  <c:v>Time Walking to Train Station</c:v>
                </c:pt>
              </c:strCache>
            </c:strRef>
          </c:tx>
          <c:spPr>
            <a:solidFill>
              <a:schemeClr val="accent1"/>
            </a:solidFill>
            <a:ln>
              <a:noFill/>
            </a:ln>
            <a:effectLst/>
          </c:spPr>
          <c:invertIfNegative val="0"/>
          <c:cat>
            <c:strRef>
              <c:f>Analysis!$A$71:$A$73</c:f>
              <c:strCache>
                <c:ptCount val="3"/>
                <c:pt idx="0">
                  <c:v>Within 5min</c:v>
                </c:pt>
                <c:pt idx="1">
                  <c:v>Within 10min</c:v>
                </c:pt>
                <c:pt idx="2">
                  <c:v>More than 10min</c:v>
                </c:pt>
              </c:strCache>
            </c:strRef>
          </c:cat>
          <c:val>
            <c:numRef>
              <c:f>Analysis!$F$71:$F$73</c:f>
              <c:numCache>
                <c:formatCode>0.00</c:formatCode>
                <c:ptCount val="3"/>
                <c:pt idx="0">
                  <c:v>89.519410748067344</c:v>
                </c:pt>
                <c:pt idx="1">
                  <c:v>41.942711499858525</c:v>
                </c:pt>
                <c:pt idx="2">
                  <c:v>37.405907771546481</c:v>
                </c:pt>
              </c:numCache>
            </c:numRef>
          </c:val>
          <c:extLst>
            <c:ext xmlns:c16="http://schemas.microsoft.com/office/drawing/2014/chart" uri="{C3380CC4-5D6E-409C-BE32-E72D297353CC}">
              <c16:uniqueId val="{00000000-CEB1-4B87-9B47-92203F20B993}"/>
            </c:ext>
          </c:extLst>
        </c:ser>
        <c:ser>
          <c:idx val="1"/>
          <c:order val="1"/>
          <c:tx>
            <c:strRef>
              <c:f>Analysis!$A$74</c:f>
              <c:strCache>
                <c:ptCount val="1"/>
                <c:pt idx="0">
                  <c:v>Time Walking to Retail Centre</c:v>
                </c:pt>
              </c:strCache>
            </c:strRef>
          </c:tx>
          <c:spPr>
            <a:solidFill>
              <a:schemeClr val="accent2"/>
            </a:solidFill>
            <a:ln>
              <a:noFill/>
            </a:ln>
            <a:effectLst/>
          </c:spPr>
          <c:invertIfNegative val="0"/>
          <c:cat>
            <c:strRef>
              <c:f>Analysis!$A$71:$A$73</c:f>
              <c:strCache>
                <c:ptCount val="3"/>
                <c:pt idx="0">
                  <c:v>Within 5min</c:v>
                </c:pt>
                <c:pt idx="1">
                  <c:v>Within 10min</c:v>
                </c:pt>
                <c:pt idx="2">
                  <c:v>More than 10min</c:v>
                </c:pt>
              </c:strCache>
            </c:strRef>
          </c:cat>
          <c:val>
            <c:numRef>
              <c:f>Analysis!$G$71:$G$73</c:f>
              <c:numCache>
                <c:formatCode>0.00</c:formatCode>
                <c:ptCount val="3"/>
                <c:pt idx="0">
                  <c:v>74.993657301272691</c:v>
                </c:pt>
                <c:pt idx="1">
                  <c:v>65.77453896665692</c:v>
                </c:pt>
                <c:pt idx="2">
                  <c:v>34.939721596136287</c:v>
                </c:pt>
              </c:numCache>
            </c:numRef>
          </c:val>
          <c:extLst>
            <c:ext xmlns:c16="http://schemas.microsoft.com/office/drawing/2014/chart" uri="{C3380CC4-5D6E-409C-BE32-E72D297353CC}">
              <c16:uniqueId val="{00000001-CEB1-4B87-9B47-92203F20B993}"/>
            </c:ext>
          </c:extLst>
        </c:ser>
        <c:dLbls>
          <c:showLegendKey val="0"/>
          <c:showVal val="0"/>
          <c:showCatName val="0"/>
          <c:showSerName val="0"/>
          <c:showPercent val="0"/>
          <c:showBubbleSize val="0"/>
        </c:dLbls>
        <c:gapWidth val="219"/>
        <c:overlap val="-27"/>
        <c:axId val="704620200"/>
        <c:axId val="704615160"/>
      </c:barChart>
      <c:catAx>
        <c:axId val="70462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615160"/>
        <c:crosses val="autoZero"/>
        <c:auto val="1"/>
        <c:lblAlgn val="ctr"/>
        <c:lblOffset val="100"/>
        <c:noMultiLvlLbl val="0"/>
      </c:catAx>
      <c:valAx>
        <c:axId val="704615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Dwellings per Hectare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620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a:t>
            </a:r>
            <a:r>
              <a:rPr lang="en-GB" sz="1100"/>
              <a:t>Comparison</a:t>
            </a:r>
            <a:r>
              <a:rPr lang="en-GB" sz="1100" baseline="0"/>
              <a:t> of Average Net Densities by Cycling Time to Train Stations and Retail Centres</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Analysis!$A$78</c:f>
              <c:strCache>
                <c:ptCount val="1"/>
                <c:pt idx="0">
                  <c:v>Time Cycling to Train Station</c:v>
                </c:pt>
              </c:strCache>
            </c:strRef>
          </c:tx>
          <c:spPr>
            <a:solidFill>
              <a:schemeClr val="accent1"/>
            </a:solidFill>
            <a:ln>
              <a:noFill/>
            </a:ln>
            <a:effectLst/>
          </c:spPr>
          <c:invertIfNegative val="0"/>
          <c:cat>
            <c:strRef>
              <c:f>Analysis!$A$79:$A$81</c:f>
              <c:strCache>
                <c:ptCount val="3"/>
                <c:pt idx="0">
                  <c:v>Within 5min</c:v>
                </c:pt>
                <c:pt idx="1">
                  <c:v>Within 10min</c:v>
                </c:pt>
                <c:pt idx="2">
                  <c:v>More than 10min</c:v>
                </c:pt>
              </c:strCache>
            </c:strRef>
          </c:cat>
          <c:val>
            <c:numRef>
              <c:f>Analysis!$F$79:$F$81</c:f>
              <c:numCache>
                <c:formatCode>0.00</c:formatCode>
                <c:ptCount val="3"/>
                <c:pt idx="0">
                  <c:v>48.747728657874568</c:v>
                </c:pt>
                <c:pt idx="1">
                  <c:v>52.593659089182189</c:v>
                </c:pt>
                <c:pt idx="2">
                  <c:v>31.488048974919511</c:v>
                </c:pt>
              </c:numCache>
            </c:numRef>
          </c:val>
          <c:extLst>
            <c:ext xmlns:c16="http://schemas.microsoft.com/office/drawing/2014/chart" uri="{C3380CC4-5D6E-409C-BE32-E72D297353CC}">
              <c16:uniqueId val="{00000000-51BA-48FC-96C9-D5FEB2FA320B}"/>
            </c:ext>
          </c:extLst>
        </c:ser>
        <c:ser>
          <c:idx val="1"/>
          <c:order val="1"/>
          <c:tx>
            <c:strRef>
              <c:f>Analysis!$A$82</c:f>
              <c:strCache>
                <c:ptCount val="1"/>
                <c:pt idx="0">
                  <c:v>Time Cycling to Retail Centre</c:v>
                </c:pt>
              </c:strCache>
            </c:strRef>
          </c:tx>
          <c:spPr>
            <a:solidFill>
              <a:schemeClr val="accent2"/>
            </a:solidFill>
            <a:ln>
              <a:noFill/>
            </a:ln>
            <a:effectLst/>
          </c:spPr>
          <c:invertIfNegative val="0"/>
          <c:cat>
            <c:strRef>
              <c:f>Analysis!$A$79:$A$81</c:f>
              <c:strCache>
                <c:ptCount val="3"/>
                <c:pt idx="0">
                  <c:v>Within 5min</c:v>
                </c:pt>
                <c:pt idx="1">
                  <c:v>Within 10min</c:v>
                </c:pt>
                <c:pt idx="2">
                  <c:v>More than 10min</c:v>
                </c:pt>
              </c:strCache>
            </c:strRef>
          </c:cat>
          <c:val>
            <c:numRef>
              <c:f>Analysis!$G$79:$G$81</c:f>
              <c:numCache>
                <c:formatCode>0.00</c:formatCode>
                <c:ptCount val="3"/>
                <c:pt idx="0">
                  <c:v>66.523813314032722</c:v>
                </c:pt>
                <c:pt idx="1">
                  <c:v>52.298801286396312</c:v>
                </c:pt>
                <c:pt idx="2">
                  <c:v>25.097862101709627</c:v>
                </c:pt>
              </c:numCache>
            </c:numRef>
          </c:val>
          <c:extLst>
            <c:ext xmlns:c16="http://schemas.microsoft.com/office/drawing/2014/chart" uri="{C3380CC4-5D6E-409C-BE32-E72D297353CC}">
              <c16:uniqueId val="{00000001-51BA-48FC-96C9-D5FEB2FA320B}"/>
            </c:ext>
          </c:extLst>
        </c:ser>
        <c:dLbls>
          <c:showLegendKey val="0"/>
          <c:showVal val="0"/>
          <c:showCatName val="0"/>
          <c:showSerName val="0"/>
          <c:showPercent val="0"/>
          <c:showBubbleSize val="0"/>
        </c:dLbls>
        <c:gapWidth val="219"/>
        <c:overlap val="-27"/>
        <c:axId val="704620200"/>
        <c:axId val="704615160"/>
      </c:barChart>
      <c:catAx>
        <c:axId val="70462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615160"/>
        <c:crosses val="autoZero"/>
        <c:auto val="1"/>
        <c:lblAlgn val="ctr"/>
        <c:lblOffset val="100"/>
        <c:noMultiLvlLbl val="0"/>
      </c:catAx>
      <c:valAx>
        <c:axId val="704615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Dwellings per Hectare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620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F1C76-561E-426E-A401-3C8786D0F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20</Pages>
  <Words>6512</Words>
  <Characters>37122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Rushmer</dc:creator>
  <cp:keywords/>
  <dc:description/>
  <cp:lastModifiedBy>Louise Brace</cp:lastModifiedBy>
  <cp:revision>6</cp:revision>
  <dcterms:created xsi:type="dcterms:W3CDTF">2024-04-12T10:24:00Z</dcterms:created>
  <dcterms:modified xsi:type="dcterms:W3CDTF">2024-04-16T10:14:00Z</dcterms:modified>
</cp:coreProperties>
</file>