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2BA71" w14:textId="2D0A7E68" w:rsidR="00072E06" w:rsidRPr="00072E06" w:rsidRDefault="00072E06" w:rsidP="006753E0">
      <w:pPr>
        <w:pStyle w:val="Heading1"/>
        <w:jc w:val="both"/>
      </w:pPr>
      <w:r>
        <w:t>Appendix D: Density Case Studies</w:t>
      </w:r>
      <w:r w:rsidR="00D34C64">
        <w:t xml:space="preserve"> Narratives</w:t>
      </w:r>
    </w:p>
    <w:p w14:paraId="6903F875" w14:textId="77777777" w:rsidR="00072E06" w:rsidRPr="00072E06" w:rsidRDefault="00072E06" w:rsidP="006753E0">
      <w:pPr>
        <w:jc w:val="both"/>
      </w:pPr>
    </w:p>
    <w:p w14:paraId="266CF972" w14:textId="7F35DF65" w:rsidR="00072E06" w:rsidRDefault="0058663C" w:rsidP="006753E0">
      <w:pPr>
        <w:pStyle w:val="Caption"/>
        <w:keepNext/>
        <w:jc w:val="both"/>
      </w:pPr>
      <w:r>
        <w:t xml:space="preserve">Table D1: </w:t>
      </w:r>
      <w:r w:rsidR="00072E06">
        <w:t>Summary of Cases and Headline Findings</w:t>
      </w:r>
    </w:p>
    <w:tbl>
      <w:tblPr>
        <w:tblStyle w:val="TableGrid"/>
        <w:tblW w:w="5000" w:type="pct"/>
        <w:tblLook w:val="04A0" w:firstRow="1" w:lastRow="0" w:firstColumn="1" w:lastColumn="0" w:noHBand="0" w:noVBand="1"/>
      </w:tblPr>
      <w:tblGrid>
        <w:gridCol w:w="1850"/>
        <w:gridCol w:w="1590"/>
        <w:gridCol w:w="1247"/>
        <w:gridCol w:w="985"/>
        <w:gridCol w:w="1205"/>
        <w:gridCol w:w="1177"/>
        <w:gridCol w:w="1342"/>
        <w:gridCol w:w="1068"/>
        <w:gridCol w:w="904"/>
        <w:gridCol w:w="1414"/>
        <w:gridCol w:w="1166"/>
      </w:tblGrid>
      <w:tr w:rsidR="00072E06" w:rsidRPr="003C37CB" w14:paraId="03ED7775" w14:textId="77777777" w:rsidTr="003C37CB">
        <w:tc>
          <w:tcPr>
            <w:tcW w:w="663" w:type="pct"/>
          </w:tcPr>
          <w:p w14:paraId="1D58FABE" w14:textId="77777777"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Site Address</w:t>
            </w:r>
          </w:p>
        </w:tc>
        <w:tc>
          <w:tcPr>
            <w:tcW w:w="570" w:type="pct"/>
          </w:tcPr>
          <w:p w14:paraId="799805C4" w14:textId="383A29F5"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App. No.</w:t>
            </w:r>
          </w:p>
        </w:tc>
        <w:tc>
          <w:tcPr>
            <w:tcW w:w="447" w:type="pct"/>
          </w:tcPr>
          <w:p w14:paraId="582219A0" w14:textId="77777777"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Parish</w:t>
            </w:r>
          </w:p>
        </w:tc>
        <w:tc>
          <w:tcPr>
            <w:tcW w:w="353" w:type="pct"/>
          </w:tcPr>
          <w:p w14:paraId="2F3DFED8" w14:textId="77777777"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Dev. Scale</w:t>
            </w:r>
          </w:p>
        </w:tc>
        <w:tc>
          <w:tcPr>
            <w:tcW w:w="432" w:type="pct"/>
          </w:tcPr>
          <w:p w14:paraId="786677A3" w14:textId="77777777"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No. of Dwellings</w:t>
            </w:r>
          </w:p>
        </w:tc>
        <w:tc>
          <w:tcPr>
            <w:tcW w:w="422" w:type="pct"/>
          </w:tcPr>
          <w:p w14:paraId="7B043BB4" w14:textId="77777777"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Greenfield / PDL</w:t>
            </w:r>
          </w:p>
        </w:tc>
        <w:tc>
          <w:tcPr>
            <w:tcW w:w="481" w:type="pct"/>
          </w:tcPr>
          <w:p w14:paraId="6C7368F7" w14:textId="42264263"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Calculated Net Density (</w:t>
            </w:r>
            <w:proofErr w:type="spellStart"/>
            <w:r w:rsidRPr="003C37CB">
              <w:rPr>
                <w:rFonts w:ascii="Arial" w:hAnsi="Arial" w:cs="Arial"/>
                <w:b/>
                <w:bCs/>
                <w:sz w:val="18"/>
                <w:szCs w:val="18"/>
              </w:rPr>
              <w:t>dph</w:t>
            </w:r>
            <w:proofErr w:type="spellEnd"/>
            <w:r w:rsidRPr="003C37CB">
              <w:rPr>
                <w:rFonts w:ascii="Arial" w:hAnsi="Arial" w:cs="Arial"/>
                <w:b/>
                <w:bCs/>
                <w:sz w:val="18"/>
                <w:szCs w:val="18"/>
              </w:rPr>
              <w:t>)</w:t>
            </w:r>
          </w:p>
        </w:tc>
        <w:tc>
          <w:tcPr>
            <w:tcW w:w="383" w:type="pct"/>
          </w:tcPr>
          <w:p w14:paraId="04034F3A" w14:textId="4759FD7A"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Stated Net Density (</w:t>
            </w:r>
            <w:proofErr w:type="spellStart"/>
            <w:r w:rsidRPr="003C37CB">
              <w:rPr>
                <w:rFonts w:ascii="Arial" w:hAnsi="Arial" w:cs="Arial"/>
                <w:b/>
                <w:bCs/>
                <w:sz w:val="18"/>
                <w:szCs w:val="18"/>
              </w:rPr>
              <w:t>dph</w:t>
            </w:r>
            <w:proofErr w:type="spellEnd"/>
            <w:r w:rsidRPr="003C37CB">
              <w:rPr>
                <w:rFonts w:ascii="Arial" w:hAnsi="Arial" w:cs="Arial"/>
                <w:b/>
                <w:bCs/>
                <w:sz w:val="18"/>
                <w:szCs w:val="18"/>
              </w:rPr>
              <w:t>)</w:t>
            </w:r>
          </w:p>
        </w:tc>
        <w:tc>
          <w:tcPr>
            <w:tcW w:w="324" w:type="pct"/>
          </w:tcPr>
          <w:p w14:paraId="4D8D03FD" w14:textId="5A90FAEE"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NDSS Met?</w:t>
            </w:r>
          </w:p>
        </w:tc>
        <w:tc>
          <w:tcPr>
            <w:tcW w:w="507" w:type="pct"/>
          </w:tcPr>
          <w:p w14:paraId="228EC03F" w14:textId="7ADEB9DB"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Proximity to Settlement Boundary</w:t>
            </w:r>
          </w:p>
        </w:tc>
        <w:tc>
          <w:tcPr>
            <w:tcW w:w="418" w:type="pct"/>
          </w:tcPr>
          <w:p w14:paraId="5971F5BF" w14:textId="2513F845" w:rsidR="004D6010" w:rsidRPr="003C37CB" w:rsidRDefault="004D6010" w:rsidP="006753E0">
            <w:pPr>
              <w:jc w:val="both"/>
              <w:rPr>
                <w:rFonts w:ascii="Arial" w:hAnsi="Arial" w:cs="Arial"/>
                <w:b/>
                <w:bCs/>
                <w:sz w:val="18"/>
                <w:szCs w:val="18"/>
              </w:rPr>
            </w:pPr>
            <w:r w:rsidRPr="003C37CB">
              <w:rPr>
                <w:rFonts w:ascii="Arial" w:hAnsi="Arial" w:cs="Arial"/>
                <w:b/>
                <w:bCs/>
                <w:sz w:val="18"/>
                <w:szCs w:val="18"/>
              </w:rPr>
              <w:t>Walking Time to Train Station</w:t>
            </w:r>
          </w:p>
        </w:tc>
      </w:tr>
      <w:tr w:rsidR="00072E06" w:rsidRPr="003C37CB" w14:paraId="7EFFFB81" w14:textId="77777777" w:rsidTr="003C37CB">
        <w:tc>
          <w:tcPr>
            <w:tcW w:w="663" w:type="pct"/>
          </w:tcPr>
          <w:p w14:paraId="480C7987" w14:textId="663EEBFB" w:rsidR="004D6010" w:rsidRPr="003C37CB" w:rsidRDefault="004D6010" w:rsidP="006753E0">
            <w:pPr>
              <w:jc w:val="both"/>
              <w:rPr>
                <w:rFonts w:ascii="Arial" w:hAnsi="Arial" w:cs="Arial"/>
                <w:sz w:val="18"/>
                <w:szCs w:val="18"/>
              </w:rPr>
            </w:pPr>
            <w:r w:rsidRPr="003C37CB">
              <w:rPr>
                <w:rFonts w:ascii="Arial" w:hAnsi="Arial" w:cs="Arial"/>
                <w:sz w:val="18"/>
                <w:szCs w:val="18"/>
              </w:rPr>
              <w:t>19 Southgate</w:t>
            </w:r>
          </w:p>
        </w:tc>
        <w:tc>
          <w:tcPr>
            <w:tcW w:w="570" w:type="pct"/>
          </w:tcPr>
          <w:p w14:paraId="4D3B1C30" w14:textId="0AF6B84E" w:rsidR="004D6010" w:rsidRPr="003C37CB" w:rsidRDefault="004D6010" w:rsidP="006753E0">
            <w:pPr>
              <w:jc w:val="both"/>
              <w:rPr>
                <w:rFonts w:ascii="Arial" w:hAnsi="Arial" w:cs="Arial"/>
                <w:sz w:val="18"/>
                <w:szCs w:val="18"/>
              </w:rPr>
            </w:pPr>
            <w:r w:rsidRPr="003C37CB">
              <w:rPr>
                <w:rFonts w:ascii="Arial" w:hAnsi="Arial" w:cs="Arial"/>
                <w:sz w:val="18"/>
                <w:szCs w:val="18"/>
              </w:rPr>
              <w:t>17/03136/FUL / 18/01761/FUL</w:t>
            </w:r>
          </w:p>
          <w:p w14:paraId="58D5AE50" w14:textId="188D190B" w:rsidR="004D6010" w:rsidRPr="003C37CB" w:rsidRDefault="004D6010" w:rsidP="006753E0">
            <w:pPr>
              <w:jc w:val="both"/>
              <w:rPr>
                <w:rFonts w:ascii="Arial" w:hAnsi="Arial" w:cs="Arial"/>
                <w:sz w:val="18"/>
                <w:szCs w:val="18"/>
              </w:rPr>
            </w:pPr>
            <w:r w:rsidRPr="003C37CB">
              <w:rPr>
                <w:rFonts w:ascii="Arial" w:hAnsi="Arial" w:cs="Arial"/>
                <w:sz w:val="18"/>
                <w:szCs w:val="18"/>
              </w:rPr>
              <w:t>&amp;</w:t>
            </w:r>
          </w:p>
          <w:p w14:paraId="219F0876" w14:textId="1F023959" w:rsidR="004D6010" w:rsidRPr="003C37CB" w:rsidRDefault="004D6010" w:rsidP="006753E0">
            <w:pPr>
              <w:jc w:val="both"/>
              <w:rPr>
                <w:rFonts w:ascii="Arial" w:hAnsi="Arial" w:cs="Arial"/>
                <w:sz w:val="18"/>
                <w:szCs w:val="18"/>
              </w:rPr>
            </w:pPr>
            <w:r w:rsidRPr="003C37CB">
              <w:rPr>
                <w:rFonts w:ascii="Arial" w:hAnsi="Arial" w:cs="Arial"/>
                <w:sz w:val="18"/>
                <w:szCs w:val="18"/>
              </w:rPr>
              <w:t>19/01682/FUL</w:t>
            </w:r>
          </w:p>
        </w:tc>
        <w:tc>
          <w:tcPr>
            <w:tcW w:w="447" w:type="pct"/>
          </w:tcPr>
          <w:p w14:paraId="6D14573A"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Chichester</w:t>
            </w:r>
          </w:p>
        </w:tc>
        <w:tc>
          <w:tcPr>
            <w:tcW w:w="353" w:type="pct"/>
          </w:tcPr>
          <w:p w14:paraId="40634D66" w14:textId="10AD432A" w:rsidR="004D6010" w:rsidRPr="003C37CB" w:rsidRDefault="004D6010" w:rsidP="006753E0">
            <w:pPr>
              <w:jc w:val="both"/>
              <w:rPr>
                <w:rFonts w:ascii="Arial" w:hAnsi="Arial" w:cs="Arial"/>
                <w:sz w:val="18"/>
                <w:szCs w:val="18"/>
              </w:rPr>
            </w:pPr>
            <w:r w:rsidRPr="003C37CB">
              <w:rPr>
                <w:rFonts w:ascii="Arial" w:hAnsi="Arial" w:cs="Arial"/>
                <w:sz w:val="18"/>
                <w:szCs w:val="18"/>
              </w:rPr>
              <w:t>Small &amp; Small</w:t>
            </w:r>
          </w:p>
        </w:tc>
        <w:tc>
          <w:tcPr>
            <w:tcW w:w="432" w:type="pct"/>
          </w:tcPr>
          <w:p w14:paraId="3C9D0950" w14:textId="41AD4C5F" w:rsidR="004D6010" w:rsidRPr="003C37CB" w:rsidRDefault="004D6010" w:rsidP="006753E0">
            <w:pPr>
              <w:jc w:val="both"/>
              <w:rPr>
                <w:rFonts w:ascii="Arial" w:hAnsi="Arial" w:cs="Arial"/>
                <w:sz w:val="18"/>
                <w:szCs w:val="18"/>
              </w:rPr>
            </w:pPr>
            <w:r w:rsidRPr="003C37CB">
              <w:rPr>
                <w:rFonts w:ascii="Arial" w:hAnsi="Arial" w:cs="Arial"/>
                <w:sz w:val="18"/>
                <w:szCs w:val="18"/>
              </w:rPr>
              <w:t>9 (4 flats) and 6 (6 flats)</w:t>
            </w:r>
          </w:p>
        </w:tc>
        <w:tc>
          <w:tcPr>
            <w:tcW w:w="422" w:type="pct"/>
          </w:tcPr>
          <w:p w14:paraId="5F6BEFCA"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PDL</w:t>
            </w:r>
          </w:p>
        </w:tc>
        <w:tc>
          <w:tcPr>
            <w:tcW w:w="481" w:type="pct"/>
          </w:tcPr>
          <w:p w14:paraId="4ADAFCDC" w14:textId="0B3789DE" w:rsidR="004D6010" w:rsidRPr="003C37CB" w:rsidRDefault="004D6010" w:rsidP="006753E0">
            <w:pPr>
              <w:jc w:val="both"/>
              <w:rPr>
                <w:rFonts w:ascii="Arial" w:hAnsi="Arial" w:cs="Arial"/>
                <w:sz w:val="18"/>
                <w:szCs w:val="18"/>
              </w:rPr>
            </w:pPr>
            <w:r w:rsidRPr="003C37CB">
              <w:rPr>
                <w:rFonts w:ascii="Arial" w:hAnsi="Arial" w:cs="Arial"/>
                <w:sz w:val="18"/>
                <w:szCs w:val="18"/>
              </w:rPr>
              <w:t>151 &amp; 88</w:t>
            </w:r>
          </w:p>
        </w:tc>
        <w:tc>
          <w:tcPr>
            <w:tcW w:w="383" w:type="pct"/>
          </w:tcPr>
          <w:p w14:paraId="2821023B" w14:textId="5B4F0DAB" w:rsidR="004D6010" w:rsidRPr="003C37CB" w:rsidRDefault="004D6010" w:rsidP="006753E0">
            <w:pPr>
              <w:jc w:val="both"/>
              <w:rPr>
                <w:rFonts w:ascii="Arial" w:hAnsi="Arial" w:cs="Arial"/>
                <w:sz w:val="18"/>
                <w:szCs w:val="18"/>
              </w:rPr>
            </w:pPr>
            <w:r w:rsidRPr="003C37CB">
              <w:rPr>
                <w:rFonts w:ascii="Arial" w:hAnsi="Arial" w:cs="Arial"/>
                <w:sz w:val="18"/>
                <w:szCs w:val="18"/>
              </w:rPr>
              <w:t>N/A</w:t>
            </w:r>
          </w:p>
        </w:tc>
        <w:tc>
          <w:tcPr>
            <w:tcW w:w="324" w:type="pct"/>
          </w:tcPr>
          <w:p w14:paraId="41E244C4" w14:textId="2E4EA44C" w:rsidR="004D6010" w:rsidRPr="003C37CB" w:rsidRDefault="004D6010" w:rsidP="006753E0">
            <w:pPr>
              <w:jc w:val="both"/>
              <w:rPr>
                <w:rFonts w:ascii="Arial" w:hAnsi="Arial" w:cs="Arial"/>
                <w:sz w:val="18"/>
                <w:szCs w:val="18"/>
              </w:rPr>
            </w:pPr>
            <w:r w:rsidRPr="003C37CB">
              <w:rPr>
                <w:rFonts w:ascii="Arial" w:hAnsi="Arial" w:cs="Arial"/>
                <w:sz w:val="18"/>
                <w:szCs w:val="18"/>
              </w:rPr>
              <w:t>Partially</w:t>
            </w:r>
          </w:p>
        </w:tc>
        <w:tc>
          <w:tcPr>
            <w:tcW w:w="507" w:type="pct"/>
          </w:tcPr>
          <w:p w14:paraId="4E237404" w14:textId="35DEDD73" w:rsidR="004D6010" w:rsidRPr="003C37CB" w:rsidRDefault="004D6010" w:rsidP="006753E0">
            <w:pPr>
              <w:jc w:val="both"/>
              <w:rPr>
                <w:rFonts w:ascii="Arial" w:hAnsi="Arial" w:cs="Arial"/>
                <w:sz w:val="18"/>
                <w:szCs w:val="18"/>
              </w:rPr>
            </w:pPr>
            <w:r w:rsidRPr="003C37CB">
              <w:rPr>
                <w:rFonts w:ascii="Arial" w:hAnsi="Arial" w:cs="Arial"/>
                <w:sz w:val="18"/>
                <w:szCs w:val="18"/>
              </w:rPr>
              <w:t>Within</w:t>
            </w:r>
          </w:p>
        </w:tc>
        <w:tc>
          <w:tcPr>
            <w:tcW w:w="418" w:type="pct"/>
          </w:tcPr>
          <w:p w14:paraId="41268D1A"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Within 5 mins</w:t>
            </w:r>
          </w:p>
        </w:tc>
      </w:tr>
      <w:tr w:rsidR="00072E06" w:rsidRPr="003C37CB" w14:paraId="3E7E3B69" w14:textId="77777777" w:rsidTr="003C37CB">
        <w:trPr>
          <w:trHeight w:val="826"/>
        </w:trPr>
        <w:tc>
          <w:tcPr>
            <w:tcW w:w="663" w:type="pct"/>
          </w:tcPr>
          <w:p w14:paraId="3D6074A1" w14:textId="20F52C84" w:rsidR="004D6010" w:rsidRPr="003C37CB" w:rsidRDefault="004D6010" w:rsidP="006753E0">
            <w:pPr>
              <w:jc w:val="both"/>
              <w:rPr>
                <w:rFonts w:ascii="Arial" w:hAnsi="Arial" w:cs="Arial"/>
                <w:sz w:val="18"/>
                <w:szCs w:val="18"/>
              </w:rPr>
            </w:pPr>
            <w:r w:rsidRPr="003C37CB">
              <w:rPr>
                <w:rFonts w:ascii="Arial" w:hAnsi="Arial" w:cs="Arial"/>
                <w:sz w:val="18"/>
                <w:szCs w:val="18"/>
              </w:rPr>
              <w:t>Graylingwell Hospital (Phase 9a)</w:t>
            </w:r>
          </w:p>
        </w:tc>
        <w:tc>
          <w:tcPr>
            <w:tcW w:w="570" w:type="pct"/>
          </w:tcPr>
          <w:p w14:paraId="38672C91" w14:textId="06330C46" w:rsidR="004D6010" w:rsidRPr="003C37CB" w:rsidRDefault="004D6010" w:rsidP="006753E0">
            <w:pPr>
              <w:jc w:val="both"/>
              <w:rPr>
                <w:rFonts w:ascii="Arial" w:hAnsi="Arial" w:cs="Arial"/>
                <w:sz w:val="18"/>
                <w:szCs w:val="18"/>
              </w:rPr>
            </w:pPr>
            <w:r w:rsidRPr="003C37CB">
              <w:rPr>
                <w:rFonts w:ascii="Arial" w:hAnsi="Arial" w:cs="Arial"/>
                <w:sz w:val="18"/>
                <w:szCs w:val="18"/>
              </w:rPr>
              <w:t>20/02905/REM</w:t>
            </w:r>
          </w:p>
        </w:tc>
        <w:tc>
          <w:tcPr>
            <w:tcW w:w="447" w:type="pct"/>
          </w:tcPr>
          <w:p w14:paraId="5BC46949"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Chichester</w:t>
            </w:r>
          </w:p>
          <w:p w14:paraId="6925759D" w14:textId="0C9F5700" w:rsidR="004D6010" w:rsidRPr="003C37CB" w:rsidRDefault="004D6010" w:rsidP="006753E0">
            <w:pPr>
              <w:jc w:val="both"/>
              <w:rPr>
                <w:rFonts w:ascii="Arial" w:hAnsi="Arial" w:cs="Arial"/>
                <w:sz w:val="18"/>
                <w:szCs w:val="18"/>
              </w:rPr>
            </w:pPr>
          </w:p>
        </w:tc>
        <w:tc>
          <w:tcPr>
            <w:tcW w:w="353" w:type="pct"/>
          </w:tcPr>
          <w:p w14:paraId="5D1DF80D" w14:textId="3809E8C4" w:rsidR="004D6010" w:rsidRPr="003C37CB" w:rsidRDefault="004D6010" w:rsidP="006753E0">
            <w:pPr>
              <w:jc w:val="both"/>
              <w:rPr>
                <w:rFonts w:ascii="Arial" w:hAnsi="Arial" w:cs="Arial"/>
                <w:sz w:val="18"/>
                <w:szCs w:val="18"/>
              </w:rPr>
            </w:pPr>
            <w:r w:rsidRPr="003C37CB">
              <w:rPr>
                <w:rFonts w:ascii="Arial" w:hAnsi="Arial" w:cs="Arial"/>
                <w:sz w:val="18"/>
                <w:szCs w:val="18"/>
              </w:rPr>
              <w:t>Strategic</w:t>
            </w:r>
          </w:p>
        </w:tc>
        <w:tc>
          <w:tcPr>
            <w:tcW w:w="432" w:type="pct"/>
          </w:tcPr>
          <w:p w14:paraId="61C1F9C4" w14:textId="3C05F8F8" w:rsidR="004D6010" w:rsidRPr="003C37CB" w:rsidRDefault="004D6010" w:rsidP="006753E0">
            <w:pPr>
              <w:jc w:val="both"/>
              <w:rPr>
                <w:rFonts w:ascii="Arial" w:hAnsi="Arial" w:cs="Arial"/>
                <w:sz w:val="18"/>
                <w:szCs w:val="18"/>
              </w:rPr>
            </w:pPr>
            <w:r w:rsidRPr="003C37CB">
              <w:rPr>
                <w:rFonts w:ascii="Arial" w:hAnsi="Arial" w:cs="Arial"/>
                <w:sz w:val="18"/>
                <w:szCs w:val="18"/>
              </w:rPr>
              <w:t>106 (44 flats)</w:t>
            </w:r>
          </w:p>
        </w:tc>
        <w:tc>
          <w:tcPr>
            <w:tcW w:w="422" w:type="pct"/>
          </w:tcPr>
          <w:p w14:paraId="6ED7B3C8" w14:textId="0D9544A9" w:rsidR="004D6010" w:rsidRPr="003C37CB" w:rsidRDefault="004D6010" w:rsidP="006753E0">
            <w:pPr>
              <w:jc w:val="both"/>
              <w:rPr>
                <w:rFonts w:ascii="Arial" w:hAnsi="Arial" w:cs="Arial"/>
                <w:sz w:val="18"/>
                <w:szCs w:val="18"/>
              </w:rPr>
            </w:pPr>
            <w:r w:rsidRPr="003C37CB">
              <w:rPr>
                <w:rFonts w:ascii="Arial" w:hAnsi="Arial" w:cs="Arial"/>
                <w:sz w:val="18"/>
                <w:szCs w:val="18"/>
              </w:rPr>
              <w:t>Greenfield</w:t>
            </w:r>
          </w:p>
          <w:p w14:paraId="7C1660FE" w14:textId="57D94F60" w:rsidR="004D6010" w:rsidRPr="003C37CB" w:rsidRDefault="004D6010" w:rsidP="006753E0">
            <w:pPr>
              <w:jc w:val="both"/>
              <w:rPr>
                <w:rFonts w:ascii="Arial" w:hAnsi="Arial" w:cs="Arial"/>
                <w:sz w:val="18"/>
                <w:szCs w:val="18"/>
              </w:rPr>
            </w:pPr>
          </w:p>
        </w:tc>
        <w:tc>
          <w:tcPr>
            <w:tcW w:w="481" w:type="pct"/>
          </w:tcPr>
          <w:p w14:paraId="0193DBCD" w14:textId="11441FCC" w:rsidR="004D6010" w:rsidRPr="003C37CB" w:rsidRDefault="004D6010" w:rsidP="006753E0">
            <w:pPr>
              <w:jc w:val="both"/>
              <w:rPr>
                <w:rFonts w:ascii="Arial" w:hAnsi="Arial" w:cs="Arial"/>
                <w:sz w:val="18"/>
                <w:szCs w:val="18"/>
              </w:rPr>
            </w:pPr>
            <w:r w:rsidRPr="003C37CB">
              <w:rPr>
                <w:rFonts w:ascii="Arial" w:hAnsi="Arial" w:cs="Arial"/>
                <w:sz w:val="18"/>
                <w:szCs w:val="18"/>
              </w:rPr>
              <w:t>48</w:t>
            </w:r>
          </w:p>
        </w:tc>
        <w:tc>
          <w:tcPr>
            <w:tcW w:w="383" w:type="pct"/>
          </w:tcPr>
          <w:p w14:paraId="063EE9A7" w14:textId="6E531E78" w:rsidR="004D6010" w:rsidRPr="003C37CB" w:rsidRDefault="004D6010" w:rsidP="006753E0">
            <w:pPr>
              <w:jc w:val="both"/>
              <w:rPr>
                <w:rFonts w:ascii="Arial" w:hAnsi="Arial" w:cs="Arial"/>
                <w:sz w:val="18"/>
                <w:szCs w:val="18"/>
              </w:rPr>
            </w:pPr>
            <w:r w:rsidRPr="003C37CB">
              <w:rPr>
                <w:rFonts w:ascii="Arial" w:hAnsi="Arial" w:cs="Arial"/>
                <w:sz w:val="18"/>
                <w:szCs w:val="18"/>
              </w:rPr>
              <w:t>45</w:t>
            </w:r>
          </w:p>
        </w:tc>
        <w:tc>
          <w:tcPr>
            <w:tcW w:w="324" w:type="pct"/>
          </w:tcPr>
          <w:p w14:paraId="4168C8A6" w14:textId="489D6BA7" w:rsidR="004D6010" w:rsidRPr="003C37CB" w:rsidRDefault="004D6010" w:rsidP="006753E0">
            <w:pPr>
              <w:jc w:val="both"/>
              <w:rPr>
                <w:rFonts w:ascii="Arial" w:hAnsi="Arial" w:cs="Arial"/>
                <w:sz w:val="18"/>
                <w:szCs w:val="18"/>
              </w:rPr>
            </w:pPr>
            <w:r w:rsidRPr="003C37CB">
              <w:rPr>
                <w:rFonts w:ascii="Arial" w:hAnsi="Arial" w:cs="Arial"/>
                <w:sz w:val="18"/>
                <w:szCs w:val="18"/>
              </w:rPr>
              <w:t>Partially</w:t>
            </w:r>
          </w:p>
        </w:tc>
        <w:tc>
          <w:tcPr>
            <w:tcW w:w="507" w:type="pct"/>
          </w:tcPr>
          <w:p w14:paraId="2063EDC3" w14:textId="2074F1B1" w:rsidR="004D6010" w:rsidRPr="003C37CB" w:rsidRDefault="004D6010" w:rsidP="006753E0">
            <w:pPr>
              <w:jc w:val="both"/>
              <w:rPr>
                <w:rFonts w:ascii="Arial" w:hAnsi="Arial" w:cs="Arial"/>
                <w:sz w:val="18"/>
                <w:szCs w:val="18"/>
              </w:rPr>
            </w:pPr>
            <w:r w:rsidRPr="003C37CB">
              <w:rPr>
                <w:rFonts w:ascii="Arial" w:hAnsi="Arial" w:cs="Arial"/>
                <w:sz w:val="18"/>
                <w:szCs w:val="18"/>
              </w:rPr>
              <w:t>Within</w:t>
            </w:r>
          </w:p>
        </w:tc>
        <w:tc>
          <w:tcPr>
            <w:tcW w:w="418" w:type="pct"/>
          </w:tcPr>
          <w:p w14:paraId="34A524B6" w14:textId="3664F2BC" w:rsidR="004D6010" w:rsidRPr="003C37CB" w:rsidRDefault="004D6010" w:rsidP="006753E0">
            <w:pPr>
              <w:jc w:val="both"/>
              <w:rPr>
                <w:rFonts w:ascii="Arial" w:hAnsi="Arial" w:cs="Arial"/>
                <w:sz w:val="18"/>
                <w:szCs w:val="18"/>
              </w:rPr>
            </w:pPr>
            <w:r w:rsidRPr="003C37CB">
              <w:rPr>
                <w:rFonts w:ascii="Arial" w:hAnsi="Arial" w:cs="Arial"/>
                <w:sz w:val="18"/>
                <w:szCs w:val="18"/>
              </w:rPr>
              <w:t>More than 10 mins</w:t>
            </w:r>
          </w:p>
        </w:tc>
      </w:tr>
      <w:tr w:rsidR="00072E06" w:rsidRPr="003C37CB" w14:paraId="7398F6DD" w14:textId="77777777" w:rsidTr="003C37CB">
        <w:trPr>
          <w:trHeight w:val="826"/>
        </w:trPr>
        <w:tc>
          <w:tcPr>
            <w:tcW w:w="663" w:type="pct"/>
          </w:tcPr>
          <w:p w14:paraId="45292581" w14:textId="1C69C306" w:rsidR="004D6010" w:rsidRPr="003C37CB" w:rsidRDefault="004D6010" w:rsidP="006753E0">
            <w:pPr>
              <w:jc w:val="both"/>
              <w:rPr>
                <w:rFonts w:ascii="Arial" w:hAnsi="Arial" w:cs="Arial"/>
                <w:sz w:val="18"/>
                <w:szCs w:val="18"/>
              </w:rPr>
            </w:pPr>
            <w:r w:rsidRPr="003C37CB">
              <w:rPr>
                <w:rFonts w:ascii="Arial" w:hAnsi="Arial" w:cs="Arial"/>
                <w:sz w:val="18"/>
                <w:szCs w:val="18"/>
              </w:rPr>
              <w:t xml:space="preserve">Land South of Graylingwell Drive </w:t>
            </w:r>
          </w:p>
        </w:tc>
        <w:tc>
          <w:tcPr>
            <w:tcW w:w="570" w:type="pct"/>
          </w:tcPr>
          <w:p w14:paraId="5690AF70" w14:textId="6683FCF2" w:rsidR="004D6010" w:rsidRPr="003C37CB" w:rsidRDefault="004D6010" w:rsidP="006753E0">
            <w:pPr>
              <w:jc w:val="both"/>
              <w:rPr>
                <w:rFonts w:ascii="Arial" w:hAnsi="Arial" w:cs="Arial"/>
                <w:sz w:val="18"/>
                <w:szCs w:val="18"/>
              </w:rPr>
            </w:pPr>
            <w:r w:rsidRPr="003C37CB">
              <w:rPr>
                <w:rFonts w:ascii="Arial" w:hAnsi="Arial" w:cs="Arial"/>
                <w:sz w:val="18"/>
                <w:szCs w:val="18"/>
              </w:rPr>
              <w:t>17/02571/REM</w:t>
            </w:r>
          </w:p>
        </w:tc>
        <w:tc>
          <w:tcPr>
            <w:tcW w:w="447" w:type="pct"/>
          </w:tcPr>
          <w:p w14:paraId="07A732E8" w14:textId="25B26902" w:rsidR="004D6010" w:rsidRPr="003C37CB" w:rsidRDefault="004D6010" w:rsidP="006753E0">
            <w:pPr>
              <w:jc w:val="both"/>
              <w:rPr>
                <w:rFonts w:ascii="Arial" w:hAnsi="Arial" w:cs="Arial"/>
                <w:sz w:val="18"/>
                <w:szCs w:val="18"/>
              </w:rPr>
            </w:pPr>
            <w:r w:rsidRPr="003C37CB">
              <w:rPr>
                <w:rFonts w:ascii="Arial" w:hAnsi="Arial" w:cs="Arial"/>
                <w:sz w:val="18"/>
                <w:szCs w:val="18"/>
              </w:rPr>
              <w:t>Chichester</w:t>
            </w:r>
          </w:p>
        </w:tc>
        <w:tc>
          <w:tcPr>
            <w:tcW w:w="353" w:type="pct"/>
          </w:tcPr>
          <w:p w14:paraId="3458B23E" w14:textId="1145AF7B" w:rsidR="004D6010" w:rsidRPr="003C37CB" w:rsidRDefault="004D6010" w:rsidP="006753E0">
            <w:pPr>
              <w:jc w:val="both"/>
              <w:rPr>
                <w:rFonts w:ascii="Arial" w:hAnsi="Arial" w:cs="Arial"/>
                <w:sz w:val="18"/>
                <w:szCs w:val="18"/>
              </w:rPr>
            </w:pPr>
            <w:r w:rsidRPr="003C37CB">
              <w:rPr>
                <w:rFonts w:ascii="Arial" w:hAnsi="Arial" w:cs="Arial"/>
                <w:sz w:val="18"/>
                <w:szCs w:val="18"/>
              </w:rPr>
              <w:t>Strategic</w:t>
            </w:r>
          </w:p>
        </w:tc>
        <w:tc>
          <w:tcPr>
            <w:tcW w:w="432" w:type="pct"/>
          </w:tcPr>
          <w:p w14:paraId="49BAC4B2" w14:textId="73C7C164" w:rsidR="004D6010" w:rsidRPr="003C37CB" w:rsidRDefault="004D6010" w:rsidP="006753E0">
            <w:pPr>
              <w:jc w:val="both"/>
              <w:rPr>
                <w:rFonts w:ascii="Arial" w:hAnsi="Arial" w:cs="Arial"/>
                <w:sz w:val="18"/>
                <w:szCs w:val="18"/>
              </w:rPr>
            </w:pPr>
            <w:r w:rsidRPr="003C37CB">
              <w:rPr>
                <w:rFonts w:ascii="Arial" w:hAnsi="Arial" w:cs="Arial"/>
                <w:sz w:val="18"/>
                <w:szCs w:val="18"/>
              </w:rPr>
              <w:t>160 (48 flats)</w:t>
            </w:r>
          </w:p>
        </w:tc>
        <w:tc>
          <w:tcPr>
            <w:tcW w:w="422" w:type="pct"/>
          </w:tcPr>
          <w:p w14:paraId="1D18C824" w14:textId="34E56C35" w:rsidR="004D6010" w:rsidRPr="003C37CB" w:rsidRDefault="004D6010" w:rsidP="006753E0">
            <w:pPr>
              <w:jc w:val="both"/>
              <w:rPr>
                <w:rFonts w:ascii="Arial" w:hAnsi="Arial" w:cs="Arial"/>
                <w:sz w:val="18"/>
                <w:szCs w:val="18"/>
              </w:rPr>
            </w:pPr>
            <w:r w:rsidRPr="003C37CB">
              <w:rPr>
                <w:rFonts w:ascii="Arial" w:hAnsi="Arial" w:cs="Arial"/>
                <w:sz w:val="18"/>
                <w:szCs w:val="18"/>
              </w:rPr>
              <w:t>PDL</w:t>
            </w:r>
          </w:p>
        </w:tc>
        <w:tc>
          <w:tcPr>
            <w:tcW w:w="481" w:type="pct"/>
          </w:tcPr>
          <w:p w14:paraId="5AC2E0FF" w14:textId="38B64053" w:rsidR="004D6010" w:rsidRPr="003C37CB" w:rsidRDefault="004D6010" w:rsidP="006753E0">
            <w:pPr>
              <w:jc w:val="both"/>
              <w:rPr>
                <w:rFonts w:ascii="Arial" w:hAnsi="Arial" w:cs="Arial"/>
                <w:sz w:val="18"/>
                <w:szCs w:val="18"/>
              </w:rPr>
            </w:pPr>
            <w:r w:rsidRPr="003C37CB">
              <w:rPr>
                <w:rFonts w:ascii="Arial" w:hAnsi="Arial" w:cs="Arial"/>
                <w:sz w:val="18"/>
                <w:szCs w:val="18"/>
              </w:rPr>
              <w:t>32</w:t>
            </w:r>
          </w:p>
        </w:tc>
        <w:tc>
          <w:tcPr>
            <w:tcW w:w="383" w:type="pct"/>
          </w:tcPr>
          <w:p w14:paraId="013E8144" w14:textId="09BECE0A" w:rsidR="004D6010" w:rsidRPr="003C37CB" w:rsidRDefault="004D6010" w:rsidP="006753E0">
            <w:pPr>
              <w:jc w:val="both"/>
              <w:rPr>
                <w:rFonts w:ascii="Arial" w:hAnsi="Arial" w:cs="Arial"/>
                <w:sz w:val="18"/>
                <w:szCs w:val="18"/>
              </w:rPr>
            </w:pPr>
            <w:r w:rsidRPr="003C37CB">
              <w:rPr>
                <w:rFonts w:ascii="Arial" w:hAnsi="Arial" w:cs="Arial"/>
                <w:sz w:val="18"/>
                <w:szCs w:val="18"/>
              </w:rPr>
              <w:t>35</w:t>
            </w:r>
          </w:p>
        </w:tc>
        <w:tc>
          <w:tcPr>
            <w:tcW w:w="324" w:type="pct"/>
          </w:tcPr>
          <w:p w14:paraId="0232E164" w14:textId="5FDE823F" w:rsidR="004D6010" w:rsidRPr="003C37CB" w:rsidRDefault="004D6010" w:rsidP="006753E0">
            <w:pPr>
              <w:jc w:val="both"/>
              <w:rPr>
                <w:rFonts w:ascii="Arial" w:hAnsi="Arial" w:cs="Arial"/>
                <w:sz w:val="18"/>
                <w:szCs w:val="18"/>
              </w:rPr>
            </w:pPr>
            <w:r w:rsidRPr="003C37CB">
              <w:rPr>
                <w:rFonts w:ascii="Arial" w:hAnsi="Arial" w:cs="Arial"/>
                <w:sz w:val="18"/>
                <w:szCs w:val="18"/>
              </w:rPr>
              <w:t>Yes</w:t>
            </w:r>
          </w:p>
        </w:tc>
        <w:tc>
          <w:tcPr>
            <w:tcW w:w="507" w:type="pct"/>
          </w:tcPr>
          <w:p w14:paraId="55F1AD06" w14:textId="6BE66EBB" w:rsidR="004D6010" w:rsidRPr="003C37CB" w:rsidRDefault="004D6010" w:rsidP="006753E0">
            <w:pPr>
              <w:jc w:val="both"/>
              <w:rPr>
                <w:rFonts w:ascii="Arial" w:hAnsi="Arial" w:cs="Arial"/>
                <w:sz w:val="18"/>
                <w:szCs w:val="18"/>
              </w:rPr>
            </w:pPr>
            <w:r w:rsidRPr="003C37CB">
              <w:rPr>
                <w:rFonts w:ascii="Arial" w:hAnsi="Arial" w:cs="Arial"/>
                <w:sz w:val="18"/>
                <w:szCs w:val="18"/>
              </w:rPr>
              <w:t>Within</w:t>
            </w:r>
          </w:p>
        </w:tc>
        <w:tc>
          <w:tcPr>
            <w:tcW w:w="418" w:type="pct"/>
          </w:tcPr>
          <w:p w14:paraId="3387962C" w14:textId="4268F5EA" w:rsidR="004D6010" w:rsidRPr="003C37CB" w:rsidRDefault="004D6010" w:rsidP="006753E0">
            <w:pPr>
              <w:jc w:val="both"/>
              <w:rPr>
                <w:rFonts w:ascii="Arial" w:hAnsi="Arial" w:cs="Arial"/>
                <w:sz w:val="18"/>
                <w:szCs w:val="18"/>
              </w:rPr>
            </w:pPr>
            <w:r w:rsidRPr="003C37CB">
              <w:rPr>
                <w:rFonts w:ascii="Arial" w:hAnsi="Arial" w:cs="Arial"/>
                <w:sz w:val="18"/>
                <w:szCs w:val="18"/>
              </w:rPr>
              <w:t>More than 10 mins</w:t>
            </w:r>
          </w:p>
        </w:tc>
      </w:tr>
      <w:tr w:rsidR="00072E06" w:rsidRPr="003C37CB" w14:paraId="0D02B6D2" w14:textId="77777777" w:rsidTr="003C37CB">
        <w:trPr>
          <w:trHeight w:val="1090"/>
        </w:trPr>
        <w:tc>
          <w:tcPr>
            <w:tcW w:w="663" w:type="pct"/>
          </w:tcPr>
          <w:p w14:paraId="0BBA12D0" w14:textId="61F650F0" w:rsidR="004D6010" w:rsidRPr="003C37CB" w:rsidRDefault="004D6010" w:rsidP="006753E0">
            <w:pPr>
              <w:jc w:val="both"/>
              <w:rPr>
                <w:rFonts w:ascii="Arial" w:hAnsi="Arial" w:cs="Arial"/>
                <w:sz w:val="18"/>
                <w:szCs w:val="18"/>
              </w:rPr>
            </w:pPr>
            <w:r w:rsidRPr="003C37CB">
              <w:rPr>
                <w:rFonts w:ascii="Arial" w:hAnsi="Arial" w:cs="Arial"/>
                <w:sz w:val="18"/>
                <w:szCs w:val="18"/>
              </w:rPr>
              <w:t xml:space="preserve">Land West of Centurion Way and West of Old </w:t>
            </w:r>
            <w:proofErr w:type="spellStart"/>
            <w:r w:rsidRPr="003C37CB">
              <w:rPr>
                <w:rFonts w:ascii="Arial" w:hAnsi="Arial" w:cs="Arial"/>
                <w:sz w:val="18"/>
                <w:szCs w:val="18"/>
              </w:rPr>
              <w:t>Broyle</w:t>
            </w:r>
            <w:proofErr w:type="spellEnd"/>
            <w:r w:rsidRPr="003C37CB">
              <w:rPr>
                <w:rFonts w:ascii="Arial" w:hAnsi="Arial" w:cs="Arial"/>
                <w:sz w:val="18"/>
                <w:szCs w:val="18"/>
              </w:rPr>
              <w:t xml:space="preserve"> Road (Phase 2B)</w:t>
            </w:r>
          </w:p>
        </w:tc>
        <w:tc>
          <w:tcPr>
            <w:tcW w:w="570" w:type="pct"/>
          </w:tcPr>
          <w:p w14:paraId="7C706151" w14:textId="02E227EF" w:rsidR="004D6010" w:rsidRPr="003C37CB" w:rsidRDefault="004D6010" w:rsidP="006753E0">
            <w:pPr>
              <w:jc w:val="both"/>
              <w:rPr>
                <w:rFonts w:ascii="Arial" w:hAnsi="Arial" w:cs="Arial"/>
                <w:sz w:val="18"/>
                <w:szCs w:val="18"/>
              </w:rPr>
            </w:pPr>
            <w:r w:rsidRPr="003C37CB">
              <w:rPr>
                <w:rFonts w:ascii="Arial" w:hAnsi="Arial" w:cs="Arial"/>
                <w:sz w:val="18"/>
                <w:szCs w:val="18"/>
              </w:rPr>
              <w:t>19/01531/REM</w:t>
            </w:r>
          </w:p>
        </w:tc>
        <w:tc>
          <w:tcPr>
            <w:tcW w:w="447" w:type="pct"/>
          </w:tcPr>
          <w:p w14:paraId="7E52639F"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Chichester</w:t>
            </w:r>
          </w:p>
        </w:tc>
        <w:tc>
          <w:tcPr>
            <w:tcW w:w="353" w:type="pct"/>
          </w:tcPr>
          <w:p w14:paraId="39C4CD10" w14:textId="356488A9" w:rsidR="004D6010" w:rsidRPr="003C37CB" w:rsidRDefault="004D6010" w:rsidP="006753E0">
            <w:pPr>
              <w:jc w:val="both"/>
              <w:rPr>
                <w:rFonts w:ascii="Arial" w:hAnsi="Arial" w:cs="Arial"/>
                <w:sz w:val="18"/>
                <w:szCs w:val="18"/>
              </w:rPr>
            </w:pPr>
            <w:r w:rsidRPr="003C37CB">
              <w:rPr>
                <w:rFonts w:ascii="Arial" w:hAnsi="Arial" w:cs="Arial"/>
                <w:sz w:val="18"/>
                <w:szCs w:val="18"/>
              </w:rPr>
              <w:t>Strategic</w:t>
            </w:r>
          </w:p>
        </w:tc>
        <w:tc>
          <w:tcPr>
            <w:tcW w:w="432" w:type="pct"/>
          </w:tcPr>
          <w:p w14:paraId="4DFBB3DB" w14:textId="1F1D6BD2" w:rsidR="004D6010" w:rsidRPr="003C37CB" w:rsidRDefault="004D6010" w:rsidP="006753E0">
            <w:pPr>
              <w:jc w:val="both"/>
              <w:rPr>
                <w:rFonts w:ascii="Arial" w:hAnsi="Arial" w:cs="Arial"/>
                <w:sz w:val="18"/>
                <w:szCs w:val="18"/>
              </w:rPr>
            </w:pPr>
            <w:r w:rsidRPr="003C37CB">
              <w:rPr>
                <w:rFonts w:ascii="Arial" w:hAnsi="Arial" w:cs="Arial"/>
                <w:sz w:val="18"/>
                <w:szCs w:val="18"/>
              </w:rPr>
              <w:t>91</w:t>
            </w:r>
          </w:p>
        </w:tc>
        <w:tc>
          <w:tcPr>
            <w:tcW w:w="422" w:type="pct"/>
          </w:tcPr>
          <w:p w14:paraId="5DCA59FE"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Greenfield</w:t>
            </w:r>
          </w:p>
        </w:tc>
        <w:tc>
          <w:tcPr>
            <w:tcW w:w="481" w:type="pct"/>
          </w:tcPr>
          <w:p w14:paraId="36EB41E3" w14:textId="54FB9924" w:rsidR="004D6010" w:rsidRPr="003C37CB" w:rsidRDefault="004D6010" w:rsidP="006753E0">
            <w:pPr>
              <w:jc w:val="both"/>
              <w:rPr>
                <w:rFonts w:ascii="Arial" w:hAnsi="Arial" w:cs="Arial"/>
                <w:sz w:val="18"/>
                <w:szCs w:val="18"/>
              </w:rPr>
            </w:pPr>
            <w:r w:rsidRPr="003C37CB">
              <w:rPr>
                <w:rFonts w:ascii="Arial" w:hAnsi="Arial" w:cs="Arial"/>
                <w:sz w:val="18"/>
                <w:szCs w:val="18"/>
              </w:rPr>
              <w:t>39</w:t>
            </w:r>
          </w:p>
        </w:tc>
        <w:tc>
          <w:tcPr>
            <w:tcW w:w="383" w:type="pct"/>
          </w:tcPr>
          <w:p w14:paraId="410C48C7" w14:textId="083378E0" w:rsidR="004D6010" w:rsidRPr="003C37CB" w:rsidRDefault="004D6010" w:rsidP="006753E0">
            <w:pPr>
              <w:jc w:val="both"/>
              <w:rPr>
                <w:rFonts w:ascii="Arial" w:hAnsi="Arial" w:cs="Arial"/>
                <w:sz w:val="18"/>
                <w:szCs w:val="18"/>
              </w:rPr>
            </w:pPr>
            <w:r w:rsidRPr="003C37CB">
              <w:rPr>
                <w:rFonts w:ascii="Arial" w:hAnsi="Arial" w:cs="Arial"/>
                <w:sz w:val="18"/>
                <w:szCs w:val="18"/>
              </w:rPr>
              <w:t>31.5 / 34</w:t>
            </w:r>
          </w:p>
        </w:tc>
        <w:tc>
          <w:tcPr>
            <w:tcW w:w="324" w:type="pct"/>
          </w:tcPr>
          <w:p w14:paraId="38F37022" w14:textId="1FB0FA93" w:rsidR="004D6010" w:rsidRPr="003C37CB" w:rsidRDefault="004D6010" w:rsidP="006753E0">
            <w:pPr>
              <w:jc w:val="both"/>
              <w:rPr>
                <w:rFonts w:ascii="Arial" w:hAnsi="Arial" w:cs="Arial"/>
                <w:sz w:val="18"/>
                <w:szCs w:val="18"/>
              </w:rPr>
            </w:pPr>
            <w:r w:rsidRPr="003C37CB">
              <w:rPr>
                <w:rFonts w:ascii="Arial" w:hAnsi="Arial" w:cs="Arial"/>
                <w:sz w:val="18"/>
                <w:szCs w:val="18"/>
              </w:rPr>
              <w:t>Partially</w:t>
            </w:r>
          </w:p>
        </w:tc>
        <w:tc>
          <w:tcPr>
            <w:tcW w:w="507" w:type="pct"/>
          </w:tcPr>
          <w:p w14:paraId="7A4B686B" w14:textId="74FD6AB4" w:rsidR="004D6010" w:rsidRPr="003C37CB" w:rsidRDefault="004D6010" w:rsidP="006753E0">
            <w:pPr>
              <w:jc w:val="both"/>
              <w:rPr>
                <w:rFonts w:ascii="Arial" w:hAnsi="Arial" w:cs="Arial"/>
                <w:sz w:val="18"/>
                <w:szCs w:val="18"/>
              </w:rPr>
            </w:pPr>
            <w:r w:rsidRPr="003C37CB">
              <w:rPr>
                <w:rFonts w:ascii="Arial" w:hAnsi="Arial" w:cs="Arial"/>
                <w:sz w:val="18"/>
                <w:szCs w:val="18"/>
              </w:rPr>
              <w:t>Within 400m</w:t>
            </w:r>
          </w:p>
        </w:tc>
        <w:tc>
          <w:tcPr>
            <w:tcW w:w="418" w:type="pct"/>
          </w:tcPr>
          <w:p w14:paraId="39F1D199" w14:textId="68D9F9AB" w:rsidR="004D6010" w:rsidRPr="003C37CB" w:rsidRDefault="004D6010" w:rsidP="006753E0">
            <w:pPr>
              <w:jc w:val="both"/>
              <w:rPr>
                <w:rFonts w:ascii="Arial" w:hAnsi="Arial" w:cs="Arial"/>
                <w:sz w:val="18"/>
                <w:szCs w:val="18"/>
              </w:rPr>
            </w:pPr>
            <w:r w:rsidRPr="003C37CB">
              <w:rPr>
                <w:rFonts w:ascii="Arial" w:hAnsi="Arial" w:cs="Arial"/>
                <w:sz w:val="18"/>
                <w:szCs w:val="18"/>
              </w:rPr>
              <w:t>More than 10 mins</w:t>
            </w:r>
          </w:p>
        </w:tc>
      </w:tr>
      <w:tr w:rsidR="00072E06" w:rsidRPr="003C37CB" w14:paraId="3E078297" w14:textId="77777777" w:rsidTr="003C37CB">
        <w:trPr>
          <w:trHeight w:val="1090"/>
        </w:trPr>
        <w:tc>
          <w:tcPr>
            <w:tcW w:w="663" w:type="pct"/>
          </w:tcPr>
          <w:p w14:paraId="7BA5AC0C" w14:textId="5F54545F" w:rsidR="004D6010" w:rsidRPr="003C37CB" w:rsidRDefault="004D6010" w:rsidP="006753E0">
            <w:pPr>
              <w:jc w:val="both"/>
              <w:rPr>
                <w:rFonts w:ascii="Arial" w:hAnsi="Arial" w:cs="Arial"/>
                <w:sz w:val="18"/>
                <w:szCs w:val="18"/>
              </w:rPr>
            </w:pPr>
            <w:r w:rsidRPr="003C37CB">
              <w:rPr>
                <w:rFonts w:ascii="Arial" w:hAnsi="Arial" w:cs="Arial"/>
                <w:sz w:val="18"/>
                <w:szCs w:val="18"/>
              </w:rPr>
              <w:t>Land on the West Side of Boyle Road (Phase 3D)</w:t>
            </w:r>
          </w:p>
        </w:tc>
        <w:tc>
          <w:tcPr>
            <w:tcW w:w="570" w:type="pct"/>
          </w:tcPr>
          <w:p w14:paraId="1DC63169" w14:textId="4361FD36" w:rsidR="004D6010" w:rsidRPr="003C37CB" w:rsidRDefault="004D6010" w:rsidP="006753E0">
            <w:pPr>
              <w:jc w:val="both"/>
              <w:rPr>
                <w:rFonts w:ascii="Arial" w:hAnsi="Arial" w:cs="Arial"/>
                <w:sz w:val="18"/>
                <w:szCs w:val="18"/>
              </w:rPr>
            </w:pPr>
            <w:r w:rsidRPr="003C37CB">
              <w:rPr>
                <w:rFonts w:ascii="Arial" w:hAnsi="Arial" w:cs="Arial"/>
                <w:sz w:val="18"/>
                <w:szCs w:val="18"/>
              </w:rPr>
              <w:t>19/02626/REM</w:t>
            </w:r>
          </w:p>
        </w:tc>
        <w:tc>
          <w:tcPr>
            <w:tcW w:w="447" w:type="pct"/>
          </w:tcPr>
          <w:p w14:paraId="57625618" w14:textId="71A5E6F7" w:rsidR="004D6010" w:rsidRPr="003C37CB" w:rsidRDefault="004D6010" w:rsidP="006753E0">
            <w:pPr>
              <w:jc w:val="both"/>
              <w:rPr>
                <w:rFonts w:ascii="Arial" w:hAnsi="Arial" w:cs="Arial"/>
                <w:sz w:val="18"/>
                <w:szCs w:val="18"/>
              </w:rPr>
            </w:pPr>
            <w:r w:rsidRPr="003C37CB">
              <w:rPr>
                <w:rFonts w:ascii="Arial" w:hAnsi="Arial" w:cs="Arial"/>
                <w:sz w:val="18"/>
                <w:szCs w:val="18"/>
              </w:rPr>
              <w:t>Chichester</w:t>
            </w:r>
          </w:p>
        </w:tc>
        <w:tc>
          <w:tcPr>
            <w:tcW w:w="353" w:type="pct"/>
          </w:tcPr>
          <w:p w14:paraId="728DC576" w14:textId="636D4B04" w:rsidR="004D6010" w:rsidRPr="003C37CB" w:rsidRDefault="004D6010" w:rsidP="006753E0">
            <w:pPr>
              <w:jc w:val="both"/>
              <w:rPr>
                <w:rFonts w:ascii="Arial" w:hAnsi="Arial" w:cs="Arial"/>
                <w:sz w:val="18"/>
                <w:szCs w:val="18"/>
              </w:rPr>
            </w:pPr>
            <w:r w:rsidRPr="003C37CB">
              <w:rPr>
                <w:rFonts w:ascii="Arial" w:hAnsi="Arial" w:cs="Arial"/>
                <w:sz w:val="18"/>
                <w:szCs w:val="18"/>
              </w:rPr>
              <w:t>Strategic</w:t>
            </w:r>
          </w:p>
        </w:tc>
        <w:tc>
          <w:tcPr>
            <w:tcW w:w="432" w:type="pct"/>
          </w:tcPr>
          <w:p w14:paraId="43DD2B8A" w14:textId="118334DF" w:rsidR="004D6010" w:rsidRPr="003C37CB" w:rsidRDefault="004D6010" w:rsidP="006753E0">
            <w:pPr>
              <w:jc w:val="both"/>
              <w:rPr>
                <w:rFonts w:ascii="Arial" w:hAnsi="Arial" w:cs="Arial"/>
                <w:sz w:val="18"/>
                <w:szCs w:val="18"/>
              </w:rPr>
            </w:pPr>
            <w:r w:rsidRPr="003C37CB">
              <w:rPr>
                <w:rFonts w:ascii="Arial" w:hAnsi="Arial" w:cs="Arial"/>
                <w:sz w:val="18"/>
                <w:szCs w:val="18"/>
              </w:rPr>
              <w:t>29 (9 flats)</w:t>
            </w:r>
          </w:p>
        </w:tc>
        <w:tc>
          <w:tcPr>
            <w:tcW w:w="422" w:type="pct"/>
          </w:tcPr>
          <w:p w14:paraId="16DC27B9" w14:textId="271CDB31" w:rsidR="004D6010" w:rsidRPr="003C37CB" w:rsidRDefault="004D6010" w:rsidP="006753E0">
            <w:pPr>
              <w:jc w:val="both"/>
              <w:rPr>
                <w:rFonts w:ascii="Arial" w:hAnsi="Arial" w:cs="Arial"/>
                <w:sz w:val="18"/>
                <w:szCs w:val="18"/>
              </w:rPr>
            </w:pPr>
            <w:r w:rsidRPr="003C37CB">
              <w:rPr>
                <w:rFonts w:ascii="Arial" w:hAnsi="Arial" w:cs="Arial"/>
                <w:sz w:val="18"/>
                <w:szCs w:val="18"/>
              </w:rPr>
              <w:t>Greenfield</w:t>
            </w:r>
          </w:p>
        </w:tc>
        <w:tc>
          <w:tcPr>
            <w:tcW w:w="481" w:type="pct"/>
          </w:tcPr>
          <w:p w14:paraId="16ECAED7" w14:textId="2F33307B" w:rsidR="004D6010" w:rsidRPr="003C37CB" w:rsidRDefault="004D6010" w:rsidP="006753E0">
            <w:pPr>
              <w:jc w:val="both"/>
              <w:rPr>
                <w:rFonts w:ascii="Arial" w:hAnsi="Arial" w:cs="Arial"/>
                <w:sz w:val="18"/>
                <w:szCs w:val="18"/>
              </w:rPr>
            </w:pPr>
            <w:r w:rsidRPr="003C37CB">
              <w:rPr>
                <w:rFonts w:ascii="Arial" w:hAnsi="Arial" w:cs="Arial"/>
                <w:sz w:val="18"/>
                <w:szCs w:val="18"/>
              </w:rPr>
              <w:t>46</w:t>
            </w:r>
          </w:p>
        </w:tc>
        <w:tc>
          <w:tcPr>
            <w:tcW w:w="383" w:type="pct"/>
          </w:tcPr>
          <w:p w14:paraId="10FC1E4A" w14:textId="35F64CA6" w:rsidR="004D6010" w:rsidRPr="003C37CB" w:rsidRDefault="004D6010" w:rsidP="006753E0">
            <w:pPr>
              <w:jc w:val="both"/>
              <w:rPr>
                <w:rFonts w:ascii="Arial" w:hAnsi="Arial" w:cs="Arial"/>
                <w:sz w:val="18"/>
                <w:szCs w:val="18"/>
              </w:rPr>
            </w:pPr>
            <w:r w:rsidRPr="003C37CB">
              <w:rPr>
                <w:rFonts w:ascii="Arial" w:hAnsi="Arial" w:cs="Arial"/>
                <w:sz w:val="18"/>
                <w:szCs w:val="18"/>
              </w:rPr>
              <w:t>39</w:t>
            </w:r>
          </w:p>
        </w:tc>
        <w:tc>
          <w:tcPr>
            <w:tcW w:w="324" w:type="pct"/>
          </w:tcPr>
          <w:p w14:paraId="1907DE1E" w14:textId="1611DB9B" w:rsidR="004D6010" w:rsidRPr="003C37CB" w:rsidRDefault="004D6010" w:rsidP="006753E0">
            <w:pPr>
              <w:jc w:val="both"/>
              <w:rPr>
                <w:rFonts w:ascii="Arial" w:hAnsi="Arial" w:cs="Arial"/>
                <w:sz w:val="18"/>
                <w:szCs w:val="18"/>
              </w:rPr>
            </w:pPr>
            <w:r w:rsidRPr="003C37CB">
              <w:rPr>
                <w:rFonts w:ascii="Arial" w:hAnsi="Arial" w:cs="Arial"/>
                <w:sz w:val="18"/>
                <w:szCs w:val="18"/>
              </w:rPr>
              <w:t>Partially</w:t>
            </w:r>
          </w:p>
        </w:tc>
        <w:tc>
          <w:tcPr>
            <w:tcW w:w="507" w:type="pct"/>
          </w:tcPr>
          <w:p w14:paraId="3322A87E" w14:textId="6E2192C1" w:rsidR="004D6010" w:rsidRPr="003C37CB" w:rsidRDefault="004D6010" w:rsidP="006753E0">
            <w:pPr>
              <w:jc w:val="both"/>
              <w:rPr>
                <w:rFonts w:ascii="Arial" w:hAnsi="Arial" w:cs="Arial"/>
                <w:sz w:val="18"/>
                <w:szCs w:val="18"/>
              </w:rPr>
            </w:pPr>
            <w:r w:rsidRPr="003C37CB">
              <w:rPr>
                <w:rFonts w:ascii="Arial" w:hAnsi="Arial" w:cs="Arial"/>
                <w:sz w:val="18"/>
                <w:szCs w:val="18"/>
              </w:rPr>
              <w:t>Within 400m</w:t>
            </w:r>
          </w:p>
        </w:tc>
        <w:tc>
          <w:tcPr>
            <w:tcW w:w="418" w:type="pct"/>
          </w:tcPr>
          <w:p w14:paraId="53A6B8AC" w14:textId="21C74815" w:rsidR="004D6010" w:rsidRPr="003C37CB" w:rsidRDefault="004D6010" w:rsidP="006753E0">
            <w:pPr>
              <w:jc w:val="both"/>
              <w:rPr>
                <w:rFonts w:ascii="Arial" w:hAnsi="Arial" w:cs="Arial"/>
                <w:sz w:val="18"/>
                <w:szCs w:val="18"/>
              </w:rPr>
            </w:pPr>
            <w:r w:rsidRPr="003C37CB">
              <w:rPr>
                <w:rFonts w:ascii="Arial" w:hAnsi="Arial" w:cs="Arial"/>
                <w:sz w:val="18"/>
                <w:szCs w:val="18"/>
              </w:rPr>
              <w:t>More than 10 mins</w:t>
            </w:r>
          </w:p>
        </w:tc>
      </w:tr>
      <w:tr w:rsidR="00072E06" w:rsidRPr="003C37CB" w14:paraId="0BFE571B" w14:textId="77777777" w:rsidTr="003C37CB">
        <w:trPr>
          <w:trHeight w:val="826"/>
        </w:trPr>
        <w:tc>
          <w:tcPr>
            <w:tcW w:w="663" w:type="pct"/>
          </w:tcPr>
          <w:p w14:paraId="49A33FD2" w14:textId="43520ABD" w:rsidR="004D6010" w:rsidRPr="003C37CB" w:rsidRDefault="004D6010" w:rsidP="006753E0">
            <w:pPr>
              <w:jc w:val="both"/>
              <w:rPr>
                <w:rFonts w:ascii="Arial" w:hAnsi="Arial" w:cs="Arial"/>
                <w:sz w:val="18"/>
                <w:szCs w:val="18"/>
              </w:rPr>
            </w:pPr>
            <w:r w:rsidRPr="003C37CB">
              <w:rPr>
                <w:rFonts w:ascii="Arial" w:hAnsi="Arial" w:cs="Arial"/>
                <w:sz w:val="18"/>
                <w:szCs w:val="18"/>
              </w:rPr>
              <w:t>49-51 Fishbourne Road</w:t>
            </w:r>
          </w:p>
        </w:tc>
        <w:tc>
          <w:tcPr>
            <w:tcW w:w="570" w:type="pct"/>
          </w:tcPr>
          <w:p w14:paraId="16D424F2" w14:textId="7F19059A" w:rsidR="004D6010" w:rsidRPr="003C37CB" w:rsidRDefault="004D6010" w:rsidP="006753E0">
            <w:pPr>
              <w:jc w:val="both"/>
              <w:rPr>
                <w:rFonts w:ascii="Arial" w:hAnsi="Arial" w:cs="Arial"/>
                <w:sz w:val="18"/>
                <w:szCs w:val="18"/>
              </w:rPr>
            </w:pPr>
            <w:r w:rsidRPr="003C37CB">
              <w:rPr>
                <w:rFonts w:ascii="Arial" w:hAnsi="Arial" w:cs="Arial"/>
                <w:sz w:val="18"/>
                <w:szCs w:val="18"/>
              </w:rPr>
              <w:t>17/01287/FUL</w:t>
            </w:r>
          </w:p>
        </w:tc>
        <w:tc>
          <w:tcPr>
            <w:tcW w:w="447" w:type="pct"/>
          </w:tcPr>
          <w:p w14:paraId="639A2098" w14:textId="636FEEE0" w:rsidR="004D6010" w:rsidRPr="003C37CB" w:rsidRDefault="004D6010" w:rsidP="006753E0">
            <w:pPr>
              <w:jc w:val="both"/>
              <w:rPr>
                <w:rFonts w:ascii="Arial" w:hAnsi="Arial" w:cs="Arial"/>
                <w:sz w:val="18"/>
                <w:szCs w:val="18"/>
              </w:rPr>
            </w:pPr>
            <w:r w:rsidRPr="003C37CB">
              <w:rPr>
                <w:rFonts w:ascii="Arial" w:hAnsi="Arial" w:cs="Arial"/>
                <w:sz w:val="18"/>
                <w:szCs w:val="18"/>
              </w:rPr>
              <w:t>Chichester</w:t>
            </w:r>
          </w:p>
        </w:tc>
        <w:tc>
          <w:tcPr>
            <w:tcW w:w="353" w:type="pct"/>
          </w:tcPr>
          <w:p w14:paraId="68392793" w14:textId="77777777" w:rsidR="004D6010" w:rsidRPr="003C37CB" w:rsidRDefault="004D6010" w:rsidP="006753E0">
            <w:pPr>
              <w:jc w:val="both"/>
              <w:rPr>
                <w:rFonts w:ascii="Arial" w:hAnsi="Arial" w:cs="Arial"/>
                <w:sz w:val="18"/>
                <w:szCs w:val="18"/>
              </w:rPr>
            </w:pPr>
            <w:r w:rsidRPr="003C37CB">
              <w:rPr>
                <w:rFonts w:ascii="Arial" w:hAnsi="Arial" w:cs="Arial"/>
                <w:sz w:val="18"/>
                <w:szCs w:val="18"/>
              </w:rPr>
              <w:t>Medium</w:t>
            </w:r>
          </w:p>
          <w:p w14:paraId="2AE14867" w14:textId="6CCF8C04" w:rsidR="004D6010" w:rsidRPr="003C37CB" w:rsidRDefault="004D6010" w:rsidP="006753E0">
            <w:pPr>
              <w:jc w:val="both"/>
              <w:rPr>
                <w:rFonts w:ascii="Arial" w:hAnsi="Arial" w:cs="Arial"/>
                <w:sz w:val="18"/>
                <w:szCs w:val="18"/>
              </w:rPr>
            </w:pPr>
          </w:p>
        </w:tc>
        <w:tc>
          <w:tcPr>
            <w:tcW w:w="432" w:type="pct"/>
          </w:tcPr>
          <w:p w14:paraId="1FA36173" w14:textId="25A60D0A" w:rsidR="004D6010" w:rsidRPr="003C37CB" w:rsidRDefault="004D6010" w:rsidP="006753E0">
            <w:pPr>
              <w:jc w:val="both"/>
              <w:rPr>
                <w:rFonts w:ascii="Arial" w:hAnsi="Arial" w:cs="Arial"/>
                <w:sz w:val="18"/>
                <w:szCs w:val="18"/>
              </w:rPr>
            </w:pPr>
            <w:r w:rsidRPr="003C37CB">
              <w:rPr>
                <w:rFonts w:ascii="Arial" w:hAnsi="Arial" w:cs="Arial"/>
                <w:sz w:val="18"/>
                <w:szCs w:val="18"/>
              </w:rPr>
              <w:t>37 (32 flats)</w:t>
            </w:r>
          </w:p>
        </w:tc>
        <w:tc>
          <w:tcPr>
            <w:tcW w:w="422" w:type="pct"/>
          </w:tcPr>
          <w:p w14:paraId="3DFAECC4" w14:textId="1B90164A" w:rsidR="004D6010" w:rsidRPr="003C37CB" w:rsidRDefault="004D6010" w:rsidP="006753E0">
            <w:pPr>
              <w:jc w:val="both"/>
              <w:rPr>
                <w:rFonts w:ascii="Arial" w:hAnsi="Arial" w:cs="Arial"/>
                <w:sz w:val="18"/>
                <w:szCs w:val="18"/>
              </w:rPr>
            </w:pPr>
            <w:r w:rsidRPr="003C37CB">
              <w:rPr>
                <w:rFonts w:ascii="Arial" w:hAnsi="Arial" w:cs="Arial"/>
                <w:sz w:val="18"/>
                <w:szCs w:val="18"/>
              </w:rPr>
              <w:t>PDL</w:t>
            </w:r>
          </w:p>
        </w:tc>
        <w:tc>
          <w:tcPr>
            <w:tcW w:w="481" w:type="pct"/>
          </w:tcPr>
          <w:p w14:paraId="5E59E71B" w14:textId="21CE79EB" w:rsidR="004D6010" w:rsidRPr="003C37CB" w:rsidRDefault="004D6010" w:rsidP="006753E0">
            <w:pPr>
              <w:jc w:val="both"/>
              <w:rPr>
                <w:rFonts w:ascii="Arial" w:hAnsi="Arial" w:cs="Arial"/>
                <w:sz w:val="18"/>
                <w:szCs w:val="18"/>
              </w:rPr>
            </w:pPr>
            <w:r w:rsidRPr="003C37CB">
              <w:rPr>
                <w:rFonts w:ascii="Arial" w:hAnsi="Arial" w:cs="Arial"/>
                <w:sz w:val="18"/>
                <w:szCs w:val="18"/>
              </w:rPr>
              <w:t>83</w:t>
            </w:r>
          </w:p>
        </w:tc>
        <w:tc>
          <w:tcPr>
            <w:tcW w:w="383" w:type="pct"/>
          </w:tcPr>
          <w:p w14:paraId="2BF801BD" w14:textId="7A06F763" w:rsidR="004D6010" w:rsidRPr="003C37CB" w:rsidRDefault="004D6010" w:rsidP="006753E0">
            <w:pPr>
              <w:jc w:val="both"/>
              <w:rPr>
                <w:rFonts w:ascii="Arial" w:hAnsi="Arial" w:cs="Arial"/>
                <w:sz w:val="18"/>
                <w:szCs w:val="18"/>
              </w:rPr>
            </w:pPr>
            <w:r w:rsidRPr="003C37CB">
              <w:rPr>
                <w:rFonts w:ascii="Arial" w:hAnsi="Arial" w:cs="Arial"/>
                <w:sz w:val="18"/>
                <w:szCs w:val="18"/>
              </w:rPr>
              <w:t>60</w:t>
            </w:r>
          </w:p>
        </w:tc>
        <w:tc>
          <w:tcPr>
            <w:tcW w:w="324" w:type="pct"/>
          </w:tcPr>
          <w:p w14:paraId="168624CA" w14:textId="718E6259" w:rsidR="004D6010" w:rsidRPr="003C37CB" w:rsidRDefault="004D6010" w:rsidP="006753E0">
            <w:pPr>
              <w:jc w:val="both"/>
              <w:rPr>
                <w:rFonts w:ascii="Arial" w:hAnsi="Arial" w:cs="Arial"/>
                <w:sz w:val="18"/>
                <w:szCs w:val="18"/>
              </w:rPr>
            </w:pPr>
            <w:r w:rsidRPr="003C37CB">
              <w:rPr>
                <w:rFonts w:ascii="Arial" w:hAnsi="Arial" w:cs="Arial"/>
                <w:sz w:val="18"/>
                <w:szCs w:val="18"/>
              </w:rPr>
              <w:t>Yes</w:t>
            </w:r>
          </w:p>
        </w:tc>
        <w:tc>
          <w:tcPr>
            <w:tcW w:w="507" w:type="pct"/>
          </w:tcPr>
          <w:p w14:paraId="3A03D0B9" w14:textId="5DE0DCDE" w:rsidR="004D6010" w:rsidRPr="003C37CB" w:rsidRDefault="004D6010" w:rsidP="006753E0">
            <w:pPr>
              <w:jc w:val="both"/>
              <w:rPr>
                <w:rFonts w:ascii="Arial" w:hAnsi="Arial" w:cs="Arial"/>
                <w:sz w:val="18"/>
                <w:szCs w:val="18"/>
              </w:rPr>
            </w:pPr>
            <w:r w:rsidRPr="003C37CB">
              <w:rPr>
                <w:rFonts w:ascii="Arial" w:hAnsi="Arial" w:cs="Arial"/>
                <w:sz w:val="18"/>
                <w:szCs w:val="18"/>
              </w:rPr>
              <w:t>Within</w:t>
            </w:r>
          </w:p>
        </w:tc>
        <w:tc>
          <w:tcPr>
            <w:tcW w:w="418" w:type="pct"/>
          </w:tcPr>
          <w:p w14:paraId="3F6B21D9" w14:textId="4A4F78B7" w:rsidR="004D6010" w:rsidRPr="003C37CB" w:rsidRDefault="004D6010" w:rsidP="006753E0">
            <w:pPr>
              <w:jc w:val="both"/>
              <w:rPr>
                <w:rFonts w:ascii="Arial" w:hAnsi="Arial" w:cs="Arial"/>
                <w:sz w:val="18"/>
                <w:szCs w:val="18"/>
              </w:rPr>
            </w:pPr>
            <w:r w:rsidRPr="003C37CB">
              <w:rPr>
                <w:rFonts w:ascii="Arial" w:hAnsi="Arial" w:cs="Arial"/>
                <w:sz w:val="18"/>
                <w:szCs w:val="18"/>
              </w:rPr>
              <w:t>More than 10 mins</w:t>
            </w:r>
          </w:p>
        </w:tc>
      </w:tr>
      <w:tr w:rsidR="00072E06" w:rsidRPr="003C37CB" w14:paraId="54FF2F41" w14:textId="77777777" w:rsidTr="003C37CB">
        <w:trPr>
          <w:trHeight w:val="826"/>
        </w:trPr>
        <w:tc>
          <w:tcPr>
            <w:tcW w:w="663" w:type="pct"/>
          </w:tcPr>
          <w:p w14:paraId="33E2CE5C" w14:textId="0661A29E" w:rsidR="004D6010" w:rsidRPr="003C37CB" w:rsidRDefault="004D6010" w:rsidP="006753E0">
            <w:pPr>
              <w:jc w:val="both"/>
              <w:rPr>
                <w:rFonts w:ascii="Arial" w:hAnsi="Arial" w:cs="Arial"/>
                <w:sz w:val="18"/>
                <w:szCs w:val="18"/>
              </w:rPr>
            </w:pPr>
            <w:r w:rsidRPr="003C37CB">
              <w:rPr>
                <w:rFonts w:ascii="Arial" w:hAnsi="Arial" w:cs="Arial"/>
                <w:sz w:val="18"/>
                <w:szCs w:val="18"/>
              </w:rPr>
              <w:t>Land North of Cooks Lane</w:t>
            </w:r>
          </w:p>
        </w:tc>
        <w:tc>
          <w:tcPr>
            <w:tcW w:w="570" w:type="pct"/>
          </w:tcPr>
          <w:p w14:paraId="1F135F7D" w14:textId="512E5D59" w:rsidR="004D6010" w:rsidRPr="003C37CB" w:rsidRDefault="004D6010" w:rsidP="006753E0">
            <w:pPr>
              <w:jc w:val="both"/>
              <w:rPr>
                <w:rFonts w:ascii="Arial" w:hAnsi="Arial" w:cs="Arial"/>
                <w:sz w:val="18"/>
                <w:szCs w:val="18"/>
              </w:rPr>
            </w:pPr>
            <w:r w:rsidRPr="003C37CB">
              <w:rPr>
                <w:rFonts w:ascii="Arial" w:hAnsi="Arial" w:cs="Arial"/>
                <w:sz w:val="18"/>
                <w:szCs w:val="18"/>
              </w:rPr>
              <w:t>22/00157/REM</w:t>
            </w:r>
          </w:p>
        </w:tc>
        <w:tc>
          <w:tcPr>
            <w:tcW w:w="447" w:type="pct"/>
          </w:tcPr>
          <w:p w14:paraId="4542FD80" w14:textId="32BEA798" w:rsidR="004D6010" w:rsidRPr="003C37CB" w:rsidRDefault="004D6010" w:rsidP="006753E0">
            <w:pPr>
              <w:jc w:val="both"/>
              <w:rPr>
                <w:rFonts w:ascii="Arial" w:hAnsi="Arial" w:cs="Arial"/>
                <w:sz w:val="18"/>
                <w:szCs w:val="18"/>
              </w:rPr>
            </w:pPr>
            <w:r w:rsidRPr="003C37CB">
              <w:rPr>
                <w:rFonts w:ascii="Arial" w:hAnsi="Arial" w:cs="Arial"/>
                <w:sz w:val="18"/>
                <w:szCs w:val="18"/>
              </w:rPr>
              <w:t>Southbourne</w:t>
            </w:r>
          </w:p>
        </w:tc>
        <w:tc>
          <w:tcPr>
            <w:tcW w:w="353" w:type="pct"/>
          </w:tcPr>
          <w:p w14:paraId="3603EF18" w14:textId="07443A1E" w:rsidR="004D6010" w:rsidRPr="003C37CB" w:rsidRDefault="004D6010" w:rsidP="006753E0">
            <w:pPr>
              <w:jc w:val="both"/>
              <w:rPr>
                <w:rFonts w:ascii="Arial" w:hAnsi="Arial" w:cs="Arial"/>
                <w:sz w:val="18"/>
                <w:szCs w:val="18"/>
              </w:rPr>
            </w:pPr>
            <w:r w:rsidRPr="003C37CB">
              <w:rPr>
                <w:rFonts w:ascii="Arial" w:hAnsi="Arial" w:cs="Arial"/>
                <w:sz w:val="18"/>
                <w:szCs w:val="18"/>
              </w:rPr>
              <w:t>Large</w:t>
            </w:r>
          </w:p>
        </w:tc>
        <w:tc>
          <w:tcPr>
            <w:tcW w:w="432" w:type="pct"/>
          </w:tcPr>
          <w:p w14:paraId="4FF82C28" w14:textId="504A3D23" w:rsidR="004D6010" w:rsidRPr="003C37CB" w:rsidRDefault="004D6010" w:rsidP="006753E0">
            <w:pPr>
              <w:jc w:val="both"/>
              <w:rPr>
                <w:rFonts w:ascii="Arial" w:hAnsi="Arial" w:cs="Arial"/>
                <w:sz w:val="18"/>
                <w:szCs w:val="18"/>
              </w:rPr>
            </w:pPr>
            <w:r w:rsidRPr="003C37CB">
              <w:rPr>
                <w:rFonts w:ascii="Arial" w:hAnsi="Arial" w:cs="Arial"/>
                <w:sz w:val="18"/>
                <w:szCs w:val="18"/>
              </w:rPr>
              <w:t>199 (8 flats)</w:t>
            </w:r>
          </w:p>
        </w:tc>
        <w:tc>
          <w:tcPr>
            <w:tcW w:w="422" w:type="pct"/>
          </w:tcPr>
          <w:p w14:paraId="7EC2DC76" w14:textId="041D4D8A" w:rsidR="004D6010" w:rsidRPr="003C37CB" w:rsidRDefault="004D6010" w:rsidP="006753E0">
            <w:pPr>
              <w:jc w:val="both"/>
              <w:rPr>
                <w:rFonts w:ascii="Arial" w:hAnsi="Arial" w:cs="Arial"/>
                <w:sz w:val="18"/>
                <w:szCs w:val="18"/>
              </w:rPr>
            </w:pPr>
            <w:r w:rsidRPr="003C37CB">
              <w:rPr>
                <w:rFonts w:ascii="Arial" w:hAnsi="Arial" w:cs="Arial"/>
                <w:sz w:val="18"/>
                <w:szCs w:val="18"/>
              </w:rPr>
              <w:t>Greenfield</w:t>
            </w:r>
          </w:p>
        </w:tc>
        <w:tc>
          <w:tcPr>
            <w:tcW w:w="481" w:type="pct"/>
          </w:tcPr>
          <w:p w14:paraId="14908438" w14:textId="3ABE61C2" w:rsidR="004D6010" w:rsidRPr="003C37CB" w:rsidRDefault="004D6010" w:rsidP="006753E0">
            <w:pPr>
              <w:jc w:val="both"/>
              <w:rPr>
                <w:rFonts w:ascii="Arial" w:hAnsi="Arial" w:cs="Arial"/>
                <w:sz w:val="18"/>
                <w:szCs w:val="18"/>
              </w:rPr>
            </w:pPr>
            <w:r w:rsidRPr="003C37CB">
              <w:rPr>
                <w:rFonts w:ascii="Arial" w:hAnsi="Arial" w:cs="Arial"/>
                <w:sz w:val="18"/>
                <w:szCs w:val="18"/>
              </w:rPr>
              <w:t>25</w:t>
            </w:r>
          </w:p>
        </w:tc>
        <w:tc>
          <w:tcPr>
            <w:tcW w:w="383" w:type="pct"/>
          </w:tcPr>
          <w:p w14:paraId="072D1ACF" w14:textId="09EE720B" w:rsidR="004D6010" w:rsidRPr="003C37CB" w:rsidRDefault="004D6010" w:rsidP="006753E0">
            <w:pPr>
              <w:jc w:val="both"/>
              <w:rPr>
                <w:rFonts w:ascii="Arial" w:hAnsi="Arial" w:cs="Arial"/>
                <w:sz w:val="18"/>
                <w:szCs w:val="18"/>
              </w:rPr>
            </w:pPr>
            <w:r w:rsidRPr="003C37CB">
              <w:rPr>
                <w:rFonts w:ascii="Arial" w:hAnsi="Arial" w:cs="Arial"/>
                <w:sz w:val="18"/>
                <w:szCs w:val="18"/>
              </w:rPr>
              <w:t>25</w:t>
            </w:r>
          </w:p>
        </w:tc>
        <w:tc>
          <w:tcPr>
            <w:tcW w:w="324" w:type="pct"/>
          </w:tcPr>
          <w:p w14:paraId="719F41A3" w14:textId="43BC40D9" w:rsidR="004D6010" w:rsidRPr="003C37CB" w:rsidRDefault="004D6010" w:rsidP="006753E0">
            <w:pPr>
              <w:jc w:val="both"/>
              <w:rPr>
                <w:rFonts w:ascii="Arial" w:hAnsi="Arial" w:cs="Arial"/>
                <w:sz w:val="18"/>
                <w:szCs w:val="18"/>
              </w:rPr>
            </w:pPr>
            <w:r w:rsidRPr="003C37CB">
              <w:rPr>
                <w:rFonts w:ascii="Arial" w:hAnsi="Arial" w:cs="Arial"/>
                <w:sz w:val="18"/>
                <w:szCs w:val="18"/>
              </w:rPr>
              <w:t>Partially</w:t>
            </w:r>
          </w:p>
        </w:tc>
        <w:tc>
          <w:tcPr>
            <w:tcW w:w="507" w:type="pct"/>
          </w:tcPr>
          <w:p w14:paraId="686A2F18" w14:textId="333E21B1" w:rsidR="004D6010" w:rsidRPr="003C37CB" w:rsidRDefault="004D6010" w:rsidP="006753E0">
            <w:pPr>
              <w:jc w:val="both"/>
              <w:rPr>
                <w:rFonts w:ascii="Arial" w:hAnsi="Arial" w:cs="Arial"/>
                <w:sz w:val="18"/>
                <w:szCs w:val="18"/>
              </w:rPr>
            </w:pPr>
            <w:r w:rsidRPr="003C37CB">
              <w:rPr>
                <w:rFonts w:ascii="Arial" w:hAnsi="Arial" w:cs="Arial"/>
                <w:sz w:val="18"/>
                <w:szCs w:val="18"/>
              </w:rPr>
              <w:t>Within 400m</w:t>
            </w:r>
          </w:p>
        </w:tc>
        <w:tc>
          <w:tcPr>
            <w:tcW w:w="418" w:type="pct"/>
          </w:tcPr>
          <w:p w14:paraId="4C9D98E4" w14:textId="04E0387D" w:rsidR="004D6010" w:rsidRPr="003C37CB" w:rsidRDefault="004D6010" w:rsidP="006753E0">
            <w:pPr>
              <w:jc w:val="both"/>
              <w:rPr>
                <w:rFonts w:ascii="Arial" w:hAnsi="Arial" w:cs="Arial"/>
                <w:sz w:val="18"/>
                <w:szCs w:val="18"/>
              </w:rPr>
            </w:pPr>
            <w:r w:rsidRPr="003C37CB">
              <w:rPr>
                <w:rFonts w:ascii="Arial" w:hAnsi="Arial" w:cs="Arial"/>
                <w:sz w:val="18"/>
                <w:szCs w:val="18"/>
              </w:rPr>
              <w:t>Within 5 mins</w:t>
            </w:r>
          </w:p>
        </w:tc>
      </w:tr>
    </w:tbl>
    <w:p w14:paraId="627CFCF3" w14:textId="35B3232E" w:rsidR="00250500" w:rsidRPr="007B0B58" w:rsidRDefault="00250500" w:rsidP="006753E0">
      <w:pPr>
        <w:jc w:val="both"/>
        <w:rPr>
          <w:rFonts w:ascii="Arial" w:hAnsi="Arial" w:cs="Arial"/>
        </w:rPr>
      </w:pPr>
    </w:p>
    <w:p w14:paraId="34595CD3" w14:textId="0B3744F9" w:rsidR="00906E1E" w:rsidRPr="007B0B58" w:rsidRDefault="0056378D" w:rsidP="006753E0">
      <w:pPr>
        <w:jc w:val="both"/>
        <w:rPr>
          <w:rFonts w:ascii="Arial" w:hAnsi="Arial" w:cs="Arial"/>
          <w:b/>
          <w:bCs/>
        </w:rPr>
      </w:pPr>
      <w:r w:rsidRPr="007B0B58">
        <w:rPr>
          <w:rFonts w:ascii="Arial" w:hAnsi="Arial" w:cs="Arial"/>
          <w:b/>
          <w:bCs/>
        </w:rPr>
        <w:lastRenderedPageBreak/>
        <w:t>19 Southgate</w:t>
      </w:r>
      <w:r w:rsidR="000A32B3" w:rsidRPr="007B0B58">
        <w:rPr>
          <w:rFonts w:ascii="Arial" w:hAnsi="Arial" w:cs="Arial"/>
          <w:b/>
          <w:bCs/>
        </w:rPr>
        <w:t xml:space="preserve">: </w:t>
      </w:r>
      <w:r w:rsidR="007F013F" w:rsidRPr="007B0B58">
        <w:rPr>
          <w:rFonts w:ascii="Arial" w:hAnsi="Arial" w:cs="Arial"/>
          <w:b/>
          <w:bCs/>
        </w:rPr>
        <w:t xml:space="preserve">High Density </w:t>
      </w:r>
      <w:r w:rsidRPr="007B0B58">
        <w:rPr>
          <w:rFonts w:ascii="Arial" w:hAnsi="Arial" w:cs="Arial"/>
          <w:b/>
          <w:bCs/>
        </w:rPr>
        <w:t>Retail</w:t>
      </w:r>
      <w:r w:rsidR="000A32B3" w:rsidRPr="007B0B58">
        <w:rPr>
          <w:rFonts w:ascii="Arial" w:hAnsi="Arial" w:cs="Arial"/>
          <w:b/>
          <w:bCs/>
        </w:rPr>
        <w:t xml:space="preserve"> Conversion</w:t>
      </w:r>
      <w:r w:rsidR="00123AA8" w:rsidRPr="007B0B58">
        <w:rPr>
          <w:rFonts w:ascii="Arial" w:hAnsi="Arial" w:cs="Arial"/>
          <w:b/>
          <w:bCs/>
        </w:rPr>
        <w:t xml:space="preserve"> </w:t>
      </w:r>
      <w:r w:rsidR="00734FFA" w:rsidRPr="007B0B58">
        <w:rPr>
          <w:rFonts w:ascii="Arial" w:hAnsi="Arial" w:cs="Arial"/>
          <w:b/>
          <w:bCs/>
        </w:rPr>
        <w:t xml:space="preserve">and Extension </w:t>
      </w:r>
      <w:r w:rsidR="00123AA8" w:rsidRPr="007B0B58">
        <w:rPr>
          <w:rFonts w:ascii="Arial" w:hAnsi="Arial" w:cs="Arial"/>
          <w:b/>
          <w:bCs/>
        </w:rPr>
        <w:t>in Sustainable Location</w:t>
      </w:r>
      <w:r w:rsidR="000A32B3" w:rsidRPr="007B0B58">
        <w:rPr>
          <w:rFonts w:ascii="Arial" w:hAnsi="Arial" w:cs="Arial"/>
          <w:b/>
          <w:bCs/>
        </w:rPr>
        <w:t xml:space="preserve"> </w:t>
      </w:r>
    </w:p>
    <w:p w14:paraId="314016FE" w14:textId="1976A36F" w:rsidR="00D370F0" w:rsidRPr="007B0B58" w:rsidRDefault="00906E1E" w:rsidP="006753E0">
      <w:pPr>
        <w:jc w:val="both"/>
        <w:rPr>
          <w:rFonts w:ascii="Arial" w:hAnsi="Arial" w:cs="Arial"/>
        </w:rPr>
      </w:pPr>
      <w:r w:rsidRPr="007B0B58">
        <w:rPr>
          <w:rFonts w:ascii="Arial" w:hAnsi="Arial" w:cs="Arial"/>
        </w:rPr>
        <w:t xml:space="preserve">The development </w:t>
      </w:r>
      <w:r w:rsidR="00D370F0" w:rsidRPr="007B0B58">
        <w:rPr>
          <w:rFonts w:ascii="Arial" w:hAnsi="Arial" w:cs="Arial"/>
        </w:rPr>
        <w:t xml:space="preserve">permitted by 17/03136/FUL </w:t>
      </w:r>
      <w:r w:rsidRPr="007B0B58">
        <w:rPr>
          <w:rFonts w:ascii="Arial" w:hAnsi="Arial" w:cs="Arial"/>
        </w:rPr>
        <w:t>en</w:t>
      </w:r>
      <w:r w:rsidR="002D138B" w:rsidRPr="007B0B58">
        <w:rPr>
          <w:rFonts w:ascii="Arial" w:hAnsi="Arial" w:cs="Arial"/>
        </w:rPr>
        <w:t>tail</w:t>
      </w:r>
      <w:r w:rsidR="00D370F0" w:rsidRPr="007B0B58">
        <w:rPr>
          <w:rFonts w:ascii="Arial" w:hAnsi="Arial" w:cs="Arial"/>
        </w:rPr>
        <w:t>ed</w:t>
      </w:r>
      <w:r w:rsidR="0056378D" w:rsidRPr="007B0B58">
        <w:rPr>
          <w:rFonts w:ascii="Arial" w:hAnsi="Arial" w:cs="Arial"/>
        </w:rPr>
        <w:t xml:space="preserve"> the change of use of part of the ground and first floors</w:t>
      </w:r>
      <w:r w:rsidR="00D370F0" w:rsidRPr="007B0B58">
        <w:rPr>
          <w:rFonts w:ascii="Arial" w:hAnsi="Arial" w:cs="Arial"/>
        </w:rPr>
        <w:t xml:space="preserve"> </w:t>
      </w:r>
      <w:r w:rsidR="0056378D" w:rsidRPr="007B0B58">
        <w:rPr>
          <w:rFonts w:ascii="Arial" w:hAnsi="Arial" w:cs="Arial"/>
        </w:rPr>
        <w:t>and the creation of a second floor within a retail premises to provide 9 dwellings</w:t>
      </w:r>
      <w:r w:rsidR="00C51D7A" w:rsidRPr="007B0B58">
        <w:rPr>
          <w:rFonts w:ascii="Arial" w:hAnsi="Arial" w:cs="Arial"/>
        </w:rPr>
        <w:t xml:space="preserve"> comprising 5 townhouses</w:t>
      </w:r>
      <w:r w:rsidR="00C705C6">
        <w:rPr>
          <w:rFonts w:ascii="Arial" w:hAnsi="Arial" w:cs="Arial"/>
        </w:rPr>
        <w:t>/duplexes</w:t>
      </w:r>
      <w:r w:rsidR="00C51D7A" w:rsidRPr="007B0B58">
        <w:rPr>
          <w:rFonts w:ascii="Arial" w:hAnsi="Arial" w:cs="Arial"/>
        </w:rPr>
        <w:t xml:space="preserve"> and 4 flats</w:t>
      </w:r>
      <w:r w:rsidR="0056378D" w:rsidRPr="007B0B58">
        <w:rPr>
          <w:rFonts w:ascii="Arial" w:hAnsi="Arial" w:cs="Arial"/>
        </w:rPr>
        <w:t xml:space="preserve">, </w:t>
      </w:r>
      <w:r w:rsidR="002D138B" w:rsidRPr="007B0B58">
        <w:rPr>
          <w:rFonts w:ascii="Arial" w:hAnsi="Arial" w:cs="Arial"/>
        </w:rPr>
        <w:t xml:space="preserve">achieving a </w:t>
      </w:r>
      <w:r w:rsidR="0056378D" w:rsidRPr="007B0B58">
        <w:rPr>
          <w:rFonts w:ascii="Arial" w:hAnsi="Arial" w:cs="Arial"/>
        </w:rPr>
        <w:t xml:space="preserve">high </w:t>
      </w:r>
      <w:r w:rsidR="002D138B" w:rsidRPr="007B0B58">
        <w:rPr>
          <w:rFonts w:ascii="Arial" w:hAnsi="Arial" w:cs="Arial"/>
        </w:rPr>
        <w:t xml:space="preserve">density </w:t>
      </w:r>
      <w:r w:rsidR="00841C40" w:rsidRPr="007B0B58">
        <w:rPr>
          <w:rFonts w:ascii="Arial" w:hAnsi="Arial" w:cs="Arial"/>
        </w:rPr>
        <w:t>(</w:t>
      </w:r>
      <w:r w:rsidR="0056378D" w:rsidRPr="007B0B58">
        <w:rPr>
          <w:rFonts w:ascii="Arial" w:hAnsi="Arial" w:cs="Arial"/>
        </w:rPr>
        <w:t xml:space="preserve">151 </w:t>
      </w:r>
      <w:proofErr w:type="spellStart"/>
      <w:r w:rsidR="00841C40" w:rsidRPr="007B0B58">
        <w:rPr>
          <w:rFonts w:ascii="Arial" w:hAnsi="Arial" w:cs="Arial"/>
        </w:rPr>
        <w:t>dph</w:t>
      </w:r>
      <w:proofErr w:type="spellEnd"/>
      <w:r w:rsidR="00841C40" w:rsidRPr="007B0B58">
        <w:rPr>
          <w:rFonts w:ascii="Arial" w:hAnsi="Arial" w:cs="Arial"/>
        </w:rPr>
        <w:t xml:space="preserve">) </w:t>
      </w:r>
      <w:r w:rsidR="002D138B" w:rsidRPr="007B0B58">
        <w:rPr>
          <w:rFonts w:ascii="Arial" w:hAnsi="Arial" w:cs="Arial"/>
        </w:rPr>
        <w:t>scheme within a sustainable and accessible location.</w:t>
      </w:r>
      <w:r w:rsidRPr="007B0B58">
        <w:rPr>
          <w:rFonts w:ascii="Arial" w:hAnsi="Arial" w:cs="Arial"/>
        </w:rPr>
        <w:t xml:space="preserve"> </w:t>
      </w:r>
      <w:r w:rsidR="008E7B8F" w:rsidRPr="007B0B58">
        <w:rPr>
          <w:rFonts w:ascii="Arial" w:hAnsi="Arial" w:cs="Arial"/>
        </w:rPr>
        <w:t xml:space="preserve">The brownfield site is located within the Chichester City Centre and Conservation Area, approx. </w:t>
      </w:r>
      <w:r w:rsidR="00D370F0" w:rsidRPr="007B0B58">
        <w:rPr>
          <w:rFonts w:ascii="Arial" w:hAnsi="Arial" w:cs="Arial"/>
        </w:rPr>
        <w:t>2</w:t>
      </w:r>
      <w:r w:rsidR="008E7B8F" w:rsidRPr="007B0B58">
        <w:rPr>
          <w:rFonts w:ascii="Arial" w:hAnsi="Arial" w:cs="Arial"/>
        </w:rPr>
        <w:t xml:space="preserve">00m from the </w:t>
      </w:r>
      <w:r w:rsidR="002D138B" w:rsidRPr="007B0B58">
        <w:rPr>
          <w:rFonts w:ascii="Arial" w:hAnsi="Arial" w:cs="Arial"/>
        </w:rPr>
        <w:t xml:space="preserve">mainline </w:t>
      </w:r>
      <w:r w:rsidR="008E7B8F" w:rsidRPr="007B0B58">
        <w:rPr>
          <w:rFonts w:ascii="Arial" w:hAnsi="Arial" w:cs="Arial"/>
        </w:rPr>
        <w:t>train station</w:t>
      </w:r>
      <w:r w:rsidR="00D370F0" w:rsidRPr="007B0B58">
        <w:rPr>
          <w:rFonts w:ascii="Arial" w:hAnsi="Arial" w:cs="Arial"/>
        </w:rPr>
        <w:t xml:space="preserve">, with the retained retail element forming part of the City’s Secondary Shopping Frontage. </w:t>
      </w:r>
      <w:r w:rsidR="008E7B8F" w:rsidRPr="007B0B58">
        <w:rPr>
          <w:rFonts w:ascii="Arial" w:hAnsi="Arial" w:cs="Arial"/>
        </w:rPr>
        <w:t xml:space="preserve"> </w:t>
      </w:r>
    </w:p>
    <w:p w14:paraId="75E689BC" w14:textId="348A540C" w:rsidR="00FA216E" w:rsidRDefault="00734FFA" w:rsidP="006753E0">
      <w:pPr>
        <w:jc w:val="both"/>
        <w:rPr>
          <w:rFonts w:ascii="Arial" w:hAnsi="Arial" w:cs="Arial"/>
        </w:rPr>
      </w:pPr>
      <w:r w:rsidRPr="007B0B58">
        <w:rPr>
          <w:rFonts w:ascii="Arial" w:hAnsi="Arial" w:cs="Arial"/>
        </w:rPr>
        <w:t>During determination, t</w:t>
      </w:r>
      <w:r w:rsidR="00FA216E" w:rsidRPr="007B0B58">
        <w:rPr>
          <w:rFonts w:ascii="Arial" w:hAnsi="Arial" w:cs="Arial"/>
        </w:rPr>
        <w:t xml:space="preserve">he </w:t>
      </w:r>
      <w:r w:rsidR="004D6010">
        <w:rPr>
          <w:rFonts w:ascii="Arial" w:hAnsi="Arial" w:cs="Arial"/>
        </w:rPr>
        <w:t>o</w:t>
      </w:r>
      <w:r w:rsidR="00FA216E" w:rsidRPr="007B0B58">
        <w:rPr>
          <w:rFonts w:ascii="Arial" w:hAnsi="Arial" w:cs="Arial"/>
        </w:rPr>
        <w:t xml:space="preserve">fficer’s </w:t>
      </w:r>
      <w:r w:rsidR="004D6010">
        <w:rPr>
          <w:rFonts w:ascii="Arial" w:hAnsi="Arial" w:cs="Arial"/>
        </w:rPr>
        <w:t>r</w:t>
      </w:r>
      <w:r w:rsidR="00FA216E" w:rsidRPr="007B0B58">
        <w:rPr>
          <w:rFonts w:ascii="Arial" w:hAnsi="Arial" w:cs="Arial"/>
        </w:rPr>
        <w:t xml:space="preserve">eport considered the appropriateness of introducing residential accommodation at the site, recognising the overall suitability of the </w:t>
      </w:r>
      <w:r w:rsidR="00A57E28" w:rsidRPr="007B0B58">
        <w:rPr>
          <w:rFonts w:ascii="Arial" w:hAnsi="Arial" w:cs="Arial"/>
        </w:rPr>
        <w:t>c</w:t>
      </w:r>
      <w:r w:rsidR="00FA216E" w:rsidRPr="007B0B58">
        <w:rPr>
          <w:rFonts w:ascii="Arial" w:hAnsi="Arial" w:cs="Arial"/>
        </w:rPr>
        <w:t>ity as a sustainable location. Their comments reflected on the compatibility of residential use with continued retail use, as well as with neighbouring propert</w:t>
      </w:r>
      <w:r w:rsidRPr="007B0B58">
        <w:rPr>
          <w:rFonts w:ascii="Arial" w:hAnsi="Arial" w:cs="Arial"/>
        </w:rPr>
        <w:t>y uses,</w:t>
      </w:r>
      <w:r w:rsidR="00FA216E" w:rsidRPr="007B0B58">
        <w:rPr>
          <w:rFonts w:ascii="Arial" w:hAnsi="Arial" w:cs="Arial"/>
        </w:rPr>
        <w:t xml:space="preserve"> including </w:t>
      </w:r>
      <w:r w:rsidR="00C51D7A" w:rsidRPr="007B0B58">
        <w:rPr>
          <w:rFonts w:ascii="Arial" w:hAnsi="Arial" w:cs="Arial"/>
        </w:rPr>
        <w:t xml:space="preserve">a </w:t>
      </w:r>
      <w:r w:rsidR="00FA216E" w:rsidRPr="007B0B58">
        <w:rPr>
          <w:rFonts w:ascii="Arial" w:hAnsi="Arial" w:cs="Arial"/>
        </w:rPr>
        <w:t>licenced premises</w:t>
      </w:r>
      <w:r w:rsidR="00C51D7A" w:rsidRPr="007B0B58">
        <w:rPr>
          <w:rFonts w:ascii="Arial" w:hAnsi="Arial" w:cs="Arial"/>
        </w:rPr>
        <w:t xml:space="preserve"> and its associated noise impact</w:t>
      </w:r>
      <w:r w:rsidR="00DB6825" w:rsidRPr="007B0B58">
        <w:rPr>
          <w:rFonts w:ascii="Arial" w:hAnsi="Arial" w:cs="Arial"/>
        </w:rPr>
        <w:t>s</w:t>
      </w:r>
      <w:r w:rsidR="00FA216E" w:rsidRPr="007B0B58">
        <w:rPr>
          <w:rFonts w:ascii="Arial" w:hAnsi="Arial" w:cs="Arial"/>
        </w:rPr>
        <w:t xml:space="preserve">.  The most significant external changes proposed included the formation of increased bulk at first and second floor level and the introduction of a ‘warehouse’ </w:t>
      </w:r>
      <w:r w:rsidR="00AF462A" w:rsidRPr="007B0B58">
        <w:rPr>
          <w:rFonts w:ascii="Arial" w:hAnsi="Arial" w:cs="Arial"/>
        </w:rPr>
        <w:t>aesthetic</w:t>
      </w:r>
      <w:r w:rsidR="00FA216E" w:rsidRPr="007B0B58">
        <w:rPr>
          <w:rFonts w:ascii="Arial" w:hAnsi="Arial" w:cs="Arial"/>
        </w:rPr>
        <w:t xml:space="preserve"> to the rear elevation. The alterations were considered an enhancement to the existing form, and to the character and appearance of the Conservation Area</w:t>
      </w:r>
      <w:r w:rsidR="008517C6">
        <w:rPr>
          <w:rFonts w:ascii="Arial" w:hAnsi="Arial" w:cs="Arial"/>
        </w:rPr>
        <w:t xml:space="preserve"> (see Figures 1 and 2 for comparison)</w:t>
      </w:r>
      <w:r w:rsidR="00FA216E" w:rsidRPr="007B0B58">
        <w:rPr>
          <w:rFonts w:ascii="Arial" w:hAnsi="Arial" w:cs="Arial"/>
        </w:rPr>
        <w:t>.</w:t>
      </w:r>
      <w:r w:rsidR="00DB6825" w:rsidRPr="007B0B58">
        <w:rPr>
          <w:rFonts w:ascii="Arial" w:hAnsi="Arial" w:cs="Arial"/>
        </w:rPr>
        <w:t xml:space="preserve"> </w:t>
      </w:r>
      <w:r w:rsidR="00FA216E" w:rsidRPr="007B0B58">
        <w:rPr>
          <w:rFonts w:ascii="Arial" w:hAnsi="Arial" w:cs="Arial"/>
        </w:rPr>
        <w:t xml:space="preserve">The new dwellings do not benefit from any on-site parking, considered acceptable in a highly sustainable location with good access to public transport provision and nearby public car parks. </w:t>
      </w:r>
    </w:p>
    <w:p w14:paraId="6ECB4F1A" w14:textId="1A495FFC" w:rsidR="009414B9" w:rsidRDefault="009E5FAE" w:rsidP="006753E0">
      <w:pPr>
        <w:jc w:val="both"/>
        <w:rPr>
          <w:rFonts w:ascii="Arial" w:hAnsi="Arial" w:cs="Arial"/>
        </w:rPr>
      </w:pPr>
      <w:r>
        <w:rPr>
          <w:rFonts w:ascii="Arial" w:hAnsi="Arial" w:cs="Arial"/>
        </w:rPr>
        <w:t>Having established the principle of residential development, an alternative scheme for the same number of dwellings</w:t>
      </w:r>
      <w:r w:rsidR="00C705C6">
        <w:rPr>
          <w:rFonts w:ascii="Arial" w:hAnsi="Arial" w:cs="Arial"/>
        </w:rPr>
        <w:t>,</w:t>
      </w:r>
      <w:r>
        <w:rPr>
          <w:rFonts w:ascii="Arial" w:hAnsi="Arial" w:cs="Arial"/>
        </w:rPr>
        <w:t xml:space="preserve"> </w:t>
      </w:r>
      <w:r w:rsidR="00C705C6">
        <w:rPr>
          <w:rFonts w:ascii="Arial" w:hAnsi="Arial" w:cs="Arial"/>
        </w:rPr>
        <w:t xml:space="preserve">albeit entirely flatted rather than a mixed </w:t>
      </w:r>
      <w:r w:rsidR="005168B4">
        <w:rPr>
          <w:rFonts w:ascii="Arial" w:hAnsi="Arial" w:cs="Arial"/>
        </w:rPr>
        <w:t>scheme</w:t>
      </w:r>
      <w:r w:rsidR="00C705C6">
        <w:rPr>
          <w:rFonts w:ascii="Arial" w:hAnsi="Arial" w:cs="Arial"/>
        </w:rPr>
        <w:t xml:space="preserve">, </w:t>
      </w:r>
      <w:r>
        <w:rPr>
          <w:rFonts w:ascii="Arial" w:hAnsi="Arial" w:cs="Arial"/>
        </w:rPr>
        <w:t>was approved by 18/01761/FUL. In addition</w:t>
      </w:r>
      <w:r w:rsidR="009414B9">
        <w:rPr>
          <w:rFonts w:ascii="Arial" w:hAnsi="Arial" w:cs="Arial"/>
        </w:rPr>
        <w:t xml:space="preserve">, permitted development rights enabled the creation of 2 </w:t>
      </w:r>
      <w:r>
        <w:rPr>
          <w:rFonts w:ascii="Arial" w:hAnsi="Arial" w:cs="Arial"/>
        </w:rPr>
        <w:t>further</w:t>
      </w:r>
      <w:r w:rsidR="009414B9">
        <w:rPr>
          <w:rFonts w:ascii="Arial" w:hAnsi="Arial" w:cs="Arial"/>
        </w:rPr>
        <w:t xml:space="preserve"> residential flats at second floor level</w:t>
      </w:r>
      <w:r w:rsidR="004D6010">
        <w:rPr>
          <w:rFonts w:ascii="Arial" w:hAnsi="Arial" w:cs="Arial"/>
        </w:rPr>
        <w:t xml:space="preserve"> (certified by 18/01477/PLD)</w:t>
      </w:r>
      <w:r w:rsidR="009414B9">
        <w:rPr>
          <w:rFonts w:ascii="Arial" w:hAnsi="Arial" w:cs="Arial"/>
        </w:rPr>
        <w:t>. Further</w:t>
      </w:r>
      <w:r>
        <w:rPr>
          <w:rFonts w:ascii="Arial" w:hAnsi="Arial" w:cs="Arial"/>
        </w:rPr>
        <w:t>more</w:t>
      </w:r>
      <w:r w:rsidR="009414B9">
        <w:rPr>
          <w:rFonts w:ascii="Arial" w:hAnsi="Arial" w:cs="Arial"/>
        </w:rPr>
        <w:t xml:space="preserve">, 19/01682/FUL was approved for the formation of 6 more flats through </w:t>
      </w:r>
      <w:r w:rsidR="002706D9">
        <w:rPr>
          <w:rFonts w:ascii="Arial" w:hAnsi="Arial" w:cs="Arial"/>
        </w:rPr>
        <w:t>internal floorspace creation at second and third floor level, with external alterations limited to the</w:t>
      </w:r>
      <w:r w:rsidR="009414B9">
        <w:rPr>
          <w:rFonts w:ascii="Arial" w:hAnsi="Arial" w:cs="Arial"/>
        </w:rPr>
        <w:t xml:space="preserve"> addition of rooflights, dormers and windows. </w:t>
      </w:r>
      <w:r w:rsidR="00F24992">
        <w:rPr>
          <w:rFonts w:ascii="Arial" w:hAnsi="Arial" w:cs="Arial"/>
        </w:rPr>
        <w:t xml:space="preserve">The </w:t>
      </w:r>
      <w:r w:rsidR="004D6010">
        <w:rPr>
          <w:rFonts w:ascii="Arial" w:hAnsi="Arial" w:cs="Arial"/>
        </w:rPr>
        <w:t>o</w:t>
      </w:r>
      <w:r w:rsidR="00F24992">
        <w:rPr>
          <w:rFonts w:ascii="Arial" w:hAnsi="Arial" w:cs="Arial"/>
        </w:rPr>
        <w:t xml:space="preserve">fficer’s report </w:t>
      </w:r>
      <w:r w:rsidR="004B6A46">
        <w:rPr>
          <w:rFonts w:ascii="Arial" w:hAnsi="Arial" w:cs="Arial"/>
        </w:rPr>
        <w:t xml:space="preserve">again </w:t>
      </w:r>
      <w:r w:rsidR="00F24992">
        <w:rPr>
          <w:rFonts w:ascii="Arial" w:hAnsi="Arial" w:cs="Arial"/>
        </w:rPr>
        <w:t>reflected consideration of residential amenity, assessing the proposed flats to be broadly in</w:t>
      </w:r>
      <w:r w:rsidR="00AB6790">
        <w:rPr>
          <w:rFonts w:ascii="Arial" w:hAnsi="Arial" w:cs="Arial"/>
        </w:rPr>
        <w:t xml:space="preserve"> </w:t>
      </w:r>
      <w:r w:rsidR="00F24992">
        <w:rPr>
          <w:rFonts w:ascii="Arial" w:hAnsi="Arial" w:cs="Arial"/>
        </w:rPr>
        <w:t>line with Nationally De</w:t>
      </w:r>
      <w:r w:rsidR="00947190">
        <w:rPr>
          <w:rFonts w:ascii="Arial" w:hAnsi="Arial" w:cs="Arial"/>
        </w:rPr>
        <w:t>scribed</w:t>
      </w:r>
      <w:r w:rsidR="00F24992">
        <w:rPr>
          <w:rFonts w:ascii="Arial" w:hAnsi="Arial" w:cs="Arial"/>
        </w:rPr>
        <w:t xml:space="preserve"> Space Standards</w:t>
      </w:r>
      <w:r w:rsidR="00947190">
        <w:rPr>
          <w:rFonts w:ascii="Arial" w:hAnsi="Arial" w:cs="Arial"/>
        </w:rPr>
        <w:t xml:space="preserve"> (NDSS)</w:t>
      </w:r>
      <w:r w:rsidR="00F24992">
        <w:rPr>
          <w:rFonts w:ascii="Arial" w:hAnsi="Arial" w:cs="Arial"/>
        </w:rPr>
        <w:t>, and the provision of private outside spaces or balconies, as well as access to sufficient natural light, offering an acceptable living environment.</w:t>
      </w:r>
      <w:r w:rsidR="00947190">
        <w:rPr>
          <w:rFonts w:ascii="Arial" w:hAnsi="Arial" w:cs="Arial"/>
        </w:rPr>
        <w:t xml:space="preserve"> This study determined, however, that for </w:t>
      </w:r>
      <w:r w:rsidR="0056616A">
        <w:rPr>
          <w:rFonts w:ascii="Arial" w:hAnsi="Arial" w:cs="Arial"/>
        </w:rPr>
        <w:t>2-bedroom</w:t>
      </w:r>
      <w:r w:rsidR="00947190">
        <w:rPr>
          <w:rFonts w:ascii="Arial" w:hAnsi="Arial" w:cs="Arial"/>
        </w:rPr>
        <w:t xml:space="preserve"> flats p</w:t>
      </w:r>
      <w:r w:rsidR="00C705C6">
        <w:rPr>
          <w:rFonts w:ascii="Arial" w:hAnsi="Arial" w:cs="Arial"/>
        </w:rPr>
        <w:t>ermitted through</w:t>
      </w:r>
      <w:r w:rsidR="00947190">
        <w:rPr>
          <w:rFonts w:ascii="Arial" w:hAnsi="Arial" w:cs="Arial"/>
        </w:rPr>
        <w:t xml:space="preserve"> both 9 dwelling schemes and the </w:t>
      </w:r>
      <w:r w:rsidR="0056616A">
        <w:rPr>
          <w:rFonts w:ascii="Arial" w:hAnsi="Arial" w:cs="Arial"/>
        </w:rPr>
        <w:t>6-dwelling</w:t>
      </w:r>
      <w:r w:rsidR="00947190">
        <w:rPr>
          <w:rFonts w:ascii="Arial" w:hAnsi="Arial" w:cs="Arial"/>
        </w:rPr>
        <w:t xml:space="preserve"> scheme, the majority failed to meet NDSS on the basis of small Gross Internal Areas (GIA) or bedroom </w:t>
      </w:r>
      <w:r w:rsidR="00FB4823">
        <w:rPr>
          <w:rFonts w:ascii="Arial" w:hAnsi="Arial" w:cs="Arial"/>
        </w:rPr>
        <w:t>dimensions.</w:t>
      </w:r>
      <w:r w:rsidR="00B43309">
        <w:rPr>
          <w:rFonts w:ascii="Arial" w:hAnsi="Arial" w:cs="Arial"/>
        </w:rPr>
        <w:t xml:space="preserve"> </w:t>
      </w:r>
      <w:r w:rsidR="00C705C6">
        <w:rPr>
          <w:rFonts w:ascii="Arial" w:hAnsi="Arial" w:cs="Arial"/>
        </w:rPr>
        <w:t xml:space="preserve">By contrast, the originally permitted </w:t>
      </w:r>
      <w:r w:rsidR="0056616A">
        <w:rPr>
          <w:rFonts w:ascii="Arial" w:hAnsi="Arial" w:cs="Arial"/>
        </w:rPr>
        <w:t>3-bedroom</w:t>
      </w:r>
      <w:r w:rsidR="00C705C6">
        <w:rPr>
          <w:rFonts w:ascii="Arial" w:hAnsi="Arial" w:cs="Arial"/>
        </w:rPr>
        <w:t xml:space="preserve"> duplexes would have met NDSS. Achieving </w:t>
      </w:r>
      <w:r w:rsidR="005168B4">
        <w:rPr>
          <w:rFonts w:ascii="Arial" w:hAnsi="Arial" w:cs="Arial"/>
        </w:rPr>
        <w:t>NDSS</w:t>
      </w:r>
      <w:r w:rsidR="00B43309">
        <w:rPr>
          <w:rFonts w:ascii="Arial" w:hAnsi="Arial" w:cs="Arial"/>
        </w:rPr>
        <w:t xml:space="preserve"> was not a policy requirement at the time of determination, however.</w:t>
      </w:r>
      <w:r w:rsidR="00F24992">
        <w:rPr>
          <w:rFonts w:ascii="Arial" w:hAnsi="Arial" w:cs="Arial"/>
        </w:rPr>
        <w:t xml:space="preserve"> </w:t>
      </w:r>
      <w:r w:rsidR="00AD150C">
        <w:rPr>
          <w:rFonts w:ascii="Arial" w:hAnsi="Arial" w:cs="Arial"/>
        </w:rPr>
        <w:t xml:space="preserve">Considered on its own merits, </w:t>
      </w:r>
      <w:r w:rsidR="00173A64">
        <w:rPr>
          <w:rFonts w:ascii="Arial" w:hAnsi="Arial" w:cs="Arial"/>
        </w:rPr>
        <w:t xml:space="preserve">the </w:t>
      </w:r>
      <w:r w:rsidR="004B6A46">
        <w:rPr>
          <w:rFonts w:ascii="Arial" w:hAnsi="Arial" w:cs="Arial"/>
        </w:rPr>
        <w:t>6 dwelling</w:t>
      </w:r>
      <w:r w:rsidR="00AD150C">
        <w:rPr>
          <w:rFonts w:ascii="Arial" w:hAnsi="Arial" w:cs="Arial"/>
        </w:rPr>
        <w:t xml:space="preserve"> scheme was calculated to achieve a density of 88dph. Considered </w:t>
      </w:r>
      <w:r w:rsidR="00FB4823">
        <w:rPr>
          <w:rFonts w:ascii="Arial" w:hAnsi="Arial" w:cs="Arial"/>
        </w:rPr>
        <w:t>in totality</w:t>
      </w:r>
      <w:r w:rsidR="00AD150C">
        <w:rPr>
          <w:rFonts w:ascii="Arial" w:hAnsi="Arial" w:cs="Arial"/>
        </w:rPr>
        <w:t xml:space="preserve">, </w:t>
      </w:r>
      <w:r w:rsidR="002706D9">
        <w:rPr>
          <w:rFonts w:ascii="Arial" w:hAnsi="Arial" w:cs="Arial"/>
        </w:rPr>
        <w:t xml:space="preserve">the development of the site </w:t>
      </w:r>
      <w:r>
        <w:rPr>
          <w:rFonts w:ascii="Arial" w:hAnsi="Arial" w:cs="Arial"/>
        </w:rPr>
        <w:t xml:space="preserve">is calculated to have </w:t>
      </w:r>
      <w:r w:rsidR="00F24992">
        <w:rPr>
          <w:rFonts w:ascii="Arial" w:hAnsi="Arial" w:cs="Arial"/>
        </w:rPr>
        <w:t>achieved</w:t>
      </w:r>
      <w:r w:rsidR="002706D9">
        <w:rPr>
          <w:rFonts w:ascii="Arial" w:hAnsi="Arial" w:cs="Arial"/>
        </w:rPr>
        <w:t xml:space="preserve"> in a </w:t>
      </w:r>
      <w:r w:rsidR="0056616A">
        <w:rPr>
          <w:rFonts w:ascii="Arial" w:hAnsi="Arial" w:cs="Arial"/>
        </w:rPr>
        <w:t>high-density</w:t>
      </w:r>
      <w:r w:rsidR="002706D9">
        <w:rPr>
          <w:rFonts w:ascii="Arial" w:hAnsi="Arial" w:cs="Arial"/>
        </w:rPr>
        <w:t xml:space="preserve"> residential scheme of approx. 250dph. </w:t>
      </w:r>
    </w:p>
    <w:p w14:paraId="7D3D0B1F" w14:textId="5B82DF5F" w:rsidR="00FB4823" w:rsidRPr="007B0B58" w:rsidRDefault="00FB4823" w:rsidP="006753E0">
      <w:pPr>
        <w:jc w:val="both"/>
        <w:rPr>
          <w:rFonts w:ascii="Arial" w:hAnsi="Arial" w:cs="Arial"/>
        </w:rPr>
      </w:pPr>
      <w:r>
        <w:rPr>
          <w:rFonts w:ascii="Arial" w:hAnsi="Arial" w:cs="Arial"/>
        </w:rPr>
        <w:t>Overall, this case illustrates the a</w:t>
      </w:r>
      <w:r w:rsidR="00C705C6">
        <w:rPr>
          <w:rFonts w:ascii="Arial" w:hAnsi="Arial" w:cs="Arial"/>
        </w:rPr>
        <w:t>bility</w:t>
      </w:r>
      <w:r>
        <w:rPr>
          <w:rFonts w:ascii="Arial" w:hAnsi="Arial" w:cs="Arial"/>
        </w:rPr>
        <w:t xml:space="preserve"> to deliver high density residential development within the city centre that responds to the surrounding historic environment</w:t>
      </w:r>
      <w:r w:rsidR="006814D1">
        <w:rPr>
          <w:rFonts w:ascii="Arial" w:hAnsi="Arial" w:cs="Arial"/>
        </w:rPr>
        <w:t>,</w:t>
      </w:r>
      <w:r>
        <w:rPr>
          <w:rFonts w:ascii="Arial" w:hAnsi="Arial" w:cs="Arial"/>
        </w:rPr>
        <w:t xml:space="preserve"> is commensurate</w:t>
      </w:r>
      <w:r w:rsidR="006814D1">
        <w:rPr>
          <w:rFonts w:ascii="Arial" w:hAnsi="Arial" w:cs="Arial"/>
        </w:rPr>
        <w:t xml:space="preserve"> with the surrounding </w:t>
      </w:r>
      <w:r w:rsidR="0056616A">
        <w:rPr>
          <w:rFonts w:ascii="Arial" w:hAnsi="Arial" w:cs="Arial"/>
        </w:rPr>
        <w:t>built form</w:t>
      </w:r>
      <w:r w:rsidR="006814D1">
        <w:rPr>
          <w:rFonts w:ascii="Arial" w:hAnsi="Arial" w:cs="Arial"/>
        </w:rPr>
        <w:t xml:space="preserve"> in terms of scale</w:t>
      </w:r>
      <w:r w:rsidR="00A32F9C">
        <w:rPr>
          <w:rFonts w:ascii="Arial" w:hAnsi="Arial" w:cs="Arial"/>
        </w:rPr>
        <w:t>, i</w:t>
      </w:r>
      <w:r w:rsidR="0056616A">
        <w:rPr>
          <w:rFonts w:ascii="Arial" w:hAnsi="Arial" w:cs="Arial"/>
        </w:rPr>
        <w:t>s</w:t>
      </w:r>
      <w:r w:rsidR="00A32F9C">
        <w:rPr>
          <w:rFonts w:ascii="Arial" w:hAnsi="Arial" w:cs="Arial"/>
        </w:rPr>
        <w:t xml:space="preserve"> compatible</w:t>
      </w:r>
      <w:r>
        <w:rPr>
          <w:rFonts w:ascii="Arial" w:hAnsi="Arial" w:cs="Arial"/>
        </w:rPr>
        <w:t xml:space="preserve"> with neighbouring uses, enables the retention of retail space</w:t>
      </w:r>
      <w:r w:rsidR="0068634A">
        <w:rPr>
          <w:rFonts w:ascii="Arial" w:hAnsi="Arial" w:cs="Arial"/>
        </w:rPr>
        <w:t>,</w:t>
      </w:r>
      <w:r>
        <w:rPr>
          <w:rFonts w:ascii="Arial" w:hAnsi="Arial" w:cs="Arial"/>
        </w:rPr>
        <w:t xml:space="preserve"> and benefits from accessibility to sustainable travel modes. The</w:t>
      </w:r>
      <w:r w:rsidR="00C705C6">
        <w:rPr>
          <w:rFonts w:ascii="Arial" w:hAnsi="Arial" w:cs="Arial"/>
        </w:rPr>
        <w:t xml:space="preserve"> incremental</w:t>
      </w:r>
      <w:r>
        <w:rPr>
          <w:rFonts w:ascii="Arial" w:hAnsi="Arial" w:cs="Arial"/>
        </w:rPr>
        <w:t xml:space="preserve"> nature of the applications, </w:t>
      </w:r>
      <w:r w:rsidR="00C705C6">
        <w:rPr>
          <w:rFonts w:ascii="Arial" w:hAnsi="Arial" w:cs="Arial"/>
        </w:rPr>
        <w:t xml:space="preserve">however, suggests achieving high density was not a key </w:t>
      </w:r>
      <w:r w:rsidR="008023C7">
        <w:rPr>
          <w:rFonts w:ascii="Arial" w:hAnsi="Arial" w:cs="Arial"/>
        </w:rPr>
        <w:t>objective</w:t>
      </w:r>
      <w:r w:rsidR="00C705C6">
        <w:rPr>
          <w:rFonts w:ascii="Arial" w:hAnsi="Arial" w:cs="Arial"/>
        </w:rPr>
        <w:t xml:space="preserve"> from the outset, rather a result of the developer responding to opportunities to ensure</w:t>
      </w:r>
      <w:r w:rsidR="00A32F9C">
        <w:rPr>
          <w:rFonts w:ascii="Arial" w:hAnsi="Arial" w:cs="Arial"/>
        </w:rPr>
        <w:t xml:space="preserve"> the</w:t>
      </w:r>
      <w:r w:rsidR="00C705C6">
        <w:rPr>
          <w:rFonts w:ascii="Arial" w:hAnsi="Arial" w:cs="Arial"/>
        </w:rPr>
        <w:t xml:space="preserve"> viability of the scheme. As a result of </w:t>
      </w:r>
      <w:r w:rsidR="008023C7">
        <w:rPr>
          <w:rFonts w:ascii="Arial" w:hAnsi="Arial" w:cs="Arial"/>
        </w:rPr>
        <w:t>this iterative approach, compr</w:t>
      </w:r>
      <w:r w:rsidR="00A32F9C">
        <w:rPr>
          <w:rFonts w:ascii="Arial" w:hAnsi="Arial" w:cs="Arial"/>
        </w:rPr>
        <w:t>omi</w:t>
      </w:r>
      <w:r w:rsidR="008023C7">
        <w:rPr>
          <w:rFonts w:ascii="Arial" w:hAnsi="Arial" w:cs="Arial"/>
        </w:rPr>
        <w:t xml:space="preserve">ses to amenity standards </w:t>
      </w:r>
      <w:r w:rsidR="0068634A">
        <w:rPr>
          <w:rFonts w:ascii="Arial" w:hAnsi="Arial" w:cs="Arial"/>
        </w:rPr>
        <w:t>(as quantified by NDSS) have</w:t>
      </w:r>
      <w:r w:rsidR="008023C7">
        <w:rPr>
          <w:rFonts w:ascii="Arial" w:hAnsi="Arial" w:cs="Arial"/>
        </w:rPr>
        <w:t xml:space="preserve"> occurred. </w:t>
      </w:r>
    </w:p>
    <w:p w14:paraId="206ED8D9" w14:textId="77777777" w:rsidR="00AB6790" w:rsidRDefault="00F24992" w:rsidP="006753E0">
      <w:pPr>
        <w:pStyle w:val="NormalWeb"/>
        <w:keepNext/>
        <w:jc w:val="both"/>
      </w:pPr>
      <w:r>
        <w:rPr>
          <w:noProof/>
        </w:rPr>
        <w:lastRenderedPageBreak/>
        <w:drawing>
          <wp:inline distT="0" distB="0" distL="0" distR="0" wp14:anchorId="2518A079" wp14:editId="57BE2108">
            <wp:extent cx="4352925" cy="34583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Lst>
                    </a:blip>
                    <a:stretch>
                      <a:fillRect/>
                    </a:stretch>
                  </pic:blipFill>
                  <pic:spPr>
                    <a:xfrm>
                      <a:off x="0" y="0"/>
                      <a:ext cx="4375607" cy="3476363"/>
                    </a:xfrm>
                    <a:prstGeom prst="rect">
                      <a:avLst/>
                    </a:prstGeom>
                  </pic:spPr>
                </pic:pic>
              </a:graphicData>
            </a:graphic>
          </wp:inline>
        </w:drawing>
      </w:r>
      <w:r w:rsidR="00AB6790" w:rsidRPr="00AB6790">
        <w:rPr>
          <w:noProof/>
        </w:rPr>
        <w:drawing>
          <wp:inline distT="0" distB="0" distL="0" distR="0" wp14:anchorId="720D88E8" wp14:editId="0CED2883">
            <wp:extent cx="4425244" cy="345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6911" cy="3466054"/>
                    </a:xfrm>
                    <a:prstGeom prst="rect">
                      <a:avLst/>
                    </a:prstGeom>
                    <a:noFill/>
                    <a:ln>
                      <a:noFill/>
                    </a:ln>
                  </pic:spPr>
                </pic:pic>
              </a:graphicData>
            </a:graphic>
          </wp:inline>
        </w:drawing>
      </w:r>
    </w:p>
    <w:p w14:paraId="5781C0CA" w14:textId="281AE2AF" w:rsidR="00AB6790" w:rsidRDefault="00AB6790" w:rsidP="006753E0">
      <w:pPr>
        <w:pStyle w:val="Caption"/>
        <w:jc w:val="both"/>
      </w:pPr>
      <w:r>
        <w:t xml:space="preserve">Figures </w:t>
      </w:r>
      <w:r w:rsidR="0058663C">
        <w:t>D</w:t>
      </w:r>
      <w:r w:rsidR="0068634A">
        <w:fldChar w:fldCharType="begin"/>
      </w:r>
      <w:r w:rsidR="0068634A">
        <w:instrText xml:space="preserve"> SEQ Figure \* ARABIC </w:instrText>
      </w:r>
      <w:r w:rsidR="0068634A">
        <w:fldChar w:fldCharType="separate"/>
      </w:r>
      <w:r w:rsidR="0077205C">
        <w:rPr>
          <w:noProof/>
        </w:rPr>
        <w:t>1</w:t>
      </w:r>
      <w:r w:rsidR="0068634A">
        <w:rPr>
          <w:noProof/>
        </w:rPr>
        <w:fldChar w:fldCharType="end"/>
      </w:r>
      <w:r>
        <w:t xml:space="preserve"> and </w:t>
      </w:r>
      <w:r w:rsidR="0058663C">
        <w:t>D</w:t>
      </w:r>
      <w:r>
        <w:t xml:space="preserve">2: Photographs of 19 Southgate rear elevation pre- and post-development. </w:t>
      </w:r>
    </w:p>
    <w:p w14:paraId="6E9187E0" w14:textId="4A978350" w:rsidR="00AB6790" w:rsidRDefault="00AB6790" w:rsidP="006753E0">
      <w:pPr>
        <w:pStyle w:val="NormalWeb"/>
        <w:jc w:val="both"/>
      </w:pPr>
    </w:p>
    <w:p w14:paraId="696F4F51" w14:textId="57FAC883" w:rsidR="00AB6790" w:rsidRPr="00AB6790" w:rsidRDefault="00AB6790" w:rsidP="006753E0">
      <w:pPr>
        <w:pStyle w:val="NormalWeb"/>
        <w:jc w:val="both"/>
      </w:pPr>
    </w:p>
    <w:p w14:paraId="7F6082BE" w14:textId="77777777" w:rsidR="00AB6790" w:rsidRDefault="00AB6790" w:rsidP="006753E0">
      <w:pPr>
        <w:pStyle w:val="NormalWeb"/>
        <w:jc w:val="both"/>
      </w:pPr>
    </w:p>
    <w:p w14:paraId="0DC24F9E" w14:textId="60168D5D" w:rsidR="00F24992" w:rsidRDefault="00F24992" w:rsidP="006753E0">
      <w:pPr>
        <w:jc w:val="both"/>
        <w:rPr>
          <w:rFonts w:ascii="Arial" w:hAnsi="Arial" w:cs="Arial"/>
        </w:rPr>
      </w:pPr>
    </w:p>
    <w:p w14:paraId="12FAEDDB" w14:textId="77777777" w:rsidR="00F24992" w:rsidRDefault="00F24992" w:rsidP="006753E0">
      <w:pPr>
        <w:jc w:val="both"/>
        <w:rPr>
          <w:rFonts w:ascii="Arial" w:hAnsi="Arial" w:cs="Arial"/>
        </w:rPr>
      </w:pPr>
    </w:p>
    <w:p w14:paraId="3A99EB2E" w14:textId="77777777" w:rsidR="00F24992" w:rsidRPr="007B0B58" w:rsidRDefault="00F24992" w:rsidP="006753E0">
      <w:pPr>
        <w:jc w:val="both"/>
        <w:rPr>
          <w:rFonts w:ascii="Arial" w:hAnsi="Arial" w:cs="Arial"/>
        </w:rPr>
      </w:pPr>
    </w:p>
    <w:p w14:paraId="3931BFDD" w14:textId="19DA6549" w:rsidR="00982C56" w:rsidRPr="007B0B58" w:rsidRDefault="001F2B4D" w:rsidP="006753E0">
      <w:pPr>
        <w:jc w:val="both"/>
        <w:rPr>
          <w:rFonts w:ascii="Arial" w:hAnsi="Arial" w:cs="Arial"/>
          <w:b/>
          <w:bCs/>
        </w:rPr>
      </w:pPr>
      <w:r>
        <w:rPr>
          <w:rFonts w:ascii="Arial" w:hAnsi="Arial" w:cs="Arial"/>
          <w:b/>
          <w:bCs/>
        </w:rPr>
        <w:t>Chichester City North</w:t>
      </w:r>
      <w:r w:rsidR="000A32B3" w:rsidRPr="007B0B58">
        <w:rPr>
          <w:rFonts w:ascii="Arial" w:hAnsi="Arial" w:cs="Arial"/>
          <w:b/>
          <w:bCs/>
        </w:rPr>
        <w:t xml:space="preserve">: </w:t>
      </w:r>
      <w:r w:rsidR="00BB2347">
        <w:rPr>
          <w:rFonts w:ascii="Arial" w:hAnsi="Arial" w:cs="Arial"/>
          <w:b/>
          <w:bCs/>
        </w:rPr>
        <w:t>New Development</w:t>
      </w:r>
      <w:r w:rsidR="000A32B3" w:rsidRPr="007B0B58">
        <w:rPr>
          <w:rFonts w:ascii="Arial" w:hAnsi="Arial" w:cs="Arial"/>
          <w:b/>
          <w:bCs/>
        </w:rPr>
        <w:t xml:space="preserve"> </w:t>
      </w:r>
      <w:r w:rsidR="00B657DD">
        <w:rPr>
          <w:rFonts w:ascii="Arial" w:hAnsi="Arial" w:cs="Arial"/>
          <w:b/>
          <w:bCs/>
        </w:rPr>
        <w:t>in</w:t>
      </w:r>
      <w:r w:rsidR="00BB2347">
        <w:rPr>
          <w:rFonts w:ascii="Arial" w:hAnsi="Arial" w:cs="Arial"/>
          <w:b/>
          <w:bCs/>
        </w:rPr>
        <w:t xml:space="preserve"> </w:t>
      </w:r>
      <w:r>
        <w:rPr>
          <w:rFonts w:ascii="Arial" w:hAnsi="Arial" w:cs="Arial"/>
          <w:b/>
          <w:bCs/>
        </w:rPr>
        <w:t>Historic Strategic Location</w:t>
      </w:r>
    </w:p>
    <w:p w14:paraId="0DE2815A" w14:textId="76FFDCFC" w:rsidR="00820F06" w:rsidRPr="007B0B58" w:rsidRDefault="00820F06" w:rsidP="006753E0">
      <w:pPr>
        <w:jc w:val="both"/>
        <w:rPr>
          <w:rFonts w:ascii="Arial" w:hAnsi="Arial" w:cs="Arial"/>
        </w:rPr>
      </w:pPr>
      <w:r w:rsidRPr="007B0B58">
        <w:rPr>
          <w:rFonts w:ascii="Arial" w:hAnsi="Arial" w:cs="Arial"/>
        </w:rPr>
        <w:t>The Grayling</w:t>
      </w:r>
      <w:r w:rsidR="00BE3480" w:rsidRPr="007B0B58">
        <w:rPr>
          <w:rFonts w:ascii="Arial" w:hAnsi="Arial" w:cs="Arial"/>
        </w:rPr>
        <w:t>w</w:t>
      </w:r>
      <w:r w:rsidRPr="007B0B58">
        <w:rPr>
          <w:rFonts w:ascii="Arial" w:hAnsi="Arial" w:cs="Arial"/>
        </w:rPr>
        <w:t xml:space="preserve">ell </w:t>
      </w:r>
      <w:r w:rsidR="00A16223" w:rsidRPr="007B0B58">
        <w:rPr>
          <w:rFonts w:ascii="Arial" w:hAnsi="Arial" w:cs="Arial"/>
        </w:rPr>
        <w:t>Hospital</w:t>
      </w:r>
      <w:r w:rsidR="00BE3480" w:rsidRPr="007B0B58">
        <w:rPr>
          <w:rFonts w:ascii="Arial" w:hAnsi="Arial" w:cs="Arial"/>
        </w:rPr>
        <w:t xml:space="preserve"> development is a strategic development </w:t>
      </w:r>
      <w:r w:rsidR="00AD069B" w:rsidRPr="007B0B58">
        <w:rPr>
          <w:rFonts w:ascii="Arial" w:hAnsi="Arial" w:cs="Arial"/>
        </w:rPr>
        <w:t>of</w:t>
      </w:r>
      <w:r w:rsidR="00BE3480" w:rsidRPr="007B0B58">
        <w:rPr>
          <w:rFonts w:ascii="Arial" w:hAnsi="Arial" w:cs="Arial"/>
        </w:rPr>
        <w:t xml:space="preserve"> 750 dwellings to the north of Chichester City centre</w:t>
      </w:r>
      <w:r w:rsidR="00AD069B" w:rsidRPr="007B0B58">
        <w:rPr>
          <w:rFonts w:ascii="Arial" w:hAnsi="Arial" w:cs="Arial"/>
        </w:rPr>
        <w:t>, within the Chichester settlement boundary</w:t>
      </w:r>
      <w:r w:rsidR="00734FFA" w:rsidRPr="007B0B58">
        <w:rPr>
          <w:rFonts w:ascii="Arial" w:hAnsi="Arial" w:cs="Arial"/>
        </w:rPr>
        <w:t>. It is part of Chichester City North, a focus area for substantial new development as described by Policy 14 of the adopted Local Plan</w:t>
      </w:r>
      <w:r w:rsidR="00BE3480" w:rsidRPr="007B0B58">
        <w:rPr>
          <w:rFonts w:ascii="Arial" w:hAnsi="Arial" w:cs="Arial"/>
        </w:rPr>
        <w:t xml:space="preserve">. The </w:t>
      </w:r>
      <w:r w:rsidR="00734FFA" w:rsidRPr="007B0B58">
        <w:rPr>
          <w:rFonts w:ascii="Arial" w:hAnsi="Arial" w:cs="Arial"/>
        </w:rPr>
        <w:t xml:space="preserve">overall </w:t>
      </w:r>
      <w:r w:rsidR="00BE3480" w:rsidRPr="007B0B58">
        <w:rPr>
          <w:rFonts w:ascii="Arial" w:hAnsi="Arial" w:cs="Arial"/>
        </w:rPr>
        <w:t xml:space="preserve">site </w:t>
      </w:r>
      <w:r w:rsidR="00734FFA" w:rsidRPr="007B0B58">
        <w:rPr>
          <w:rFonts w:ascii="Arial" w:hAnsi="Arial" w:cs="Arial"/>
        </w:rPr>
        <w:t xml:space="preserve">generally </w:t>
      </w:r>
      <w:r w:rsidR="00BE3480" w:rsidRPr="007B0B58">
        <w:rPr>
          <w:rFonts w:ascii="Arial" w:hAnsi="Arial" w:cs="Arial"/>
        </w:rPr>
        <w:t>constitutes previously developed land, consisting of former hospital buildings, other listed buildings, a scheduled monument, and the Grade II registered park and gardens in which they sit. Much of the development site is within the Graylingwell Conservation Area, with notable view</w:t>
      </w:r>
      <w:r w:rsidR="00CA05A2" w:rsidRPr="007B0B58">
        <w:rPr>
          <w:rFonts w:ascii="Arial" w:hAnsi="Arial" w:cs="Arial"/>
        </w:rPr>
        <w:t>s towards the Grade I Chichester Cathedral</w:t>
      </w:r>
      <w:r w:rsidR="00BE3480" w:rsidRPr="007B0B58">
        <w:rPr>
          <w:rFonts w:ascii="Arial" w:hAnsi="Arial" w:cs="Arial"/>
        </w:rPr>
        <w:t>.</w:t>
      </w:r>
      <w:r w:rsidR="00591701" w:rsidRPr="007B0B58">
        <w:rPr>
          <w:rFonts w:ascii="Arial" w:hAnsi="Arial" w:cs="Arial"/>
        </w:rPr>
        <w:t xml:space="preserve"> </w:t>
      </w:r>
      <w:r w:rsidR="00A16223" w:rsidRPr="007B0B58">
        <w:rPr>
          <w:rFonts w:ascii="Arial" w:hAnsi="Arial" w:cs="Arial"/>
        </w:rPr>
        <w:t>Residential d</w:t>
      </w:r>
      <w:r w:rsidR="00591701" w:rsidRPr="007B0B58">
        <w:rPr>
          <w:rFonts w:ascii="Arial" w:hAnsi="Arial" w:cs="Arial"/>
        </w:rPr>
        <w:t xml:space="preserve">evelopment </w:t>
      </w:r>
      <w:r w:rsidR="00A16223" w:rsidRPr="007B0B58">
        <w:rPr>
          <w:rFonts w:ascii="Arial" w:hAnsi="Arial" w:cs="Arial"/>
        </w:rPr>
        <w:t>within the site has involved the conversion of a number of retained historic hospital buildings, and several new build phases. The broader development has been recognised for its successful delivery of increased residential density in a historic environment</w:t>
      </w:r>
      <w:r w:rsidR="00A16223" w:rsidRPr="007B0B58">
        <w:rPr>
          <w:rStyle w:val="FootnoteReference"/>
          <w:rFonts w:ascii="Arial" w:hAnsi="Arial" w:cs="Arial"/>
        </w:rPr>
        <w:footnoteReference w:id="1"/>
      </w:r>
      <w:r w:rsidR="00F9271B" w:rsidRPr="007B0B58">
        <w:rPr>
          <w:rFonts w:ascii="Arial" w:hAnsi="Arial" w:cs="Arial"/>
        </w:rPr>
        <w:t xml:space="preserve">. </w:t>
      </w:r>
      <w:r w:rsidR="00653EAA" w:rsidRPr="007B0B58">
        <w:rPr>
          <w:rFonts w:ascii="Arial" w:hAnsi="Arial" w:cs="Arial"/>
        </w:rPr>
        <w:t xml:space="preserve">Historic England </w:t>
      </w:r>
      <w:r w:rsidR="00F9271B" w:rsidRPr="007B0B58">
        <w:rPr>
          <w:rFonts w:ascii="Arial" w:hAnsi="Arial" w:cs="Arial"/>
        </w:rPr>
        <w:t xml:space="preserve">(HE) </w:t>
      </w:r>
      <w:r w:rsidR="00653EAA" w:rsidRPr="007B0B58">
        <w:rPr>
          <w:rFonts w:ascii="Arial" w:hAnsi="Arial" w:cs="Arial"/>
        </w:rPr>
        <w:t>not</w:t>
      </w:r>
      <w:r w:rsidR="00F9271B" w:rsidRPr="007B0B58">
        <w:rPr>
          <w:rFonts w:ascii="Arial" w:hAnsi="Arial" w:cs="Arial"/>
        </w:rPr>
        <w:t>e</w:t>
      </w:r>
      <w:r w:rsidR="006E5632" w:rsidRPr="007B0B58">
        <w:rPr>
          <w:rFonts w:ascii="Arial" w:hAnsi="Arial" w:cs="Arial"/>
        </w:rPr>
        <w:t>d</w:t>
      </w:r>
      <w:r w:rsidR="00653EAA" w:rsidRPr="007B0B58">
        <w:rPr>
          <w:rFonts w:ascii="Arial" w:hAnsi="Arial" w:cs="Arial"/>
        </w:rPr>
        <w:t xml:space="preserve"> the importance of characterisation studies to</w:t>
      </w:r>
      <w:r w:rsidR="006E5632" w:rsidRPr="007B0B58">
        <w:rPr>
          <w:rFonts w:ascii="Arial" w:hAnsi="Arial" w:cs="Arial"/>
        </w:rPr>
        <w:t xml:space="preserve"> the identification of</w:t>
      </w:r>
      <w:r w:rsidR="00653EAA" w:rsidRPr="007B0B58">
        <w:rPr>
          <w:rFonts w:ascii="Arial" w:hAnsi="Arial" w:cs="Arial"/>
        </w:rPr>
        <w:t xml:space="preserve"> distinct zones within the site</w:t>
      </w:r>
      <w:r w:rsidR="00F9271B" w:rsidRPr="007B0B58">
        <w:rPr>
          <w:rFonts w:ascii="Arial" w:hAnsi="Arial" w:cs="Arial"/>
        </w:rPr>
        <w:t xml:space="preserve">, </w:t>
      </w:r>
      <w:r w:rsidR="00653EAA" w:rsidRPr="007B0B58">
        <w:rPr>
          <w:rFonts w:ascii="Arial" w:hAnsi="Arial" w:cs="Arial"/>
        </w:rPr>
        <w:t>enabl</w:t>
      </w:r>
      <w:r w:rsidR="00F9271B" w:rsidRPr="007B0B58">
        <w:rPr>
          <w:rFonts w:ascii="Arial" w:hAnsi="Arial" w:cs="Arial"/>
        </w:rPr>
        <w:t>ing</w:t>
      </w:r>
      <w:r w:rsidR="00653EAA" w:rsidRPr="007B0B58">
        <w:rPr>
          <w:rFonts w:ascii="Arial" w:hAnsi="Arial" w:cs="Arial"/>
        </w:rPr>
        <w:t xml:space="preserve"> the creation of an integrated development which </w:t>
      </w:r>
      <w:r w:rsidR="00F9271B" w:rsidRPr="007B0B58">
        <w:rPr>
          <w:rFonts w:ascii="Arial" w:hAnsi="Arial" w:cs="Arial"/>
        </w:rPr>
        <w:t xml:space="preserve">was considered to </w:t>
      </w:r>
      <w:r w:rsidR="00653EAA" w:rsidRPr="007B0B58">
        <w:rPr>
          <w:rFonts w:ascii="Arial" w:hAnsi="Arial" w:cs="Arial"/>
        </w:rPr>
        <w:t>optimise the historic character while</w:t>
      </w:r>
      <w:r w:rsidR="00F9271B" w:rsidRPr="007B0B58">
        <w:rPr>
          <w:rFonts w:ascii="Arial" w:hAnsi="Arial" w:cs="Arial"/>
        </w:rPr>
        <w:t xml:space="preserve"> intensifying use,</w:t>
      </w:r>
      <w:r w:rsidR="00653EAA" w:rsidRPr="007B0B58">
        <w:rPr>
          <w:rFonts w:ascii="Arial" w:hAnsi="Arial" w:cs="Arial"/>
        </w:rPr>
        <w:t xml:space="preserve"> providing housing densities ranging from 25 </w:t>
      </w:r>
      <w:proofErr w:type="spellStart"/>
      <w:r w:rsidR="00653EAA" w:rsidRPr="007B0B58">
        <w:rPr>
          <w:rFonts w:ascii="Arial" w:hAnsi="Arial" w:cs="Arial"/>
        </w:rPr>
        <w:t>dph</w:t>
      </w:r>
      <w:proofErr w:type="spellEnd"/>
      <w:r w:rsidR="00653EAA" w:rsidRPr="007B0B58">
        <w:rPr>
          <w:rFonts w:ascii="Arial" w:hAnsi="Arial" w:cs="Arial"/>
        </w:rPr>
        <w:t xml:space="preserve"> around key buildings and the rural edge, to 65-75 </w:t>
      </w:r>
      <w:proofErr w:type="spellStart"/>
      <w:r w:rsidR="00653EAA" w:rsidRPr="007B0B58">
        <w:rPr>
          <w:rFonts w:ascii="Arial" w:hAnsi="Arial" w:cs="Arial"/>
        </w:rPr>
        <w:t>dph</w:t>
      </w:r>
      <w:proofErr w:type="spellEnd"/>
      <w:r w:rsidR="00653EAA" w:rsidRPr="007B0B58">
        <w:rPr>
          <w:rFonts w:ascii="Arial" w:hAnsi="Arial" w:cs="Arial"/>
        </w:rPr>
        <w:t xml:space="preserve"> within the inner core. </w:t>
      </w:r>
    </w:p>
    <w:p w14:paraId="12062EEE" w14:textId="09279735" w:rsidR="00982C56" w:rsidRPr="007B0B58" w:rsidRDefault="00DB6825" w:rsidP="006753E0">
      <w:pPr>
        <w:jc w:val="both"/>
        <w:rPr>
          <w:rFonts w:ascii="Arial" w:hAnsi="Arial" w:cs="Arial"/>
        </w:rPr>
      </w:pPr>
      <w:r w:rsidRPr="007B0B58">
        <w:rPr>
          <w:rFonts w:ascii="Arial" w:hAnsi="Arial" w:cs="Arial"/>
        </w:rPr>
        <w:t xml:space="preserve">Application 20/02905/REM </w:t>
      </w:r>
      <w:r w:rsidR="00982C56" w:rsidRPr="007B0B58">
        <w:rPr>
          <w:rFonts w:ascii="Arial" w:hAnsi="Arial" w:cs="Arial"/>
        </w:rPr>
        <w:t xml:space="preserve">concerned appearance, landscaping, </w:t>
      </w:r>
      <w:proofErr w:type="gramStart"/>
      <w:r w:rsidR="00982C56" w:rsidRPr="007B0B58">
        <w:rPr>
          <w:rFonts w:ascii="Arial" w:hAnsi="Arial" w:cs="Arial"/>
        </w:rPr>
        <w:t>layout</w:t>
      </w:r>
      <w:proofErr w:type="gramEnd"/>
      <w:r w:rsidR="00982C56" w:rsidRPr="007B0B58">
        <w:rPr>
          <w:rFonts w:ascii="Arial" w:hAnsi="Arial" w:cs="Arial"/>
        </w:rPr>
        <w:t xml:space="preserve"> and scale for Phase </w:t>
      </w:r>
      <w:r w:rsidRPr="007B0B58">
        <w:rPr>
          <w:rFonts w:ascii="Arial" w:hAnsi="Arial" w:cs="Arial"/>
        </w:rPr>
        <w:t>9a</w:t>
      </w:r>
      <w:r w:rsidR="00982C56" w:rsidRPr="007B0B58">
        <w:rPr>
          <w:rFonts w:ascii="Arial" w:hAnsi="Arial" w:cs="Arial"/>
        </w:rPr>
        <w:t xml:space="preserve"> of </w:t>
      </w:r>
      <w:r w:rsidR="00AD069B" w:rsidRPr="007B0B58">
        <w:rPr>
          <w:rFonts w:ascii="Arial" w:hAnsi="Arial" w:cs="Arial"/>
        </w:rPr>
        <w:t>the strategic development</w:t>
      </w:r>
      <w:r w:rsidR="00982C56" w:rsidRPr="007B0B58">
        <w:rPr>
          <w:rFonts w:ascii="Arial" w:hAnsi="Arial" w:cs="Arial"/>
        </w:rPr>
        <w:t>, p</w:t>
      </w:r>
      <w:r w:rsidR="00022459" w:rsidRPr="007B0B58">
        <w:rPr>
          <w:rFonts w:ascii="Arial" w:hAnsi="Arial" w:cs="Arial"/>
        </w:rPr>
        <w:t>e</w:t>
      </w:r>
      <w:r w:rsidR="00820F06" w:rsidRPr="007B0B58">
        <w:rPr>
          <w:rFonts w:ascii="Arial" w:hAnsi="Arial" w:cs="Arial"/>
        </w:rPr>
        <w:t>r</w:t>
      </w:r>
      <w:r w:rsidR="00022459" w:rsidRPr="007B0B58">
        <w:rPr>
          <w:rFonts w:ascii="Arial" w:hAnsi="Arial" w:cs="Arial"/>
        </w:rPr>
        <w:t>mitting</w:t>
      </w:r>
      <w:r w:rsidR="00982C56" w:rsidRPr="007B0B58">
        <w:rPr>
          <w:rFonts w:ascii="Arial" w:hAnsi="Arial" w:cs="Arial"/>
        </w:rPr>
        <w:t xml:space="preserve"> 1</w:t>
      </w:r>
      <w:r w:rsidRPr="007B0B58">
        <w:rPr>
          <w:rFonts w:ascii="Arial" w:hAnsi="Arial" w:cs="Arial"/>
        </w:rPr>
        <w:t>06</w:t>
      </w:r>
      <w:r w:rsidR="00982C56" w:rsidRPr="007B0B58">
        <w:rPr>
          <w:rFonts w:ascii="Arial" w:hAnsi="Arial" w:cs="Arial"/>
        </w:rPr>
        <w:t xml:space="preserve"> new dwellings </w:t>
      </w:r>
      <w:r w:rsidR="00B63AB3" w:rsidRPr="007B0B58">
        <w:rPr>
          <w:rFonts w:ascii="Arial" w:hAnsi="Arial" w:cs="Arial"/>
        </w:rPr>
        <w:t>(</w:t>
      </w:r>
      <w:r w:rsidRPr="007B0B58">
        <w:rPr>
          <w:rFonts w:ascii="Arial" w:hAnsi="Arial" w:cs="Arial"/>
        </w:rPr>
        <w:t>62</w:t>
      </w:r>
      <w:r w:rsidR="00B63AB3" w:rsidRPr="007B0B58">
        <w:rPr>
          <w:rFonts w:ascii="Arial" w:hAnsi="Arial" w:cs="Arial"/>
        </w:rPr>
        <w:t xml:space="preserve"> houses and </w:t>
      </w:r>
      <w:r w:rsidRPr="007B0B58">
        <w:rPr>
          <w:rFonts w:ascii="Arial" w:hAnsi="Arial" w:cs="Arial"/>
        </w:rPr>
        <w:t>44</w:t>
      </w:r>
      <w:r w:rsidR="00B63AB3" w:rsidRPr="007B0B58">
        <w:rPr>
          <w:rFonts w:ascii="Arial" w:hAnsi="Arial" w:cs="Arial"/>
        </w:rPr>
        <w:t xml:space="preserve"> </w:t>
      </w:r>
      <w:r w:rsidRPr="007B0B58">
        <w:rPr>
          <w:rFonts w:ascii="Arial" w:hAnsi="Arial" w:cs="Arial"/>
        </w:rPr>
        <w:t>flats</w:t>
      </w:r>
      <w:r w:rsidR="00B63AB3" w:rsidRPr="007B0B58">
        <w:rPr>
          <w:rFonts w:ascii="Arial" w:hAnsi="Arial" w:cs="Arial"/>
        </w:rPr>
        <w:t xml:space="preserve">) </w:t>
      </w:r>
      <w:r w:rsidR="00982C56" w:rsidRPr="007B0B58">
        <w:rPr>
          <w:rFonts w:ascii="Arial" w:hAnsi="Arial" w:cs="Arial"/>
        </w:rPr>
        <w:t xml:space="preserve">within the </w:t>
      </w:r>
      <w:r w:rsidR="0056616A" w:rsidRPr="007B0B58">
        <w:rPr>
          <w:rFonts w:ascii="Arial" w:hAnsi="Arial" w:cs="Arial"/>
        </w:rPr>
        <w:t>southeast</w:t>
      </w:r>
      <w:r w:rsidR="00653EAA" w:rsidRPr="007B0B58">
        <w:rPr>
          <w:rFonts w:ascii="Arial" w:hAnsi="Arial" w:cs="Arial"/>
        </w:rPr>
        <w:t xml:space="preserve"> sector of the </w:t>
      </w:r>
      <w:r w:rsidR="00982C56" w:rsidRPr="007B0B58">
        <w:rPr>
          <w:rFonts w:ascii="Arial" w:hAnsi="Arial" w:cs="Arial"/>
        </w:rPr>
        <w:t>Graylingwell Estate</w:t>
      </w:r>
      <w:r w:rsidR="00AD069B" w:rsidRPr="007B0B58">
        <w:rPr>
          <w:rFonts w:ascii="Arial" w:hAnsi="Arial" w:cs="Arial"/>
        </w:rPr>
        <w:t xml:space="preserve">. </w:t>
      </w:r>
      <w:r w:rsidR="00572540" w:rsidRPr="007B0B58">
        <w:rPr>
          <w:rFonts w:ascii="Arial" w:hAnsi="Arial" w:cs="Arial"/>
        </w:rPr>
        <w:t xml:space="preserve">The site’s </w:t>
      </w:r>
      <w:r w:rsidR="00BC5F5B">
        <w:rPr>
          <w:rFonts w:ascii="Arial" w:hAnsi="Arial" w:cs="Arial"/>
        </w:rPr>
        <w:t xml:space="preserve">greenfield </w:t>
      </w:r>
      <w:r w:rsidR="00572540" w:rsidRPr="007B0B58">
        <w:rPr>
          <w:rFonts w:ascii="Arial" w:hAnsi="Arial" w:cs="Arial"/>
        </w:rPr>
        <w:t xml:space="preserve">location, slightly separated from the main </w:t>
      </w:r>
      <w:r w:rsidR="00DB7798" w:rsidRPr="007B0B58">
        <w:rPr>
          <w:rFonts w:ascii="Arial" w:hAnsi="Arial" w:cs="Arial"/>
        </w:rPr>
        <w:t>estate</w:t>
      </w:r>
      <w:r w:rsidR="00572540" w:rsidRPr="007B0B58">
        <w:rPr>
          <w:rFonts w:ascii="Arial" w:hAnsi="Arial" w:cs="Arial"/>
        </w:rPr>
        <w:t xml:space="preserve">, </w:t>
      </w:r>
      <w:r w:rsidR="0051252E">
        <w:rPr>
          <w:rFonts w:ascii="Arial" w:hAnsi="Arial" w:cs="Arial"/>
        </w:rPr>
        <w:t>was</w:t>
      </w:r>
      <w:r w:rsidR="00572540" w:rsidRPr="007B0B58">
        <w:rPr>
          <w:rFonts w:ascii="Arial" w:hAnsi="Arial" w:cs="Arial"/>
        </w:rPr>
        <w:t xml:space="preserve"> considered to enable a higher density development</w:t>
      </w:r>
      <w:r w:rsidR="00890ECA" w:rsidRPr="007B0B58">
        <w:rPr>
          <w:rFonts w:ascii="Arial" w:hAnsi="Arial" w:cs="Arial"/>
        </w:rPr>
        <w:t xml:space="preserve"> and more traditional design that that developed </w:t>
      </w:r>
      <w:r w:rsidR="006F27CE" w:rsidRPr="007B0B58">
        <w:rPr>
          <w:rFonts w:ascii="Arial" w:hAnsi="Arial" w:cs="Arial"/>
        </w:rPr>
        <w:t>within more sensitive areas of the</w:t>
      </w:r>
      <w:r w:rsidR="00890ECA" w:rsidRPr="007B0B58">
        <w:rPr>
          <w:rFonts w:ascii="Arial" w:hAnsi="Arial" w:cs="Arial"/>
        </w:rPr>
        <w:t xml:space="preserve"> strategic </w:t>
      </w:r>
      <w:r w:rsidR="006F27CE" w:rsidRPr="007B0B58">
        <w:rPr>
          <w:rFonts w:ascii="Arial" w:hAnsi="Arial" w:cs="Arial"/>
        </w:rPr>
        <w:t>location</w:t>
      </w:r>
      <w:r w:rsidR="00890ECA" w:rsidRPr="007B0B58">
        <w:rPr>
          <w:rFonts w:ascii="Arial" w:hAnsi="Arial" w:cs="Arial"/>
        </w:rPr>
        <w:t xml:space="preserve"> to accommodate </w:t>
      </w:r>
      <w:r w:rsidR="006F27CE" w:rsidRPr="007B0B58">
        <w:rPr>
          <w:rFonts w:ascii="Arial" w:hAnsi="Arial" w:cs="Arial"/>
        </w:rPr>
        <w:t>retained</w:t>
      </w:r>
      <w:r w:rsidR="00890ECA" w:rsidRPr="007B0B58">
        <w:rPr>
          <w:rFonts w:ascii="Arial" w:hAnsi="Arial" w:cs="Arial"/>
        </w:rPr>
        <w:t xml:space="preserve"> historic </w:t>
      </w:r>
      <w:r w:rsidR="00A57E28" w:rsidRPr="007B0B58">
        <w:rPr>
          <w:rFonts w:ascii="Arial" w:hAnsi="Arial" w:cs="Arial"/>
        </w:rPr>
        <w:t>assets</w:t>
      </w:r>
      <w:r w:rsidR="00572540" w:rsidRPr="007B0B58">
        <w:rPr>
          <w:rFonts w:ascii="Arial" w:hAnsi="Arial" w:cs="Arial"/>
        </w:rPr>
        <w:t xml:space="preserve">. </w:t>
      </w:r>
      <w:r w:rsidR="00B63AB3" w:rsidRPr="007B0B58">
        <w:rPr>
          <w:rFonts w:ascii="Arial" w:hAnsi="Arial" w:cs="Arial"/>
        </w:rPr>
        <w:t xml:space="preserve">The </w:t>
      </w:r>
      <w:r w:rsidR="00C47D66" w:rsidRPr="007B0B58">
        <w:rPr>
          <w:rFonts w:ascii="Arial" w:hAnsi="Arial" w:cs="Arial"/>
        </w:rPr>
        <w:t xml:space="preserve">calculated net density for the Phase 9a development is </w:t>
      </w:r>
      <w:r w:rsidR="0017392D" w:rsidRPr="007B0B58">
        <w:rPr>
          <w:rFonts w:ascii="Arial" w:hAnsi="Arial" w:cs="Arial"/>
        </w:rPr>
        <w:t>48</w:t>
      </w:r>
      <w:r w:rsidR="00C47D66" w:rsidRPr="007B0B58">
        <w:rPr>
          <w:rFonts w:ascii="Arial" w:hAnsi="Arial" w:cs="Arial"/>
        </w:rPr>
        <w:t xml:space="preserve"> </w:t>
      </w:r>
      <w:proofErr w:type="spellStart"/>
      <w:r w:rsidR="00C47D66" w:rsidRPr="007B0B58">
        <w:rPr>
          <w:rFonts w:ascii="Arial" w:hAnsi="Arial" w:cs="Arial"/>
        </w:rPr>
        <w:t>dph</w:t>
      </w:r>
      <w:proofErr w:type="spellEnd"/>
      <w:r w:rsidR="00C47D66" w:rsidRPr="007B0B58">
        <w:rPr>
          <w:rFonts w:ascii="Arial" w:hAnsi="Arial" w:cs="Arial"/>
        </w:rPr>
        <w:t xml:space="preserve">, determined from a net development area of </w:t>
      </w:r>
      <w:r w:rsidR="00DB7798" w:rsidRPr="007B0B58">
        <w:rPr>
          <w:rFonts w:ascii="Arial" w:hAnsi="Arial" w:cs="Arial"/>
        </w:rPr>
        <w:t>2.21ha</w:t>
      </w:r>
      <w:r w:rsidR="00C47D66" w:rsidRPr="007B0B58">
        <w:rPr>
          <w:rFonts w:ascii="Arial" w:hAnsi="Arial" w:cs="Arial"/>
        </w:rPr>
        <w:t xml:space="preserve"> (reduced from the gross site area of 3.32ha). The net site area quoted within the application was 2.37ha, however, </w:t>
      </w:r>
      <w:r w:rsidR="00567F51" w:rsidRPr="007B0B58">
        <w:rPr>
          <w:rFonts w:ascii="Arial" w:hAnsi="Arial" w:cs="Arial"/>
        </w:rPr>
        <w:t>suggesting a</w:t>
      </w:r>
      <w:r w:rsidR="00C47D66" w:rsidRPr="007B0B58">
        <w:rPr>
          <w:rFonts w:ascii="Arial" w:hAnsi="Arial" w:cs="Arial"/>
        </w:rPr>
        <w:t xml:space="preserve"> lower net density of 45 </w:t>
      </w:r>
      <w:proofErr w:type="spellStart"/>
      <w:r w:rsidR="00C47D66" w:rsidRPr="007B0B58">
        <w:rPr>
          <w:rFonts w:ascii="Arial" w:hAnsi="Arial" w:cs="Arial"/>
        </w:rPr>
        <w:t>dph</w:t>
      </w:r>
      <w:proofErr w:type="spellEnd"/>
      <w:r w:rsidR="00C47D66" w:rsidRPr="007B0B58">
        <w:rPr>
          <w:rFonts w:ascii="Arial" w:hAnsi="Arial" w:cs="Arial"/>
        </w:rPr>
        <w:t>.</w:t>
      </w:r>
      <w:r w:rsidR="00567F51" w:rsidRPr="007B0B58">
        <w:rPr>
          <w:rFonts w:ascii="Arial" w:hAnsi="Arial" w:cs="Arial"/>
        </w:rPr>
        <w:t xml:space="preserve"> The application site includes a section for landscaping and drainage</w:t>
      </w:r>
      <w:r w:rsidR="00572540" w:rsidRPr="007B0B58">
        <w:rPr>
          <w:rFonts w:ascii="Arial" w:hAnsi="Arial" w:cs="Arial"/>
        </w:rPr>
        <w:t xml:space="preserve">, as well as the </w:t>
      </w:r>
      <w:r w:rsidR="00890ECA" w:rsidRPr="007B0B58">
        <w:rPr>
          <w:rFonts w:ascii="Arial" w:hAnsi="Arial" w:cs="Arial"/>
        </w:rPr>
        <w:t xml:space="preserve">Kingsmead Avenue </w:t>
      </w:r>
      <w:r w:rsidR="00572540" w:rsidRPr="007B0B58">
        <w:rPr>
          <w:rFonts w:ascii="Arial" w:hAnsi="Arial" w:cs="Arial"/>
        </w:rPr>
        <w:t>principal access road</w:t>
      </w:r>
      <w:r w:rsidR="00890ECA" w:rsidRPr="007B0B58">
        <w:rPr>
          <w:rFonts w:ascii="Arial" w:hAnsi="Arial" w:cs="Arial"/>
        </w:rPr>
        <w:t xml:space="preserve"> serving the broader estate</w:t>
      </w:r>
      <w:r w:rsidR="00572540" w:rsidRPr="007B0B58">
        <w:rPr>
          <w:rFonts w:ascii="Arial" w:hAnsi="Arial" w:cs="Arial"/>
        </w:rPr>
        <w:t xml:space="preserve">. As a result of accommodating these services and infrastructure, the higher density figure is considered to be the most accurate. </w:t>
      </w:r>
      <w:r w:rsidR="00C47D66" w:rsidRPr="007B0B58">
        <w:rPr>
          <w:rFonts w:ascii="Arial" w:hAnsi="Arial" w:cs="Arial"/>
        </w:rPr>
        <w:t xml:space="preserve">   </w:t>
      </w:r>
    </w:p>
    <w:p w14:paraId="2D02E930" w14:textId="21B511DD" w:rsidR="003D3C5A" w:rsidRDefault="00C013AB" w:rsidP="006753E0">
      <w:pPr>
        <w:jc w:val="both"/>
        <w:rPr>
          <w:rFonts w:ascii="Arial" w:hAnsi="Arial" w:cs="Arial"/>
        </w:rPr>
      </w:pPr>
      <w:r w:rsidRPr="007B0B58">
        <w:rPr>
          <w:rFonts w:ascii="Arial" w:hAnsi="Arial" w:cs="Arial"/>
        </w:rPr>
        <w:t xml:space="preserve">The officer’s </w:t>
      </w:r>
      <w:r w:rsidR="0025704E" w:rsidRPr="007B0B58">
        <w:rPr>
          <w:rFonts w:ascii="Arial" w:hAnsi="Arial" w:cs="Arial"/>
        </w:rPr>
        <w:t>report</w:t>
      </w:r>
      <w:r w:rsidRPr="007B0B58">
        <w:rPr>
          <w:rFonts w:ascii="Arial" w:hAnsi="Arial" w:cs="Arial"/>
        </w:rPr>
        <w:t xml:space="preserve"> reflect</w:t>
      </w:r>
      <w:r w:rsidR="0025704E" w:rsidRPr="007B0B58">
        <w:rPr>
          <w:rFonts w:ascii="Arial" w:hAnsi="Arial" w:cs="Arial"/>
        </w:rPr>
        <w:t>s</w:t>
      </w:r>
      <w:r w:rsidRPr="007B0B58">
        <w:rPr>
          <w:rFonts w:ascii="Arial" w:hAnsi="Arial" w:cs="Arial"/>
        </w:rPr>
        <w:t xml:space="preserve"> </w:t>
      </w:r>
      <w:r w:rsidR="00567F51" w:rsidRPr="007B0B58">
        <w:rPr>
          <w:rFonts w:ascii="Arial" w:hAnsi="Arial" w:cs="Arial"/>
        </w:rPr>
        <w:t xml:space="preserve">an earlier reserved matters approval had been secured for the development of 101 dwellings on the site. The scheme </w:t>
      </w:r>
      <w:r w:rsidR="0051252E">
        <w:rPr>
          <w:rFonts w:ascii="Arial" w:hAnsi="Arial" w:cs="Arial"/>
        </w:rPr>
        <w:t>was</w:t>
      </w:r>
      <w:r w:rsidR="00567F51" w:rsidRPr="007B0B58">
        <w:rPr>
          <w:rFonts w:ascii="Arial" w:hAnsi="Arial" w:cs="Arial"/>
        </w:rPr>
        <w:t xml:space="preserve"> redesigned</w:t>
      </w:r>
      <w:r w:rsidR="0070053F">
        <w:rPr>
          <w:rFonts w:ascii="Arial" w:hAnsi="Arial" w:cs="Arial"/>
        </w:rPr>
        <w:t xml:space="preserve"> </w:t>
      </w:r>
      <w:r w:rsidR="00567F51" w:rsidRPr="007B0B58">
        <w:rPr>
          <w:rFonts w:ascii="Arial" w:hAnsi="Arial" w:cs="Arial"/>
        </w:rPr>
        <w:t xml:space="preserve">in </w:t>
      </w:r>
      <w:r w:rsidRPr="007B0B58">
        <w:rPr>
          <w:rFonts w:ascii="Arial" w:hAnsi="Arial" w:cs="Arial"/>
        </w:rPr>
        <w:t>respon</w:t>
      </w:r>
      <w:r w:rsidR="00567F51" w:rsidRPr="007B0B58">
        <w:rPr>
          <w:rFonts w:ascii="Arial" w:hAnsi="Arial" w:cs="Arial"/>
        </w:rPr>
        <w:t>se</w:t>
      </w:r>
      <w:r w:rsidRPr="007B0B58">
        <w:rPr>
          <w:rFonts w:ascii="Arial" w:hAnsi="Arial" w:cs="Arial"/>
        </w:rPr>
        <w:t xml:space="preserve"> to market conditions </w:t>
      </w:r>
      <w:r w:rsidR="00567F51" w:rsidRPr="007B0B58">
        <w:rPr>
          <w:rFonts w:ascii="Arial" w:hAnsi="Arial" w:cs="Arial"/>
        </w:rPr>
        <w:t>in favour of smaller family market and affordable new homes</w:t>
      </w:r>
      <w:r w:rsidR="0070053F">
        <w:rPr>
          <w:rFonts w:ascii="Arial" w:hAnsi="Arial" w:cs="Arial"/>
        </w:rPr>
        <w:t xml:space="preserve"> </w:t>
      </w:r>
      <w:r w:rsidR="00572540" w:rsidRPr="007B0B58">
        <w:rPr>
          <w:rFonts w:ascii="Arial" w:hAnsi="Arial" w:cs="Arial"/>
        </w:rPr>
        <w:t>and now accommodates a larger number of dwellings at a higher density</w:t>
      </w:r>
      <w:r w:rsidR="00890ECA" w:rsidRPr="007B0B58">
        <w:rPr>
          <w:rFonts w:ascii="Arial" w:hAnsi="Arial" w:cs="Arial"/>
        </w:rPr>
        <w:t xml:space="preserve"> by</w:t>
      </w:r>
      <w:r w:rsidR="00572540" w:rsidRPr="007B0B58">
        <w:rPr>
          <w:rFonts w:ascii="Arial" w:hAnsi="Arial" w:cs="Arial"/>
        </w:rPr>
        <w:t xml:space="preserve"> substituting larger units for smaller ones</w:t>
      </w:r>
      <w:r w:rsidR="003D3C5A">
        <w:rPr>
          <w:rFonts w:ascii="Arial" w:hAnsi="Arial" w:cs="Arial"/>
        </w:rPr>
        <w:t>, with associated increase</w:t>
      </w:r>
      <w:r w:rsidR="0070053F">
        <w:rPr>
          <w:rFonts w:ascii="Arial" w:hAnsi="Arial" w:cs="Arial"/>
        </w:rPr>
        <w:t xml:space="preserve"> to</w:t>
      </w:r>
      <w:r w:rsidR="003D3C5A">
        <w:rPr>
          <w:rFonts w:ascii="Arial" w:hAnsi="Arial" w:cs="Arial"/>
        </w:rPr>
        <w:t xml:space="preserve"> open parking </w:t>
      </w:r>
      <w:r w:rsidR="0070053F">
        <w:rPr>
          <w:rFonts w:ascii="Arial" w:hAnsi="Arial" w:cs="Arial"/>
        </w:rPr>
        <w:t>due to</w:t>
      </w:r>
      <w:r w:rsidR="003D3C5A">
        <w:rPr>
          <w:rFonts w:ascii="Arial" w:hAnsi="Arial" w:cs="Arial"/>
        </w:rPr>
        <w:t xml:space="preserve"> loss of garaging</w:t>
      </w:r>
      <w:r w:rsidR="00572540" w:rsidRPr="007B0B58">
        <w:rPr>
          <w:rFonts w:ascii="Arial" w:hAnsi="Arial" w:cs="Arial"/>
        </w:rPr>
        <w:t xml:space="preserve">. The changes also enabled </w:t>
      </w:r>
      <w:r w:rsidR="003D3C5A">
        <w:rPr>
          <w:rFonts w:ascii="Arial" w:hAnsi="Arial" w:cs="Arial"/>
        </w:rPr>
        <w:t xml:space="preserve">a </w:t>
      </w:r>
      <w:r w:rsidR="00572540" w:rsidRPr="007B0B58">
        <w:rPr>
          <w:rFonts w:ascii="Arial" w:hAnsi="Arial" w:cs="Arial"/>
        </w:rPr>
        <w:t xml:space="preserve">reduction in the height of </w:t>
      </w:r>
      <w:r w:rsidR="00890ECA" w:rsidRPr="007B0B58">
        <w:rPr>
          <w:rFonts w:ascii="Arial" w:hAnsi="Arial" w:cs="Arial"/>
        </w:rPr>
        <w:t xml:space="preserve">previously 2.5 storey </w:t>
      </w:r>
      <w:r w:rsidR="006F27CE" w:rsidRPr="007B0B58">
        <w:rPr>
          <w:rFonts w:ascii="Arial" w:hAnsi="Arial" w:cs="Arial"/>
        </w:rPr>
        <w:t>houses</w:t>
      </w:r>
      <w:r w:rsidR="00890ECA" w:rsidRPr="007B0B58">
        <w:rPr>
          <w:rFonts w:ascii="Arial" w:hAnsi="Arial" w:cs="Arial"/>
        </w:rPr>
        <w:t xml:space="preserve"> to 2 </w:t>
      </w:r>
      <w:r w:rsidR="0056616A" w:rsidRPr="007B0B58">
        <w:rPr>
          <w:rFonts w:ascii="Arial" w:hAnsi="Arial" w:cs="Arial"/>
        </w:rPr>
        <w:t>storeys</w:t>
      </w:r>
      <w:r w:rsidR="00890ECA" w:rsidRPr="007B0B58">
        <w:rPr>
          <w:rFonts w:ascii="Arial" w:hAnsi="Arial" w:cs="Arial"/>
        </w:rPr>
        <w:t>.</w:t>
      </w:r>
      <w:r w:rsidR="00A237A2">
        <w:rPr>
          <w:rFonts w:ascii="Arial" w:hAnsi="Arial" w:cs="Arial"/>
        </w:rPr>
        <w:t xml:space="preserve"> The closer examination of permitted plans </w:t>
      </w:r>
      <w:r w:rsidR="0056616A">
        <w:rPr>
          <w:rFonts w:ascii="Arial" w:hAnsi="Arial" w:cs="Arial"/>
        </w:rPr>
        <w:t>suggests</w:t>
      </w:r>
      <w:r w:rsidR="00A237A2">
        <w:rPr>
          <w:rFonts w:ascii="Arial" w:hAnsi="Arial" w:cs="Arial"/>
        </w:rPr>
        <w:t xml:space="preserve"> all 3</w:t>
      </w:r>
      <w:r w:rsidR="00AD0D80">
        <w:rPr>
          <w:rFonts w:ascii="Arial" w:hAnsi="Arial" w:cs="Arial"/>
        </w:rPr>
        <w:t>-</w:t>
      </w:r>
      <w:r w:rsidR="00A237A2">
        <w:rPr>
          <w:rFonts w:ascii="Arial" w:hAnsi="Arial" w:cs="Arial"/>
        </w:rPr>
        <w:t xml:space="preserve">bedroom housing would fail to meet current NDSS, however, either due to GIA or bedroom dimensions. </w:t>
      </w:r>
      <w:r w:rsidR="00890ECA" w:rsidRPr="007B0B58">
        <w:rPr>
          <w:rFonts w:ascii="Arial" w:hAnsi="Arial" w:cs="Arial"/>
        </w:rPr>
        <w:t xml:space="preserve"> Flatted dwellings comprise 3 three storey blocks.</w:t>
      </w:r>
      <w:r w:rsidR="00A237A2">
        <w:rPr>
          <w:rFonts w:ascii="Arial" w:hAnsi="Arial" w:cs="Arial"/>
        </w:rPr>
        <w:t xml:space="preserve"> The majority of </w:t>
      </w:r>
      <w:r w:rsidR="0056616A">
        <w:rPr>
          <w:rFonts w:ascii="Arial" w:hAnsi="Arial" w:cs="Arial"/>
        </w:rPr>
        <w:t>2-bedroom</w:t>
      </w:r>
      <w:r w:rsidR="00A237A2">
        <w:rPr>
          <w:rFonts w:ascii="Arial" w:hAnsi="Arial" w:cs="Arial"/>
        </w:rPr>
        <w:t xml:space="preserve"> flats within the development would meet NDSS. </w:t>
      </w:r>
    </w:p>
    <w:p w14:paraId="71A2661A" w14:textId="3935021F" w:rsidR="005D0324" w:rsidRDefault="00334297" w:rsidP="006753E0">
      <w:pPr>
        <w:jc w:val="both"/>
        <w:rPr>
          <w:rFonts w:ascii="Arial" w:hAnsi="Arial" w:cs="Arial"/>
        </w:rPr>
      </w:pPr>
      <w:r w:rsidRPr="007B0B58">
        <w:rPr>
          <w:rFonts w:ascii="Arial" w:hAnsi="Arial" w:cs="Arial"/>
        </w:rPr>
        <w:lastRenderedPageBreak/>
        <w:t xml:space="preserve">The scale </w:t>
      </w:r>
      <w:r w:rsidR="006F27CE" w:rsidRPr="007B0B58">
        <w:rPr>
          <w:rFonts w:ascii="Arial" w:hAnsi="Arial" w:cs="Arial"/>
        </w:rPr>
        <w:t xml:space="preserve">and layout </w:t>
      </w:r>
      <w:r w:rsidRPr="007B0B58">
        <w:rPr>
          <w:rFonts w:ascii="Arial" w:hAnsi="Arial" w:cs="Arial"/>
        </w:rPr>
        <w:t xml:space="preserve">of buildings within </w:t>
      </w:r>
      <w:r w:rsidR="00900609" w:rsidRPr="007B0B58">
        <w:rPr>
          <w:rFonts w:ascii="Arial" w:hAnsi="Arial" w:cs="Arial"/>
        </w:rPr>
        <w:t xml:space="preserve">Phase 9a </w:t>
      </w:r>
      <w:r w:rsidRPr="007B0B58">
        <w:rPr>
          <w:rFonts w:ascii="Arial" w:hAnsi="Arial" w:cs="Arial"/>
        </w:rPr>
        <w:t>w</w:t>
      </w:r>
      <w:r w:rsidR="00900609" w:rsidRPr="007B0B58">
        <w:rPr>
          <w:rFonts w:ascii="Arial" w:hAnsi="Arial" w:cs="Arial"/>
        </w:rPr>
        <w:t>ere</w:t>
      </w:r>
      <w:r w:rsidR="00CA494A" w:rsidRPr="007B0B58">
        <w:rPr>
          <w:rFonts w:ascii="Arial" w:hAnsi="Arial" w:cs="Arial"/>
        </w:rPr>
        <w:t xml:space="preserve"> </w:t>
      </w:r>
      <w:r w:rsidR="003D3C5A">
        <w:rPr>
          <w:rFonts w:ascii="Arial" w:hAnsi="Arial" w:cs="Arial"/>
        </w:rPr>
        <w:t xml:space="preserve">purportedly </w:t>
      </w:r>
      <w:r w:rsidR="00CA494A" w:rsidRPr="007B0B58">
        <w:rPr>
          <w:rFonts w:ascii="Arial" w:hAnsi="Arial" w:cs="Arial"/>
        </w:rPr>
        <w:t>informed by characterisation studies</w:t>
      </w:r>
      <w:r w:rsidRPr="007B0B58">
        <w:rPr>
          <w:rFonts w:ascii="Arial" w:hAnsi="Arial" w:cs="Arial"/>
        </w:rPr>
        <w:t xml:space="preserve"> </w:t>
      </w:r>
      <w:r w:rsidR="00CA494A" w:rsidRPr="007B0B58">
        <w:rPr>
          <w:rFonts w:ascii="Arial" w:hAnsi="Arial" w:cs="Arial"/>
        </w:rPr>
        <w:t xml:space="preserve">and </w:t>
      </w:r>
      <w:r w:rsidR="00900609" w:rsidRPr="007B0B58">
        <w:rPr>
          <w:rFonts w:ascii="Arial" w:hAnsi="Arial" w:cs="Arial"/>
        </w:rPr>
        <w:t>set out in the outline masterplan</w:t>
      </w:r>
      <w:r w:rsidR="005D0324">
        <w:rPr>
          <w:rFonts w:ascii="Arial" w:hAnsi="Arial" w:cs="Arial"/>
        </w:rPr>
        <w:t xml:space="preserve"> (14/01018/OUT)</w:t>
      </w:r>
      <w:r w:rsidR="00900609" w:rsidRPr="007B0B58">
        <w:rPr>
          <w:rFonts w:ascii="Arial" w:hAnsi="Arial" w:cs="Arial"/>
        </w:rPr>
        <w:t xml:space="preserve">, designed to provide a sense of arrival to the broader development, defining its </w:t>
      </w:r>
      <w:r w:rsidR="0077205C">
        <w:rPr>
          <w:rFonts w:ascii="Arial" w:hAnsi="Arial" w:cs="Arial"/>
        </w:rPr>
        <w:t xml:space="preserve">rural </w:t>
      </w:r>
      <w:r w:rsidR="00900609" w:rsidRPr="007B0B58">
        <w:rPr>
          <w:rFonts w:ascii="Arial" w:hAnsi="Arial" w:cs="Arial"/>
        </w:rPr>
        <w:t>edge and framing and focusing views to the countryside.</w:t>
      </w:r>
      <w:r w:rsidR="00F12B7E">
        <w:rPr>
          <w:rFonts w:ascii="Arial" w:hAnsi="Arial" w:cs="Arial"/>
        </w:rPr>
        <w:t xml:space="preserve"> </w:t>
      </w:r>
      <w:r w:rsidR="003D3C5A">
        <w:rPr>
          <w:rFonts w:ascii="Arial" w:hAnsi="Arial" w:cs="Arial"/>
        </w:rPr>
        <w:t xml:space="preserve">The </w:t>
      </w:r>
      <w:r w:rsidR="00F12B7E">
        <w:rPr>
          <w:rFonts w:ascii="Arial" w:hAnsi="Arial" w:cs="Arial"/>
        </w:rPr>
        <w:t xml:space="preserve">densification of the </w:t>
      </w:r>
      <w:r w:rsidR="00900609" w:rsidRPr="007B0B58">
        <w:rPr>
          <w:rFonts w:ascii="Arial" w:hAnsi="Arial" w:cs="Arial"/>
        </w:rPr>
        <w:t>built area,</w:t>
      </w:r>
      <w:r w:rsidR="00F12B7E">
        <w:rPr>
          <w:rFonts w:ascii="Arial" w:hAnsi="Arial" w:cs="Arial"/>
        </w:rPr>
        <w:t xml:space="preserve"> </w:t>
      </w:r>
      <w:r w:rsidR="003D3C5A">
        <w:rPr>
          <w:rFonts w:ascii="Arial" w:hAnsi="Arial" w:cs="Arial"/>
        </w:rPr>
        <w:t xml:space="preserve">in conjunction with use </w:t>
      </w:r>
      <w:r w:rsidR="00963A1F">
        <w:rPr>
          <w:rFonts w:ascii="Arial" w:hAnsi="Arial" w:cs="Arial"/>
        </w:rPr>
        <w:t xml:space="preserve">of </w:t>
      </w:r>
      <w:r w:rsidR="003D3C5A">
        <w:rPr>
          <w:rFonts w:ascii="Arial" w:hAnsi="Arial" w:cs="Arial"/>
        </w:rPr>
        <w:t xml:space="preserve">less innovative, more standard housing types, </w:t>
      </w:r>
      <w:r w:rsidR="00F12B7E">
        <w:rPr>
          <w:rFonts w:ascii="Arial" w:hAnsi="Arial" w:cs="Arial"/>
        </w:rPr>
        <w:t xml:space="preserve">may have resulted in compromises to residential amenity and visual amenity, </w:t>
      </w:r>
      <w:r w:rsidR="0070053F">
        <w:rPr>
          <w:rFonts w:ascii="Arial" w:hAnsi="Arial" w:cs="Arial"/>
        </w:rPr>
        <w:t xml:space="preserve">however, </w:t>
      </w:r>
      <w:r w:rsidR="00F12B7E">
        <w:rPr>
          <w:rFonts w:ascii="Arial" w:hAnsi="Arial" w:cs="Arial"/>
        </w:rPr>
        <w:t>reducing t</w:t>
      </w:r>
      <w:r w:rsidR="003D3C5A">
        <w:rPr>
          <w:rFonts w:ascii="Arial" w:hAnsi="Arial" w:cs="Arial"/>
        </w:rPr>
        <w:t>he</w:t>
      </w:r>
      <w:r w:rsidR="00F12B7E">
        <w:rPr>
          <w:rFonts w:ascii="Arial" w:hAnsi="Arial" w:cs="Arial"/>
        </w:rPr>
        <w:t xml:space="preserve"> overall success of the scheme</w:t>
      </w:r>
      <w:r w:rsidR="003D3C5A">
        <w:rPr>
          <w:rFonts w:ascii="Arial" w:hAnsi="Arial" w:cs="Arial"/>
        </w:rPr>
        <w:t xml:space="preserve"> and is coherence with the broader development and surroundings</w:t>
      </w:r>
      <w:r w:rsidR="00F12B7E">
        <w:rPr>
          <w:rFonts w:ascii="Arial" w:hAnsi="Arial" w:cs="Arial"/>
        </w:rPr>
        <w:t xml:space="preserve">.  </w:t>
      </w:r>
    </w:p>
    <w:p w14:paraId="59BD8408" w14:textId="55D69B06" w:rsidR="00B657DD" w:rsidRDefault="00B657DD" w:rsidP="006753E0">
      <w:pPr>
        <w:jc w:val="both"/>
        <w:rPr>
          <w:rFonts w:ascii="Arial" w:hAnsi="Arial" w:cs="Arial"/>
        </w:rPr>
      </w:pPr>
      <w:r>
        <w:rPr>
          <w:rFonts w:ascii="Arial" w:hAnsi="Arial" w:cs="Arial"/>
        </w:rPr>
        <w:t xml:space="preserve">By contrast, a </w:t>
      </w:r>
      <w:r w:rsidR="0056616A">
        <w:rPr>
          <w:rFonts w:ascii="Arial" w:hAnsi="Arial" w:cs="Arial"/>
        </w:rPr>
        <w:t>160-home</w:t>
      </w:r>
      <w:r>
        <w:rPr>
          <w:rFonts w:ascii="Arial" w:hAnsi="Arial" w:cs="Arial"/>
        </w:rPr>
        <w:t xml:space="preserve"> development at Land South of Graylingwell Drive is also within the Chichester City North strategic area, outside the Graylingwell Estate, but close</w:t>
      </w:r>
      <w:r w:rsidR="00F003F5">
        <w:rPr>
          <w:rFonts w:ascii="Arial" w:hAnsi="Arial" w:cs="Arial"/>
        </w:rPr>
        <w:t>r</w:t>
      </w:r>
      <w:r>
        <w:rPr>
          <w:rFonts w:ascii="Arial" w:hAnsi="Arial" w:cs="Arial"/>
        </w:rPr>
        <w:t xml:space="preserve"> to the re-developed </w:t>
      </w:r>
      <w:r w:rsidR="00F003F5">
        <w:rPr>
          <w:rFonts w:ascii="Arial" w:hAnsi="Arial" w:cs="Arial"/>
        </w:rPr>
        <w:t xml:space="preserve">former </w:t>
      </w:r>
      <w:r w:rsidR="001A6347">
        <w:rPr>
          <w:rFonts w:ascii="Arial" w:hAnsi="Arial" w:cs="Arial"/>
        </w:rPr>
        <w:t xml:space="preserve">Victorian </w:t>
      </w:r>
      <w:r w:rsidR="00F003F5">
        <w:rPr>
          <w:rFonts w:ascii="Arial" w:hAnsi="Arial" w:cs="Arial"/>
        </w:rPr>
        <w:t xml:space="preserve">hospital buildings and surrounding grounds. </w:t>
      </w:r>
      <w:r w:rsidR="001A6347">
        <w:rPr>
          <w:rFonts w:ascii="Arial" w:hAnsi="Arial" w:cs="Arial"/>
        </w:rPr>
        <w:t xml:space="preserve">The development is on previously developed land, </w:t>
      </w:r>
      <w:r w:rsidR="00BC5F5B">
        <w:rPr>
          <w:rFonts w:ascii="Arial" w:hAnsi="Arial" w:cs="Arial"/>
        </w:rPr>
        <w:t>comprising single storey NHS buildings, a sports pitch with derelict pavilion and a 19</w:t>
      </w:r>
      <w:r w:rsidR="00BC5F5B" w:rsidRPr="00BC5F5B">
        <w:rPr>
          <w:rFonts w:ascii="Arial" w:hAnsi="Arial" w:cs="Arial"/>
          <w:vertAlign w:val="superscript"/>
        </w:rPr>
        <w:t>th</w:t>
      </w:r>
      <w:r w:rsidR="00BC5F5B">
        <w:rPr>
          <w:rFonts w:ascii="Arial" w:hAnsi="Arial" w:cs="Arial"/>
        </w:rPr>
        <w:t xml:space="preserve"> Century farmhouse.  The eastern half of the site (</w:t>
      </w:r>
      <w:r w:rsidR="0051252E">
        <w:rPr>
          <w:rFonts w:ascii="Arial" w:hAnsi="Arial" w:cs="Arial"/>
        </w:rPr>
        <w:t xml:space="preserve">predominantly </w:t>
      </w:r>
      <w:r w:rsidR="00BC5F5B">
        <w:rPr>
          <w:rFonts w:ascii="Arial" w:hAnsi="Arial" w:cs="Arial"/>
        </w:rPr>
        <w:t>consisting of the sport pitch) lies within the Chichester Conservation Area, which also borders</w:t>
      </w:r>
      <w:r w:rsidR="0051252E">
        <w:rPr>
          <w:rFonts w:ascii="Arial" w:hAnsi="Arial" w:cs="Arial"/>
        </w:rPr>
        <w:t xml:space="preserve"> the site</w:t>
      </w:r>
      <w:r w:rsidR="00BC5F5B">
        <w:rPr>
          <w:rFonts w:ascii="Arial" w:hAnsi="Arial" w:cs="Arial"/>
        </w:rPr>
        <w:t xml:space="preserve"> to the north</w:t>
      </w:r>
      <w:r w:rsidR="005B5FB7">
        <w:rPr>
          <w:rFonts w:ascii="Arial" w:hAnsi="Arial" w:cs="Arial"/>
        </w:rPr>
        <w:t xml:space="preserve"> at Graylingwell Drive</w:t>
      </w:r>
      <w:r w:rsidR="00BC5F5B">
        <w:rPr>
          <w:rFonts w:ascii="Arial" w:hAnsi="Arial" w:cs="Arial"/>
        </w:rPr>
        <w:t xml:space="preserve">. Outline permission </w:t>
      </w:r>
      <w:r w:rsidR="00A05A2E">
        <w:rPr>
          <w:rFonts w:ascii="Arial" w:hAnsi="Arial" w:cs="Arial"/>
        </w:rPr>
        <w:t xml:space="preserve">(15/00743/OUT) </w:t>
      </w:r>
      <w:r w:rsidR="00BC5F5B">
        <w:rPr>
          <w:rFonts w:ascii="Arial" w:hAnsi="Arial" w:cs="Arial"/>
        </w:rPr>
        <w:t xml:space="preserve">included retention and improvement of the sports pitch, </w:t>
      </w:r>
      <w:r w:rsidR="0056616A">
        <w:rPr>
          <w:rFonts w:ascii="Arial" w:hAnsi="Arial" w:cs="Arial"/>
        </w:rPr>
        <w:t>pavilion,</w:t>
      </w:r>
      <w:r w:rsidR="00BC5F5B">
        <w:rPr>
          <w:rFonts w:ascii="Arial" w:hAnsi="Arial" w:cs="Arial"/>
        </w:rPr>
        <w:t xml:space="preserve"> and farmhouse</w:t>
      </w:r>
      <w:r w:rsidR="005B5FB7">
        <w:rPr>
          <w:rFonts w:ascii="Arial" w:hAnsi="Arial" w:cs="Arial"/>
        </w:rPr>
        <w:t>.</w:t>
      </w:r>
    </w:p>
    <w:p w14:paraId="5D05762C" w14:textId="295A76AF" w:rsidR="00B657DD" w:rsidRPr="00B657DD" w:rsidRDefault="002A0E34" w:rsidP="006753E0">
      <w:pPr>
        <w:keepNext/>
        <w:jc w:val="both"/>
      </w:pPr>
      <w:r>
        <w:rPr>
          <w:rFonts w:eastAsia="Times New Roman"/>
          <w:noProof/>
        </w:rPr>
        <w:lastRenderedPageBreak/>
        <w:drawing>
          <wp:inline distT="0" distB="0" distL="0" distR="0" wp14:anchorId="5301F2F2" wp14:editId="285217FD">
            <wp:extent cx="4394195" cy="3295556"/>
            <wp:effectExtent l="0" t="0" r="6985" b="635"/>
            <wp:docPr id="4" name="Picture 4" descr="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11024-A6EE-4648-B79E-9B286076398C" descr="IMG_3400.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408150" cy="3306022"/>
                    </a:xfrm>
                    <a:prstGeom prst="rect">
                      <a:avLst/>
                    </a:prstGeom>
                    <a:noFill/>
                    <a:ln>
                      <a:noFill/>
                    </a:ln>
                  </pic:spPr>
                </pic:pic>
              </a:graphicData>
            </a:graphic>
          </wp:inline>
        </w:drawing>
      </w:r>
      <w:r w:rsidR="00B657DD" w:rsidRPr="00B657DD">
        <w:rPr>
          <w:noProof/>
        </w:rPr>
        <w:drawing>
          <wp:inline distT="0" distB="0" distL="0" distR="0" wp14:anchorId="44110BFB" wp14:editId="186CFDD2">
            <wp:extent cx="4364365" cy="327318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7889" cy="3298325"/>
                    </a:xfrm>
                    <a:prstGeom prst="rect">
                      <a:avLst/>
                    </a:prstGeom>
                    <a:noFill/>
                    <a:ln>
                      <a:noFill/>
                    </a:ln>
                  </pic:spPr>
                </pic:pic>
              </a:graphicData>
            </a:graphic>
          </wp:inline>
        </w:drawing>
      </w:r>
    </w:p>
    <w:p w14:paraId="341ECBB4" w14:textId="35935598" w:rsidR="002A0E34" w:rsidRDefault="002A0E34" w:rsidP="006753E0">
      <w:pPr>
        <w:keepNext/>
        <w:jc w:val="both"/>
      </w:pPr>
    </w:p>
    <w:p w14:paraId="720ADF47" w14:textId="35BA93D9" w:rsidR="002A0E34" w:rsidRDefault="002A0E34" w:rsidP="006753E0">
      <w:pPr>
        <w:pStyle w:val="Caption"/>
        <w:jc w:val="both"/>
      </w:pPr>
      <w:r>
        <w:t>Figure</w:t>
      </w:r>
      <w:r w:rsidR="00B657DD">
        <w:t xml:space="preserve"> </w:t>
      </w:r>
      <w:r w:rsidR="0058663C">
        <w:t>D</w:t>
      </w:r>
      <w:r w:rsidR="00B657DD">
        <w:t xml:space="preserve">3: </w:t>
      </w:r>
      <w:r>
        <w:t xml:space="preserve">Graylingwell Phase 9a </w:t>
      </w:r>
      <w:r w:rsidR="00020AA3">
        <w:t>from principal access road, with</w:t>
      </w:r>
      <w:r>
        <w:t xml:space="preserve"> 3 storey </w:t>
      </w:r>
      <w:proofErr w:type="gramStart"/>
      <w:r>
        <w:t>block</w:t>
      </w:r>
      <w:proofErr w:type="gramEnd"/>
      <w:r>
        <w:t xml:space="preserve"> in background</w:t>
      </w:r>
      <w:r w:rsidR="00B657DD">
        <w:t xml:space="preserve">; Figure </w:t>
      </w:r>
      <w:r w:rsidR="0058663C">
        <w:t>D</w:t>
      </w:r>
      <w:r w:rsidR="00B657DD">
        <w:t>4: Land south of Graylingwell Road (left, behind trees) viewed from Graylingwell</w:t>
      </w:r>
      <w:r w:rsidR="006772E7">
        <w:t xml:space="preserve"> Hospital Grounds</w:t>
      </w:r>
      <w:r w:rsidR="00963A1F">
        <w:t xml:space="preserve"> and Conservation Area</w:t>
      </w:r>
      <w:r w:rsidR="00B657DD">
        <w:t xml:space="preserve">, with Graylingwell </w:t>
      </w:r>
      <w:r w:rsidR="001A6347">
        <w:t>Penny Acre development to right</w:t>
      </w:r>
    </w:p>
    <w:p w14:paraId="47B1FC66" w14:textId="06108D9F" w:rsidR="0077205C" w:rsidRDefault="005B5FB7" w:rsidP="006753E0">
      <w:pPr>
        <w:jc w:val="both"/>
        <w:rPr>
          <w:rFonts w:ascii="Arial" w:hAnsi="Arial" w:cs="Arial"/>
        </w:rPr>
      </w:pPr>
      <w:r w:rsidRPr="00B4197E">
        <w:rPr>
          <w:rFonts w:ascii="Arial" w:hAnsi="Arial" w:cs="Arial"/>
        </w:rPr>
        <w:t xml:space="preserve">The density of the Land south of Graylingwell site is lower than that of Phase 9a. Application 17/02571/REM established a developable area of approx. 4.6ha </w:t>
      </w:r>
      <w:r w:rsidR="007021B8" w:rsidRPr="00B4197E">
        <w:rPr>
          <w:rFonts w:ascii="Arial" w:hAnsi="Arial" w:cs="Arial"/>
        </w:rPr>
        <w:t xml:space="preserve">with an </w:t>
      </w:r>
      <w:r w:rsidRPr="00B4197E">
        <w:rPr>
          <w:rFonts w:ascii="Arial" w:hAnsi="Arial" w:cs="Arial"/>
        </w:rPr>
        <w:t>associated density of 35dph, once open space</w:t>
      </w:r>
      <w:r w:rsidR="007021B8" w:rsidRPr="00B4197E">
        <w:rPr>
          <w:rFonts w:ascii="Arial" w:hAnsi="Arial" w:cs="Arial"/>
        </w:rPr>
        <w:t xml:space="preserve"> provisions (which significantly exceed requirements) are accounted for</w:t>
      </w:r>
      <w:r w:rsidRPr="00B4197E">
        <w:rPr>
          <w:rFonts w:ascii="Arial" w:hAnsi="Arial" w:cs="Arial"/>
        </w:rPr>
        <w:t xml:space="preserve">. This </w:t>
      </w:r>
      <w:r w:rsidR="007021B8" w:rsidRPr="00B4197E">
        <w:rPr>
          <w:rFonts w:ascii="Arial" w:hAnsi="Arial" w:cs="Arial"/>
        </w:rPr>
        <w:t>is higher than the</w:t>
      </w:r>
      <w:r w:rsidRPr="00B4197E">
        <w:rPr>
          <w:rFonts w:ascii="Arial" w:hAnsi="Arial" w:cs="Arial"/>
        </w:rPr>
        <w:t xml:space="preserve"> </w:t>
      </w:r>
      <w:r w:rsidR="007021B8" w:rsidRPr="00B4197E">
        <w:rPr>
          <w:rFonts w:ascii="Arial" w:hAnsi="Arial" w:cs="Arial"/>
        </w:rPr>
        <w:t xml:space="preserve">study </w:t>
      </w:r>
      <w:r w:rsidRPr="00B4197E">
        <w:rPr>
          <w:rFonts w:ascii="Arial" w:hAnsi="Arial" w:cs="Arial"/>
        </w:rPr>
        <w:t>calculated density</w:t>
      </w:r>
      <w:r w:rsidR="007021B8" w:rsidRPr="00B4197E">
        <w:rPr>
          <w:rFonts w:ascii="Arial" w:hAnsi="Arial" w:cs="Arial"/>
        </w:rPr>
        <w:t xml:space="preserve"> of 32dph</w:t>
      </w:r>
      <w:r w:rsidR="0051252E" w:rsidRPr="00B4197E">
        <w:rPr>
          <w:rFonts w:ascii="Arial" w:hAnsi="Arial" w:cs="Arial"/>
        </w:rPr>
        <w:t>, reflecting the extent of the atypical open space provision</w:t>
      </w:r>
      <w:r w:rsidR="007021B8" w:rsidRPr="00B4197E">
        <w:rPr>
          <w:rFonts w:ascii="Arial" w:hAnsi="Arial" w:cs="Arial"/>
        </w:rPr>
        <w:t xml:space="preserve">. The building forms enable relatively high density within the residual developable area, </w:t>
      </w:r>
      <w:r w:rsidR="0077205C" w:rsidRPr="00B4197E">
        <w:rPr>
          <w:rFonts w:ascii="Arial" w:hAnsi="Arial" w:cs="Arial"/>
        </w:rPr>
        <w:t xml:space="preserve">however, </w:t>
      </w:r>
      <w:r w:rsidR="007021B8" w:rsidRPr="00B4197E">
        <w:rPr>
          <w:rFonts w:ascii="Arial" w:hAnsi="Arial" w:cs="Arial"/>
        </w:rPr>
        <w:t xml:space="preserve">comprising </w:t>
      </w:r>
      <w:r w:rsidR="0056616A">
        <w:rPr>
          <w:rFonts w:ascii="Arial" w:hAnsi="Arial" w:cs="Arial"/>
        </w:rPr>
        <w:t>four</w:t>
      </w:r>
      <w:r w:rsidR="007021B8" w:rsidRPr="00B4197E">
        <w:rPr>
          <w:rFonts w:ascii="Arial" w:hAnsi="Arial" w:cs="Arial"/>
        </w:rPr>
        <w:t xml:space="preserve"> </w:t>
      </w:r>
      <w:r w:rsidR="0056616A">
        <w:rPr>
          <w:rFonts w:ascii="Arial" w:hAnsi="Arial" w:cs="Arial"/>
        </w:rPr>
        <w:t>3-</w:t>
      </w:r>
      <w:r w:rsidR="007021B8" w:rsidRPr="00B4197E">
        <w:rPr>
          <w:rFonts w:ascii="Arial" w:hAnsi="Arial" w:cs="Arial"/>
        </w:rPr>
        <w:t xml:space="preserve">storey apartment blocks, with the remaining housing being </w:t>
      </w:r>
      <w:r w:rsidR="0056616A">
        <w:rPr>
          <w:rFonts w:ascii="Arial" w:hAnsi="Arial" w:cs="Arial"/>
        </w:rPr>
        <w:t>2</w:t>
      </w:r>
      <w:r w:rsidR="007021B8" w:rsidRPr="00B4197E">
        <w:rPr>
          <w:rFonts w:ascii="Arial" w:hAnsi="Arial" w:cs="Arial"/>
        </w:rPr>
        <w:t>-storey.  The layout of the site was subject to considerable scrutiny</w:t>
      </w:r>
      <w:r w:rsidR="0051252E" w:rsidRPr="00B4197E">
        <w:rPr>
          <w:rFonts w:ascii="Arial" w:hAnsi="Arial" w:cs="Arial"/>
        </w:rPr>
        <w:t>, with amendments to the illustrative masterplan to locate the apartment blocks adjacent to Graylingwell Drive, grouping the highest buildings where they are seen in the context of equivalent 3</w:t>
      </w:r>
      <w:r w:rsidR="0056616A">
        <w:rPr>
          <w:rFonts w:ascii="Arial" w:hAnsi="Arial" w:cs="Arial"/>
        </w:rPr>
        <w:t>-</w:t>
      </w:r>
      <w:r w:rsidR="0051252E" w:rsidRPr="00B4197E">
        <w:rPr>
          <w:rFonts w:ascii="Arial" w:hAnsi="Arial" w:cs="Arial"/>
        </w:rPr>
        <w:t>storey development on the main Graylingwell Park site to the north.</w:t>
      </w:r>
      <w:r w:rsidR="00A237A2">
        <w:rPr>
          <w:rFonts w:ascii="Arial" w:hAnsi="Arial" w:cs="Arial"/>
        </w:rPr>
        <w:t xml:space="preserve"> Analysis of permitted plans for 2</w:t>
      </w:r>
      <w:r w:rsidR="0056616A">
        <w:rPr>
          <w:rFonts w:ascii="Arial" w:hAnsi="Arial" w:cs="Arial"/>
        </w:rPr>
        <w:t>-</w:t>
      </w:r>
      <w:r w:rsidR="00A237A2">
        <w:rPr>
          <w:rFonts w:ascii="Arial" w:hAnsi="Arial" w:cs="Arial"/>
        </w:rPr>
        <w:t>bedroom flats and 3</w:t>
      </w:r>
      <w:r w:rsidR="0056616A">
        <w:rPr>
          <w:rFonts w:ascii="Arial" w:hAnsi="Arial" w:cs="Arial"/>
        </w:rPr>
        <w:t>-</w:t>
      </w:r>
      <w:r w:rsidR="00A237A2">
        <w:rPr>
          <w:rFonts w:ascii="Arial" w:hAnsi="Arial" w:cs="Arial"/>
        </w:rPr>
        <w:t>bedroom houses within the development reveal that the dwellings would all meet NDSS.</w:t>
      </w:r>
    </w:p>
    <w:p w14:paraId="66DD6718" w14:textId="4415BC44" w:rsidR="00397CDA" w:rsidRPr="00A237A2" w:rsidRDefault="00397CDA" w:rsidP="006753E0">
      <w:pPr>
        <w:jc w:val="both"/>
        <w:rPr>
          <w:rFonts w:ascii="Arial" w:hAnsi="Arial" w:cs="Arial"/>
        </w:rPr>
      </w:pPr>
      <w:r>
        <w:rPr>
          <w:rFonts w:ascii="Arial" w:hAnsi="Arial" w:cs="Arial"/>
        </w:rPr>
        <w:lastRenderedPageBreak/>
        <w:t xml:space="preserve">The comparison of the two sites within the broader strategic development area demonstrates the varying successes of schemes incorporating higher density housing, especially </w:t>
      </w:r>
      <w:r w:rsidR="005168B4">
        <w:rPr>
          <w:rFonts w:ascii="Arial" w:hAnsi="Arial" w:cs="Arial"/>
        </w:rPr>
        <w:t>3</w:t>
      </w:r>
      <w:r w:rsidR="0056616A">
        <w:rPr>
          <w:rFonts w:ascii="Arial" w:hAnsi="Arial" w:cs="Arial"/>
        </w:rPr>
        <w:t>-</w:t>
      </w:r>
      <w:r w:rsidR="005168B4">
        <w:rPr>
          <w:rFonts w:ascii="Arial" w:hAnsi="Arial" w:cs="Arial"/>
        </w:rPr>
        <w:t xml:space="preserve">storey </w:t>
      </w:r>
      <w:r>
        <w:rPr>
          <w:rFonts w:ascii="Arial" w:hAnsi="Arial" w:cs="Arial"/>
        </w:rPr>
        <w:t>apartment blocks. Consideration of the surrounding historic environment</w:t>
      </w:r>
      <w:r w:rsidR="005168B4">
        <w:rPr>
          <w:rFonts w:ascii="Arial" w:hAnsi="Arial" w:cs="Arial"/>
        </w:rPr>
        <w:t xml:space="preserve"> and provision of open space</w:t>
      </w:r>
      <w:r>
        <w:rPr>
          <w:rFonts w:ascii="Arial" w:hAnsi="Arial" w:cs="Arial"/>
        </w:rPr>
        <w:t xml:space="preserve"> influenced the design and layout of adjacent buildings within the Land south of Graylingwell sites,</w:t>
      </w:r>
      <w:r w:rsidR="003C37CB">
        <w:rPr>
          <w:rFonts w:ascii="Arial" w:hAnsi="Arial" w:cs="Arial"/>
        </w:rPr>
        <w:t xml:space="preserve"> arguably </w:t>
      </w:r>
      <w:r w:rsidR="0070053F">
        <w:rPr>
          <w:rFonts w:ascii="Arial" w:hAnsi="Arial" w:cs="Arial"/>
        </w:rPr>
        <w:t xml:space="preserve">achieving a </w:t>
      </w:r>
      <w:r w:rsidR="003C37CB">
        <w:rPr>
          <w:rFonts w:ascii="Arial" w:hAnsi="Arial" w:cs="Arial"/>
        </w:rPr>
        <w:t>more successful</w:t>
      </w:r>
      <w:r w:rsidR="0070053F">
        <w:rPr>
          <w:rFonts w:ascii="Arial" w:hAnsi="Arial" w:cs="Arial"/>
        </w:rPr>
        <w:t xml:space="preserve"> scheme</w:t>
      </w:r>
      <w:r w:rsidR="003C37CB">
        <w:rPr>
          <w:rFonts w:ascii="Arial" w:hAnsi="Arial" w:cs="Arial"/>
        </w:rPr>
        <w:t>, albeit at lower density than the Phase 9a development.</w:t>
      </w:r>
    </w:p>
    <w:p w14:paraId="3A174368" w14:textId="77777777" w:rsidR="0077205C" w:rsidRPr="005B5FB7" w:rsidRDefault="0077205C" w:rsidP="006753E0">
      <w:pPr>
        <w:jc w:val="both"/>
      </w:pPr>
    </w:p>
    <w:p w14:paraId="2A930F14" w14:textId="0469DE4C" w:rsidR="007B743B" w:rsidRPr="007B0B58" w:rsidRDefault="00810FBA" w:rsidP="006753E0">
      <w:pPr>
        <w:jc w:val="both"/>
        <w:rPr>
          <w:rFonts w:ascii="Arial" w:hAnsi="Arial" w:cs="Arial"/>
          <w:b/>
          <w:bCs/>
        </w:rPr>
      </w:pPr>
      <w:r>
        <w:rPr>
          <w:rFonts w:ascii="Arial" w:hAnsi="Arial" w:cs="Arial"/>
          <w:b/>
          <w:bCs/>
        </w:rPr>
        <w:t>West of Chichester</w:t>
      </w:r>
      <w:r w:rsidR="00F05A10" w:rsidRPr="007B0B58">
        <w:rPr>
          <w:rFonts w:ascii="Arial" w:hAnsi="Arial" w:cs="Arial"/>
          <w:b/>
          <w:bCs/>
        </w:rPr>
        <w:t xml:space="preserve">: </w:t>
      </w:r>
      <w:r w:rsidR="005168B4">
        <w:rPr>
          <w:rFonts w:ascii="Arial" w:hAnsi="Arial" w:cs="Arial"/>
          <w:b/>
          <w:bCs/>
        </w:rPr>
        <w:t xml:space="preserve">Varied Housing Mix within </w:t>
      </w:r>
      <w:r w:rsidR="00F05A10" w:rsidRPr="007B0B58">
        <w:rPr>
          <w:rFonts w:ascii="Arial" w:hAnsi="Arial" w:cs="Arial"/>
          <w:b/>
          <w:bCs/>
        </w:rPr>
        <w:t xml:space="preserve">Greenfield </w:t>
      </w:r>
      <w:r w:rsidR="006E5632" w:rsidRPr="007B0B58">
        <w:rPr>
          <w:rFonts w:ascii="Arial" w:hAnsi="Arial" w:cs="Arial"/>
          <w:b/>
          <w:bCs/>
        </w:rPr>
        <w:t>Urban Extension</w:t>
      </w:r>
    </w:p>
    <w:p w14:paraId="0922ACF7" w14:textId="25B0D4F4" w:rsidR="00F86583" w:rsidRPr="007B0B58" w:rsidRDefault="00AB4B33" w:rsidP="006753E0">
      <w:pPr>
        <w:jc w:val="both"/>
        <w:rPr>
          <w:rFonts w:ascii="Arial" w:hAnsi="Arial" w:cs="Arial"/>
        </w:rPr>
      </w:pPr>
      <w:r w:rsidRPr="007B0B58">
        <w:rPr>
          <w:rFonts w:ascii="Arial" w:hAnsi="Arial" w:cs="Arial"/>
        </w:rPr>
        <w:t xml:space="preserve">The case study development relates to </w:t>
      </w:r>
      <w:r w:rsidR="0065497F" w:rsidRPr="007B0B58">
        <w:rPr>
          <w:rFonts w:ascii="Arial" w:hAnsi="Arial" w:cs="Arial"/>
        </w:rPr>
        <w:t xml:space="preserve">19/01531/REM, </w:t>
      </w:r>
      <w:r w:rsidRPr="007B0B58">
        <w:rPr>
          <w:rFonts w:ascii="Arial" w:hAnsi="Arial" w:cs="Arial"/>
        </w:rPr>
        <w:t>a r</w:t>
      </w:r>
      <w:r w:rsidR="00F86583" w:rsidRPr="007B0B58">
        <w:rPr>
          <w:rFonts w:ascii="Arial" w:hAnsi="Arial" w:cs="Arial"/>
        </w:rPr>
        <w:t xml:space="preserve">eserved matters application for </w:t>
      </w:r>
      <w:r w:rsidR="00DF28CB" w:rsidRPr="007B0B58">
        <w:rPr>
          <w:rFonts w:ascii="Arial" w:hAnsi="Arial" w:cs="Arial"/>
        </w:rPr>
        <w:t>91</w:t>
      </w:r>
      <w:r w:rsidR="00F86583" w:rsidRPr="007B0B58">
        <w:rPr>
          <w:rFonts w:ascii="Arial" w:hAnsi="Arial" w:cs="Arial"/>
        </w:rPr>
        <w:t xml:space="preserve"> dwellings,</w:t>
      </w:r>
      <w:r w:rsidR="001E6A0E">
        <w:rPr>
          <w:rFonts w:ascii="Arial" w:hAnsi="Arial" w:cs="Arial"/>
        </w:rPr>
        <w:t xml:space="preserve"> and 19/02626/REM for 29 dwellings,</w:t>
      </w:r>
      <w:r w:rsidR="00F86583" w:rsidRPr="007B0B58">
        <w:rPr>
          <w:rFonts w:ascii="Arial" w:hAnsi="Arial" w:cs="Arial"/>
        </w:rPr>
        <w:t xml:space="preserve"> part of Phase 1</w:t>
      </w:r>
      <w:r w:rsidRPr="007B0B58">
        <w:rPr>
          <w:rFonts w:ascii="Arial" w:hAnsi="Arial" w:cs="Arial"/>
        </w:rPr>
        <w:t>,</w:t>
      </w:r>
      <w:r w:rsidR="00F86583" w:rsidRPr="007B0B58">
        <w:rPr>
          <w:rFonts w:ascii="Arial" w:hAnsi="Arial" w:cs="Arial"/>
        </w:rPr>
        <w:t xml:space="preserve"> </w:t>
      </w:r>
      <w:r w:rsidR="008F1271" w:rsidRPr="007B0B58">
        <w:rPr>
          <w:rFonts w:ascii="Arial" w:hAnsi="Arial" w:cs="Arial"/>
        </w:rPr>
        <w:t>approved for up to 750 homes</w:t>
      </w:r>
      <w:r w:rsidRPr="007B0B58">
        <w:rPr>
          <w:rFonts w:ascii="Arial" w:hAnsi="Arial" w:cs="Arial"/>
        </w:rPr>
        <w:t>,</w:t>
      </w:r>
      <w:r w:rsidR="008F1271" w:rsidRPr="007B0B58">
        <w:rPr>
          <w:rFonts w:ascii="Arial" w:hAnsi="Arial" w:cs="Arial"/>
        </w:rPr>
        <w:t xml:space="preserve"> within </w:t>
      </w:r>
      <w:r w:rsidR="00F86583" w:rsidRPr="007B0B58">
        <w:rPr>
          <w:rFonts w:ascii="Arial" w:hAnsi="Arial" w:cs="Arial"/>
        </w:rPr>
        <w:t>the West of Chichester Strategic Development Location</w:t>
      </w:r>
      <w:r w:rsidR="00DF28CB" w:rsidRPr="007B0B58">
        <w:rPr>
          <w:rFonts w:ascii="Arial" w:hAnsi="Arial" w:cs="Arial"/>
        </w:rPr>
        <w:t>.</w:t>
      </w:r>
      <w:r w:rsidRPr="007B0B58">
        <w:rPr>
          <w:rFonts w:ascii="Arial" w:hAnsi="Arial" w:cs="Arial"/>
        </w:rPr>
        <w:t xml:space="preserve"> The overall SDL for mixed use development, including for 1600 new homes, is planned as a sustainable urban extension of Chichester City.</w:t>
      </w:r>
      <w:r w:rsidR="00F05A10" w:rsidRPr="007B0B58">
        <w:rPr>
          <w:rFonts w:ascii="Arial" w:hAnsi="Arial" w:cs="Arial"/>
        </w:rPr>
        <w:t xml:space="preserve"> </w:t>
      </w:r>
      <w:r w:rsidRPr="007B0B58">
        <w:rPr>
          <w:rFonts w:ascii="Arial" w:hAnsi="Arial" w:cs="Arial"/>
        </w:rPr>
        <w:t>The a</w:t>
      </w:r>
      <w:r w:rsidR="00F05A10" w:rsidRPr="007B0B58">
        <w:rPr>
          <w:rFonts w:ascii="Arial" w:hAnsi="Arial" w:cs="Arial"/>
        </w:rPr>
        <w:t>pplication site</w:t>
      </w:r>
      <w:r w:rsidR="001E6A0E">
        <w:rPr>
          <w:rFonts w:ascii="Arial" w:hAnsi="Arial" w:cs="Arial"/>
        </w:rPr>
        <w:t>s</w:t>
      </w:r>
      <w:r w:rsidR="00F05A10" w:rsidRPr="007B0B58">
        <w:rPr>
          <w:rFonts w:ascii="Arial" w:hAnsi="Arial" w:cs="Arial"/>
        </w:rPr>
        <w:t xml:space="preserve"> </w:t>
      </w:r>
      <w:r w:rsidRPr="007B0B58">
        <w:rPr>
          <w:rFonts w:ascii="Arial" w:hAnsi="Arial" w:cs="Arial"/>
        </w:rPr>
        <w:t xml:space="preserve">considered within this density study </w:t>
      </w:r>
      <w:r w:rsidR="00FE4641">
        <w:rPr>
          <w:rFonts w:ascii="Arial" w:hAnsi="Arial" w:cs="Arial"/>
        </w:rPr>
        <w:t>are</w:t>
      </w:r>
      <w:r w:rsidRPr="007B0B58">
        <w:rPr>
          <w:rFonts w:ascii="Arial" w:hAnsi="Arial" w:cs="Arial"/>
        </w:rPr>
        <w:t xml:space="preserve"> </w:t>
      </w:r>
      <w:r w:rsidR="00F05A10" w:rsidRPr="007B0B58">
        <w:rPr>
          <w:rFonts w:ascii="Arial" w:hAnsi="Arial" w:cs="Arial"/>
        </w:rPr>
        <w:t xml:space="preserve">located within the north of the Phase 1 site, </w:t>
      </w:r>
      <w:r w:rsidR="00FE4641">
        <w:rPr>
          <w:rFonts w:ascii="Arial" w:hAnsi="Arial" w:cs="Arial"/>
        </w:rPr>
        <w:t xml:space="preserve">either side of a central green corridor, </w:t>
      </w:r>
      <w:r w:rsidRPr="007B0B58">
        <w:rPr>
          <w:rFonts w:ascii="Arial" w:hAnsi="Arial" w:cs="Arial"/>
        </w:rPr>
        <w:t xml:space="preserve">and </w:t>
      </w:r>
      <w:r w:rsidR="00FE4641">
        <w:rPr>
          <w:rFonts w:ascii="Arial" w:hAnsi="Arial" w:cs="Arial"/>
        </w:rPr>
        <w:t>were</w:t>
      </w:r>
      <w:r w:rsidRPr="007B0B58">
        <w:rPr>
          <w:rFonts w:ascii="Arial" w:hAnsi="Arial" w:cs="Arial"/>
        </w:rPr>
        <w:t xml:space="preserve"> formerly </w:t>
      </w:r>
      <w:r w:rsidR="00F05A10" w:rsidRPr="007B0B58">
        <w:rPr>
          <w:rFonts w:ascii="Arial" w:hAnsi="Arial" w:cs="Arial"/>
        </w:rPr>
        <w:t>comprised of unfarmed agricultural land</w:t>
      </w:r>
      <w:r w:rsidRPr="007B0B58">
        <w:rPr>
          <w:rFonts w:ascii="Arial" w:hAnsi="Arial" w:cs="Arial"/>
        </w:rPr>
        <w:t>.</w:t>
      </w:r>
    </w:p>
    <w:p w14:paraId="4511A943" w14:textId="5B8103F3" w:rsidR="00AB4B33" w:rsidRPr="007B0B58" w:rsidRDefault="00AB4B33" w:rsidP="006753E0">
      <w:pPr>
        <w:jc w:val="both"/>
        <w:rPr>
          <w:rFonts w:ascii="Arial" w:hAnsi="Arial" w:cs="Arial"/>
        </w:rPr>
      </w:pPr>
      <w:r w:rsidRPr="007B0B58">
        <w:rPr>
          <w:rFonts w:ascii="Arial" w:hAnsi="Arial" w:cs="Arial"/>
        </w:rPr>
        <w:t xml:space="preserve">The permitted outline application </w:t>
      </w:r>
      <w:r w:rsidR="0065497F" w:rsidRPr="007B0B58">
        <w:rPr>
          <w:rFonts w:ascii="Arial" w:hAnsi="Arial" w:cs="Arial"/>
        </w:rPr>
        <w:t xml:space="preserve">(14/04301/OUT) </w:t>
      </w:r>
      <w:r w:rsidRPr="007B0B58">
        <w:rPr>
          <w:rFonts w:ascii="Arial" w:hAnsi="Arial" w:cs="Arial"/>
        </w:rPr>
        <w:t xml:space="preserve">included a </w:t>
      </w:r>
      <w:r w:rsidR="006E5632" w:rsidRPr="007B0B58">
        <w:rPr>
          <w:rFonts w:ascii="Arial" w:hAnsi="Arial" w:cs="Arial"/>
        </w:rPr>
        <w:t>Q</w:t>
      </w:r>
      <w:r w:rsidRPr="007B0B58">
        <w:rPr>
          <w:rFonts w:ascii="Arial" w:hAnsi="Arial" w:cs="Arial"/>
        </w:rPr>
        <w:t xml:space="preserve">uantum </w:t>
      </w:r>
      <w:r w:rsidR="006E5632" w:rsidRPr="007B0B58">
        <w:rPr>
          <w:rFonts w:ascii="Arial" w:hAnsi="Arial" w:cs="Arial"/>
        </w:rPr>
        <w:t>D</w:t>
      </w:r>
      <w:r w:rsidRPr="007B0B58">
        <w:rPr>
          <w:rFonts w:ascii="Arial" w:hAnsi="Arial" w:cs="Arial"/>
        </w:rPr>
        <w:t xml:space="preserve">evelopment parameter plan, </w:t>
      </w:r>
      <w:r w:rsidR="00EE6F62" w:rsidRPr="007B0B58">
        <w:rPr>
          <w:rFonts w:ascii="Arial" w:hAnsi="Arial" w:cs="Arial"/>
        </w:rPr>
        <w:t xml:space="preserve">which envisaged a range of densities throughout Phase 1, with higher densities (identified as 35-45dph) towards the centre of the site, through to lower densities (20-25dph) closer to the edges of the site. This approach was considered to respect landscape sensitivities and help to establish the development within its surroundings. Particular sensitivities noted included neighbouring Grade II-listed Whitehouse Farm </w:t>
      </w:r>
      <w:r w:rsidR="004A3FD4" w:rsidRPr="007B0B58">
        <w:rPr>
          <w:rFonts w:ascii="Arial" w:hAnsi="Arial" w:cs="Arial"/>
        </w:rPr>
        <w:t xml:space="preserve">and the off-road </w:t>
      </w:r>
      <w:r w:rsidR="00EE6F62" w:rsidRPr="007B0B58">
        <w:rPr>
          <w:rFonts w:ascii="Arial" w:hAnsi="Arial" w:cs="Arial"/>
        </w:rPr>
        <w:t>Centurion Way</w:t>
      </w:r>
      <w:r w:rsidR="004A3FD4" w:rsidRPr="007B0B58">
        <w:rPr>
          <w:rFonts w:ascii="Arial" w:hAnsi="Arial" w:cs="Arial"/>
        </w:rPr>
        <w:t xml:space="preserve"> cycle path to the east, as well as views to Chichester </w:t>
      </w:r>
      <w:r w:rsidR="006E5632" w:rsidRPr="007B0B58">
        <w:rPr>
          <w:rFonts w:ascii="Arial" w:hAnsi="Arial" w:cs="Arial"/>
        </w:rPr>
        <w:t>Cathe</w:t>
      </w:r>
      <w:r w:rsidR="00582121" w:rsidRPr="007B0B58">
        <w:rPr>
          <w:rFonts w:ascii="Arial" w:hAnsi="Arial" w:cs="Arial"/>
        </w:rPr>
        <w:t>d</w:t>
      </w:r>
      <w:r w:rsidR="006E5632" w:rsidRPr="007B0B58">
        <w:rPr>
          <w:rFonts w:ascii="Arial" w:hAnsi="Arial" w:cs="Arial"/>
        </w:rPr>
        <w:t>ral</w:t>
      </w:r>
      <w:r w:rsidR="004A3FD4" w:rsidRPr="007B0B58">
        <w:rPr>
          <w:rFonts w:ascii="Arial" w:hAnsi="Arial" w:cs="Arial"/>
        </w:rPr>
        <w:t xml:space="preserve">. Furthermore, the submitted Storey Height parameter plan proposed development of predominantly two storey dwellings to address concerns relating to impact on long distance views from the South Downs National Park. A range of character areas were identified within the </w:t>
      </w:r>
      <w:r w:rsidR="00C33CC0" w:rsidRPr="007B0B58">
        <w:rPr>
          <w:rFonts w:ascii="Arial" w:hAnsi="Arial" w:cs="Arial"/>
        </w:rPr>
        <w:t>P</w:t>
      </w:r>
      <w:r w:rsidR="004A3FD4" w:rsidRPr="007B0B58">
        <w:rPr>
          <w:rFonts w:ascii="Arial" w:hAnsi="Arial" w:cs="Arial"/>
        </w:rPr>
        <w:t xml:space="preserve">hase 1 development area, defined by existing vegetation and site features. </w:t>
      </w:r>
    </w:p>
    <w:p w14:paraId="51E46BC2" w14:textId="6FE7905C" w:rsidR="006E5632" w:rsidRPr="007B0B58" w:rsidRDefault="006E5632" w:rsidP="006753E0">
      <w:pPr>
        <w:jc w:val="both"/>
        <w:rPr>
          <w:rFonts w:ascii="Arial" w:hAnsi="Arial" w:cs="Arial"/>
        </w:rPr>
      </w:pPr>
      <w:r w:rsidRPr="007B0B58">
        <w:rPr>
          <w:rFonts w:ascii="Arial" w:hAnsi="Arial" w:cs="Arial"/>
        </w:rPr>
        <w:t xml:space="preserve">Reserved matters approval </w:t>
      </w:r>
      <w:r w:rsidR="001E6A0E">
        <w:rPr>
          <w:rFonts w:ascii="Arial" w:hAnsi="Arial" w:cs="Arial"/>
        </w:rPr>
        <w:t xml:space="preserve">for Phase 2B </w:t>
      </w:r>
      <w:r w:rsidRPr="007B0B58">
        <w:rPr>
          <w:rFonts w:ascii="Arial" w:hAnsi="Arial" w:cs="Arial"/>
        </w:rPr>
        <w:t>was grant</w:t>
      </w:r>
      <w:r w:rsidR="0065497F" w:rsidRPr="007B0B58">
        <w:rPr>
          <w:rFonts w:ascii="Arial" w:hAnsi="Arial" w:cs="Arial"/>
        </w:rPr>
        <w:t>ed</w:t>
      </w:r>
      <w:r w:rsidRPr="007B0B58">
        <w:rPr>
          <w:rFonts w:ascii="Arial" w:hAnsi="Arial" w:cs="Arial"/>
        </w:rPr>
        <w:t xml:space="preserve"> for a </w:t>
      </w:r>
      <w:r w:rsidR="00CA2A02" w:rsidRPr="007B0B58">
        <w:rPr>
          <w:rFonts w:ascii="Arial" w:hAnsi="Arial" w:cs="Arial"/>
        </w:rPr>
        <w:t>stated</w:t>
      </w:r>
      <w:r w:rsidRPr="007B0B58">
        <w:rPr>
          <w:rFonts w:ascii="Arial" w:hAnsi="Arial" w:cs="Arial"/>
        </w:rPr>
        <w:t xml:space="preserve"> overall site density</w:t>
      </w:r>
      <w:r w:rsidR="00F05A10" w:rsidRPr="007B0B58">
        <w:rPr>
          <w:rFonts w:ascii="Arial" w:hAnsi="Arial" w:cs="Arial"/>
        </w:rPr>
        <w:t xml:space="preserve"> of 31.5dph</w:t>
      </w:r>
      <w:r w:rsidRPr="007B0B58">
        <w:rPr>
          <w:rFonts w:ascii="Arial" w:hAnsi="Arial" w:cs="Arial"/>
        </w:rPr>
        <w:t xml:space="preserve"> for a site of 2.89ha. </w:t>
      </w:r>
      <w:r w:rsidR="00CA2A02" w:rsidRPr="007B0B58">
        <w:rPr>
          <w:rFonts w:ascii="Arial" w:hAnsi="Arial" w:cs="Arial"/>
        </w:rPr>
        <w:t xml:space="preserve">Closer analysis of approved details provides an alternative (net) residential area of 2.672ha within the land use plan, giving a density of 34 </w:t>
      </w:r>
      <w:proofErr w:type="spellStart"/>
      <w:r w:rsidR="00CA2A02" w:rsidRPr="007B0B58">
        <w:rPr>
          <w:rFonts w:ascii="Arial" w:hAnsi="Arial" w:cs="Arial"/>
        </w:rPr>
        <w:t>dph</w:t>
      </w:r>
      <w:proofErr w:type="spellEnd"/>
      <w:r w:rsidR="00CA2A02" w:rsidRPr="007B0B58">
        <w:rPr>
          <w:rFonts w:ascii="Arial" w:hAnsi="Arial" w:cs="Arial"/>
        </w:rPr>
        <w:t xml:space="preserve">. This </w:t>
      </w:r>
      <w:proofErr w:type="gramStart"/>
      <w:r w:rsidR="004D1A9D">
        <w:rPr>
          <w:rFonts w:ascii="Arial" w:hAnsi="Arial" w:cs="Arial"/>
        </w:rPr>
        <w:t>takes into account</w:t>
      </w:r>
      <w:proofErr w:type="gramEnd"/>
      <w:r w:rsidR="00CA2A02" w:rsidRPr="007B0B58">
        <w:rPr>
          <w:rFonts w:ascii="Arial" w:hAnsi="Arial" w:cs="Arial"/>
        </w:rPr>
        <w:t xml:space="preserve"> 0.218ha </w:t>
      </w:r>
      <w:r w:rsidR="004D1A9D">
        <w:rPr>
          <w:rFonts w:ascii="Arial" w:hAnsi="Arial" w:cs="Arial"/>
        </w:rPr>
        <w:t xml:space="preserve">of </w:t>
      </w:r>
      <w:r w:rsidR="00CA2A02" w:rsidRPr="007B0B58">
        <w:rPr>
          <w:rFonts w:ascii="Arial" w:hAnsi="Arial" w:cs="Arial"/>
        </w:rPr>
        <w:t>open space provision</w:t>
      </w:r>
      <w:r w:rsidR="00022067" w:rsidRPr="007B0B58">
        <w:rPr>
          <w:rFonts w:ascii="Arial" w:hAnsi="Arial" w:cs="Arial"/>
        </w:rPr>
        <w:t>.</w:t>
      </w:r>
      <w:r w:rsidR="00CA2A02" w:rsidRPr="007B0B58">
        <w:rPr>
          <w:rFonts w:ascii="Arial" w:hAnsi="Arial" w:cs="Arial"/>
        </w:rPr>
        <w:t xml:space="preserve"> </w:t>
      </w:r>
      <w:r w:rsidRPr="007B0B58">
        <w:rPr>
          <w:rFonts w:ascii="Arial" w:hAnsi="Arial" w:cs="Arial"/>
        </w:rPr>
        <w:t xml:space="preserve">This figure </w:t>
      </w:r>
      <w:r w:rsidR="00CA2A02" w:rsidRPr="007B0B58">
        <w:rPr>
          <w:rFonts w:ascii="Arial" w:hAnsi="Arial" w:cs="Arial"/>
        </w:rPr>
        <w:t>is lower tha</w:t>
      </w:r>
      <w:r w:rsidR="00022067" w:rsidRPr="007B0B58">
        <w:rPr>
          <w:rFonts w:ascii="Arial" w:hAnsi="Arial" w:cs="Arial"/>
        </w:rPr>
        <w:t>n</w:t>
      </w:r>
      <w:r w:rsidR="00CA2A02" w:rsidRPr="007B0B58">
        <w:rPr>
          <w:rFonts w:ascii="Arial" w:hAnsi="Arial" w:cs="Arial"/>
        </w:rPr>
        <w:t xml:space="preserve"> the</w:t>
      </w:r>
      <w:r w:rsidRPr="007B0B58">
        <w:rPr>
          <w:rFonts w:ascii="Arial" w:hAnsi="Arial" w:cs="Arial"/>
        </w:rPr>
        <w:t xml:space="preserve"> net density of </w:t>
      </w:r>
      <w:r w:rsidR="0017392D" w:rsidRPr="007B0B58">
        <w:rPr>
          <w:rFonts w:ascii="Arial" w:hAnsi="Arial" w:cs="Arial"/>
        </w:rPr>
        <w:t>39</w:t>
      </w:r>
      <w:r w:rsidR="0065497F" w:rsidRPr="007B0B58">
        <w:rPr>
          <w:rFonts w:ascii="Arial" w:hAnsi="Arial" w:cs="Arial"/>
        </w:rPr>
        <w:t xml:space="preserve"> </w:t>
      </w:r>
      <w:proofErr w:type="spellStart"/>
      <w:r w:rsidR="00F05A10" w:rsidRPr="007B0B58">
        <w:rPr>
          <w:rFonts w:ascii="Arial" w:hAnsi="Arial" w:cs="Arial"/>
        </w:rPr>
        <w:t>dph</w:t>
      </w:r>
      <w:proofErr w:type="spellEnd"/>
      <w:r w:rsidR="00516F24" w:rsidRPr="007B0B58">
        <w:rPr>
          <w:rFonts w:ascii="Arial" w:hAnsi="Arial" w:cs="Arial"/>
        </w:rPr>
        <w:t xml:space="preserve"> </w:t>
      </w:r>
      <w:r w:rsidRPr="007B0B58">
        <w:rPr>
          <w:rFonts w:ascii="Arial" w:hAnsi="Arial" w:cs="Arial"/>
        </w:rPr>
        <w:t>calculated within this</w:t>
      </w:r>
      <w:r w:rsidR="00516F24" w:rsidRPr="007B0B58">
        <w:rPr>
          <w:rFonts w:ascii="Arial" w:hAnsi="Arial" w:cs="Arial"/>
        </w:rPr>
        <w:t xml:space="preserve"> density study</w:t>
      </w:r>
      <w:r w:rsidR="00F740D4" w:rsidRPr="007B0B58">
        <w:rPr>
          <w:rFonts w:ascii="Arial" w:hAnsi="Arial" w:cs="Arial"/>
        </w:rPr>
        <w:t xml:space="preserve"> (</w:t>
      </w:r>
      <w:r w:rsidRPr="007B0B58">
        <w:rPr>
          <w:rFonts w:ascii="Arial" w:hAnsi="Arial" w:cs="Arial"/>
        </w:rPr>
        <w:t xml:space="preserve">based on </w:t>
      </w:r>
      <w:r w:rsidR="0065497F" w:rsidRPr="007B0B58">
        <w:rPr>
          <w:rFonts w:ascii="Arial" w:hAnsi="Arial" w:cs="Arial"/>
        </w:rPr>
        <w:t xml:space="preserve">a gross </w:t>
      </w:r>
      <w:r w:rsidR="00F740D4" w:rsidRPr="007B0B58">
        <w:rPr>
          <w:rFonts w:ascii="Arial" w:hAnsi="Arial" w:cs="Arial"/>
        </w:rPr>
        <w:t xml:space="preserve">site area of </w:t>
      </w:r>
      <w:r w:rsidR="0065497F" w:rsidRPr="007B0B58">
        <w:rPr>
          <w:rFonts w:ascii="Arial" w:hAnsi="Arial" w:cs="Arial"/>
        </w:rPr>
        <w:t>2.89</w:t>
      </w:r>
      <w:r w:rsidR="00F740D4" w:rsidRPr="007B0B58">
        <w:rPr>
          <w:rFonts w:ascii="Arial" w:hAnsi="Arial" w:cs="Arial"/>
        </w:rPr>
        <w:t>ha</w:t>
      </w:r>
      <w:r w:rsidR="0065497F" w:rsidRPr="007B0B58">
        <w:rPr>
          <w:rFonts w:ascii="Arial" w:hAnsi="Arial" w:cs="Arial"/>
        </w:rPr>
        <w:t>, and a derived net site area of 2.</w:t>
      </w:r>
      <w:r w:rsidR="0017392D" w:rsidRPr="007B0B58">
        <w:rPr>
          <w:rFonts w:ascii="Arial" w:hAnsi="Arial" w:cs="Arial"/>
        </w:rPr>
        <w:t>34ha</w:t>
      </w:r>
      <w:r w:rsidR="00CA2A02" w:rsidRPr="007B0B58">
        <w:rPr>
          <w:rFonts w:ascii="Arial" w:hAnsi="Arial" w:cs="Arial"/>
        </w:rPr>
        <w:t xml:space="preserve">, </w:t>
      </w:r>
      <w:r w:rsidR="00022067" w:rsidRPr="007B0B58">
        <w:rPr>
          <w:rFonts w:ascii="Arial" w:hAnsi="Arial" w:cs="Arial"/>
        </w:rPr>
        <w:t>accounting for</w:t>
      </w:r>
      <w:r w:rsidR="00CA2A02" w:rsidRPr="007B0B58">
        <w:rPr>
          <w:rFonts w:ascii="Arial" w:hAnsi="Arial" w:cs="Arial"/>
        </w:rPr>
        <w:t xml:space="preserve"> </w:t>
      </w:r>
      <w:r w:rsidR="00022067" w:rsidRPr="007B0B58">
        <w:rPr>
          <w:rFonts w:ascii="Arial" w:hAnsi="Arial" w:cs="Arial"/>
        </w:rPr>
        <w:t xml:space="preserve">both </w:t>
      </w:r>
      <w:r w:rsidR="00CA2A02" w:rsidRPr="007B0B58">
        <w:rPr>
          <w:rFonts w:ascii="Arial" w:hAnsi="Arial" w:cs="Arial"/>
        </w:rPr>
        <w:t>open space</w:t>
      </w:r>
      <w:r w:rsidR="00022067" w:rsidRPr="007B0B58">
        <w:rPr>
          <w:rFonts w:ascii="Arial" w:hAnsi="Arial" w:cs="Arial"/>
        </w:rPr>
        <w:t xml:space="preserve"> provision</w:t>
      </w:r>
      <w:r w:rsidR="00CA2A02" w:rsidRPr="007B0B58">
        <w:rPr>
          <w:rFonts w:ascii="Arial" w:hAnsi="Arial" w:cs="Arial"/>
        </w:rPr>
        <w:t xml:space="preserve"> a</w:t>
      </w:r>
      <w:r w:rsidR="001E4B0E" w:rsidRPr="007B0B58">
        <w:rPr>
          <w:rFonts w:ascii="Arial" w:hAnsi="Arial" w:cs="Arial"/>
        </w:rPr>
        <w:t xml:space="preserve">s well as applying a </w:t>
      </w:r>
      <w:r w:rsidR="00CA2A02" w:rsidRPr="007B0B58">
        <w:rPr>
          <w:rFonts w:ascii="Arial" w:hAnsi="Arial" w:cs="Arial"/>
        </w:rPr>
        <w:t>land area adjustment</w:t>
      </w:r>
      <w:r w:rsidR="00F740D4" w:rsidRPr="007B0B58">
        <w:rPr>
          <w:rFonts w:ascii="Arial" w:hAnsi="Arial" w:cs="Arial"/>
        </w:rPr>
        <w:t>)</w:t>
      </w:r>
      <w:r w:rsidR="00516F24" w:rsidRPr="007B0B58">
        <w:rPr>
          <w:rFonts w:ascii="Arial" w:hAnsi="Arial" w:cs="Arial"/>
        </w:rPr>
        <w:t>.</w:t>
      </w:r>
      <w:r w:rsidR="00022067" w:rsidRPr="007B0B58">
        <w:rPr>
          <w:rFonts w:ascii="Arial" w:hAnsi="Arial" w:cs="Arial"/>
        </w:rPr>
        <w:t xml:space="preserve"> It is considered that </w:t>
      </w:r>
      <w:r w:rsidR="001E4B0E" w:rsidRPr="007B0B58">
        <w:rPr>
          <w:rFonts w:ascii="Arial" w:hAnsi="Arial" w:cs="Arial"/>
        </w:rPr>
        <w:t xml:space="preserve">the </w:t>
      </w:r>
      <w:r w:rsidR="00022067" w:rsidRPr="007B0B58">
        <w:rPr>
          <w:rFonts w:ascii="Arial" w:hAnsi="Arial" w:cs="Arial"/>
        </w:rPr>
        <w:t xml:space="preserve">land area adjustment </w:t>
      </w:r>
      <w:r w:rsidR="0017392D" w:rsidRPr="007B0B58">
        <w:rPr>
          <w:rFonts w:ascii="Arial" w:hAnsi="Arial" w:cs="Arial"/>
        </w:rPr>
        <w:t>may be</w:t>
      </w:r>
      <w:r w:rsidR="00022067" w:rsidRPr="007B0B58">
        <w:rPr>
          <w:rFonts w:ascii="Arial" w:hAnsi="Arial" w:cs="Arial"/>
        </w:rPr>
        <w:t xml:space="preserve"> unnecessary in th</w:t>
      </w:r>
      <w:r w:rsidR="001817F1">
        <w:rPr>
          <w:rFonts w:ascii="Arial" w:hAnsi="Arial" w:cs="Arial"/>
        </w:rPr>
        <w:t>is</w:t>
      </w:r>
      <w:r w:rsidR="00022067" w:rsidRPr="007B0B58">
        <w:rPr>
          <w:rFonts w:ascii="Arial" w:hAnsi="Arial" w:cs="Arial"/>
        </w:rPr>
        <w:t xml:space="preserve"> case, with broader </w:t>
      </w:r>
      <w:r w:rsidR="001E4B0E" w:rsidRPr="007B0B58">
        <w:rPr>
          <w:rFonts w:ascii="Arial" w:hAnsi="Arial" w:cs="Arial"/>
        </w:rPr>
        <w:t xml:space="preserve">development </w:t>
      </w:r>
      <w:r w:rsidR="00022067" w:rsidRPr="007B0B58">
        <w:rPr>
          <w:rFonts w:ascii="Arial" w:hAnsi="Arial" w:cs="Arial"/>
        </w:rPr>
        <w:t>infrastructure and services</w:t>
      </w:r>
      <w:r w:rsidR="00CA2A02" w:rsidRPr="007B0B58">
        <w:rPr>
          <w:rFonts w:ascii="Arial" w:hAnsi="Arial" w:cs="Arial"/>
        </w:rPr>
        <w:t xml:space="preserve"> </w:t>
      </w:r>
      <w:r w:rsidR="001E4B0E" w:rsidRPr="007B0B58">
        <w:rPr>
          <w:rFonts w:ascii="Arial" w:hAnsi="Arial" w:cs="Arial"/>
        </w:rPr>
        <w:t xml:space="preserve">provided </w:t>
      </w:r>
      <w:r w:rsidR="00022067" w:rsidRPr="007B0B58">
        <w:rPr>
          <w:rFonts w:ascii="Arial" w:hAnsi="Arial" w:cs="Arial"/>
        </w:rPr>
        <w:t>offsite</w:t>
      </w:r>
      <w:r w:rsidR="001E4B0E" w:rsidRPr="007B0B58">
        <w:rPr>
          <w:rFonts w:ascii="Arial" w:hAnsi="Arial" w:cs="Arial"/>
        </w:rPr>
        <w:t>, including a spine road to the north of the site, and SANGs land to the west.</w:t>
      </w:r>
      <w:r w:rsidR="00022067" w:rsidRPr="007B0B58">
        <w:rPr>
          <w:rFonts w:ascii="Arial" w:hAnsi="Arial" w:cs="Arial"/>
        </w:rPr>
        <w:t xml:space="preserve"> </w:t>
      </w:r>
      <w:r w:rsidR="00CA2A02" w:rsidRPr="007B0B58">
        <w:rPr>
          <w:rFonts w:ascii="Arial" w:hAnsi="Arial" w:cs="Arial"/>
        </w:rPr>
        <w:t xml:space="preserve"> </w:t>
      </w:r>
      <w:r w:rsidR="00397DBB" w:rsidRPr="007B0B58">
        <w:rPr>
          <w:rFonts w:ascii="Arial" w:hAnsi="Arial" w:cs="Arial"/>
        </w:rPr>
        <w:t xml:space="preserve"> </w:t>
      </w:r>
      <w:r w:rsidR="001E4B0E" w:rsidRPr="007B0B58">
        <w:rPr>
          <w:rFonts w:ascii="Arial" w:hAnsi="Arial" w:cs="Arial"/>
        </w:rPr>
        <w:t>The</w:t>
      </w:r>
      <w:r w:rsidR="0017392D" w:rsidRPr="007B0B58">
        <w:rPr>
          <w:rFonts w:ascii="Arial" w:hAnsi="Arial" w:cs="Arial"/>
        </w:rPr>
        <w:t xml:space="preserve"> calculated</w:t>
      </w:r>
      <w:r w:rsidR="001E4B0E" w:rsidRPr="007B0B58">
        <w:rPr>
          <w:rFonts w:ascii="Arial" w:hAnsi="Arial" w:cs="Arial"/>
        </w:rPr>
        <w:t xml:space="preserve"> 3</w:t>
      </w:r>
      <w:r w:rsidR="0017392D" w:rsidRPr="007B0B58">
        <w:rPr>
          <w:rFonts w:ascii="Arial" w:hAnsi="Arial" w:cs="Arial"/>
        </w:rPr>
        <w:t>9</w:t>
      </w:r>
      <w:r w:rsidR="001E4B0E" w:rsidRPr="007B0B58">
        <w:rPr>
          <w:rFonts w:ascii="Arial" w:hAnsi="Arial" w:cs="Arial"/>
        </w:rPr>
        <w:t xml:space="preserve">dph density is </w:t>
      </w:r>
      <w:r w:rsidR="0017392D" w:rsidRPr="007B0B58">
        <w:rPr>
          <w:rFonts w:ascii="Arial" w:hAnsi="Arial" w:cs="Arial"/>
        </w:rPr>
        <w:t xml:space="preserve">most </w:t>
      </w:r>
      <w:r w:rsidR="001E4B0E" w:rsidRPr="007B0B58">
        <w:rPr>
          <w:rFonts w:ascii="Arial" w:hAnsi="Arial" w:cs="Arial"/>
        </w:rPr>
        <w:t xml:space="preserve">consistent with </w:t>
      </w:r>
      <w:r w:rsidR="00CA2A02" w:rsidRPr="007B0B58">
        <w:rPr>
          <w:rFonts w:ascii="Arial" w:hAnsi="Arial" w:cs="Arial"/>
        </w:rPr>
        <w:t>the previously a</w:t>
      </w:r>
      <w:r w:rsidR="00516F24" w:rsidRPr="007B0B58">
        <w:rPr>
          <w:rFonts w:ascii="Arial" w:hAnsi="Arial" w:cs="Arial"/>
        </w:rPr>
        <w:t>pproved quantum of development parameter plan</w:t>
      </w:r>
      <w:r w:rsidR="0017392D" w:rsidRPr="007B0B58">
        <w:rPr>
          <w:rFonts w:ascii="Arial" w:hAnsi="Arial" w:cs="Arial"/>
        </w:rPr>
        <w:t>, however</w:t>
      </w:r>
      <w:r w:rsidR="001E4B0E" w:rsidRPr="007B0B58">
        <w:rPr>
          <w:rFonts w:ascii="Arial" w:hAnsi="Arial" w:cs="Arial"/>
        </w:rPr>
        <w:t>.</w:t>
      </w:r>
      <w:r w:rsidR="00516F24" w:rsidRPr="007B0B58">
        <w:rPr>
          <w:rFonts w:ascii="Arial" w:hAnsi="Arial" w:cs="Arial"/>
        </w:rPr>
        <w:t xml:space="preserve"> </w:t>
      </w:r>
    </w:p>
    <w:p w14:paraId="2F4354B1" w14:textId="04E9E7AF" w:rsidR="00C33CC0" w:rsidRDefault="001E6A0E" w:rsidP="006753E0">
      <w:pPr>
        <w:jc w:val="both"/>
        <w:rPr>
          <w:rFonts w:ascii="Arial" w:hAnsi="Arial" w:cs="Arial"/>
        </w:rPr>
      </w:pPr>
      <w:r>
        <w:rPr>
          <w:rFonts w:ascii="Arial" w:hAnsi="Arial" w:cs="Arial"/>
        </w:rPr>
        <w:t>For Phase 2B, t</w:t>
      </w:r>
      <w:r w:rsidR="006E5632" w:rsidRPr="007B0B58">
        <w:rPr>
          <w:rFonts w:ascii="Arial" w:hAnsi="Arial" w:cs="Arial"/>
        </w:rPr>
        <w:t xml:space="preserve">he </w:t>
      </w:r>
      <w:r>
        <w:rPr>
          <w:rFonts w:ascii="Arial" w:hAnsi="Arial" w:cs="Arial"/>
        </w:rPr>
        <w:t>o</w:t>
      </w:r>
      <w:r w:rsidR="00516F24" w:rsidRPr="007B0B58">
        <w:rPr>
          <w:rFonts w:ascii="Arial" w:hAnsi="Arial" w:cs="Arial"/>
        </w:rPr>
        <w:t xml:space="preserve">fficer recommendation considered that the proposed </w:t>
      </w:r>
      <w:r w:rsidR="00C33CC0" w:rsidRPr="007B0B58">
        <w:rPr>
          <w:rFonts w:ascii="Arial" w:hAnsi="Arial" w:cs="Arial"/>
        </w:rPr>
        <w:t xml:space="preserve">building forms and layout (two storey dwellings arranged mainly as a mix of detached and semi-detached properties) </w:t>
      </w:r>
      <w:r w:rsidR="00516F24" w:rsidRPr="007B0B58">
        <w:rPr>
          <w:rFonts w:ascii="Arial" w:hAnsi="Arial" w:cs="Arial"/>
        </w:rPr>
        <w:t>comprise</w:t>
      </w:r>
      <w:r w:rsidR="006E5632" w:rsidRPr="007B0B58">
        <w:rPr>
          <w:rFonts w:ascii="Arial" w:hAnsi="Arial" w:cs="Arial"/>
        </w:rPr>
        <w:t>d</w:t>
      </w:r>
      <w:r w:rsidR="00516F24" w:rsidRPr="007B0B58">
        <w:rPr>
          <w:rFonts w:ascii="Arial" w:hAnsi="Arial" w:cs="Arial"/>
        </w:rPr>
        <w:t xml:space="preserve"> an appropriate response to the characteristics of the land parcel, which provide a semi-rural context to the development and have high visibility due to </w:t>
      </w:r>
      <w:r w:rsidR="00563E6B">
        <w:rPr>
          <w:rFonts w:ascii="Arial" w:hAnsi="Arial" w:cs="Arial"/>
        </w:rPr>
        <w:t xml:space="preserve">its </w:t>
      </w:r>
      <w:r w:rsidR="00516F24" w:rsidRPr="007B0B58">
        <w:rPr>
          <w:rFonts w:ascii="Arial" w:hAnsi="Arial" w:cs="Arial"/>
        </w:rPr>
        <w:t>topography</w:t>
      </w:r>
      <w:r w:rsidR="00020AA3">
        <w:rPr>
          <w:rFonts w:ascii="Arial" w:hAnsi="Arial" w:cs="Arial"/>
        </w:rPr>
        <w:t xml:space="preserve"> (see Figure 4)</w:t>
      </w:r>
      <w:r w:rsidR="00516F24" w:rsidRPr="007B0B58">
        <w:rPr>
          <w:rFonts w:ascii="Arial" w:hAnsi="Arial" w:cs="Arial"/>
        </w:rPr>
        <w:t>.</w:t>
      </w:r>
      <w:r w:rsidR="00B84D9F">
        <w:rPr>
          <w:rFonts w:ascii="Arial" w:hAnsi="Arial" w:cs="Arial"/>
        </w:rPr>
        <w:t xml:space="preserve"> This study determined, however, that the </w:t>
      </w:r>
      <w:r w:rsidR="00B84D9F">
        <w:rPr>
          <w:rFonts w:ascii="Arial" w:hAnsi="Arial" w:cs="Arial"/>
        </w:rPr>
        <w:lastRenderedPageBreak/>
        <w:t>approved plans for 3</w:t>
      </w:r>
      <w:r w:rsidR="00AD0D80">
        <w:rPr>
          <w:rFonts w:ascii="Arial" w:hAnsi="Arial" w:cs="Arial"/>
        </w:rPr>
        <w:t>-</w:t>
      </w:r>
      <w:r w:rsidR="00B84D9F">
        <w:rPr>
          <w:rFonts w:ascii="Arial" w:hAnsi="Arial" w:cs="Arial"/>
        </w:rPr>
        <w:t xml:space="preserve">bedroom houses would not </w:t>
      </w:r>
      <w:r w:rsidR="00AD0D80">
        <w:rPr>
          <w:rFonts w:ascii="Arial" w:hAnsi="Arial" w:cs="Arial"/>
        </w:rPr>
        <w:t>meet</w:t>
      </w:r>
      <w:r w:rsidR="00B84D9F">
        <w:rPr>
          <w:rFonts w:ascii="Arial" w:hAnsi="Arial" w:cs="Arial"/>
        </w:rPr>
        <w:t xml:space="preserve"> NDSS for 50% of the dwelling types. </w:t>
      </w:r>
      <w:r w:rsidR="00C33CC0" w:rsidRPr="007B0B58">
        <w:rPr>
          <w:rFonts w:ascii="Arial" w:hAnsi="Arial" w:cs="Arial"/>
        </w:rPr>
        <w:t xml:space="preserve"> </w:t>
      </w:r>
      <w:r w:rsidR="00B84D9F">
        <w:rPr>
          <w:rFonts w:ascii="Arial" w:hAnsi="Arial" w:cs="Arial"/>
        </w:rPr>
        <w:t>Regardless, t</w:t>
      </w:r>
      <w:r w:rsidR="00C33CC0" w:rsidRPr="007B0B58">
        <w:rPr>
          <w:rFonts w:ascii="Arial" w:hAnsi="Arial" w:cs="Arial"/>
        </w:rPr>
        <w:t>he layout was determined to comply with the previously approved Residential Architectural Design Strategy, required as a condition of the outline permission.</w:t>
      </w:r>
    </w:p>
    <w:p w14:paraId="6A4883F7" w14:textId="07F5DF71" w:rsidR="007D09B4" w:rsidRDefault="00FE4641" w:rsidP="006753E0">
      <w:pPr>
        <w:jc w:val="both"/>
        <w:rPr>
          <w:rFonts w:ascii="Arial" w:hAnsi="Arial" w:cs="Arial"/>
        </w:rPr>
      </w:pPr>
      <w:r>
        <w:rPr>
          <w:rFonts w:ascii="Arial" w:hAnsi="Arial" w:cs="Arial"/>
        </w:rPr>
        <w:t xml:space="preserve">By contrast, the calculated net density for Phase 3D was 46dph (based on </w:t>
      </w:r>
      <w:r w:rsidR="004D1A9D">
        <w:rPr>
          <w:rFonts w:ascii="Arial" w:hAnsi="Arial" w:cs="Arial"/>
        </w:rPr>
        <w:t>the</w:t>
      </w:r>
      <w:r>
        <w:rPr>
          <w:rFonts w:ascii="Arial" w:hAnsi="Arial" w:cs="Arial"/>
        </w:rPr>
        <w:t xml:space="preserve"> </w:t>
      </w:r>
      <w:r w:rsidR="004D1A9D">
        <w:rPr>
          <w:rFonts w:ascii="Arial" w:hAnsi="Arial" w:cs="Arial"/>
        </w:rPr>
        <w:t>stated</w:t>
      </w:r>
      <w:r>
        <w:rPr>
          <w:rFonts w:ascii="Arial" w:hAnsi="Arial" w:cs="Arial"/>
        </w:rPr>
        <w:t xml:space="preserve"> site area of 0.78ha, and a derived net site area of 0.63ha)</w:t>
      </w:r>
      <w:r w:rsidR="004D1A9D">
        <w:rPr>
          <w:rFonts w:ascii="Arial" w:hAnsi="Arial" w:cs="Arial"/>
        </w:rPr>
        <w:t xml:space="preserve">. </w:t>
      </w:r>
      <w:r w:rsidR="00A31037">
        <w:rPr>
          <w:rFonts w:ascii="Arial" w:hAnsi="Arial" w:cs="Arial"/>
        </w:rPr>
        <w:t>The officer stated net density was 39dph, however, determined from</w:t>
      </w:r>
      <w:r w:rsidR="004D1A9D">
        <w:rPr>
          <w:rFonts w:ascii="Arial" w:hAnsi="Arial" w:cs="Arial"/>
        </w:rPr>
        <w:t xml:space="preserve"> a net residential area of 0.748, with an additional 0.028 open space provision. </w:t>
      </w:r>
      <w:r w:rsidR="00A31037">
        <w:rPr>
          <w:rFonts w:ascii="Arial" w:hAnsi="Arial" w:cs="Arial"/>
        </w:rPr>
        <w:t xml:space="preserve">As with Phase 2B, the lower density figure does not include a land area adjustment but was considered to accord with the outline parameter plan.  The density of Phase 3D is higher than for Phase 2B as a result of </w:t>
      </w:r>
      <w:r w:rsidR="001F3464">
        <w:rPr>
          <w:rFonts w:ascii="Arial" w:hAnsi="Arial" w:cs="Arial"/>
        </w:rPr>
        <w:t>its design and housing mix, consisting of 2 and 3 storey buildings, including an L-shaped 3 storey flatted building providing a contemporary focal feature at the southeastern corner of the site</w:t>
      </w:r>
      <w:r w:rsidR="00020AA3">
        <w:rPr>
          <w:rFonts w:ascii="Arial" w:hAnsi="Arial" w:cs="Arial"/>
        </w:rPr>
        <w:t xml:space="preserve"> (see Figure 5)</w:t>
      </w:r>
      <w:r w:rsidR="001F3464">
        <w:rPr>
          <w:rFonts w:ascii="Arial" w:hAnsi="Arial" w:cs="Arial"/>
        </w:rPr>
        <w:t xml:space="preserve">. </w:t>
      </w:r>
      <w:r w:rsidR="003F0E42">
        <w:rPr>
          <w:rFonts w:ascii="Arial" w:hAnsi="Arial" w:cs="Arial"/>
        </w:rPr>
        <w:t>Permitted plans for 2</w:t>
      </w:r>
      <w:r w:rsidR="00AD0D80">
        <w:rPr>
          <w:rFonts w:ascii="Arial" w:hAnsi="Arial" w:cs="Arial"/>
        </w:rPr>
        <w:t>-</w:t>
      </w:r>
      <w:r w:rsidR="003F0E42">
        <w:rPr>
          <w:rFonts w:ascii="Arial" w:hAnsi="Arial" w:cs="Arial"/>
        </w:rPr>
        <w:t>bedroom flats therein were analysed to conform with NDSS, in contrast to housing, which similarly to Phase 2B, was found to not meet standards for the majority of 3</w:t>
      </w:r>
      <w:r w:rsidR="00AD0D80">
        <w:rPr>
          <w:rFonts w:ascii="Arial" w:hAnsi="Arial" w:cs="Arial"/>
        </w:rPr>
        <w:t>-</w:t>
      </w:r>
      <w:r w:rsidR="003F0E42">
        <w:rPr>
          <w:rFonts w:ascii="Arial" w:hAnsi="Arial" w:cs="Arial"/>
        </w:rPr>
        <w:t>bedroom dwelling types. Furthermore, t</w:t>
      </w:r>
      <w:r w:rsidR="001F3464">
        <w:rPr>
          <w:rFonts w:ascii="Arial" w:hAnsi="Arial" w:cs="Arial"/>
        </w:rPr>
        <w:t>he block’s design is consider</w:t>
      </w:r>
      <w:r w:rsidR="00F00CA7">
        <w:rPr>
          <w:rFonts w:ascii="Arial" w:hAnsi="Arial" w:cs="Arial"/>
        </w:rPr>
        <w:t>ed</w:t>
      </w:r>
      <w:r w:rsidR="001F3464">
        <w:rPr>
          <w:rFonts w:ascii="Arial" w:hAnsi="Arial" w:cs="Arial"/>
        </w:rPr>
        <w:t xml:space="preserve"> to appropriately respond to the adjacent green corridor, as well as provide a transition</w:t>
      </w:r>
      <w:r w:rsidR="00F00CA7">
        <w:rPr>
          <w:rFonts w:ascii="Arial" w:hAnsi="Arial" w:cs="Arial"/>
        </w:rPr>
        <w:t xml:space="preserve">al frontage for this part of the SDL, adjoining the </w:t>
      </w:r>
      <w:r w:rsidR="00AD0D80">
        <w:rPr>
          <w:rFonts w:ascii="Arial" w:hAnsi="Arial" w:cs="Arial"/>
        </w:rPr>
        <w:t>mixed-use</w:t>
      </w:r>
      <w:r w:rsidR="00F00CA7">
        <w:rPr>
          <w:rFonts w:ascii="Arial" w:hAnsi="Arial" w:cs="Arial"/>
        </w:rPr>
        <w:t xml:space="preserve"> Local Centre</w:t>
      </w:r>
      <w:r w:rsidR="006C7AD4">
        <w:rPr>
          <w:rFonts w:ascii="Arial" w:hAnsi="Arial" w:cs="Arial"/>
        </w:rPr>
        <w:t xml:space="preserve"> (to be developed)</w:t>
      </w:r>
      <w:r w:rsidR="00F00CA7">
        <w:rPr>
          <w:rFonts w:ascii="Arial" w:hAnsi="Arial" w:cs="Arial"/>
        </w:rPr>
        <w:t xml:space="preserve">. </w:t>
      </w:r>
      <w:r w:rsidR="005168B4">
        <w:rPr>
          <w:rFonts w:ascii="Arial" w:hAnsi="Arial" w:cs="Arial"/>
        </w:rPr>
        <w:t xml:space="preserve">The comparison of the two phases of the SDL </w:t>
      </w:r>
      <w:r w:rsidR="00AD0D80">
        <w:rPr>
          <w:rFonts w:ascii="Arial" w:hAnsi="Arial" w:cs="Arial"/>
        </w:rPr>
        <w:t>demonstrates</w:t>
      </w:r>
      <w:r w:rsidR="005168B4">
        <w:rPr>
          <w:rFonts w:ascii="Arial" w:hAnsi="Arial" w:cs="Arial"/>
        </w:rPr>
        <w:t xml:space="preserve"> the outcome of the developer’s strategic consideration of density at outline stage,</w:t>
      </w:r>
      <w:r w:rsidR="00BE7CF1">
        <w:rPr>
          <w:rFonts w:ascii="Arial" w:hAnsi="Arial" w:cs="Arial"/>
        </w:rPr>
        <w:t xml:space="preserve"> with dwelling layouts and forms</w:t>
      </w:r>
      <w:r w:rsidR="005168B4">
        <w:rPr>
          <w:rFonts w:ascii="Arial" w:hAnsi="Arial" w:cs="Arial"/>
        </w:rPr>
        <w:t xml:space="preserve"> responding to the prevailing topography and landscape of the greenfield site, </w:t>
      </w:r>
      <w:r w:rsidR="00BE7CF1">
        <w:rPr>
          <w:rFonts w:ascii="Arial" w:hAnsi="Arial" w:cs="Arial"/>
        </w:rPr>
        <w:t>and the use of</w:t>
      </w:r>
      <w:r w:rsidR="005168B4">
        <w:rPr>
          <w:rFonts w:ascii="Arial" w:hAnsi="Arial" w:cs="Arial"/>
        </w:rPr>
        <w:t xml:space="preserve"> apartment buildings in appropriate site locations enabling higher density schemes.  </w:t>
      </w:r>
    </w:p>
    <w:p w14:paraId="5FDF2B37" w14:textId="3BF4BE8E" w:rsidR="00F00CA7" w:rsidRDefault="00F00CA7" w:rsidP="006753E0">
      <w:pPr>
        <w:pStyle w:val="NormalWeb"/>
        <w:keepNext/>
        <w:jc w:val="both"/>
      </w:pPr>
      <w:r w:rsidRPr="00F00CA7">
        <w:rPr>
          <w:noProof/>
        </w:rPr>
        <w:drawing>
          <wp:inline distT="0" distB="0" distL="0" distR="0" wp14:anchorId="4CADF933" wp14:editId="11FC220C">
            <wp:extent cx="4284149" cy="2513803"/>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922"/>
                    <a:stretch/>
                  </pic:blipFill>
                  <pic:spPr bwMode="auto">
                    <a:xfrm>
                      <a:off x="0" y="0"/>
                      <a:ext cx="4326625" cy="2538727"/>
                    </a:xfrm>
                    <a:prstGeom prst="rect">
                      <a:avLst/>
                    </a:prstGeom>
                    <a:noFill/>
                    <a:ln>
                      <a:noFill/>
                    </a:ln>
                    <a:extLst>
                      <a:ext uri="{53640926-AAD7-44D8-BBD7-CCE9431645EC}">
                        <a14:shadowObscured xmlns:a14="http://schemas.microsoft.com/office/drawing/2010/main"/>
                      </a:ext>
                    </a:extLst>
                  </pic:spPr>
                </pic:pic>
              </a:graphicData>
            </a:graphic>
          </wp:inline>
        </w:drawing>
      </w:r>
      <w:r w:rsidR="008A5B15" w:rsidRPr="00020AA3">
        <w:rPr>
          <w:noProof/>
        </w:rPr>
        <w:drawing>
          <wp:inline distT="0" distB="0" distL="0" distR="0" wp14:anchorId="373F240E" wp14:editId="6DE55509">
            <wp:extent cx="4128119" cy="2514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4000"/>
                              </a14:imgEffect>
                            </a14:imgLayer>
                          </a14:imgProps>
                        </a:ext>
                        <a:ext uri="{28A0092B-C50C-407E-A947-70E740481C1C}">
                          <a14:useLocalDpi xmlns:a14="http://schemas.microsoft.com/office/drawing/2010/main" val="0"/>
                        </a:ext>
                      </a:extLst>
                    </a:blip>
                    <a:srcRect t="18644"/>
                    <a:stretch/>
                  </pic:blipFill>
                  <pic:spPr bwMode="auto">
                    <a:xfrm>
                      <a:off x="0" y="0"/>
                      <a:ext cx="4200846" cy="2558901"/>
                    </a:xfrm>
                    <a:prstGeom prst="rect">
                      <a:avLst/>
                    </a:prstGeom>
                    <a:noFill/>
                    <a:ln>
                      <a:noFill/>
                    </a:ln>
                    <a:extLst>
                      <a:ext uri="{53640926-AAD7-44D8-BBD7-CCE9431645EC}">
                        <a14:shadowObscured xmlns:a14="http://schemas.microsoft.com/office/drawing/2010/main"/>
                      </a:ext>
                    </a:extLst>
                  </pic:spPr>
                </pic:pic>
              </a:graphicData>
            </a:graphic>
          </wp:inline>
        </w:drawing>
      </w:r>
    </w:p>
    <w:p w14:paraId="17D5E990" w14:textId="7616431F" w:rsidR="00F00CA7" w:rsidRPr="006753E0" w:rsidRDefault="00F00CA7" w:rsidP="006753E0">
      <w:pPr>
        <w:pStyle w:val="Caption"/>
        <w:jc w:val="both"/>
        <w:rPr>
          <w:rFonts w:ascii="Times New Roman" w:eastAsia="Times New Roman" w:hAnsi="Times New Roman" w:cs="Times New Roman"/>
          <w:sz w:val="24"/>
          <w:szCs w:val="24"/>
          <w:lang w:eastAsia="en-GB"/>
        </w:rPr>
      </w:pPr>
      <w:r>
        <w:t>Figure</w:t>
      </w:r>
      <w:r w:rsidR="0058663C">
        <w:t xml:space="preserve"> D</w:t>
      </w:r>
      <w:r w:rsidR="00020AA3">
        <w:t>4: Elevated topography of West of Chichester Phase 2B, as viewed from spine road</w:t>
      </w:r>
      <w:r w:rsidR="008A5B15">
        <w:t>;</w:t>
      </w:r>
      <w:r w:rsidR="0058663C">
        <w:t xml:space="preserve"> Figure D5:</w:t>
      </w:r>
      <w:r w:rsidR="008A5B15">
        <w:t xml:space="preserve"> West of Chichester Central Green Corridor, with Phase 2B to left of photograph, and 3 storey flatted block within Phase 3D to right.</w:t>
      </w:r>
    </w:p>
    <w:p w14:paraId="333856DF" w14:textId="5201C89C" w:rsidR="00DF0D89" w:rsidRPr="007B0B58" w:rsidRDefault="00DF0D89" w:rsidP="006753E0">
      <w:pPr>
        <w:jc w:val="both"/>
        <w:rPr>
          <w:rFonts w:ascii="Arial" w:hAnsi="Arial" w:cs="Arial"/>
          <w:b/>
          <w:bCs/>
        </w:rPr>
      </w:pPr>
      <w:r w:rsidRPr="007B0B58">
        <w:rPr>
          <w:rFonts w:ascii="Arial" w:hAnsi="Arial" w:cs="Arial"/>
          <w:b/>
          <w:bCs/>
        </w:rPr>
        <w:lastRenderedPageBreak/>
        <w:t xml:space="preserve">49-51 Fishbourne Road East: Non-residential Redevelopment </w:t>
      </w:r>
      <w:r w:rsidR="00F30DAF" w:rsidRPr="007B0B58">
        <w:rPr>
          <w:rFonts w:ascii="Arial" w:hAnsi="Arial" w:cs="Arial"/>
          <w:b/>
          <w:bCs/>
        </w:rPr>
        <w:t xml:space="preserve">to Provide Affordable Housing </w:t>
      </w:r>
    </w:p>
    <w:p w14:paraId="2F1A8C8A" w14:textId="7E899616" w:rsidR="00DF0D89" w:rsidRPr="007B0B58" w:rsidRDefault="007452F0" w:rsidP="006753E0">
      <w:pPr>
        <w:jc w:val="both"/>
        <w:rPr>
          <w:rFonts w:ascii="Arial" w:hAnsi="Arial" w:cs="Arial"/>
        </w:rPr>
      </w:pPr>
      <w:r w:rsidRPr="007B0B58">
        <w:rPr>
          <w:rFonts w:ascii="Arial" w:hAnsi="Arial" w:cs="Arial"/>
        </w:rPr>
        <w:t xml:space="preserve">The case study considers the redevelopment </w:t>
      </w:r>
      <w:r w:rsidR="0017392D" w:rsidRPr="007B0B58">
        <w:rPr>
          <w:rFonts w:ascii="Arial" w:hAnsi="Arial" w:cs="Arial"/>
        </w:rPr>
        <w:t>(by demolition and replacement</w:t>
      </w:r>
      <w:r w:rsidR="006753E0">
        <w:rPr>
          <w:rFonts w:ascii="Arial" w:hAnsi="Arial" w:cs="Arial"/>
        </w:rPr>
        <w:t>, permitted by 17/01287/FUL</w:t>
      </w:r>
      <w:r w:rsidR="0017392D" w:rsidRPr="007B0B58">
        <w:rPr>
          <w:rFonts w:ascii="Arial" w:hAnsi="Arial" w:cs="Arial"/>
        </w:rPr>
        <w:t xml:space="preserve">) </w:t>
      </w:r>
      <w:r w:rsidRPr="007B0B58">
        <w:rPr>
          <w:rFonts w:ascii="Arial" w:hAnsi="Arial" w:cs="Arial"/>
        </w:rPr>
        <w:t xml:space="preserve">of a site to the west of Chichester city, adjacent to the A27 dual carriageway and the settlement boundary. Previous use of the site was for offices and associated carparking. </w:t>
      </w:r>
      <w:r w:rsidR="0076741D" w:rsidRPr="007B0B58">
        <w:rPr>
          <w:rFonts w:ascii="Arial" w:hAnsi="Arial" w:cs="Arial"/>
        </w:rPr>
        <w:t xml:space="preserve">The permitted layout comprises two 3-storey buildings at the front of the site, reducing to 2.5 storeys at the rear, and a further 3 storey block, </w:t>
      </w:r>
      <w:r w:rsidR="00FB0ADE" w:rsidRPr="007B0B58">
        <w:rPr>
          <w:rFonts w:ascii="Arial" w:hAnsi="Arial" w:cs="Arial"/>
        </w:rPr>
        <w:t xml:space="preserve">two </w:t>
      </w:r>
      <w:r w:rsidR="0076741D" w:rsidRPr="007B0B58">
        <w:rPr>
          <w:rFonts w:ascii="Arial" w:hAnsi="Arial" w:cs="Arial"/>
        </w:rPr>
        <w:t>2 storey block</w:t>
      </w:r>
      <w:r w:rsidR="00FB0ADE" w:rsidRPr="007B0B58">
        <w:rPr>
          <w:rFonts w:ascii="Arial" w:hAnsi="Arial" w:cs="Arial"/>
        </w:rPr>
        <w:t>s</w:t>
      </w:r>
      <w:r w:rsidR="0076741D" w:rsidRPr="007B0B58">
        <w:rPr>
          <w:rFonts w:ascii="Arial" w:hAnsi="Arial" w:cs="Arial"/>
        </w:rPr>
        <w:t xml:space="preserve"> and 2 storey semi-detached houses are within the site. The design </w:t>
      </w:r>
      <w:r w:rsidR="0017392D" w:rsidRPr="007B0B58">
        <w:rPr>
          <w:rFonts w:ascii="Arial" w:hAnsi="Arial" w:cs="Arial"/>
        </w:rPr>
        <w:t>was</w:t>
      </w:r>
      <w:r w:rsidR="0076741D" w:rsidRPr="007B0B58">
        <w:rPr>
          <w:rFonts w:ascii="Arial" w:hAnsi="Arial" w:cs="Arial"/>
        </w:rPr>
        <w:t xml:space="preserve"> considered to respond to existing building lines, trees</w:t>
      </w:r>
      <w:r w:rsidR="00F30DAF" w:rsidRPr="007B0B58">
        <w:rPr>
          <w:rFonts w:ascii="Arial" w:hAnsi="Arial" w:cs="Arial"/>
        </w:rPr>
        <w:t xml:space="preserve"> (providing screening from the A27)</w:t>
      </w:r>
      <w:r w:rsidR="0076741D" w:rsidRPr="007B0B58">
        <w:rPr>
          <w:rFonts w:ascii="Arial" w:hAnsi="Arial" w:cs="Arial"/>
        </w:rPr>
        <w:t xml:space="preserve">, </w:t>
      </w:r>
      <w:r w:rsidR="00F30DAF" w:rsidRPr="007B0B58">
        <w:rPr>
          <w:rFonts w:ascii="Arial" w:hAnsi="Arial" w:cs="Arial"/>
        </w:rPr>
        <w:t xml:space="preserve">potential for </w:t>
      </w:r>
      <w:r w:rsidR="0076741D" w:rsidRPr="007B0B58">
        <w:rPr>
          <w:rFonts w:ascii="Arial" w:hAnsi="Arial" w:cs="Arial"/>
        </w:rPr>
        <w:t xml:space="preserve">overlooking of neighbouring properties and the provision of public and private open spaces. </w:t>
      </w:r>
    </w:p>
    <w:p w14:paraId="0138539A" w14:textId="7F4FD85A" w:rsidR="00F30DAF" w:rsidRDefault="00FB0ADE" w:rsidP="006753E0">
      <w:pPr>
        <w:jc w:val="both"/>
        <w:rPr>
          <w:rFonts w:ascii="Arial" w:hAnsi="Arial" w:cs="Arial"/>
        </w:rPr>
      </w:pPr>
      <w:r w:rsidRPr="007B0B58">
        <w:rPr>
          <w:rFonts w:ascii="Arial" w:hAnsi="Arial" w:cs="Arial"/>
        </w:rPr>
        <w:t xml:space="preserve">The </w:t>
      </w:r>
      <w:r w:rsidR="003F0E42">
        <w:rPr>
          <w:rFonts w:ascii="Arial" w:hAnsi="Arial" w:cs="Arial"/>
        </w:rPr>
        <w:t>o</w:t>
      </w:r>
      <w:r w:rsidRPr="007B0B58">
        <w:rPr>
          <w:rFonts w:ascii="Arial" w:hAnsi="Arial" w:cs="Arial"/>
        </w:rPr>
        <w:t>fficer’s report considered that the proposed housing mix and associated tenure (100% affordable unit</w:t>
      </w:r>
      <w:r w:rsidR="001438BC" w:rsidRPr="007B0B58">
        <w:rPr>
          <w:rFonts w:ascii="Arial" w:hAnsi="Arial" w:cs="Arial"/>
        </w:rPr>
        <w:t>s</w:t>
      </w:r>
      <w:r w:rsidRPr="007B0B58">
        <w:rPr>
          <w:rFonts w:ascii="Arial" w:hAnsi="Arial" w:cs="Arial"/>
        </w:rPr>
        <w:t>) was acceptable owning to the specific characteristics of the site and its location, recognising a high number of social housing units in the immediate vicinity</w:t>
      </w:r>
      <w:r w:rsidR="00123AA8" w:rsidRPr="007B0B58">
        <w:rPr>
          <w:rFonts w:ascii="Arial" w:hAnsi="Arial" w:cs="Arial"/>
        </w:rPr>
        <w:t>. The</w:t>
      </w:r>
      <w:r w:rsidRPr="007B0B58">
        <w:rPr>
          <w:rFonts w:ascii="Arial" w:hAnsi="Arial" w:cs="Arial"/>
        </w:rPr>
        <w:t xml:space="preserve"> potential for noise impacts associated with the adjacent A27 flyover</w:t>
      </w:r>
      <w:r w:rsidR="00123AA8" w:rsidRPr="007B0B58">
        <w:rPr>
          <w:rFonts w:ascii="Arial" w:hAnsi="Arial" w:cs="Arial"/>
        </w:rPr>
        <w:t>, as well as daylight/sunlight assessments influenced proposal changes and design-related conditions</w:t>
      </w:r>
      <w:r w:rsidRPr="007B0B58">
        <w:rPr>
          <w:rFonts w:ascii="Arial" w:hAnsi="Arial" w:cs="Arial"/>
        </w:rPr>
        <w:t>.</w:t>
      </w:r>
      <w:r w:rsidR="00123AA8" w:rsidRPr="007B0B58">
        <w:rPr>
          <w:rFonts w:ascii="Arial" w:hAnsi="Arial" w:cs="Arial"/>
        </w:rPr>
        <w:t xml:space="preserve"> Overall</w:t>
      </w:r>
      <w:r w:rsidR="007B632F">
        <w:rPr>
          <w:rFonts w:ascii="Arial" w:hAnsi="Arial" w:cs="Arial"/>
        </w:rPr>
        <w:t>,</w:t>
      </w:r>
      <w:r w:rsidR="00123AA8" w:rsidRPr="007B0B58">
        <w:rPr>
          <w:rFonts w:ascii="Arial" w:hAnsi="Arial" w:cs="Arial"/>
        </w:rPr>
        <w:t xml:space="preserve"> the proposals were assessed to provide an acceptable living environment. </w:t>
      </w:r>
      <w:r w:rsidRPr="007B0B58">
        <w:rPr>
          <w:rFonts w:ascii="Arial" w:hAnsi="Arial" w:cs="Arial"/>
        </w:rPr>
        <w:t xml:space="preserve"> </w:t>
      </w:r>
      <w:r w:rsidR="003F0E42">
        <w:rPr>
          <w:rFonts w:ascii="Arial" w:hAnsi="Arial" w:cs="Arial"/>
        </w:rPr>
        <w:t xml:space="preserve">This is supported by this study’s analysis of permitted plans against NDSS, which found all </w:t>
      </w:r>
      <w:r w:rsidR="00AD0D80">
        <w:rPr>
          <w:rFonts w:ascii="Arial" w:hAnsi="Arial" w:cs="Arial"/>
        </w:rPr>
        <w:t>2-bedroom</w:t>
      </w:r>
      <w:r w:rsidR="003F0E42">
        <w:rPr>
          <w:rFonts w:ascii="Arial" w:hAnsi="Arial" w:cs="Arial"/>
        </w:rPr>
        <w:t xml:space="preserve"> flat dwelling types to comply with the standards. </w:t>
      </w:r>
      <w:r w:rsidR="008A5B15">
        <w:rPr>
          <w:rFonts w:ascii="Arial" w:hAnsi="Arial" w:cs="Arial"/>
        </w:rPr>
        <w:t xml:space="preserve">Externally, the innovative site layout was enhanced by the use of shared surfaces to </w:t>
      </w:r>
      <w:r w:rsidR="00BE7CF1">
        <w:rPr>
          <w:rFonts w:ascii="Arial" w:hAnsi="Arial" w:cs="Arial"/>
        </w:rPr>
        <w:t>ensure efficient use of</w:t>
      </w:r>
      <w:r w:rsidR="008A5B15">
        <w:rPr>
          <w:rFonts w:ascii="Arial" w:hAnsi="Arial" w:cs="Arial"/>
        </w:rPr>
        <w:t xml:space="preserve"> space for car parking and vehicle and pedestrian access.  </w:t>
      </w:r>
      <w:r w:rsidR="00F30DAF" w:rsidRPr="007B0B58">
        <w:rPr>
          <w:rFonts w:ascii="Arial" w:hAnsi="Arial" w:cs="Arial"/>
        </w:rPr>
        <w:t xml:space="preserve">Despite being located more than 800m from the train station, the </w:t>
      </w:r>
      <w:r w:rsidR="003F0E42">
        <w:rPr>
          <w:rFonts w:ascii="Arial" w:hAnsi="Arial" w:cs="Arial"/>
        </w:rPr>
        <w:t>o</w:t>
      </w:r>
      <w:r w:rsidR="00F30DAF" w:rsidRPr="007B0B58">
        <w:rPr>
          <w:rFonts w:ascii="Arial" w:hAnsi="Arial" w:cs="Arial"/>
        </w:rPr>
        <w:t xml:space="preserve">fficer’s report considered the site to be in a reasonably sustainable location, being on a bus route and within 1.6km from the city centre. The proximity of a superstore 250 metres to the southeast was recognised. </w:t>
      </w:r>
    </w:p>
    <w:p w14:paraId="2C0D9B98" w14:textId="352BF965" w:rsidR="007B743B" w:rsidRDefault="00FB0ADE" w:rsidP="006753E0">
      <w:pPr>
        <w:jc w:val="both"/>
        <w:rPr>
          <w:rFonts w:ascii="Arial" w:hAnsi="Arial" w:cs="Arial"/>
        </w:rPr>
      </w:pPr>
      <w:r w:rsidRPr="007B0B58">
        <w:rPr>
          <w:rFonts w:ascii="Arial" w:hAnsi="Arial" w:cs="Arial"/>
        </w:rPr>
        <w:t xml:space="preserve">In terms of density, the application information suggests a housing density of </w:t>
      </w:r>
      <w:r w:rsidR="001438BC" w:rsidRPr="007B0B58">
        <w:rPr>
          <w:rFonts w:ascii="Arial" w:hAnsi="Arial" w:cs="Arial"/>
        </w:rPr>
        <w:t>approx. 60</w:t>
      </w:r>
      <w:r w:rsidRPr="007B0B58">
        <w:rPr>
          <w:rFonts w:ascii="Arial" w:hAnsi="Arial" w:cs="Arial"/>
        </w:rPr>
        <w:t>dph, based on a site area of 0.62 hectare</w:t>
      </w:r>
      <w:r w:rsidR="001438BC" w:rsidRPr="007B0B58">
        <w:rPr>
          <w:rFonts w:ascii="Arial" w:hAnsi="Arial" w:cs="Arial"/>
        </w:rPr>
        <w:t>s</w:t>
      </w:r>
      <w:r w:rsidRPr="007B0B58">
        <w:rPr>
          <w:rFonts w:ascii="Arial" w:hAnsi="Arial" w:cs="Arial"/>
        </w:rPr>
        <w:t xml:space="preserve">. However, it is </w:t>
      </w:r>
      <w:r w:rsidR="00123AA8" w:rsidRPr="007B0B58">
        <w:rPr>
          <w:rFonts w:ascii="Arial" w:hAnsi="Arial" w:cs="Arial"/>
        </w:rPr>
        <w:t>assessed</w:t>
      </w:r>
      <w:r w:rsidRPr="007B0B58">
        <w:rPr>
          <w:rFonts w:ascii="Arial" w:hAnsi="Arial" w:cs="Arial"/>
        </w:rPr>
        <w:t xml:space="preserve"> that this figure does not accurate account for open space provision provided. The calculated net density of </w:t>
      </w:r>
      <w:r w:rsidR="001438BC" w:rsidRPr="007B0B58">
        <w:rPr>
          <w:rFonts w:ascii="Arial" w:hAnsi="Arial" w:cs="Arial"/>
        </w:rPr>
        <w:t>approx. 83</w:t>
      </w:r>
      <w:r w:rsidR="005A0E36" w:rsidRPr="007B0B58">
        <w:rPr>
          <w:rFonts w:ascii="Arial" w:hAnsi="Arial" w:cs="Arial"/>
        </w:rPr>
        <w:t xml:space="preserve">dph is considered to more accurately represent the </w:t>
      </w:r>
      <w:r w:rsidR="00AD0D80" w:rsidRPr="007B0B58">
        <w:rPr>
          <w:rFonts w:ascii="Arial" w:hAnsi="Arial" w:cs="Arial"/>
        </w:rPr>
        <w:t>high-density</w:t>
      </w:r>
      <w:r w:rsidR="005A0E36" w:rsidRPr="007B0B58">
        <w:rPr>
          <w:rFonts w:ascii="Arial" w:hAnsi="Arial" w:cs="Arial"/>
        </w:rPr>
        <w:t xml:space="preserve"> nature of the development, applying a 15% land area reduction appropriate for the development scale, as well </w:t>
      </w:r>
      <w:r w:rsidR="00123AA8" w:rsidRPr="007B0B58">
        <w:rPr>
          <w:rFonts w:ascii="Arial" w:hAnsi="Arial" w:cs="Arial"/>
        </w:rPr>
        <w:t>as recognising open space provision.</w:t>
      </w:r>
      <w:r w:rsidR="008A5B15">
        <w:rPr>
          <w:rFonts w:ascii="Arial" w:hAnsi="Arial" w:cs="Arial"/>
        </w:rPr>
        <w:t xml:space="preserve"> The design-led </w:t>
      </w:r>
      <w:r w:rsidR="00BE7CF1">
        <w:rPr>
          <w:rFonts w:ascii="Arial" w:hAnsi="Arial" w:cs="Arial"/>
        </w:rPr>
        <w:t xml:space="preserve">innovative </w:t>
      </w:r>
      <w:r w:rsidR="008A5B15">
        <w:rPr>
          <w:rFonts w:ascii="Arial" w:hAnsi="Arial" w:cs="Arial"/>
        </w:rPr>
        <w:t>approach taken in this case</w:t>
      </w:r>
      <w:r w:rsidR="00E5714E">
        <w:rPr>
          <w:rFonts w:ascii="Arial" w:hAnsi="Arial" w:cs="Arial"/>
        </w:rPr>
        <w:t xml:space="preserve"> demonstrates th</w:t>
      </w:r>
      <w:r w:rsidR="00BE7CF1">
        <w:rPr>
          <w:rFonts w:ascii="Arial" w:hAnsi="Arial" w:cs="Arial"/>
        </w:rPr>
        <w:t>at</w:t>
      </w:r>
      <w:r w:rsidR="00E5714E">
        <w:rPr>
          <w:rFonts w:ascii="Arial" w:hAnsi="Arial" w:cs="Arial"/>
        </w:rPr>
        <w:t xml:space="preserve"> high density and high amenity schemes are achievable on previously developed </w:t>
      </w:r>
      <w:r w:rsidR="00BE7CF1">
        <w:rPr>
          <w:rFonts w:ascii="Arial" w:hAnsi="Arial" w:cs="Arial"/>
        </w:rPr>
        <w:t xml:space="preserve">and constrained </w:t>
      </w:r>
      <w:r w:rsidR="00E5714E">
        <w:rPr>
          <w:rFonts w:ascii="Arial" w:hAnsi="Arial" w:cs="Arial"/>
        </w:rPr>
        <w:t xml:space="preserve">sites.  </w:t>
      </w:r>
    </w:p>
    <w:p w14:paraId="1B9D39F6" w14:textId="47D4EFBF" w:rsidR="00EF58E2" w:rsidRDefault="00EF58E2" w:rsidP="00EF58E2">
      <w:pPr>
        <w:keepNext/>
      </w:pPr>
      <w:r w:rsidRPr="00EF58E2">
        <w:rPr>
          <w:rFonts w:ascii="Arial" w:hAnsi="Arial" w:cs="Arial"/>
          <w:noProof/>
        </w:rPr>
        <w:lastRenderedPageBreak/>
        <w:drawing>
          <wp:inline distT="0" distB="0" distL="0" distR="0" wp14:anchorId="018288ED" wp14:editId="4C0DF352">
            <wp:extent cx="4261440" cy="288734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587" cy="2899640"/>
                    </a:xfrm>
                    <a:prstGeom prst="rect">
                      <a:avLst/>
                    </a:prstGeom>
                    <a:noFill/>
                    <a:ln>
                      <a:noFill/>
                    </a:ln>
                  </pic:spPr>
                </pic:pic>
              </a:graphicData>
            </a:graphic>
          </wp:inline>
        </w:drawing>
      </w:r>
      <w:r w:rsidR="001F1FE8">
        <w:rPr>
          <w:rFonts w:eastAsia="Times New Roman"/>
          <w:noProof/>
        </w:rPr>
        <w:drawing>
          <wp:inline distT="0" distB="0" distL="0" distR="0" wp14:anchorId="07F424DC" wp14:editId="2BCF5573">
            <wp:extent cx="3867150" cy="2900283"/>
            <wp:effectExtent l="0" t="0" r="0" b="0"/>
            <wp:docPr id="5" name="Picture 5" descr="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7BC5B6-4D70-406A-A18D-E7586AC74307" descr="IMG_339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84940" cy="2913625"/>
                    </a:xfrm>
                    <a:prstGeom prst="rect">
                      <a:avLst/>
                    </a:prstGeom>
                    <a:noFill/>
                    <a:ln>
                      <a:noFill/>
                    </a:ln>
                  </pic:spPr>
                </pic:pic>
              </a:graphicData>
            </a:graphic>
          </wp:inline>
        </w:drawing>
      </w:r>
    </w:p>
    <w:p w14:paraId="07CB8FFE" w14:textId="149824FA" w:rsidR="00EF58E2" w:rsidRPr="00EF58E2" w:rsidRDefault="00EF58E2" w:rsidP="00EF58E2">
      <w:pPr>
        <w:pStyle w:val="Caption"/>
        <w:rPr>
          <w:rFonts w:ascii="Arial" w:hAnsi="Arial" w:cs="Arial"/>
        </w:rPr>
      </w:pPr>
      <w:r>
        <w:t xml:space="preserve">Figure </w:t>
      </w:r>
      <w:r w:rsidR="006753E0">
        <w:t>D</w:t>
      </w:r>
      <w:r>
        <w:t>6: 3, 2.5 and 2 storey dwellings within Fishbourne Road redevelopment, with contextual neighbouring development in the background</w:t>
      </w:r>
      <w:r w:rsidR="001F1FE8">
        <w:t xml:space="preserve">; Figure D7: 3 storey apartment </w:t>
      </w:r>
      <w:proofErr w:type="gramStart"/>
      <w:r w:rsidR="001F1FE8">
        <w:t>block</w:t>
      </w:r>
      <w:proofErr w:type="gramEnd"/>
      <w:r w:rsidR="001F1FE8">
        <w:t>, with tree screening visible to rear.</w:t>
      </w:r>
    </w:p>
    <w:p w14:paraId="4B36C31F" w14:textId="0E2EE0FE" w:rsidR="00976944" w:rsidRPr="00E13476" w:rsidRDefault="008570BB" w:rsidP="00525D07">
      <w:pPr>
        <w:jc w:val="both"/>
        <w:rPr>
          <w:rFonts w:ascii="Arial" w:hAnsi="Arial" w:cs="Arial"/>
          <w:b/>
          <w:bCs/>
        </w:rPr>
      </w:pPr>
      <w:r w:rsidRPr="00E13476">
        <w:rPr>
          <w:rFonts w:ascii="Arial" w:hAnsi="Arial" w:cs="Arial"/>
          <w:b/>
          <w:bCs/>
        </w:rPr>
        <w:t>Land North of Cooks Lane: Large Greenfield Development within Sustainable Settlement Hub</w:t>
      </w:r>
    </w:p>
    <w:p w14:paraId="75611EA1" w14:textId="1009D22C" w:rsidR="008570BB" w:rsidRDefault="008570BB" w:rsidP="00525D07">
      <w:pPr>
        <w:jc w:val="both"/>
        <w:rPr>
          <w:rFonts w:ascii="Arial" w:hAnsi="Arial" w:cs="Arial"/>
        </w:rPr>
      </w:pPr>
      <w:r>
        <w:rPr>
          <w:rFonts w:ascii="Arial" w:hAnsi="Arial" w:cs="Arial"/>
        </w:rPr>
        <w:t xml:space="preserve">The location of this large development site is adjacent </w:t>
      </w:r>
      <w:r w:rsidR="00FF5281">
        <w:rPr>
          <w:rFonts w:ascii="Arial" w:hAnsi="Arial" w:cs="Arial"/>
        </w:rPr>
        <w:t xml:space="preserve">to </w:t>
      </w:r>
      <w:r>
        <w:rPr>
          <w:rFonts w:ascii="Arial" w:hAnsi="Arial" w:cs="Arial"/>
        </w:rPr>
        <w:t xml:space="preserve">the settlement boundary and </w:t>
      </w:r>
      <w:r w:rsidR="005B5AA4">
        <w:rPr>
          <w:rFonts w:ascii="Arial" w:hAnsi="Arial" w:cs="Arial"/>
        </w:rPr>
        <w:t xml:space="preserve">recent residential development within the settlement hub of Southbourne. </w:t>
      </w:r>
      <w:r w:rsidR="00BA0A41">
        <w:rPr>
          <w:rFonts w:ascii="Arial" w:hAnsi="Arial" w:cs="Arial"/>
        </w:rPr>
        <w:t>Previous use of the site was for agricultural purposes.</w:t>
      </w:r>
      <w:r w:rsidR="00CA05E1">
        <w:rPr>
          <w:rFonts w:ascii="Arial" w:hAnsi="Arial" w:cs="Arial"/>
        </w:rPr>
        <w:t xml:space="preserve"> The surrounding landscape includes flat, open countryside, allowing views to </w:t>
      </w:r>
      <w:r w:rsidR="00EA1C25">
        <w:rPr>
          <w:rFonts w:ascii="Arial" w:hAnsi="Arial" w:cs="Arial"/>
        </w:rPr>
        <w:t xml:space="preserve">and from </w:t>
      </w:r>
      <w:r w:rsidR="00CA05E1">
        <w:rPr>
          <w:rFonts w:ascii="Arial" w:hAnsi="Arial" w:cs="Arial"/>
        </w:rPr>
        <w:t>the SDNP to the north.</w:t>
      </w:r>
      <w:r w:rsidR="00BA0A41">
        <w:rPr>
          <w:rFonts w:ascii="Arial" w:hAnsi="Arial" w:cs="Arial"/>
        </w:rPr>
        <w:t xml:space="preserve"> </w:t>
      </w:r>
      <w:r w:rsidR="005B5AA4">
        <w:rPr>
          <w:rFonts w:ascii="Arial" w:hAnsi="Arial" w:cs="Arial"/>
        </w:rPr>
        <w:t>Approval of outline permission 18/03145/OUT for 199 homes was allowed via appeal in March 2020.</w:t>
      </w:r>
      <w:r w:rsidR="00BA0A41">
        <w:rPr>
          <w:rFonts w:ascii="Arial" w:hAnsi="Arial" w:cs="Arial"/>
        </w:rPr>
        <w:t xml:space="preserve"> The </w:t>
      </w:r>
      <w:r w:rsidR="003F0E42">
        <w:rPr>
          <w:rFonts w:ascii="Arial" w:hAnsi="Arial" w:cs="Arial"/>
        </w:rPr>
        <w:t>o</w:t>
      </w:r>
      <w:r w:rsidR="00BA0A41">
        <w:rPr>
          <w:rFonts w:ascii="Arial" w:hAnsi="Arial" w:cs="Arial"/>
        </w:rPr>
        <w:t>fficer</w:t>
      </w:r>
      <w:r w:rsidR="00065FC2">
        <w:rPr>
          <w:rFonts w:ascii="Arial" w:hAnsi="Arial" w:cs="Arial"/>
        </w:rPr>
        <w:t>’s</w:t>
      </w:r>
      <w:r w:rsidR="00BA0A41">
        <w:rPr>
          <w:rFonts w:ascii="Arial" w:hAnsi="Arial" w:cs="Arial"/>
        </w:rPr>
        <w:t xml:space="preserve"> original report for the outline permission refusal recognise</w:t>
      </w:r>
      <w:r w:rsidR="00AD285C">
        <w:rPr>
          <w:rFonts w:ascii="Arial" w:hAnsi="Arial" w:cs="Arial"/>
        </w:rPr>
        <w:t>d</w:t>
      </w:r>
      <w:r w:rsidR="00BA0A41">
        <w:rPr>
          <w:rFonts w:ascii="Arial" w:hAnsi="Arial" w:cs="Arial"/>
        </w:rPr>
        <w:t xml:space="preserve"> the sustainab</w:t>
      </w:r>
      <w:r w:rsidR="00065FC2">
        <w:rPr>
          <w:rFonts w:ascii="Arial" w:hAnsi="Arial" w:cs="Arial"/>
        </w:rPr>
        <w:t>ility of the</w:t>
      </w:r>
      <w:r w:rsidR="00BA0A41">
        <w:rPr>
          <w:rFonts w:ascii="Arial" w:hAnsi="Arial" w:cs="Arial"/>
        </w:rPr>
        <w:t xml:space="preserve"> location, being within accepted walking and cycling isochrones of infrastructure and facilities, including approx.700m from the mainline railway station and parade of shops. Primary and secondary schools are also within 10 minutes walking times. </w:t>
      </w:r>
    </w:p>
    <w:p w14:paraId="39B8DC0E" w14:textId="55C6AB87" w:rsidR="009C32B5" w:rsidRDefault="009C32B5" w:rsidP="00525D07">
      <w:pPr>
        <w:jc w:val="both"/>
        <w:rPr>
          <w:rFonts w:ascii="Arial" w:hAnsi="Arial" w:cs="Arial"/>
        </w:rPr>
      </w:pPr>
      <w:r>
        <w:rPr>
          <w:rFonts w:ascii="Arial" w:hAnsi="Arial" w:cs="Arial"/>
        </w:rPr>
        <w:t xml:space="preserve">The outline application advises that the development will achieve a density of 25dph, a figure </w:t>
      </w:r>
      <w:r w:rsidR="002865D2">
        <w:rPr>
          <w:rFonts w:ascii="Arial" w:hAnsi="Arial" w:cs="Arial"/>
        </w:rPr>
        <w:t>ratified</w:t>
      </w:r>
      <w:r>
        <w:rPr>
          <w:rFonts w:ascii="Arial" w:hAnsi="Arial" w:cs="Arial"/>
        </w:rPr>
        <w:t xml:space="preserve"> by the study calculations, and understood to include minor roads, </w:t>
      </w:r>
      <w:proofErr w:type="gramStart"/>
      <w:r>
        <w:rPr>
          <w:rFonts w:ascii="Arial" w:hAnsi="Arial" w:cs="Arial"/>
        </w:rPr>
        <w:t>swales</w:t>
      </w:r>
      <w:proofErr w:type="gramEnd"/>
      <w:r>
        <w:rPr>
          <w:rFonts w:ascii="Arial" w:hAnsi="Arial" w:cs="Arial"/>
        </w:rPr>
        <w:t xml:space="preserve"> and incidental open space. The proposed density was informed by a residential density study of </w:t>
      </w:r>
      <w:r w:rsidR="002865D2">
        <w:rPr>
          <w:rFonts w:ascii="Arial" w:hAnsi="Arial" w:cs="Arial"/>
        </w:rPr>
        <w:t xml:space="preserve">housing </w:t>
      </w:r>
      <w:r>
        <w:rPr>
          <w:rFonts w:ascii="Arial" w:hAnsi="Arial" w:cs="Arial"/>
        </w:rPr>
        <w:t>typologies in Southbourne, which identified a range of densities in the vicinity from medium (Guildford Close - 33dph) to low (Kelsey Avenue – 26dph). The application suggests the proposed development</w:t>
      </w:r>
      <w:r w:rsidR="002865D2">
        <w:rPr>
          <w:rFonts w:ascii="Arial" w:hAnsi="Arial" w:cs="Arial"/>
        </w:rPr>
        <w:t>’</w:t>
      </w:r>
      <w:r>
        <w:rPr>
          <w:rFonts w:ascii="Arial" w:hAnsi="Arial" w:cs="Arial"/>
        </w:rPr>
        <w:t>s layout, scale and form provide opportunity for a softer transition from the settlement boundary to the countryside, with design complementary to the existing character of the town.</w:t>
      </w:r>
    </w:p>
    <w:p w14:paraId="7322EB53" w14:textId="145FEF79" w:rsidR="00CA05E1" w:rsidRDefault="00CA05E1" w:rsidP="00525D07">
      <w:pPr>
        <w:jc w:val="both"/>
        <w:rPr>
          <w:rFonts w:ascii="Arial" w:hAnsi="Arial" w:cs="Arial"/>
        </w:rPr>
      </w:pPr>
      <w:r>
        <w:rPr>
          <w:rFonts w:ascii="Arial" w:hAnsi="Arial" w:cs="Arial"/>
        </w:rPr>
        <w:lastRenderedPageBreak/>
        <w:t xml:space="preserve">The Design and Access statement </w:t>
      </w:r>
      <w:r w:rsidR="009C32B5">
        <w:rPr>
          <w:rFonts w:ascii="Arial" w:hAnsi="Arial" w:cs="Arial"/>
        </w:rPr>
        <w:t xml:space="preserve">to inform the reserved matter application </w:t>
      </w:r>
      <w:r>
        <w:rPr>
          <w:rFonts w:ascii="Arial" w:hAnsi="Arial" w:cs="Arial"/>
        </w:rPr>
        <w:t xml:space="preserve">reflects the proposed incorporation of a landscape buffer </w:t>
      </w:r>
      <w:r w:rsidR="00EA1C25">
        <w:rPr>
          <w:rFonts w:ascii="Arial" w:hAnsi="Arial" w:cs="Arial"/>
        </w:rPr>
        <w:t xml:space="preserve">and green ring </w:t>
      </w:r>
      <w:r>
        <w:rPr>
          <w:rFonts w:ascii="Arial" w:hAnsi="Arial" w:cs="Arial"/>
        </w:rPr>
        <w:t xml:space="preserve">to screen the development from wider views of the north and east, as well as </w:t>
      </w:r>
      <w:r w:rsidR="00EA1C25">
        <w:rPr>
          <w:rFonts w:ascii="Arial" w:hAnsi="Arial" w:cs="Arial"/>
        </w:rPr>
        <w:t xml:space="preserve">a further </w:t>
      </w:r>
      <w:r w:rsidR="00C47E69">
        <w:rPr>
          <w:rFonts w:ascii="Arial" w:hAnsi="Arial" w:cs="Arial"/>
        </w:rPr>
        <w:t xml:space="preserve">buffer to </w:t>
      </w:r>
      <w:r>
        <w:rPr>
          <w:rFonts w:ascii="Arial" w:hAnsi="Arial" w:cs="Arial"/>
        </w:rPr>
        <w:t xml:space="preserve">provide separation and privacy for existing residential development to the west. The statement also recognises </w:t>
      </w:r>
      <w:r w:rsidR="00C47E69">
        <w:rPr>
          <w:rFonts w:ascii="Arial" w:hAnsi="Arial" w:cs="Arial"/>
        </w:rPr>
        <w:t xml:space="preserve">distinct </w:t>
      </w:r>
      <w:r w:rsidR="00B22AE3">
        <w:rPr>
          <w:rFonts w:ascii="Arial" w:hAnsi="Arial" w:cs="Arial"/>
        </w:rPr>
        <w:t xml:space="preserve">character areas. Within the Rural Edge and Green Corridor areas, the proposed building forms include detached houses and bungalows to provide a reduced density and streetscape. </w:t>
      </w:r>
      <w:r w:rsidR="00EA1C25">
        <w:rPr>
          <w:rFonts w:ascii="Arial" w:hAnsi="Arial" w:cs="Arial"/>
        </w:rPr>
        <w:t xml:space="preserve">The officer’s report comments favourably on the benefits of the green ring provision, including </w:t>
      </w:r>
      <w:proofErr w:type="spellStart"/>
      <w:r w:rsidR="00EA1C25">
        <w:rPr>
          <w:rFonts w:ascii="Arial" w:hAnsi="Arial" w:cs="Arial"/>
        </w:rPr>
        <w:t>SuDS</w:t>
      </w:r>
      <w:proofErr w:type="spellEnd"/>
      <w:r w:rsidR="00EA1C25">
        <w:rPr>
          <w:rFonts w:ascii="Arial" w:hAnsi="Arial" w:cs="Arial"/>
        </w:rPr>
        <w:t xml:space="preserve">, </w:t>
      </w:r>
      <w:r w:rsidR="00AD0D80">
        <w:rPr>
          <w:rFonts w:ascii="Arial" w:hAnsi="Arial" w:cs="Arial"/>
        </w:rPr>
        <w:t>habitats,</w:t>
      </w:r>
      <w:r w:rsidR="00EA1C25">
        <w:rPr>
          <w:rFonts w:ascii="Arial" w:hAnsi="Arial" w:cs="Arial"/>
        </w:rPr>
        <w:t xml:space="preserve"> and amenity space, as well as its function in filtering distant views of the development from the national park. </w:t>
      </w:r>
    </w:p>
    <w:p w14:paraId="68372512" w14:textId="730B658A" w:rsidR="005B5AA4" w:rsidRDefault="005B5AA4" w:rsidP="00525D07">
      <w:pPr>
        <w:jc w:val="both"/>
        <w:rPr>
          <w:rFonts w:ascii="Arial" w:hAnsi="Arial" w:cs="Arial"/>
        </w:rPr>
      </w:pPr>
      <w:r>
        <w:rPr>
          <w:rFonts w:ascii="Arial" w:hAnsi="Arial" w:cs="Arial"/>
        </w:rPr>
        <w:t xml:space="preserve">The proposed housing mix comprised 159 2 storey houses, 8 flats and 32 bungalows. </w:t>
      </w:r>
      <w:r w:rsidR="00B22AE3">
        <w:rPr>
          <w:rFonts w:ascii="Arial" w:hAnsi="Arial" w:cs="Arial"/>
        </w:rPr>
        <w:t xml:space="preserve">The applicant’s </w:t>
      </w:r>
      <w:r w:rsidR="00EA1C25">
        <w:rPr>
          <w:rFonts w:ascii="Arial" w:hAnsi="Arial" w:cs="Arial"/>
        </w:rPr>
        <w:t>P</w:t>
      </w:r>
      <w:r w:rsidR="00B22AE3">
        <w:rPr>
          <w:rFonts w:ascii="Arial" w:hAnsi="Arial" w:cs="Arial"/>
        </w:rPr>
        <w:t xml:space="preserve">lanning </w:t>
      </w:r>
      <w:r w:rsidR="00EA1C25">
        <w:rPr>
          <w:rFonts w:ascii="Arial" w:hAnsi="Arial" w:cs="Arial"/>
        </w:rPr>
        <w:t>S</w:t>
      </w:r>
      <w:r w:rsidR="00B22AE3">
        <w:rPr>
          <w:rFonts w:ascii="Arial" w:hAnsi="Arial" w:cs="Arial"/>
        </w:rPr>
        <w:t xml:space="preserve">tatement </w:t>
      </w:r>
      <w:r w:rsidR="00BF288F">
        <w:rPr>
          <w:rFonts w:ascii="Arial" w:hAnsi="Arial" w:cs="Arial"/>
        </w:rPr>
        <w:t xml:space="preserve">reflects that the site has sufficient space to accommodate more than the approved 199 units, but </w:t>
      </w:r>
      <w:r w:rsidR="003F0E42">
        <w:rPr>
          <w:rFonts w:ascii="Arial" w:hAnsi="Arial" w:cs="Arial"/>
        </w:rPr>
        <w:t xml:space="preserve">the overriding intention </w:t>
      </w:r>
      <w:r w:rsidR="00256517">
        <w:rPr>
          <w:rFonts w:ascii="Arial" w:hAnsi="Arial" w:cs="Arial"/>
        </w:rPr>
        <w:t xml:space="preserve">is </w:t>
      </w:r>
      <w:r w:rsidR="003F0E42">
        <w:rPr>
          <w:rFonts w:ascii="Arial" w:hAnsi="Arial" w:cs="Arial"/>
        </w:rPr>
        <w:t>to</w:t>
      </w:r>
      <w:r w:rsidR="00BF288F">
        <w:rPr>
          <w:rFonts w:ascii="Arial" w:hAnsi="Arial" w:cs="Arial"/>
        </w:rPr>
        <w:t xml:space="preserve"> implement the outline consent despite the proposed number of units resulting in inefficient use of land. </w:t>
      </w:r>
      <w:r w:rsidR="007C7B72">
        <w:rPr>
          <w:rFonts w:ascii="Arial" w:hAnsi="Arial" w:cs="Arial"/>
        </w:rPr>
        <w:t xml:space="preserve"> The statement comment</w:t>
      </w:r>
      <w:r w:rsidR="003F0E42">
        <w:rPr>
          <w:rFonts w:ascii="Arial" w:hAnsi="Arial" w:cs="Arial"/>
        </w:rPr>
        <w:t>s</w:t>
      </w:r>
      <w:r w:rsidR="007C7B72">
        <w:rPr>
          <w:rFonts w:ascii="Arial" w:hAnsi="Arial" w:cs="Arial"/>
        </w:rPr>
        <w:t xml:space="preserve"> on market need for additional floorspace within properties, responding to home working demand.</w:t>
      </w:r>
      <w:r w:rsidR="00BF288F">
        <w:rPr>
          <w:rFonts w:ascii="Arial" w:hAnsi="Arial" w:cs="Arial"/>
        </w:rPr>
        <w:t xml:space="preserve"> </w:t>
      </w:r>
      <w:r w:rsidR="003F0E42">
        <w:rPr>
          <w:rFonts w:ascii="Arial" w:hAnsi="Arial" w:cs="Arial"/>
        </w:rPr>
        <w:t xml:space="preserve">Despite this </w:t>
      </w:r>
      <w:r w:rsidR="00525D07">
        <w:rPr>
          <w:rFonts w:ascii="Arial" w:hAnsi="Arial" w:cs="Arial"/>
        </w:rPr>
        <w:t>comment</w:t>
      </w:r>
      <w:r w:rsidR="003F0E42">
        <w:rPr>
          <w:rFonts w:ascii="Arial" w:hAnsi="Arial" w:cs="Arial"/>
        </w:rPr>
        <w:t xml:space="preserve">, analysis of permitted floor plans for </w:t>
      </w:r>
      <w:r w:rsidR="00AD0D80">
        <w:rPr>
          <w:rFonts w:ascii="Arial" w:hAnsi="Arial" w:cs="Arial"/>
        </w:rPr>
        <w:t>3-bedroom</w:t>
      </w:r>
      <w:r w:rsidR="003F0E42">
        <w:rPr>
          <w:rFonts w:ascii="Arial" w:hAnsi="Arial" w:cs="Arial"/>
        </w:rPr>
        <w:t xml:space="preserve"> housing reveals that </w:t>
      </w:r>
      <w:r w:rsidR="00072E06">
        <w:rPr>
          <w:rFonts w:ascii="Arial" w:hAnsi="Arial" w:cs="Arial"/>
        </w:rPr>
        <w:t>two of the eight 3-bedroom housing types do not meet NDSS. Notwithstanding, t</w:t>
      </w:r>
      <w:r>
        <w:rPr>
          <w:rFonts w:ascii="Arial" w:hAnsi="Arial" w:cs="Arial"/>
        </w:rPr>
        <w:t xml:space="preserve">he </w:t>
      </w:r>
      <w:r w:rsidR="003F0E42">
        <w:rPr>
          <w:rFonts w:ascii="Arial" w:hAnsi="Arial" w:cs="Arial"/>
        </w:rPr>
        <w:t>o</w:t>
      </w:r>
      <w:r>
        <w:rPr>
          <w:rFonts w:ascii="Arial" w:hAnsi="Arial" w:cs="Arial"/>
        </w:rPr>
        <w:t xml:space="preserve">fficer report comments that the high preponderance of bungalows with more spacious plots is a welcome feature that reflects the variety and eclectic mix of different housing types in Southbourne. The domestic scale of the buildings </w:t>
      </w:r>
      <w:r w:rsidR="00072E06">
        <w:rPr>
          <w:rFonts w:ascii="Arial" w:hAnsi="Arial" w:cs="Arial"/>
        </w:rPr>
        <w:t>was</w:t>
      </w:r>
      <w:r>
        <w:rPr>
          <w:rFonts w:ascii="Arial" w:hAnsi="Arial" w:cs="Arial"/>
        </w:rPr>
        <w:t xml:space="preserve"> considered appropriate and acceptable. </w:t>
      </w:r>
    </w:p>
    <w:p w14:paraId="39FBBBCC" w14:textId="174354C6" w:rsidR="00BE7CF1" w:rsidRDefault="00BE7CF1" w:rsidP="00525D07">
      <w:pPr>
        <w:jc w:val="both"/>
        <w:rPr>
          <w:rFonts w:ascii="Arial" w:hAnsi="Arial" w:cs="Arial"/>
        </w:rPr>
      </w:pPr>
      <w:r>
        <w:rPr>
          <w:rFonts w:ascii="Arial" w:hAnsi="Arial" w:cs="Arial"/>
        </w:rPr>
        <w:t xml:space="preserve">This case demonstrates the balancing of </w:t>
      </w:r>
      <w:r w:rsidR="00153590">
        <w:rPr>
          <w:rFonts w:ascii="Arial" w:hAnsi="Arial" w:cs="Arial"/>
        </w:rPr>
        <w:t xml:space="preserve">local </w:t>
      </w:r>
      <w:r>
        <w:rPr>
          <w:rFonts w:ascii="Arial" w:hAnsi="Arial" w:cs="Arial"/>
        </w:rPr>
        <w:t xml:space="preserve">landscape constraints and market need with ensuring efficient use of land and development viability. </w:t>
      </w:r>
      <w:r w:rsidR="00153590">
        <w:rPr>
          <w:rFonts w:ascii="Arial" w:hAnsi="Arial" w:cs="Arial"/>
        </w:rPr>
        <w:t xml:space="preserve">There is recognition that inappropriate building forms and high densities may be out of the character with the existing area, resulting in a </w:t>
      </w:r>
      <w:r w:rsidR="00AD0D80">
        <w:rPr>
          <w:rFonts w:ascii="Arial" w:hAnsi="Arial" w:cs="Arial"/>
        </w:rPr>
        <w:t>low-density</w:t>
      </w:r>
      <w:r w:rsidR="00153590">
        <w:rPr>
          <w:rFonts w:ascii="Arial" w:hAnsi="Arial" w:cs="Arial"/>
        </w:rPr>
        <w:t xml:space="preserve"> development despite the accessibility and sustainability of the settlement hub. </w:t>
      </w:r>
      <w:r w:rsidR="00525D07">
        <w:rPr>
          <w:rFonts w:ascii="Arial" w:hAnsi="Arial" w:cs="Arial"/>
        </w:rPr>
        <w:t xml:space="preserve">It is notable that the 25dph density achieved is slightly higher than the average existing density of Southbourne, calculated within this study to be approx. 23 </w:t>
      </w:r>
      <w:proofErr w:type="spellStart"/>
      <w:r w:rsidR="00525D07">
        <w:rPr>
          <w:rFonts w:ascii="Arial" w:hAnsi="Arial" w:cs="Arial"/>
        </w:rPr>
        <w:t>dph</w:t>
      </w:r>
      <w:proofErr w:type="spellEnd"/>
      <w:r w:rsidR="00525D07">
        <w:rPr>
          <w:rFonts w:ascii="Arial" w:hAnsi="Arial" w:cs="Arial"/>
        </w:rPr>
        <w:t xml:space="preserve">. </w:t>
      </w:r>
      <w:r w:rsidR="0058663C">
        <w:rPr>
          <w:rFonts w:ascii="Arial" w:hAnsi="Arial" w:cs="Arial"/>
        </w:rPr>
        <w:t>Recognising proposed significant growth within the location, t</w:t>
      </w:r>
      <w:r w:rsidR="00153590">
        <w:rPr>
          <w:rFonts w:ascii="Arial" w:hAnsi="Arial" w:cs="Arial"/>
        </w:rPr>
        <w:t>he Southbourne Allocation DPD provides a means of further exploring opportunities for gentle densific</w:t>
      </w:r>
      <w:r w:rsidR="0058663C">
        <w:rPr>
          <w:rFonts w:ascii="Arial" w:hAnsi="Arial" w:cs="Arial"/>
        </w:rPr>
        <w:t xml:space="preserve">ation to achieve local housing needs while having regard to character and community concerns.  </w:t>
      </w:r>
    </w:p>
    <w:p w14:paraId="794FA075" w14:textId="77777777" w:rsidR="007076EB" w:rsidRDefault="007076EB">
      <w:pPr>
        <w:rPr>
          <w:rFonts w:ascii="Arial" w:hAnsi="Arial" w:cs="Arial"/>
        </w:rPr>
      </w:pPr>
    </w:p>
    <w:p w14:paraId="56DE1EA4" w14:textId="77777777" w:rsidR="007076EB" w:rsidRDefault="007076EB">
      <w:pPr>
        <w:rPr>
          <w:rFonts w:ascii="Arial" w:hAnsi="Arial" w:cs="Arial"/>
        </w:rPr>
      </w:pPr>
    </w:p>
    <w:p w14:paraId="4E1FE056" w14:textId="77777777" w:rsidR="008570BB" w:rsidRPr="007B0B58" w:rsidRDefault="008570BB">
      <w:pPr>
        <w:rPr>
          <w:rFonts w:ascii="Arial" w:hAnsi="Arial" w:cs="Arial"/>
        </w:rPr>
      </w:pPr>
    </w:p>
    <w:sectPr w:rsidR="008570BB" w:rsidRPr="007B0B58" w:rsidSect="00906E1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15533" w14:textId="77777777" w:rsidR="00A16223" w:rsidRDefault="00A16223" w:rsidP="00A16223">
      <w:pPr>
        <w:spacing w:after="0" w:line="240" w:lineRule="auto"/>
      </w:pPr>
      <w:r>
        <w:separator/>
      </w:r>
    </w:p>
  </w:endnote>
  <w:endnote w:type="continuationSeparator" w:id="0">
    <w:p w14:paraId="0426CF3A" w14:textId="77777777" w:rsidR="00A16223" w:rsidRDefault="00A16223" w:rsidP="00A16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0F3E" w14:textId="77777777" w:rsidR="00A16223" w:rsidRDefault="00A16223" w:rsidP="00A16223">
      <w:pPr>
        <w:spacing w:after="0" w:line="240" w:lineRule="auto"/>
      </w:pPr>
      <w:r>
        <w:separator/>
      </w:r>
    </w:p>
  </w:footnote>
  <w:footnote w:type="continuationSeparator" w:id="0">
    <w:p w14:paraId="50C73BF7" w14:textId="77777777" w:rsidR="00A16223" w:rsidRDefault="00A16223" w:rsidP="00A16223">
      <w:pPr>
        <w:spacing w:after="0" w:line="240" w:lineRule="auto"/>
      </w:pPr>
      <w:r>
        <w:continuationSeparator/>
      </w:r>
    </w:p>
  </w:footnote>
  <w:footnote w:id="1">
    <w:p w14:paraId="40B49C86" w14:textId="5D2D93E0" w:rsidR="00A16223" w:rsidRDefault="00A16223">
      <w:pPr>
        <w:pStyle w:val="FootnoteText"/>
      </w:pPr>
      <w:r>
        <w:rPr>
          <w:rStyle w:val="FootnoteReference"/>
        </w:rPr>
        <w:footnoteRef/>
      </w:r>
      <w:r>
        <w:t xml:space="preserve"> </w:t>
      </w:r>
      <w:r w:rsidR="00653EAA">
        <w:t xml:space="preserve">Historic England’s Increasing Residential Density in Historic Environments (2018): </w:t>
      </w:r>
      <w:hyperlink r:id="rId1" w:history="1">
        <w:r w:rsidR="00653EAA">
          <w:rPr>
            <w:rStyle w:val="Hyperlink"/>
          </w:rPr>
          <w:t>historicengland.org.uk/images-books/publications/increasing-residential-density-in-historic-environments/160718-increasing-residential-density-in-historic-environments-final-report/</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886"/>
    <w:rsid w:val="00004350"/>
    <w:rsid w:val="00020AA3"/>
    <w:rsid w:val="00022067"/>
    <w:rsid w:val="00022459"/>
    <w:rsid w:val="00057AC7"/>
    <w:rsid w:val="00065FC2"/>
    <w:rsid w:val="00072E06"/>
    <w:rsid w:val="00076063"/>
    <w:rsid w:val="000A32B3"/>
    <w:rsid w:val="00123AA8"/>
    <w:rsid w:val="001438BC"/>
    <w:rsid w:val="00153590"/>
    <w:rsid w:val="0017392D"/>
    <w:rsid w:val="00173A64"/>
    <w:rsid w:val="001817F1"/>
    <w:rsid w:val="0019152E"/>
    <w:rsid w:val="001A4886"/>
    <w:rsid w:val="001A6347"/>
    <w:rsid w:val="001A7DCC"/>
    <w:rsid w:val="001E4B0E"/>
    <w:rsid w:val="001E6A0E"/>
    <w:rsid w:val="001F1FE8"/>
    <w:rsid w:val="001F2B4D"/>
    <w:rsid w:val="001F3464"/>
    <w:rsid w:val="00204DEF"/>
    <w:rsid w:val="00250500"/>
    <w:rsid w:val="00256517"/>
    <w:rsid w:val="0025704E"/>
    <w:rsid w:val="002706D9"/>
    <w:rsid w:val="002865D2"/>
    <w:rsid w:val="002A0E34"/>
    <w:rsid w:val="002A1A24"/>
    <w:rsid w:val="002D138B"/>
    <w:rsid w:val="00310EB9"/>
    <w:rsid w:val="00334297"/>
    <w:rsid w:val="00397CDA"/>
    <w:rsid w:val="00397DBB"/>
    <w:rsid w:val="003A58F0"/>
    <w:rsid w:val="003C37CB"/>
    <w:rsid w:val="003D3C5A"/>
    <w:rsid w:val="003F0E42"/>
    <w:rsid w:val="00434948"/>
    <w:rsid w:val="00453D7B"/>
    <w:rsid w:val="00481E73"/>
    <w:rsid w:val="0048455E"/>
    <w:rsid w:val="004A3FD4"/>
    <w:rsid w:val="004B6A46"/>
    <w:rsid w:val="004D1A9D"/>
    <w:rsid w:val="004D6010"/>
    <w:rsid w:val="004F2D61"/>
    <w:rsid w:val="0051252E"/>
    <w:rsid w:val="005168B4"/>
    <w:rsid w:val="00516F24"/>
    <w:rsid w:val="00525D07"/>
    <w:rsid w:val="00552C17"/>
    <w:rsid w:val="0056378D"/>
    <w:rsid w:val="00563E6B"/>
    <w:rsid w:val="0056616A"/>
    <w:rsid w:val="00567F51"/>
    <w:rsid w:val="00572540"/>
    <w:rsid w:val="00582121"/>
    <w:rsid w:val="0058663C"/>
    <w:rsid w:val="00591701"/>
    <w:rsid w:val="005A0E36"/>
    <w:rsid w:val="005B5AA4"/>
    <w:rsid w:val="005B5FB7"/>
    <w:rsid w:val="005D0324"/>
    <w:rsid w:val="005E502D"/>
    <w:rsid w:val="0064609F"/>
    <w:rsid w:val="00653EAA"/>
    <w:rsid w:val="0065497F"/>
    <w:rsid w:val="006753E0"/>
    <w:rsid w:val="006772E7"/>
    <w:rsid w:val="006814D1"/>
    <w:rsid w:val="0068634A"/>
    <w:rsid w:val="006C7AD4"/>
    <w:rsid w:val="006D319A"/>
    <w:rsid w:val="006E5632"/>
    <w:rsid w:val="006F27CE"/>
    <w:rsid w:val="0070053F"/>
    <w:rsid w:val="007021B8"/>
    <w:rsid w:val="007076EB"/>
    <w:rsid w:val="00734FFA"/>
    <w:rsid w:val="007452F0"/>
    <w:rsid w:val="0076713D"/>
    <w:rsid w:val="0076741D"/>
    <w:rsid w:val="0077205C"/>
    <w:rsid w:val="007B0B58"/>
    <w:rsid w:val="007B632F"/>
    <w:rsid w:val="007B743B"/>
    <w:rsid w:val="007C48D0"/>
    <w:rsid w:val="007C7B72"/>
    <w:rsid w:val="007D09B4"/>
    <w:rsid w:val="007F013F"/>
    <w:rsid w:val="007F6AE9"/>
    <w:rsid w:val="007F7866"/>
    <w:rsid w:val="008023C7"/>
    <w:rsid w:val="00810FBA"/>
    <w:rsid w:val="00820F06"/>
    <w:rsid w:val="00841C40"/>
    <w:rsid w:val="008517C6"/>
    <w:rsid w:val="008570BB"/>
    <w:rsid w:val="00890ECA"/>
    <w:rsid w:val="008A2E1D"/>
    <w:rsid w:val="008A5B15"/>
    <w:rsid w:val="008D7C13"/>
    <w:rsid w:val="008E7B8F"/>
    <w:rsid w:val="008F1271"/>
    <w:rsid w:val="00900609"/>
    <w:rsid w:val="0090242A"/>
    <w:rsid w:val="00906E1E"/>
    <w:rsid w:val="00914489"/>
    <w:rsid w:val="00931E05"/>
    <w:rsid w:val="009414B9"/>
    <w:rsid w:val="00947190"/>
    <w:rsid w:val="00963A1F"/>
    <w:rsid w:val="00976944"/>
    <w:rsid w:val="009819AF"/>
    <w:rsid w:val="00982C56"/>
    <w:rsid w:val="0099758E"/>
    <w:rsid w:val="009C2290"/>
    <w:rsid w:val="009C32B5"/>
    <w:rsid w:val="009E5FAE"/>
    <w:rsid w:val="00A05A2E"/>
    <w:rsid w:val="00A06E46"/>
    <w:rsid w:val="00A16223"/>
    <w:rsid w:val="00A237A2"/>
    <w:rsid w:val="00A272B1"/>
    <w:rsid w:val="00A30395"/>
    <w:rsid w:val="00A30DAE"/>
    <w:rsid w:val="00A31037"/>
    <w:rsid w:val="00A32F9C"/>
    <w:rsid w:val="00A348C3"/>
    <w:rsid w:val="00A57E28"/>
    <w:rsid w:val="00AA5C85"/>
    <w:rsid w:val="00AB4B33"/>
    <w:rsid w:val="00AB6790"/>
    <w:rsid w:val="00AD069B"/>
    <w:rsid w:val="00AD0D80"/>
    <w:rsid w:val="00AD150C"/>
    <w:rsid w:val="00AD285C"/>
    <w:rsid w:val="00AE263A"/>
    <w:rsid w:val="00AF462A"/>
    <w:rsid w:val="00B22AE3"/>
    <w:rsid w:val="00B4197E"/>
    <w:rsid w:val="00B43309"/>
    <w:rsid w:val="00B63AB3"/>
    <w:rsid w:val="00B657DD"/>
    <w:rsid w:val="00B70705"/>
    <w:rsid w:val="00B84D9F"/>
    <w:rsid w:val="00BA0A41"/>
    <w:rsid w:val="00BB2347"/>
    <w:rsid w:val="00BC5F5B"/>
    <w:rsid w:val="00BE3480"/>
    <w:rsid w:val="00BE7CF1"/>
    <w:rsid w:val="00BF288F"/>
    <w:rsid w:val="00C013AB"/>
    <w:rsid w:val="00C33CC0"/>
    <w:rsid w:val="00C47D66"/>
    <w:rsid w:val="00C47E69"/>
    <w:rsid w:val="00C51D7A"/>
    <w:rsid w:val="00C569EB"/>
    <w:rsid w:val="00C705C6"/>
    <w:rsid w:val="00CA05A2"/>
    <w:rsid w:val="00CA05E1"/>
    <w:rsid w:val="00CA2A02"/>
    <w:rsid w:val="00CA3820"/>
    <w:rsid w:val="00CA494A"/>
    <w:rsid w:val="00CD6D1E"/>
    <w:rsid w:val="00D111D5"/>
    <w:rsid w:val="00D34C64"/>
    <w:rsid w:val="00D370F0"/>
    <w:rsid w:val="00D84587"/>
    <w:rsid w:val="00DB6825"/>
    <w:rsid w:val="00DB7798"/>
    <w:rsid w:val="00DD3AE2"/>
    <w:rsid w:val="00DF0D89"/>
    <w:rsid w:val="00DF28CB"/>
    <w:rsid w:val="00E120D4"/>
    <w:rsid w:val="00E13476"/>
    <w:rsid w:val="00E16AA4"/>
    <w:rsid w:val="00E5714E"/>
    <w:rsid w:val="00E65059"/>
    <w:rsid w:val="00E848B7"/>
    <w:rsid w:val="00E9232D"/>
    <w:rsid w:val="00EA1C25"/>
    <w:rsid w:val="00ED6A59"/>
    <w:rsid w:val="00EE6F62"/>
    <w:rsid w:val="00EF58E2"/>
    <w:rsid w:val="00F003F5"/>
    <w:rsid w:val="00F00CA7"/>
    <w:rsid w:val="00F05A10"/>
    <w:rsid w:val="00F12B7E"/>
    <w:rsid w:val="00F24992"/>
    <w:rsid w:val="00F30DAF"/>
    <w:rsid w:val="00F740D4"/>
    <w:rsid w:val="00F86583"/>
    <w:rsid w:val="00F9271B"/>
    <w:rsid w:val="00FA216E"/>
    <w:rsid w:val="00FB0ADE"/>
    <w:rsid w:val="00FB4823"/>
    <w:rsid w:val="00FE4641"/>
    <w:rsid w:val="00FF5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8CBE0"/>
  <w15:chartTrackingRefBased/>
  <w15:docId w15:val="{C4B028E4-E7F2-4A60-B2E8-9B62A48E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E1E"/>
  </w:style>
  <w:style w:type="paragraph" w:styleId="Heading1">
    <w:name w:val="heading 1"/>
    <w:basedOn w:val="Normal"/>
    <w:next w:val="Normal"/>
    <w:link w:val="Heading1Char"/>
    <w:uiPriority w:val="9"/>
    <w:qFormat/>
    <w:rsid w:val="00072E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6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162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6223"/>
    <w:rPr>
      <w:sz w:val="20"/>
      <w:szCs w:val="20"/>
    </w:rPr>
  </w:style>
  <w:style w:type="character" w:styleId="FootnoteReference">
    <w:name w:val="footnote reference"/>
    <w:basedOn w:val="DefaultParagraphFont"/>
    <w:uiPriority w:val="99"/>
    <w:semiHidden/>
    <w:unhideWhenUsed/>
    <w:rsid w:val="00A16223"/>
    <w:rPr>
      <w:vertAlign w:val="superscript"/>
    </w:rPr>
  </w:style>
  <w:style w:type="character" w:styleId="Hyperlink">
    <w:name w:val="Hyperlink"/>
    <w:basedOn w:val="DefaultParagraphFont"/>
    <w:uiPriority w:val="99"/>
    <w:semiHidden/>
    <w:unhideWhenUsed/>
    <w:rsid w:val="00653EAA"/>
    <w:rPr>
      <w:color w:val="0000FF"/>
      <w:u w:val="single"/>
    </w:rPr>
  </w:style>
  <w:style w:type="paragraph" w:styleId="NormalWeb">
    <w:name w:val="Normal (Web)"/>
    <w:basedOn w:val="Normal"/>
    <w:uiPriority w:val="99"/>
    <w:unhideWhenUsed/>
    <w:rsid w:val="00AB67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AB679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A0E34"/>
    <w:rPr>
      <w:color w:val="954F72" w:themeColor="followedHyperlink"/>
      <w:u w:val="single"/>
    </w:rPr>
  </w:style>
  <w:style w:type="paragraph" w:styleId="Header">
    <w:name w:val="header"/>
    <w:basedOn w:val="Normal"/>
    <w:link w:val="HeaderChar"/>
    <w:uiPriority w:val="99"/>
    <w:unhideWhenUsed/>
    <w:rsid w:val="00072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E06"/>
  </w:style>
  <w:style w:type="paragraph" w:styleId="Footer">
    <w:name w:val="footer"/>
    <w:basedOn w:val="Normal"/>
    <w:link w:val="FooterChar"/>
    <w:uiPriority w:val="99"/>
    <w:unhideWhenUsed/>
    <w:rsid w:val="00072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E06"/>
  </w:style>
  <w:style w:type="character" w:customStyle="1" w:styleId="Heading1Char">
    <w:name w:val="Heading 1 Char"/>
    <w:basedOn w:val="DefaultParagraphFont"/>
    <w:link w:val="Heading1"/>
    <w:uiPriority w:val="9"/>
    <w:rsid w:val="00072E06"/>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6814D1"/>
    <w:pPr>
      <w:spacing w:after="0" w:line="240" w:lineRule="auto"/>
    </w:pPr>
  </w:style>
  <w:style w:type="character" w:styleId="CommentReference">
    <w:name w:val="annotation reference"/>
    <w:basedOn w:val="DefaultParagraphFont"/>
    <w:uiPriority w:val="99"/>
    <w:semiHidden/>
    <w:unhideWhenUsed/>
    <w:rsid w:val="005E502D"/>
    <w:rPr>
      <w:sz w:val="16"/>
      <w:szCs w:val="16"/>
    </w:rPr>
  </w:style>
  <w:style w:type="paragraph" w:styleId="CommentText">
    <w:name w:val="annotation text"/>
    <w:basedOn w:val="Normal"/>
    <w:link w:val="CommentTextChar"/>
    <w:uiPriority w:val="99"/>
    <w:unhideWhenUsed/>
    <w:rsid w:val="005E502D"/>
    <w:pPr>
      <w:spacing w:line="240" w:lineRule="auto"/>
    </w:pPr>
    <w:rPr>
      <w:sz w:val="20"/>
      <w:szCs w:val="20"/>
    </w:rPr>
  </w:style>
  <w:style w:type="character" w:customStyle="1" w:styleId="CommentTextChar">
    <w:name w:val="Comment Text Char"/>
    <w:basedOn w:val="DefaultParagraphFont"/>
    <w:link w:val="CommentText"/>
    <w:uiPriority w:val="99"/>
    <w:rsid w:val="005E502D"/>
    <w:rPr>
      <w:sz w:val="20"/>
      <w:szCs w:val="20"/>
    </w:rPr>
  </w:style>
  <w:style w:type="paragraph" w:styleId="CommentSubject">
    <w:name w:val="annotation subject"/>
    <w:basedOn w:val="CommentText"/>
    <w:next w:val="CommentText"/>
    <w:link w:val="CommentSubjectChar"/>
    <w:uiPriority w:val="99"/>
    <w:semiHidden/>
    <w:unhideWhenUsed/>
    <w:rsid w:val="005E502D"/>
    <w:rPr>
      <w:b/>
      <w:bCs/>
    </w:rPr>
  </w:style>
  <w:style w:type="character" w:customStyle="1" w:styleId="CommentSubjectChar">
    <w:name w:val="Comment Subject Char"/>
    <w:basedOn w:val="CommentTextChar"/>
    <w:link w:val="CommentSubject"/>
    <w:uiPriority w:val="99"/>
    <w:semiHidden/>
    <w:rsid w:val="005E50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99890">
      <w:bodyDiv w:val="1"/>
      <w:marLeft w:val="0"/>
      <w:marRight w:val="0"/>
      <w:marTop w:val="0"/>
      <w:marBottom w:val="0"/>
      <w:divBdr>
        <w:top w:val="none" w:sz="0" w:space="0" w:color="auto"/>
        <w:left w:val="none" w:sz="0" w:space="0" w:color="auto"/>
        <w:bottom w:val="none" w:sz="0" w:space="0" w:color="auto"/>
        <w:right w:val="none" w:sz="0" w:space="0" w:color="auto"/>
      </w:divBdr>
    </w:div>
    <w:div w:id="828860621">
      <w:bodyDiv w:val="1"/>
      <w:marLeft w:val="0"/>
      <w:marRight w:val="0"/>
      <w:marTop w:val="0"/>
      <w:marBottom w:val="0"/>
      <w:divBdr>
        <w:top w:val="none" w:sz="0" w:space="0" w:color="auto"/>
        <w:left w:val="none" w:sz="0" w:space="0" w:color="auto"/>
        <w:bottom w:val="none" w:sz="0" w:space="0" w:color="auto"/>
        <w:right w:val="none" w:sz="0" w:space="0" w:color="auto"/>
      </w:divBdr>
    </w:div>
    <w:div w:id="848762058">
      <w:bodyDiv w:val="1"/>
      <w:marLeft w:val="0"/>
      <w:marRight w:val="0"/>
      <w:marTop w:val="0"/>
      <w:marBottom w:val="0"/>
      <w:divBdr>
        <w:top w:val="none" w:sz="0" w:space="0" w:color="auto"/>
        <w:left w:val="none" w:sz="0" w:space="0" w:color="auto"/>
        <w:bottom w:val="none" w:sz="0" w:space="0" w:color="auto"/>
        <w:right w:val="none" w:sz="0" w:space="0" w:color="auto"/>
      </w:divBdr>
    </w:div>
    <w:div w:id="945960952">
      <w:bodyDiv w:val="1"/>
      <w:marLeft w:val="0"/>
      <w:marRight w:val="0"/>
      <w:marTop w:val="0"/>
      <w:marBottom w:val="0"/>
      <w:divBdr>
        <w:top w:val="none" w:sz="0" w:space="0" w:color="auto"/>
        <w:left w:val="none" w:sz="0" w:space="0" w:color="auto"/>
        <w:bottom w:val="none" w:sz="0" w:space="0" w:color="auto"/>
        <w:right w:val="none" w:sz="0" w:space="0" w:color="auto"/>
      </w:divBdr>
    </w:div>
    <w:div w:id="1256207536">
      <w:bodyDiv w:val="1"/>
      <w:marLeft w:val="0"/>
      <w:marRight w:val="0"/>
      <w:marTop w:val="0"/>
      <w:marBottom w:val="0"/>
      <w:divBdr>
        <w:top w:val="none" w:sz="0" w:space="0" w:color="auto"/>
        <w:left w:val="none" w:sz="0" w:space="0" w:color="auto"/>
        <w:bottom w:val="none" w:sz="0" w:space="0" w:color="auto"/>
        <w:right w:val="none" w:sz="0" w:space="0" w:color="auto"/>
      </w:divBdr>
    </w:div>
    <w:div w:id="1354376790">
      <w:bodyDiv w:val="1"/>
      <w:marLeft w:val="0"/>
      <w:marRight w:val="0"/>
      <w:marTop w:val="0"/>
      <w:marBottom w:val="0"/>
      <w:divBdr>
        <w:top w:val="none" w:sz="0" w:space="0" w:color="auto"/>
        <w:left w:val="none" w:sz="0" w:space="0" w:color="auto"/>
        <w:bottom w:val="none" w:sz="0" w:space="0" w:color="auto"/>
        <w:right w:val="none" w:sz="0" w:space="0" w:color="auto"/>
      </w:divBdr>
    </w:div>
    <w:div w:id="1408651921">
      <w:bodyDiv w:val="1"/>
      <w:marLeft w:val="0"/>
      <w:marRight w:val="0"/>
      <w:marTop w:val="0"/>
      <w:marBottom w:val="0"/>
      <w:divBdr>
        <w:top w:val="none" w:sz="0" w:space="0" w:color="auto"/>
        <w:left w:val="none" w:sz="0" w:space="0" w:color="auto"/>
        <w:bottom w:val="none" w:sz="0" w:space="0" w:color="auto"/>
        <w:right w:val="none" w:sz="0" w:space="0" w:color="auto"/>
      </w:divBdr>
    </w:div>
    <w:div w:id="1603807055">
      <w:bodyDiv w:val="1"/>
      <w:marLeft w:val="0"/>
      <w:marRight w:val="0"/>
      <w:marTop w:val="0"/>
      <w:marBottom w:val="0"/>
      <w:divBdr>
        <w:top w:val="none" w:sz="0" w:space="0" w:color="auto"/>
        <w:left w:val="none" w:sz="0" w:space="0" w:color="auto"/>
        <w:bottom w:val="none" w:sz="0" w:space="0" w:color="auto"/>
        <w:right w:val="none" w:sz="0" w:space="0" w:color="auto"/>
      </w:divBdr>
    </w:div>
    <w:div w:id="1650673081">
      <w:bodyDiv w:val="1"/>
      <w:marLeft w:val="0"/>
      <w:marRight w:val="0"/>
      <w:marTop w:val="0"/>
      <w:marBottom w:val="0"/>
      <w:divBdr>
        <w:top w:val="none" w:sz="0" w:space="0" w:color="auto"/>
        <w:left w:val="none" w:sz="0" w:space="0" w:color="auto"/>
        <w:bottom w:val="none" w:sz="0" w:space="0" w:color="auto"/>
        <w:right w:val="none" w:sz="0" w:space="0" w:color="auto"/>
      </w:divBdr>
    </w:div>
    <w:div w:id="1716585892">
      <w:bodyDiv w:val="1"/>
      <w:marLeft w:val="0"/>
      <w:marRight w:val="0"/>
      <w:marTop w:val="0"/>
      <w:marBottom w:val="0"/>
      <w:divBdr>
        <w:top w:val="none" w:sz="0" w:space="0" w:color="auto"/>
        <w:left w:val="none" w:sz="0" w:space="0" w:color="auto"/>
        <w:bottom w:val="none" w:sz="0" w:space="0" w:color="auto"/>
        <w:right w:val="none" w:sz="0" w:space="0" w:color="auto"/>
      </w:divBdr>
    </w:div>
    <w:div w:id="214696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cid:977BC5B6-4D70-406A-A18D-E7586AC7430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17A11024-A6EE-4648-B79E-9B286076398C" TargetMode="External"/><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historicengland.org.uk/images-books/publications/increasing-residential-density-in-historic-environments/160718-increasing-residential-density-in-historic-environments-fin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B29E5-1D1E-40EB-9BC0-97B010A8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Brace</dc:creator>
  <cp:keywords/>
  <dc:description/>
  <cp:lastModifiedBy>Louise Brace</cp:lastModifiedBy>
  <cp:revision>9</cp:revision>
  <dcterms:created xsi:type="dcterms:W3CDTF">2024-04-15T13:03:00Z</dcterms:created>
  <dcterms:modified xsi:type="dcterms:W3CDTF">2024-04-16T09:38:00Z</dcterms:modified>
</cp:coreProperties>
</file>