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5E6D" w14:textId="77777777" w:rsidR="00AC015A" w:rsidRDefault="00AC015A" w:rsidP="00585695">
      <w:pPr>
        <w:jc w:val="center"/>
        <w:rPr>
          <w:rFonts w:ascii="Arial" w:hAnsi="Arial" w:cs="Arial"/>
          <w:sz w:val="56"/>
          <w:szCs w:val="56"/>
        </w:rPr>
      </w:pPr>
      <w:bookmarkStart w:id="0" w:name="_Hlk129337144"/>
      <w:bookmarkEnd w:id="0"/>
    </w:p>
    <w:p w14:paraId="3BF345DA" w14:textId="77777777" w:rsidR="00AC015A" w:rsidRDefault="00AC015A" w:rsidP="00585695">
      <w:pPr>
        <w:jc w:val="center"/>
        <w:rPr>
          <w:rFonts w:ascii="Arial" w:hAnsi="Arial" w:cs="Arial"/>
          <w:sz w:val="56"/>
          <w:szCs w:val="56"/>
        </w:rPr>
      </w:pPr>
    </w:p>
    <w:p w14:paraId="7ECB9641" w14:textId="77777777" w:rsidR="00AC015A" w:rsidRDefault="00AC015A" w:rsidP="00585695">
      <w:pPr>
        <w:jc w:val="center"/>
        <w:rPr>
          <w:rFonts w:ascii="Arial" w:hAnsi="Arial" w:cs="Arial"/>
          <w:sz w:val="56"/>
          <w:szCs w:val="56"/>
        </w:rPr>
      </w:pPr>
    </w:p>
    <w:p w14:paraId="6350488D" w14:textId="77777777" w:rsidR="00AC015A" w:rsidRDefault="00AC015A" w:rsidP="00585695">
      <w:pPr>
        <w:jc w:val="center"/>
        <w:rPr>
          <w:rFonts w:ascii="Arial" w:hAnsi="Arial" w:cs="Arial"/>
          <w:b/>
          <w:sz w:val="56"/>
          <w:szCs w:val="56"/>
        </w:rPr>
      </w:pPr>
      <w:r>
        <w:rPr>
          <w:rFonts w:ascii="Arial" w:hAnsi="Arial" w:cs="Arial"/>
          <w:b/>
          <w:sz w:val="56"/>
          <w:szCs w:val="56"/>
        </w:rPr>
        <w:t>Chichester District Council</w:t>
      </w:r>
    </w:p>
    <w:p w14:paraId="19FC3CB1" w14:textId="77777777" w:rsidR="00AC015A" w:rsidRDefault="00AC015A" w:rsidP="00585695">
      <w:pPr>
        <w:jc w:val="center"/>
        <w:rPr>
          <w:rFonts w:ascii="Arial" w:hAnsi="Arial" w:cs="Arial"/>
          <w:b/>
          <w:sz w:val="56"/>
          <w:szCs w:val="56"/>
        </w:rPr>
      </w:pPr>
    </w:p>
    <w:p w14:paraId="7CB10240" w14:textId="77777777" w:rsidR="00AC015A" w:rsidRDefault="00AC015A" w:rsidP="00585695">
      <w:pPr>
        <w:jc w:val="center"/>
        <w:rPr>
          <w:rFonts w:ascii="Arial" w:hAnsi="Arial" w:cs="Arial"/>
          <w:b/>
          <w:sz w:val="56"/>
          <w:szCs w:val="56"/>
        </w:rPr>
      </w:pPr>
    </w:p>
    <w:p w14:paraId="2DB05B0B" w14:textId="7044748C" w:rsidR="00AC015A" w:rsidRDefault="00AC015A" w:rsidP="00585695">
      <w:pPr>
        <w:jc w:val="center"/>
        <w:rPr>
          <w:rFonts w:ascii="Arial" w:hAnsi="Arial" w:cs="Arial"/>
          <w:b/>
          <w:sz w:val="48"/>
          <w:szCs w:val="56"/>
        </w:rPr>
      </w:pPr>
      <w:r w:rsidRPr="00CC2C28">
        <w:rPr>
          <w:rFonts w:ascii="Arial" w:eastAsia="Times New Roman" w:hAnsi="Arial" w:cs="Arial"/>
          <w:noProof/>
          <w:sz w:val="20"/>
          <w:szCs w:val="24"/>
          <w:lang w:eastAsia="en-GB"/>
        </w:rPr>
        <w:drawing>
          <wp:anchor distT="0" distB="0" distL="114300" distR="114300" simplePos="0" relativeHeight="251657728" behindDoc="0" locked="0" layoutInCell="1" allowOverlap="1" wp14:anchorId="70C6EE0C" wp14:editId="3D8F0D89">
            <wp:simplePos x="0" y="0"/>
            <wp:positionH relativeFrom="margin">
              <wp:posOffset>2232660</wp:posOffset>
            </wp:positionH>
            <wp:positionV relativeFrom="margin">
              <wp:posOffset>4745355</wp:posOffset>
            </wp:positionV>
            <wp:extent cx="1532890" cy="1541145"/>
            <wp:effectExtent l="0" t="0" r="0" b="190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anchor>
        </w:drawing>
      </w:r>
      <w:r w:rsidR="00A30BE2">
        <w:rPr>
          <w:rFonts w:ascii="Arial" w:hAnsi="Arial" w:cs="Arial"/>
          <w:b/>
          <w:sz w:val="48"/>
          <w:szCs w:val="56"/>
        </w:rPr>
        <w:t>Residential Space Standards</w:t>
      </w:r>
    </w:p>
    <w:p w14:paraId="61A19055" w14:textId="45839B5B" w:rsidR="00AC015A" w:rsidRDefault="00F23E4D" w:rsidP="00585695">
      <w:pPr>
        <w:jc w:val="center"/>
        <w:rPr>
          <w:rFonts w:ascii="Arial" w:hAnsi="Arial" w:cs="Arial"/>
          <w:b/>
          <w:sz w:val="48"/>
          <w:szCs w:val="56"/>
        </w:rPr>
      </w:pPr>
      <w:r>
        <w:rPr>
          <w:rFonts w:ascii="Arial" w:hAnsi="Arial" w:cs="Arial"/>
          <w:b/>
          <w:sz w:val="48"/>
          <w:szCs w:val="56"/>
        </w:rPr>
        <w:t>Evidence</w:t>
      </w:r>
      <w:r w:rsidR="00354668">
        <w:rPr>
          <w:rFonts w:ascii="Arial" w:hAnsi="Arial" w:cs="Arial"/>
          <w:b/>
          <w:sz w:val="48"/>
          <w:szCs w:val="56"/>
        </w:rPr>
        <w:t xml:space="preserve"> </w:t>
      </w:r>
      <w:r w:rsidR="002D133F">
        <w:rPr>
          <w:rFonts w:ascii="Arial" w:hAnsi="Arial" w:cs="Arial"/>
          <w:b/>
          <w:sz w:val="48"/>
          <w:szCs w:val="56"/>
        </w:rPr>
        <w:t>Study</w:t>
      </w:r>
    </w:p>
    <w:p w14:paraId="0E2AF6D5" w14:textId="77777777" w:rsidR="00AC015A" w:rsidRPr="002C0A35" w:rsidRDefault="00AC015A" w:rsidP="00585695">
      <w:pPr>
        <w:jc w:val="center"/>
        <w:rPr>
          <w:rFonts w:ascii="Arial" w:hAnsi="Arial" w:cs="Arial"/>
          <w:sz w:val="56"/>
          <w:szCs w:val="56"/>
        </w:rPr>
      </w:pPr>
    </w:p>
    <w:p w14:paraId="214BF6B6" w14:textId="77777777" w:rsidR="00AC015A" w:rsidRPr="002C0A35" w:rsidRDefault="00AC015A" w:rsidP="00585695">
      <w:pPr>
        <w:jc w:val="center"/>
        <w:rPr>
          <w:rFonts w:ascii="Arial" w:hAnsi="Arial" w:cs="Arial"/>
          <w:sz w:val="56"/>
          <w:szCs w:val="56"/>
        </w:rPr>
      </w:pPr>
    </w:p>
    <w:p w14:paraId="7A4479D5" w14:textId="77777777" w:rsidR="00AC015A" w:rsidRPr="002C0A35" w:rsidRDefault="00AC015A" w:rsidP="00585695">
      <w:pPr>
        <w:jc w:val="center"/>
        <w:rPr>
          <w:rFonts w:ascii="Arial" w:hAnsi="Arial" w:cs="Arial"/>
          <w:sz w:val="56"/>
          <w:szCs w:val="56"/>
        </w:rPr>
      </w:pPr>
    </w:p>
    <w:p w14:paraId="3002D8CA" w14:textId="77777777" w:rsidR="00AC015A" w:rsidRDefault="00AC015A" w:rsidP="00585695">
      <w:pPr>
        <w:jc w:val="center"/>
        <w:rPr>
          <w:rFonts w:ascii="Arial" w:hAnsi="Arial" w:cs="Arial"/>
          <w:sz w:val="56"/>
          <w:szCs w:val="56"/>
        </w:rPr>
      </w:pPr>
    </w:p>
    <w:p w14:paraId="78439353" w14:textId="77777777" w:rsidR="00AC015A" w:rsidRDefault="00AC015A" w:rsidP="00585695">
      <w:pPr>
        <w:jc w:val="center"/>
        <w:rPr>
          <w:rFonts w:ascii="Arial" w:hAnsi="Arial" w:cs="Arial"/>
          <w:b/>
          <w:sz w:val="32"/>
          <w:szCs w:val="32"/>
        </w:rPr>
      </w:pPr>
    </w:p>
    <w:p w14:paraId="5377BE1A" w14:textId="77777777" w:rsidR="00AC015A" w:rsidRDefault="00AC015A" w:rsidP="00585695">
      <w:pPr>
        <w:jc w:val="center"/>
      </w:pPr>
    </w:p>
    <w:p w14:paraId="33C4DB77" w14:textId="77777777" w:rsidR="00AC015A" w:rsidRDefault="00AC015A" w:rsidP="00585695">
      <w:pPr>
        <w:jc w:val="center"/>
      </w:pPr>
    </w:p>
    <w:p w14:paraId="22242CEA" w14:textId="77777777" w:rsidR="00AC015A" w:rsidRDefault="00AC015A" w:rsidP="00585695">
      <w:pPr>
        <w:jc w:val="center"/>
      </w:pPr>
    </w:p>
    <w:p w14:paraId="60DBC7D3" w14:textId="36A5428F" w:rsidR="00AC015A" w:rsidRDefault="00AE00B3" w:rsidP="00585695">
      <w:pPr>
        <w:jc w:val="center"/>
        <w:rPr>
          <w:rFonts w:ascii="Arial" w:hAnsi="Arial" w:cs="Arial"/>
          <w:b/>
          <w:sz w:val="56"/>
          <w:szCs w:val="56"/>
        </w:rPr>
      </w:pPr>
      <w:hyperlink r:id="rId9" w:history="1">
        <w:r w:rsidR="00AC015A" w:rsidRPr="00CC2C28">
          <w:rPr>
            <w:rFonts w:ascii="Arial" w:eastAsia="Times New Roman" w:hAnsi="Arial" w:cs="Arial"/>
            <w:b/>
            <w:bCs/>
            <w:color w:val="0000FF"/>
            <w:sz w:val="32"/>
            <w:szCs w:val="32"/>
            <w:u w:val="single"/>
          </w:rPr>
          <w:t>www.chichester.gov.uk</w:t>
        </w:r>
      </w:hyperlink>
      <w:r w:rsidR="00AC015A" w:rsidRPr="00CC2C28">
        <w:rPr>
          <w:rFonts w:ascii="Arial" w:eastAsia="Times New Roman" w:hAnsi="Arial" w:cs="Arial"/>
          <w:b/>
          <w:bCs/>
          <w:sz w:val="32"/>
          <w:szCs w:val="32"/>
        </w:rPr>
        <w:tab/>
      </w:r>
      <w:r w:rsidR="00AC015A" w:rsidRPr="00CC2C28">
        <w:rPr>
          <w:rFonts w:ascii="Arial" w:eastAsia="Times New Roman" w:hAnsi="Arial" w:cs="Arial"/>
          <w:b/>
          <w:bCs/>
          <w:sz w:val="32"/>
          <w:szCs w:val="32"/>
        </w:rPr>
        <w:tab/>
      </w:r>
      <w:r w:rsidR="00AC015A">
        <w:rPr>
          <w:rFonts w:ascii="Arial" w:eastAsia="Times New Roman" w:hAnsi="Arial" w:cs="Arial"/>
          <w:b/>
          <w:bCs/>
          <w:sz w:val="32"/>
          <w:szCs w:val="32"/>
        </w:rPr>
        <w:tab/>
      </w:r>
      <w:r w:rsidR="00AC015A">
        <w:rPr>
          <w:rFonts w:ascii="Arial" w:eastAsia="Times New Roman" w:hAnsi="Arial" w:cs="Arial"/>
          <w:b/>
          <w:bCs/>
          <w:sz w:val="32"/>
          <w:szCs w:val="32"/>
        </w:rPr>
        <w:tab/>
      </w:r>
      <w:r w:rsidR="00AC015A">
        <w:rPr>
          <w:rFonts w:ascii="Arial" w:eastAsia="Times New Roman" w:hAnsi="Arial" w:cs="Arial"/>
          <w:b/>
          <w:bCs/>
          <w:sz w:val="32"/>
          <w:szCs w:val="32"/>
        </w:rPr>
        <w:tab/>
      </w:r>
      <w:r w:rsidR="003815E9">
        <w:rPr>
          <w:rFonts w:ascii="Arial" w:eastAsia="Times New Roman" w:hAnsi="Arial" w:cs="Arial"/>
          <w:b/>
          <w:bCs/>
          <w:sz w:val="32"/>
          <w:szCs w:val="32"/>
        </w:rPr>
        <w:t>September</w:t>
      </w:r>
      <w:r w:rsidR="005943E0">
        <w:rPr>
          <w:rFonts w:ascii="Arial" w:eastAsia="Times New Roman" w:hAnsi="Arial" w:cs="Arial"/>
          <w:b/>
          <w:bCs/>
          <w:sz w:val="32"/>
          <w:szCs w:val="32"/>
        </w:rPr>
        <w:t xml:space="preserve"> 2023</w:t>
      </w:r>
    </w:p>
    <w:p w14:paraId="6A8DDA0B" w14:textId="77777777" w:rsidR="00994B09" w:rsidRPr="00BE3E04" w:rsidRDefault="00994B09" w:rsidP="00585695">
      <w:pPr>
        <w:jc w:val="both"/>
        <w:rPr>
          <w:rFonts w:cstheme="minorHAnsi"/>
          <w:b/>
        </w:rPr>
      </w:pPr>
      <w:r w:rsidRPr="00BE3E04">
        <w:rPr>
          <w:rFonts w:cstheme="minorHAnsi"/>
          <w:b/>
        </w:rPr>
        <w:lastRenderedPageBreak/>
        <w:t>1</w:t>
      </w:r>
      <w:r w:rsidRPr="00BE3E04">
        <w:rPr>
          <w:rFonts w:cstheme="minorHAnsi"/>
          <w:b/>
        </w:rPr>
        <w:tab/>
        <w:t>Introduction</w:t>
      </w:r>
    </w:p>
    <w:p w14:paraId="29A2A507" w14:textId="5834A5D0" w:rsidR="00A30BE2" w:rsidRDefault="00BE3E04" w:rsidP="00585695">
      <w:pPr>
        <w:jc w:val="both"/>
        <w:rPr>
          <w:rFonts w:cstheme="minorHAnsi"/>
        </w:rPr>
      </w:pPr>
      <w:r w:rsidRPr="00BE3E04">
        <w:rPr>
          <w:rFonts w:cstheme="minorHAnsi"/>
        </w:rPr>
        <w:t>1.1</w:t>
      </w:r>
      <w:r w:rsidRPr="00BE3E04">
        <w:rPr>
          <w:rFonts w:cstheme="minorHAnsi"/>
        </w:rPr>
        <w:tab/>
      </w:r>
      <w:r w:rsidR="009065EC" w:rsidRPr="00BE3E04">
        <w:rPr>
          <w:rFonts w:cstheme="minorHAnsi"/>
        </w:rPr>
        <w:t xml:space="preserve">The purpose of this paper is to </w:t>
      </w:r>
      <w:r w:rsidR="00A30BE2">
        <w:rPr>
          <w:rFonts w:cstheme="minorHAnsi"/>
        </w:rPr>
        <w:t xml:space="preserve">provide and explain evidence that demonstrates </w:t>
      </w:r>
      <w:r w:rsidR="007C4F9C">
        <w:rPr>
          <w:rFonts w:cstheme="minorHAnsi"/>
        </w:rPr>
        <w:t xml:space="preserve">and justifies </w:t>
      </w:r>
      <w:r w:rsidR="00F014BA">
        <w:rPr>
          <w:rFonts w:cstheme="minorHAnsi"/>
        </w:rPr>
        <w:t xml:space="preserve">the </w:t>
      </w:r>
      <w:r w:rsidR="00A30BE2">
        <w:rPr>
          <w:rFonts w:cstheme="minorHAnsi"/>
        </w:rPr>
        <w:t xml:space="preserve">need within the Chichester District Local Plan </w:t>
      </w:r>
      <w:r w:rsidR="002D133F">
        <w:rPr>
          <w:rFonts w:cstheme="minorHAnsi"/>
        </w:rPr>
        <w:t>A</w:t>
      </w:r>
      <w:r w:rsidR="00A30BE2">
        <w:rPr>
          <w:rFonts w:cstheme="minorHAnsi"/>
        </w:rPr>
        <w:t xml:space="preserve">rea to adopt </w:t>
      </w:r>
      <w:r w:rsidR="00B02FB1">
        <w:rPr>
          <w:rFonts w:cstheme="minorHAnsi"/>
        </w:rPr>
        <w:t xml:space="preserve">the </w:t>
      </w:r>
      <w:r w:rsidR="00A30BE2">
        <w:rPr>
          <w:rFonts w:cstheme="minorHAnsi"/>
        </w:rPr>
        <w:t>Nationally Described Space Standard</w:t>
      </w:r>
      <w:r w:rsidR="00DF33ED">
        <w:rPr>
          <w:rFonts w:cstheme="minorHAnsi"/>
        </w:rPr>
        <w:t xml:space="preserve"> (NDSS)</w:t>
      </w:r>
      <w:r w:rsidR="00CB4BFE">
        <w:rPr>
          <w:rFonts w:cstheme="minorHAnsi"/>
        </w:rPr>
        <w:t xml:space="preserve">. The proposed adoption of the standard within Policy P6 of the Submission Local Plan would help to </w:t>
      </w:r>
      <w:r w:rsidR="00A30BE2">
        <w:rPr>
          <w:rFonts w:cstheme="minorHAnsi"/>
        </w:rPr>
        <w:t xml:space="preserve">ensure that new dwellings meet minimum </w:t>
      </w:r>
      <w:r w:rsidR="004F2BC5">
        <w:rPr>
          <w:rFonts w:cstheme="minorHAnsi"/>
        </w:rPr>
        <w:t xml:space="preserve">internal </w:t>
      </w:r>
      <w:r w:rsidR="00A30BE2">
        <w:rPr>
          <w:rFonts w:cstheme="minorHAnsi"/>
        </w:rPr>
        <w:t>size requirements</w:t>
      </w:r>
      <w:r w:rsidR="00CB4BFE">
        <w:rPr>
          <w:rFonts w:cstheme="minorHAnsi"/>
        </w:rPr>
        <w:t xml:space="preserve">, providing </w:t>
      </w:r>
      <w:r w:rsidR="00F014BA">
        <w:rPr>
          <w:rFonts w:cstheme="minorHAnsi"/>
        </w:rPr>
        <w:t xml:space="preserve">a suitably high standard of </w:t>
      </w:r>
      <w:r w:rsidR="00CB4BFE">
        <w:rPr>
          <w:rFonts w:cstheme="minorHAnsi"/>
        </w:rPr>
        <w:t>amenity for future residents.</w:t>
      </w:r>
    </w:p>
    <w:p w14:paraId="224391E5" w14:textId="086F8750" w:rsidR="00B37AA1" w:rsidRDefault="004F2BC5" w:rsidP="00585695">
      <w:pPr>
        <w:jc w:val="both"/>
        <w:rPr>
          <w:rFonts w:cstheme="minorHAnsi"/>
          <w:b/>
        </w:rPr>
      </w:pPr>
      <w:r>
        <w:rPr>
          <w:rFonts w:cstheme="minorHAnsi"/>
          <w:b/>
        </w:rPr>
        <w:t>2</w:t>
      </w:r>
      <w:r w:rsidR="00994B09" w:rsidRPr="00BE3E04">
        <w:rPr>
          <w:rFonts w:cstheme="minorHAnsi"/>
          <w:b/>
        </w:rPr>
        <w:tab/>
      </w:r>
      <w:r w:rsidR="009065EC" w:rsidRPr="00BE3E04">
        <w:rPr>
          <w:rFonts w:cstheme="minorHAnsi"/>
          <w:b/>
        </w:rPr>
        <w:t>National</w:t>
      </w:r>
      <w:r w:rsidR="00DD23BA">
        <w:rPr>
          <w:rFonts w:cstheme="minorHAnsi"/>
          <w:b/>
        </w:rPr>
        <w:t xml:space="preserve"> </w:t>
      </w:r>
      <w:r w:rsidR="00994B09" w:rsidRPr="00BE3E04">
        <w:rPr>
          <w:rFonts w:cstheme="minorHAnsi"/>
          <w:b/>
        </w:rPr>
        <w:t>Context</w:t>
      </w:r>
    </w:p>
    <w:p w14:paraId="6DC080B2" w14:textId="4645AAC2" w:rsidR="004F2BC5" w:rsidRDefault="004F2BC5" w:rsidP="00585695">
      <w:pPr>
        <w:jc w:val="both"/>
        <w:rPr>
          <w:rFonts w:cstheme="minorHAnsi"/>
          <w:bCs/>
        </w:rPr>
      </w:pPr>
      <w:r>
        <w:rPr>
          <w:rFonts w:cstheme="minorHAnsi"/>
          <w:bCs/>
        </w:rPr>
        <w:t>2.1</w:t>
      </w:r>
      <w:r>
        <w:rPr>
          <w:rFonts w:cstheme="minorHAnsi"/>
          <w:bCs/>
        </w:rPr>
        <w:tab/>
        <w:t xml:space="preserve">Paragraph 130 of the National Planning Policy Framework (NPPF) states that planning policies should create places that are safe, </w:t>
      </w:r>
      <w:r w:rsidR="00317DAB">
        <w:rPr>
          <w:rFonts w:cstheme="minorHAnsi"/>
          <w:bCs/>
        </w:rPr>
        <w:t>inclusive,</w:t>
      </w:r>
      <w:r>
        <w:rPr>
          <w:rFonts w:cstheme="minorHAnsi"/>
          <w:bCs/>
        </w:rPr>
        <w:t xml:space="preserve"> and accessible, and which promote health and well-being, with a high standard of amenity for existing and future users. Footnote 49 of the </w:t>
      </w:r>
      <w:r w:rsidR="00B02FB1">
        <w:rPr>
          <w:rFonts w:cstheme="minorHAnsi"/>
          <w:bCs/>
        </w:rPr>
        <w:t>paragraph</w:t>
      </w:r>
      <w:r>
        <w:rPr>
          <w:rFonts w:cstheme="minorHAnsi"/>
          <w:bCs/>
        </w:rPr>
        <w:t xml:space="preserve"> further states that </w:t>
      </w:r>
      <w:r w:rsidR="00857E7E">
        <w:rPr>
          <w:rFonts w:cstheme="minorHAnsi"/>
          <w:bCs/>
        </w:rPr>
        <w:t xml:space="preserve">policies may make use of the NDSS where the need for an internal space standard can be justified.  </w:t>
      </w:r>
    </w:p>
    <w:p w14:paraId="6F19E224" w14:textId="30ECB62D" w:rsidR="007C4F9C" w:rsidRDefault="00857E7E" w:rsidP="00585695">
      <w:pPr>
        <w:jc w:val="both"/>
        <w:rPr>
          <w:rFonts w:cstheme="minorHAnsi"/>
          <w:bCs/>
        </w:rPr>
      </w:pPr>
      <w:r>
        <w:rPr>
          <w:rFonts w:cstheme="minorHAnsi"/>
          <w:bCs/>
        </w:rPr>
        <w:t>2.2</w:t>
      </w:r>
      <w:r>
        <w:rPr>
          <w:rFonts w:cstheme="minorHAnsi"/>
          <w:bCs/>
        </w:rPr>
        <w:tab/>
        <w:t xml:space="preserve">The NDSS, published in March 2015, sets out </w:t>
      </w:r>
      <w:r w:rsidR="00B02FB1">
        <w:rPr>
          <w:rFonts w:cstheme="minorHAnsi"/>
          <w:bCs/>
        </w:rPr>
        <w:t xml:space="preserve">optional </w:t>
      </w:r>
      <w:r>
        <w:rPr>
          <w:rFonts w:cstheme="minorHAnsi"/>
          <w:bCs/>
        </w:rPr>
        <w:t>requirements for the Gross Internal  Area (GIA) of new dwellings at a defined level of occupancy</w:t>
      </w:r>
      <w:r w:rsidR="00B02FB1">
        <w:rPr>
          <w:rFonts w:cstheme="minorHAnsi"/>
          <w:bCs/>
        </w:rPr>
        <w:t>, as well as floor area and dimensions for key parts of the home, notably bedrooms</w:t>
      </w:r>
      <w:r w:rsidR="00307406">
        <w:rPr>
          <w:rFonts w:cstheme="minorHAnsi"/>
          <w:bCs/>
        </w:rPr>
        <w:t xml:space="preserve"> (Annex A</w:t>
      </w:r>
      <w:r w:rsidR="00FD1DF5">
        <w:rPr>
          <w:rFonts w:cstheme="minorHAnsi"/>
          <w:bCs/>
        </w:rPr>
        <w:t xml:space="preserve"> with Table 1</w:t>
      </w:r>
      <w:r w:rsidR="00307406">
        <w:rPr>
          <w:rFonts w:cstheme="minorHAnsi"/>
          <w:bCs/>
        </w:rPr>
        <w:t xml:space="preserve"> provides </w:t>
      </w:r>
      <w:r w:rsidR="00A60DA1">
        <w:rPr>
          <w:rFonts w:cstheme="minorHAnsi"/>
          <w:bCs/>
        </w:rPr>
        <w:t>the technical requirements</w:t>
      </w:r>
      <w:r w:rsidR="00307406">
        <w:rPr>
          <w:rFonts w:cstheme="minorHAnsi"/>
          <w:bCs/>
        </w:rPr>
        <w:t xml:space="preserve"> of the standard)</w:t>
      </w:r>
      <w:r w:rsidR="00B02FB1">
        <w:rPr>
          <w:rFonts w:cstheme="minorHAnsi"/>
          <w:bCs/>
        </w:rPr>
        <w:t>. Accompanying</w:t>
      </w:r>
      <w:r w:rsidR="00F014BA">
        <w:rPr>
          <w:rFonts w:cstheme="minorHAnsi"/>
          <w:bCs/>
        </w:rPr>
        <w:t xml:space="preserve"> section</w:t>
      </w:r>
      <w:r w:rsidR="00BE07AC">
        <w:rPr>
          <w:rFonts w:cstheme="minorHAnsi"/>
          <w:bCs/>
        </w:rPr>
        <w:t>s</w:t>
      </w:r>
      <w:r w:rsidR="00F014BA">
        <w:rPr>
          <w:rFonts w:cstheme="minorHAnsi"/>
          <w:bCs/>
        </w:rPr>
        <w:t xml:space="preserve"> of the</w:t>
      </w:r>
      <w:r w:rsidR="00B02FB1">
        <w:rPr>
          <w:rFonts w:cstheme="minorHAnsi"/>
          <w:bCs/>
        </w:rPr>
        <w:t xml:space="preserve"> Planning Practice Guidance (PPG) advise local planning authorities </w:t>
      </w:r>
      <w:r w:rsidR="007C4F9C">
        <w:rPr>
          <w:rFonts w:cstheme="minorHAnsi"/>
          <w:bCs/>
        </w:rPr>
        <w:t>(LPA</w:t>
      </w:r>
      <w:r w:rsidR="00B62B86">
        <w:rPr>
          <w:rFonts w:cstheme="minorHAnsi"/>
          <w:bCs/>
        </w:rPr>
        <w:t>s</w:t>
      </w:r>
      <w:r w:rsidR="007C4F9C">
        <w:rPr>
          <w:rFonts w:cstheme="minorHAnsi"/>
          <w:bCs/>
        </w:rPr>
        <w:t xml:space="preserve">) </w:t>
      </w:r>
      <w:r w:rsidR="00B02FB1">
        <w:rPr>
          <w:rFonts w:cstheme="minorHAnsi"/>
          <w:bCs/>
        </w:rPr>
        <w:t>to gather evidence to determine whether there is a need for deployment of the standards in their area.</w:t>
      </w:r>
      <w:r w:rsidR="007C4F9C">
        <w:rPr>
          <w:rFonts w:cstheme="minorHAnsi"/>
          <w:bCs/>
        </w:rPr>
        <w:t xml:space="preserve"> Furthermore, LPAs are </w:t>
      </w:r>
      <w:r w:rsidR="00F014BA">
        <w:rPr>
          <w:rFonts w:cstheme="minorHAnsi"/>
          <w:bCs/>
        </w:rPr>
        <w:t>expected</w:t>
      </w:r>
      <w:r w:rsidR="007C4F9C">
        <w:rPr>
          <w:rFonts w:cstheme="minorHAnsi"/>
          <w:bCs/>
        </w:rPr>
        <w:t xml:space="preserve"> to provide justifications for internal space policies, taking account of the following </w:t>
      </w:r>
      <w:r w:rsidR="00354668">
        <w:rPr>
          <w:rFonts w:cstheme="minorHAnsi"/>
          <w:bCs/>
        </w:rPr>
        <w:t>considerations</w:t>
      </w:r>
      <w:r w:rsidR="007C4F9C">
        <w:rPr>
          <w:rFonts w:cstheme="minorHAnsi"/>
          <w:bCs/>
        </w:rPr>
        <w:t>:</w:t>
      </w:r>
    </w:p>
    <w:p w14:paraId="2E7B1EE3" w14:textId="415F2244" w:rsidR="007C4F9C" w:rsidRPr="007806A2" w:rsidRDefault="00F014BA" w:rsidP="00585695">
      <w:pPr>
        <w:pStyle w:val="ListParagraph"/>
        <w:numPr>
          <w:ilvl w:val="0"/>
          <w:numId w:val="22"/>
        </w:numPr>
        <w:jc w:val="both"/>
        <w:rPr>
          <w:b/>
          <w:bCs/>
        </w:rPr>
      </w:pPr>
      <w:r>
        <w:t>“</w:t>
      </w:r>
      <w:r w:rsidR="00CB4BFE">
        <w:t>N</w:t>
      </w:r>
      <w:r w:rsidR="007C4F9C">
        <w:t>eed – evidence should be provided on the size and type of dwellings currently being built in the area, to ensure the impacts of adopting space standards can be properly assessed</w:t>
      </w:r>
      <w:r w:rsidR="00F23E4D">
        <w:t>.</w:t>
      </w:r>
    </w:p>
    <w:p w14:paraId="445CAD4D" w14:textId="574BA59A" w:rsidR="007C4F9C" w:rsidRPr="00E849A7" w:rsidRDefault="00CB4BFE" w:rsidP="00585695">
      <w:pPr>
        <w:pStyle w:val="ListParagraph"/>
        <w:numPr>
          <w:ilvl w:val="0"/>
          <w:numId w:val="22"/>
        </w:numPr>
        <w:jc w:val="both"/>
        <w:rPr>
          <w:b/>
          <w:bCs/>
        </w:rPr>
      </w:pPr>
      <w:r>
        <w:t>V</w:t>
      </w:r>
      <w:r w:rsidR="007C4F9C">
        <w:t>iability – the impact of adopting the space standard should be considered as part of the plan’s viability assessment with account taken of the impact of potentially larger dwellings on land supply. Local planning authorities will also need to consider impacts on affordability where a space standard is to be adopted.</w:t>
      </w:r>
    </w:p>
    <w:p w14:paraId="5D09FDCC" w14:textId="254DF01D" w:rsidR="004B0305" w:rsidRPr="00105880" w:rsidRDefault="00CB4BFE" w:rsidP="00585695">
      <w:pPr>
        <w:pStyle w:val="ListParagraph"/>
        <w:numPr>
          <w:ilvl w:val="0"/>
          <w:numId w:val="22"/>
        </w:numPr>
        <w:jc w:val="both"/>
        <w:rPr>
          <w:b/>
          <w:bCs/>
        </w:rPr>
      </w:pPr>
      <w:r>
        <w:t>T</w:t>
      </w:r>
      <w:r w:rsidR="007C4F9C">
        <w:t>iming – there may need to be a reasonable transitional period following adoption of a new policy on space standards to enable developers to fact</w:t>
      </w:r>
      <w:r w:rsidR="00307406">
        <w:t>or</w:t>
      </w:r>
      <w:r w:rsidR="007C4F9C">
        <w:t xml:space="preserve"> the cost of space standards into future land acquisitions.</w:t>
      </w:r>
      <w:r w:rsidR="00354668">
        <w:t>”</w:t>
      </w:r>
      <w:r w:rsidR="00F014BA">
        <w:rPr>
          <w:rStyle w:val="FootnoteReference"/>
        </w:rPr>
        <w:footnoteReference w:id="1"/>
      </w:r>
      <w:r w:rsidR="007C4F9C">
        <w:t xml:space="preserve"> </w:t>
      </w:r>
    </w:p>
    <w:p w14:paraId="319ABE06" w14:textId="483DE602" w:rsidR="00CB4BFE" w:rsidRDefault="004821A2" w:rsidP="00585695">
      <w:pPr>
        <w:jc w:val="both"/>
        <w:rPr>
          <w:rFonts w:cstheme="minorHAnsi"/>
          <w:b/>
        </w:rPr>
      </w:pPr>
      <w:r>
        <w:rPr>
          <w:rFonts w:cstheme="minorHAnsi"/>
          <w:b/>
        </w:rPr>
        <w:t>3</w:t>
      </w:r>
      <w:r w:rsidR="00D04435">
        <w:rPr>
          <w:rFonts w:cstheme="minorHAnsi"/>
          <w:b/>
        </w:rPr>
        <w:t>.</w:t>
      </w:r>
      <w:r w:rsidR="00260A4E" w:rsidRPr="00BE3E04">
        <w:rPr>
          <w:rFonts w:cstheme="minorHAnsi"/>
          <w:b/>
        </w:rPr>
        <w:tab/>
      </w:r>
      <w:r w:rsidR="009F26F4" w:rsidRPr="00BE3E04">
        <w:rPr>
          <w:rFonts w:cstheme="minorHAnsi"/>
          <w:b/>
        </w:rPr>
        <w:t xml:space="preserve">Chichester </w:t>
      </w:r>
      <w:r w:rsidR="00CB4BFE">
        <w:rPr>
          <w:rFonts w:cstheme="minorHAnsi"/>
          <w:b/>
        </w:rPr>
        <w:t>Local Plan 2014-2029</w:t>
      </w:r>
    </w:p>
    <w:p w14:paraId="6A57963F" w14:textId="20869B40" w:rsidR="00CB4BFE" w:rsidRPr="004821A2" w:rsidRDefault="004821A2" w:rsidP="00585695">
      <w:pPr>
        <w:jc w:val="both"/>
        <w:rPr>
          <w:rFonts w:cstheme="minorHAnsi"/>
          <w:bCs/>
        </w:rPr>
      </w:pPr>
      <w:r>
        <w:rPr>
          <w:rFonts w:cstheme="minorHAnsi"/>
          <w:bCs/>
        </w:rPr>
        <w:t>3.1</w:t>
      </w:r>
      <w:r>
        <w:rPr>
          <w:rFonts w:cstheme="minorHAnsi"/>
          <w:bCs/>
        </w:rPr>
        <w:tab/>
        <w:t>The Adopted Local Plan recognises the importance of designing and constructing new homes to a high quality with good standards of internal space. Policy 33 (New Residential Development) states that planning permissions will be granted for new residential development and replacement dwellings where it can be demonstrated that the proposals provide for a high</w:t>
      </w:r>
      <w:r w:rsidR="002F1CA1">
        <w:rPr>
          <w:rFonts w:cstheme="minorHAnsi"/>
          <w:bCs/>
        </w:rPr>
        <w:t>-</w:t>
      </w:r>
      <w:r>
        <w:rPr>
          <w:rFonts w:cstheme="minorHAnsi"/>
          <w:bCs/>
        </w:rPr>
        <w:t xml:space="preserve">quality living environment in keeping with the character of the surrounding area and its setting. The policy </w:t>
      </w:r>
      <w:r w:rsidR="002F1CA1">
        <w:rPr>
          <w:rFonts w:cstheme="minorHAnsi"/>
          <w:bCs/>
        </w:rPr>
        <w:t>cites</w:t>
      </w:r>
      <w:r>
        <w:rPr>
          <w:rFonts w:cstheme="minorHAnsi"/>
          <w:bCs/>
        </w:rPr>
        <w:t xml:space="preserve"> key design criteria </w:t>
      </w:r>
      <w:r w:rsidR="002F1CA1">
        <w:rPr>
          <w:rFonts w:cstheme="minorHAnsi"/>
          <w:bCs/>
        </w:rPr>
        <w:t xml:space="preserve">to be considered, </w:t>
      </w:r>
      <w:r>
        <w:rPr>
          <w:rFonts w:cstheme="minorHAnsi"/>
          <w:bCs/>
        </w:rPr>
        <w:t xml:space="preserve">including layout, density, </w:t>
      </w:r>
      <w:r w:rsidR="00317DAB">
        <w:rPr>
          <w:rFonts w:cstheme="minorHAnsi"/>
          <w:bCs/>
        </w:rPr>
        <w:t>size,</w:t>
      </w:r>
      <w:r>
        <w:rPr>
          <w:rFonts w:cstheme="minorHAnsi"/>
          <w:bCs/>
        </w:rPr>
        <w:t xml:space="preserve"> and scale</w:t>
      </w:r>
      <w:r w:rsidR="002F1CA1">
        <w:rPr>
          <w:rFonts w:cstheme="minorHAnsi"/>
          <w:bCs/>
        </w:rPr>
        <w:t xml:space="preserve">, but does not prescribe specific standards to be met. </w:t>
      </w:r>
      <w:r>
        <w:rPr>
          <w:rFonts w:cstheme="minorHAnsi"/>
          <w:bCs/>
        </w:rPr>
        <w:t xml:space="preserve"> </w:t>
      </w:r>
      <w:r w:rsidR="00F014BA">
        <w:rPr>
          <w:rFonts w:cstheme="minorHAnsi"/>
          <w:bCs/>
        </w:rPr>
        <w:t xml:space="preserve">This is reflective of when the Plan was produced, as whilst it was adopted just after the publication of the NDSS, its production inevitably predates them. The current Local Plan was submitted for Examination on 28 May 2014, with the hearings held between September – </w:t>
      </w:r>
      <w:r w:rsidR="00F014BA">
        <w:rPr>
          <w:rFonts w:cstheme="minorHAnsi"/>
          <w:bCs/>
        </w:rPr>
        <w:lastRenderedPageBreak/>
        <w:t>December that year, meaning it would have been impractical to try and introduce the NDSS at such a late stage in the process.</w:t>
      </w:r>
    </w:p>
    <w:p w14:paraId="2151A03B" w14:textId="76AAD08D" w:rsidR="002825AE" w:rsidRDefault="002F1CA1" w:rsidP="00585695">
      <w:pPr>
        <w:jc w:val="both"/>
        <w:rPr>
          <w:rFonts w:cstheme="minorHAnsi"/>
          <w:b/>
        </w:rPr>
      </w:pPr>
      <w:r>
        <w:rPr>
          <w:rFonts w:cstheme="minorHAnsi"/>
          <w:b/>
        </w:rPr>
        <w:t>4.</w:t>
      </w:r>
      <w:r>
        <w:rPr>
          <w:rFonts w:cstheme="minorHAnsi"/>
          <w:b/>
        </w:rPr>
        <w:tab/>
        <w:t>Chichester P</w:t>
      </w:r>
      <w:r w:rsidR="009258E0">
        <w:rPr>
          <w:rFonts w:cstheme="minorHAnsi"/>
          <w:b/>
        </w:rPr>
        <w:t xml:space="preserve">roposed Submission </w:t>
      </w:r>
      <w:r w:rsidR="00512ED7" w:rsidRPr="00BE3E04">
        <w:rPr>
          <w:rFonts w:cstheme="minorHAnsi"/>
          <w:b/>
        </w:rPr>
        <w:t xml:space="preserve">Local Plan </w:t>
      </w:r>
      <w:r w:rsidR="002825AE">
        <w:rPr>
          <w:rFonts w:cstheme="minorHAnsi"/>
          <w:b/>
        </w:rPr>
        <w:t>2021-2039</w:t>
      </w:r>
    </w:p>
    <w:p w14:paraId="7758BEA9" w14:textId="30888437" w:rsidR="00A825A8" w:rsidRDefault="002F1CA1" w:rsidP="00585695">
      <w:pPr>
        <w:jc w:val="both"/>
        <w:rPr>
          <w:rFonts w:cstheme="minorHAnsi"/>
          <w:bCs/>
        </w:rPr>
      </w:pPr>
      <w:r>
        <w:rPr>
          <w:rFonts w:cstheme="minorHAnsi"/>
          <w:bCs/>
        </w:rPr>
        <w:t>4.1</w:t>
      </w:r>
      <w:r w:rsidR="00A825A8">
        <w:rPr>
          <w:rFonts w:cstheme="minorHAnsi"/>
          <w:bCs/>
        </w:rPr>
        <w:tab/>
        <w:t>Policy P6 (Amenity) of the proposed submission Local Plan requires all development to</w:t>
      </w:r>
      <w:r w:rsidR="00105880">
        <w:rPr>
          <w:rFonts w:cstheme="minorHAnsi"/>
          <w:bCs/>
        </w:rPr>
        <w:t xml:space="preserve"> ensure</w:t>
      </w:r>
      <w:r w:rsidR="00A825A8">
        <w:rPr>
          <w:rFonts w:cstheme="minorHAnsi"/>
          <w:bCs/>
        </w:rPr>
        <w:t xml:space="preserve"> that it provides all potential users with an acceptable level of amenity. </w:t>
      </w:r>
      <w:r w:rsidR="00203B4D">
        <w:rPr>
          <w:rFonts w:cstheme="minorHAnsi"/>
          <w:bCs/>
        </w:rPr>
        <w:t>This includes a specific section on space standards in relation to housing. The policy applies to:</w:t>
      </w:r>
    </w:p>
    <w:p w14:paraId="7B02EE56" w14:textId="3A7E5EB1" w:rsidR="00A825A8" w:rsidRDefault="00A825A8" w:rsidP="00585695">
      <w:pPr>
        <w:jc w:val="both"/>
        <w:rPr>
          <w:rFonts w:cstheme="minorHAnsi"/>
          <w:bCs/>
        </w:rPr>
      </w:pPr>
      <w:r>
        <w:rPr>
          <w:rFonts w:cstheme="minorHAnsi"/>
          <w:bCs/>
        </w:rPr>
        <w:t>a) All dwellings in new build developments, regardless of tenure; and</w:t>
      </w:r>
    </w:p>
    <w:p w14:paraId="120FB8FF" w14:textId="66FEAEA1" w:rsidR="002F1CA1" w:rsidRDefault="00A825A8" w:rsidP="00585695">
      <w:pPr>
        <w:jc w:val="both"/>
        <w:rPr>
          <w:rFonts w:cstheme="minorHAnsi"/>
          <w:bCs/>
        </w:rPr>
      </w:pPr>
      <w:r>
        <w:rPr>
          <w:rFonts w:cstheme="minorHAnsi"/>
          <w:bCs/>
        </w:rPr>
        <w:t xml:space="preserve">b) Where practicable, having regard to the physical constraints of the existing building, changes of use and </w:t>
      </w:r>
      <w:r w:rsidR="00317DAB">
        <w:rPr>
          <w:rFonts w:cstheme="minorHAnsi"/>
          <w:bCs/>
        </w:rPr>
        <w:t>conversions.</w:t>
      </w:r>
    </w:p>
    <w:p w14:paraId="1AA55ACF" w14:textId="5D95F60D" w:rsidR="00A825A8" w:rsidRDefault="00203B4D" w:rsidP="00585695">
      <w:pPr>
        <w:jc w:val="both"/>
        <w:rPr>
          <w:rFonts w:cstheme="minorHAnsi"/>
          <w:bCs/>
        </w:rPr>
      </w:pPr>
      <w:r>
        <w:rPr>
          <w:rFonts w:cstheme="minorHAnsi"/>
          <w:bCs/>
        </w:rPr>
        <w:t>The policy requires f</w:t>
      </w:r>
      <w:r w:rsidR="00A825A8">
        <w:rPr>
          <w:rFonts w:cstheme="minorHAnsi"/>
          <w:bCs/>
        </w:rPr>
        <w:t>or the gross internal floor area of new dwellings (excluding purpose</w:t>
      </w:r>
      <w:r w:rsidR="00A60DA1">
        <w:rPr>
          <w:rFonts w:cstheme="minorHAnsi"/>
          <w:bCs/>
        </w:rPr>
        <w:t>-</w:t>
      </w:r>
      <w:r w:rsidR="00A825A8">
        <w:rPr>
          <w:rFonts w:cstheme="minorHAnsi"/>
          <w:bCs/>
        </w:rPr>
        <w:t>built accommodation, hotels, residential institutions) to meet as a minimum the NDSS (or any subsequent standards</w:t>
      </w:r>
      <w:r w:rsidR="00105880">
        <w:rPr>
          <w:rFonts w:cstheme="minorHAnsi"/>
          <w:bCs/>
        </w:rPr>
        <w:t xml:space="preserve">). </w:t>
      </w:r>
      <w:r w:rsidR="00E5765F">
        <w:rPr>
          <w:rFonts w:cstheme="minorHAnsi"/>
          <w:bCs/>
        </w:rPr>
        <w:t>It further states that b</w:t>
      </w:r>
      <w:r w:rsidR="00105880">
        <w:rPr>
          <w:rFonts w:cstheme="minorHAnsi"/>
          <w:bCs/>
        </w:rPr>
        <w:t xml:space="preserve">uilt-in internal storage areas are included within the overall minimum gross internal areas. Garage, balconies, detached ancillary buildings and communal areas shared with other dwellings will not be considered to contribute towards meeting the minimum space standards. </w:t>
      </w:r>
    </w:p>
    <w:p w14:paraId="7D68BDF9" w14:textId="5358A535" w:rsidR="00396588" w:rsidRDefault="00C06D4E" w:rsidP="00585695">
      <w:pPr>
        <w:jc w:val="both"/>
        <w:rPr>
          <w:rFonts w:cstheme="minorHAnsi"/>
          <w:bCs/>
        </w:rPr>
      </w:pPr>
      <w:r>
        <w:rPr>
          <w:rFonts w:cstheme="minorHAnsi"/>
          <w:bCs/>
        </w:rPr>
        <w:t>4.2</w:t>
      </w:r>
      <w:r>
        <w:rPr>
          <w:rFonts w:cstheme="minorHAnsi"/>
          <w:bCs/>
        </w:rPr>
        <w:tab/>
      </w:r>
      <w:r w:rsidR="002B30B7">
        <w:rPr>
          <w:rFonts w:cstheme="minorHAnsi"/>
          <w:bCs/>
        </w:rPr>
        <w:t xml:space="preserve">This wording is considered to be more complex than is strictly </w:t>
      </w:r>
      <w:r w:rsidR="00317DAB">
        <w:rPr>
          <w:rFonts w:cstheme="minorHAnsi"/>
          <w:bCs/>
        </w:rPr>
        <w:t>necessary and</w:t>
      </w:r>
      <w:r w:rsidR="002B30B7">
        <w:rPr>
          <w:rFonts w:cstheme="minorHAnsi"/>
          <w:bCs/>
        </w:rPr>
        <w:t xml:space="preserve"> </w:t>
      </w:r>
      <w:r w:rsidR="00342AFC">
        <w:rPr>
          <w:rFonts w:cstheme="minorHAnsi"/>
          <w:bCs/>
        </w:rPr>
        <w:t xml:space="preserve">is not as succinct as </w:t>
      </w:r>
      <w:r w:rsidR="002B30B7">
        <w:rPr>
          <w:rFonts w:cstheme="minorHAnsi"/>
          <w:bCs/>
        </w:rPr>
        <w:t>wording used in most Local Plans which adopt the NDSS. Consequently, t</w:t>
      </w:r>
      <w:r w:rsidR="00B33BE9">
        <w:rPr>
          <w:rFonts w:cstheme="minorHAnsi"/>
          <w:bCs/>
        </w:rPr>
        <w:t>o</w:t>
      </w:r>
      <w:r w:rsidR="002B30B7">
        <w:rPr>
          <w:rFonts w:cstheme="minorHAnsi"/>
          <w:bCs/>
        </w:rPr>
        <w:t xml:space="preserve"> help</w:t>
      </w:r>
      <w:r w:rsidR="00B33BE9">
        <w:rPr>
          <w:rFonts w:cstheme="minorHAnsi"/>
          <w:bCs/>
        </w:rPr>
        <w:t xml:space="preserve"> ensure clarity in </w:t>
      </w:r>
      <w:r w:rsidR="00396588">
        <w:rPr>
          <w:rFonts w:cstheme="minorHAnsi"/>
          <w:bCs/>
        </w:rPr>
        <w:t xml:space="preserve">interpretation and </w:t>
      </w:r>
      <w:r w:rsidR="00B33BE9">
        <w:rPr>
          <w:rFonts w:cstheme="minorHAnsi"/>
          <w:bCs/>
        </w:rPr>
        <w:t xml:space="preserve">implementation, a modification to </w:t>
      </w:r>
      <w:r w:rsidR="00396588">
        <w:rPr>
          <w:rFonts w:cstheme="minorHAnsi"/>
          <w:bCs/>
        </w:rPr>
        <w:t>Policy P6</w:t>
      </w:r>
      <w:r w:rsidR="00B33BE9">
        <w:rPr>
          <w:rFonts w:cstheme="minorHAnsi"/>
          <w:bCs/>
        </w:rPr>
        <w:t xml:space="preserve"> is proposed</w:t>
      </w:r>
      <w:r w:rsidR="00396588">
        <w:rPr>
          <w:rFonts w:cstheme="minorHAnsi"/>
          <w:bCs/>
        </w:rPr>
        <w:t xml:space="preserve"> as follows:</w:t>
      </w:r>
    </w:p>
    <w:p w14:paraId="141D2CAD" w14:textId="77777777" w:rsidR="00396588" w:rsidRPr="008D2F7D" w:rsidRDefault="00396588" w:rsidP="00396588">
      <w:pPr>
        <w:jc w:val="both"/>
        <w:rPr>
          <w:rFonts w:cstheme="minorHAnsi"/>
          <w:bCs/>
          <w:i/>
          <w:iCs/>
        </w:rPr>
      </w:pPr>
      <w:r w:rsidRPr="008D2F7D">
        <w:rPr>
          <w:rFonts w:cstheme="minorHAnsi"/>
          <w:bCs/>
          <w:i/>
          <w:iCs/>
        </w:rPr>
        <w:t>Housing Space Standards</w:t>
      </w:r>
    </w:p>
    <w:p w14:paraId="2A3E31C5" w14:textId="62769CD1" w:rsidR="00396588" w:rsidRPr="008D2F7D" w:rsidRDefault="00945B8A" w:rsidP="00396588">
      <w:pPr>
        <w:jc w:val="both"/>
        <w:rPr>
          <w:rFonts w:cstheme="minorHAnsi"/>
          <w:bCs/>
          <w:i/>
          <w:iCs/>
        </w:rPr>
      </w:pPr>
      <w:r>
        <w:rPr>
          <w:rFonts w:cstheme="minorHAnsi"/>
          <w:bCs/>
          <w:i/>
          <w:iCs/>
        </w:rPr>
        <w:t>All</w:t>
      </w:r>
      <w:r w:rsidR="00DB2314">
        <w:rPr>
          <w:rFonts w:cstheme="minorHAnsi"/>
          <w:bCs/>
          <w:i/>
          <w:iCs/>
        </w:rPr>
        <w:t xml:space="preserve"> </w:t>
      </w:r>
      <w:r>
        <w:rPr>
          <w:rFonts w:cstheme="minorHAnsi"/>
          <w:bCs/>
          <w:i/>
          <w:iCs/>
        </w:rPr>
        <w:t>n</w:t>
      </w:r>
      <w:r w:rsidR="00396588" w:rsidRPr="008D2F7D">
        <w:rPr>
          <w:rFonts w:cstheme="minorHAnsi"/>
          <w:bCs/>
          <w:i/>
          <w:iCs/>
        </w:rPr>
        <w:t>ew dwellings (excluding purpose</w:t>
      </w:r>
      <w:r>
        <w:rPr>
          <w:rFonts w:cstheme="minorHAnsi"/>
          <w:bCs/>
          <w:i/>
          <w:iCs/>
        </w:rPr>
        <w:t>-</w:t>
      </w:r>
      <w:r w:rsidR="00396588" w:rsidRPr="008D2F7D">
        <w:rPr>
          <w:rFonts w:cstheme="minorHAnsi"/>
          <w:bCs/>
          <w:i/>
          <w:iCs/>
        </w:rPr>
        <w:t>built student accommodation, hotels, residential institutions) shall meet as a minimum the national described space standards (or any subsequent standards</w:t>
      </w:r>
      <w:r>
        <w:rPr>
          <w:rFonts w:cstheme="minorHAnsi"/>
          <w:bCs/>
          <w:i/>
          <w:iCs/>
        </w:rPr>
        <w:t>) including</w:t>
      </w:r>
      <w:r w:rsidR="00396588" w:rsidRPr="008D2F7D">
        <w:rPr>
          <w:rFonts w:cstheme="minorHAnsi"/>
          <w:bCs/>
          <w:i/>
          <w:iCs/>
        </w:rPr>
        <w:t>:</w:t>
      </w:r>
    </w:p>
    <w:p w14:paraId="2C09AE86" w14:textId="43A12483" w:rsidR="00396588" w:rsidRPr="008D2F7D" w:rsidRDefault="00396588" w:rsidP="008D2F7D">
      <w:pPr>
        <w:pStyle w:val="ListParagraph"/>
        <w:numPr>
          <w:ilvl w:val="0"/>
          <w:numId w:val="24"/>
        </w:numPr>
        <w:jc w:val="both"/>
        <w:rPr>
          <w:rFonts w:cstheme="minorHAnsi"/>
          <w:bCs/>
          <w:i/>
          <w:iCs/>
        </w:rPr>
      </w:pPr>
      <w:r w:rsidRPr="008D2F7D">
        <w:rPr>
          <w:rFonts w:cstheme="minorHAnsi"/>
          <w:bCs/>
          <w:i/>
          <w:iCs/>
        </w:rPr>
        <w:t>All dwellings in new build development, regardless of tenure;</w:t>
      </w:r>
    </w:p>
    <w:p w14:paraId="23B61A1A" w14:textId="0582F134" w:rsidR="00C06D4E" w:rsidRPr="008D2F7D" w:rsidRDefault="00396588" w:rsidP="00396588">
      <w:pPr>
        <w:pStyle w:val="ListParagraph"/>
        <w:numPr>
          <w:ilvl w:val="0"/>
          <w:numId w:val="24"/>
        </w:numPr>
        <w:jc w:val="both"/>
        <w:rPr>
          <w:rFonts w:cstheme="minorHAnsi"/>
          <w:bCs/>
          <w:i/>
          <w:iCs/>
        </w:rPr>
      </w:pPr>
      <w:r w:rsidRPr="008D2F7D">
        <w:rPr>
          <w:rFonts w:cstheme="minorHAnsi"/>
          <w:bCs/>
          <w:i/>
          <w:iCs/>
        </w:rPr>
        <w:t xml:space="preserve">Where practicable, having regard to the physical constraints of the existing building, changes of use and conversions. </w:t>
      </w:r>
      <w:r w:rsidR="00B33BE9" w:rsidRPr="008D2F7D">
        <w:rPr>
          <w:rFonts w:cstheme="minorHAnsi"/>
          <w:bCs/>
          <w:i/>
          <w:iCs/>
        </w:rPr>
        <w:t xml:space="preserve">  </w:t>
      </w:r>
      <w:r w:rsidR="00C06D4E" w:rsidRPr="008D2F7D">
        <w:rPr>
          <w:rFonts w:cstheme="minorHAnsi"/>
          <w:bCs/>
          <w:i/>
          <w:iCs/>
        </w:rPr>
        <w:t xml:space="preserve">  </w:t>
      </w:r>
    </w:p>
    <w:p w14:paraId="0B6C09A6" w14:textId="1A38E114" w:rsidR="00820121" w:rsidRPr="00820121" w:rsidRDefault="00820121" w:rsidP="00820121">
      <w:pPr>
        <w:jc w:val="both"/>
        <w:rPr>
          <w:rFonts w:cstheme="minorHAnsi"/>
          <w:bCs/>
        </w:rPr>
      </w:pPr>
      <w:r>
        <w:rPr>
          <w:rFonts w:cstheme="minorHAnsi"/>
          <w:bCs/>
        </w:rPr>
        <w:t>4.3</w:t>
      </w:r>
      <w:r>
        <w:rPr>
          <w:rFonts w:cstheme="minorHAnsi"/>
          <w:bCs/>
        </w:rPr>
        <w:tab/>
        <w:t>It is suggested that the proposed modification is broadly consistent with the proposed wording of Policy DM2 with</w:t>
      </w:r>
      <w:r w:rsidR="006E3088">
        <w:rPr>
          <w:rFonts w:cstheme="minorHAnsi"/>
          <w:bCs/>
        </w:rPr>
        <w:t>in</w:t>
      </w:r>
      <w:r>
        <w:rPr>
          <w:rFonts w:cstheme="minorHAnsi"/>
          <w:bCs/>
        </w:rPr>
        <w:t xml:space="preserve"> the Preferred Approach, previously subject to Regulation 18 Consultation</w:t>
      </w:r>
      <w:r w:rsidR="00E5765F">
        <w:rPr>
          <w:rFonts w:cstheme="minorHAnsi"/>
          <w:bCs/>
        </w:rPr>
        <w:t xml:space="preserve">. The removal of surplus text relating to GIA definitions is also </w:t>
      </w:r>
      <w:r w:rsidR="004E0B40">
        <w:rPr>
          <w:rFonts w:cstheme="minorHAnsi"/>
          <w:bCs/>
        </w:rPr>
        <w:t>proposed</w:t>
      </w:r>
      <w:r w:rsidR="00E5765F">
        <w:rPr>
          <w:rFonts w:cstheme="minorHAnsi"/>
          <w:bCs/>
        </w:rPr>
        <w:t xml:space="preserve"> to aid clari</w:t>
      </w:r>
      <w:r w:rsidR="006E3088">
        <w:rPr>
          <w:rFonts w:cstheme="minorHAnsi"/>
          <w:bCs/>
        </w:rPr>
        <w:t>t</w:t>
      </w:r>
      <w:r w:rsidR="00E5765F">
        <w:rPr>
          <w:rFonts w:cstheme="minorHAnsi"/>
          <w:bCs/>
        </w:rPr>
        <w:t xml:space="preserve">y, recognising the existence of national </w:t>
      </w:r>
      <w:r w:rsidR="00CF1C35">
        <w:rPr>
          <w:rFonts w:cstheme="minorHAnsi"/>
          <w:bCs/>
        </w:rPr>
        <w:t>codes</w:t>
      </w:r>
      <w:r w:rsidR="00E5765F">
        <w:rPr>
          <w:rFonts w:cstheme="minorHAnsi"/>
          <w:bCs/>
        </w:rPr>
        <w:t xml:space="preserve"> to this end</w:t>
      </w:r>
      <w:r w:rsidR="00E5765F">
        <w:rPr>
          <w:rStyle w:val="FootnoteReference"/>
          <w:rFonts w:cstheme="minorHAnsi"/>
          <w:bCs/>
        </w:rPr>
        <w:footnoteReference w:id="2"/>
      </w:r>
      <w:r w:rsidR="00E5765F">
        <w:rPr>
          <w:rFonts w:cstheme="minorHAnsi"/>
          <w:bCs/>
        </w:rPr>
        <w:t xml:space="preserve">. </w:t>
      </w:r>
      <w:r>
        <w:rPr>
          <w:rFonts w:cstheme="minorHAnsi"/>
          <w:bCs/>
        </w:rPr>
        <w:t xml:space="preserve"> </w:t>
      </w:r>
    </w:p>
    <w:p w14:paraId="65A9D0AC" w14:textId="5BD6FE16" w:rsidR="00BF3A91" w:rsidRDefault="00BF3A91" w:rsidP="00585695">
      <w:pPr>
        <w:jc w:val="both"/>
        <w:rPr>
          <w:rFonts w:cstheme="minorHAnsi"/>
          <w:b/>
          <w:bCs/>
        </w:rPr>
      </w:pPr>
      <w:r w:rsidRPr="00BF3A91">
        <w:rPr>
          <w:rFonts w:cstheme="minorHAnsi"/>
          <w:b/>
          <w:bCs/>
        </w:rPr>
        <w:t>5</w:t>
      </w:r>
      <w:r w:rsidRPr="00BF3A91">
        <w:rPr>
          <w:rFonts w:cstheme="minorHAnsi"/>
          <w:b/>
          <w:bCs/>
        </w:rPr>
        <w:tab/>
      </w:r>
      <w:r w:rsidR="004C2B68">
        <w:rPr>
          <w:rFonts w:cstheme="minorHAnsi"/>
          <w:b/>
          <w:bCs/>
        </w:rPr>
        <w:t>Methodology</w:t>
      </w:r>
    </w:p>
    <w:p w14:paraId="61DE6C94" w14:textId="696257EF" w:rsidR="002A239C" w:rsidRDefault="002A239C" w:rsidP="00585695">
      <w:pPr>
        <w:jc w:val="both"/>
        <w:rPr>
          <w:rFonts w:cstheme="minorHAnsi"/>
        </w:rPr>
      </w:pPr>
      <w:r>
        <w:rPr>
          <w:rFonts w:cstheme="minorHAnsi"/>
        </w:rPr>
        <w:t>5.1</w:t>
      </w:r>
      <w:r>
        <w:rPr>
          <w:rFonts w:cstheme="minorHAnsi"/>
        </w:rPr>
        <w:tab/>
        <w:t>To establish need within the Chichester District Local Plan area, sample</w:t>
      </w:r>
      <w:r w:rsidR="00923161">
        <w:rPr>
          <w:rFonts w:cstheme="minorHAnsi"/>
        </w:rPr>
        <w:t xml:space="preserve"> plans</w:t>
      </w:r>
      <w:r>
        <w:rPr>
          <w:rFonts w:cstheme="minorHAnsi"/>
        </w:rPr>
        <w:t xml:space="preserve"> </w:t>
      </w:r>
      <w:r w:rsidR="00FD1DF5">
        <w:rPr>
          <w:rFonts w:cstheme="minorHAnsi"/>
        </w:rPr>
        <w:t>from planning application</w:t>
      </w:r>
      <w:r w:rsidR="00CF3E43">
        <w:rPr>
          <w:rFonts w:cstheme="minorHAnsi"/>
        </w:rPr>
        <w:t>s</w:t>
      </w:r>
      <w:r w:rsidR="00FD1DF5">
        <w:rPr>
          <w:rFonts w:cstheme="minorHAnsi"/>
        </w:rPr>
        <w:t xml:space="preserve"> for </w:t>
      </w:r>
      <w:r w:rsidR="00923161">
        <w:rPr>
          <w:rFonts w:cstheme="minorHAnsi"/>
        </w:rPr>
        <w:t xml:space="preserve">new </w:t>
      </w:r>
      <w:r>
        <w:rPr>
          <w:rFonts w:cstheme="minorHAnsi"/>
        </w:rPr>
        <w:t>dwellings permitted</w:t>
      </w:r>
      <w:r w:rsidR="00961713">
        <w:rPr>
          <w:rStyle w:val="FootnoteReference"/>
          <w:rFonts w:cstheme="minorHAnsi"/>
        </w:rPr>
        <w:footnoteReference w:id="3"/>
      </w:r>
      <w:r>
        <w:rPr>
          <w:rFonts w:cstheme="minorHAnsi"/>
        </w:rPr>
        <w:t xml:space="preserve"> </w:t>
      </w:r>
      <w:r w:rsidR="00923161">
        <w:rPr>
          <w:rFonts w:cstheme="minorHAnsi"/>
        </w:rPr>
        <w:t xml:space="preserve">within the past three years </w:t>
      </w:r>
      <w:r w:rsidR="004B70AE">
        <w:rPr>
          <w:rFonts w:cstheme="minorHAnsi"/>
        </w:rPr>
        <w:t xml:space="preserve">(from 1 March 2020) </w:t>
      </w:r>
      <w:r w:rsidR="00923161">
        <w:rPr>
          <w:rFonts w:cstheme="minorHAnsi"/>
        </w:rPr>
        <w:t xml:space="preserve">were analysed. The </w:t>
      </w:r>
      <w:r w:rsidR="00317DAB">
        <w:rPr>
          <w:rFonts w:cstheme="minorHAnsi"/>
        </w:rPr>
        <w:t>three-year</w:t>
      </w:r>
      <w:r w:rsidR="00923161">
        <w:rPr>
          <w:rFonts w:cstheme="minorHAnsi"/>
        </w:rPr>
        <w:t xml:space="preserve"> period was considered appropriate as</w:t>
      </w:r>
      <w:r w:rsidR="004B70AE">
        <w:rPr>
          <w:rFonts w:cstheme="minorHAnsi"/>
        </w:rPr>
        <w:t xml:space="preserve"> </w:t>
      </w:r>
      <w:r w:rsidR="00203B4D">
        <w:rPr>
          <w:rFonts w:cstheme="minorHAnsi"/>
        </w:rPr>
        <w:t xml:space="preserve">it </w:t>
      </w:r>
      <w:r w:rsidR="004B70AE">
        <w:rPr>
          <w:rFonts w:cstheme="minorHAnsi"/>
        </w:rPr>
        <w:t>provide</w:t>
      </w:r>
      <w:r w:rsidR="00203B4D">
        <w:rPr>
          <w:rFonts w:cstheme="minorHAnsi"/>
        </w:rPr>
        <w:t>s</w:t>
      </w:r>
      <w:r w:rsidR="004B70AE">
        <w:rPr>
          <w:rFonts w:cstheme="minorHAnsi"/>
        </w:rPr>
        <w:t xml:space="preserve"> data from dwellings</w:t>
      </w:r>
      <w:r w:rsidR="00EE4AAB">
        <w:rPr>
          <w:rFonts w:cstheme="minorHAnsi"/>
        </w:rPr>
        <w:t xml:space="preserve"> </w:t>
      </w:r>
      <w:r w:rsidR="00EE4AAB">
        <w:rPr>
          <w:rFonts w:cstheme="minorHAnsi"/>
        </w:rPr>
        <w:lastRenderedPageBreak/>
        <w:t>developed</w:t>
      </w:r>
      <w:r w:rsidR="004B70AE">
        <w:rPr>
          <w:rFonts w:cstheme="minorHAnsi"/>
        </w:rPr>
        <w:t xml:space="preserve"> most recently, and </w:t>
      </w:r>
      <w:r w:rsidR="00923161">
        <w:rPr>
          <w:rFonts w:cstheme="minorHAnsi"/>
        </w:rPr>
        <w:t xml:space="preserve">would reflect, if applicable, the voluntary adoption of NDSS by developers, following the 2015 introduction of the standard.   </w:t>
      </w:r>
    </w:p>
    <w:p w14:paraId="1786CC5E" w14:textId="29822111" w:rsidR="00CF3E43" w:rsidRPr="002A239C" w:rsidRDefault="00CF3E43" w:rsidP="00585695">
      <w:pPr>
        <w:jc w:val="both"/>
        <w:rPr>
          <w:rFonts w:cstheme="minorHAnsi"/>
        </w:rPr>
      </w:pPr>
      <w:r>
        <w:rPr>
          <w:rFonts w:cstheme="minorHAnsi"/>
        </w:rPr>
        <w:t>5.2</w:t>
      </w:r>
      <w:r>
        <w:rPr>
          <w:rFonts w:cstheme="minorHAnsi"/>
        </w:rPr>
        <w:tab/>
        <w:t xml:space="preserve">A sample size of </w:t>
      </w:r>
      <w:r w:rsidR="00B62B86">
        <w:rPr>
          <w:rFonts w:cstheme="minorHAnsi"/>
        </w:rPr>
        <w:t xml:space="preserve">1110 </w:t>
      </w:r>
      <w:r w:rsidRPr="004459CF">
        <w:rPr>
          <w:rFonts w:cstheme="minorHAnsi"/>
        </w:rPr>
        <w:t>dwellings</w:t>
      </w:r>
      <w:r>
        <w:rPr>
          <w:rFonts w:cstheme="minorHAnsi"/>
        </w:rPr>
        <w:t xml:space="preserve"> was evaluated and is considered to provide a reasonable representation of housing within the Plan area</w:t>
      </w:r>
      <w:r w:rsidR="00553C28">
        <w:rPr>
          <w:rFonts w:cstheme="minorHAnsi"/>
        </w:rPr>
        <w:t xml:space="preserve">, being calculated to comprise approximately </w:t>
      </w:r>
      <w:r w:rsidR="00B62B86">
        <w:rPr>
          <w:rFonts w:cstheme="minorHAnsi"/>
        </w:rPr>
        <w:t>66</w:t>
      </w:r>
      <w:r w:rsidR="00553C28">
        <w:rPr>
          <w:rFonts w:cstheme="minorHAnsi"/>
        </w:rPr>
        <w:t>% of the new dwellings commenced or completed within the period</w:t>
      </w:r>
      <w:r w:rsidR="00553C28">
        <w:rPr>
          <w:rStyle w:val="FootnoteReference"/>
          <w:rFonts w:cstheme="minorHAnsi"/>
        </w:rPr>
        <w:footnoteReference w:id="4"/>
      </w:r>
      <w:r w:rsidR="00913679">
        <w:rPr>
          <w:rFonts w:cstheme="minorHAnsi"/>
        </w:rPr>
        <w:t>. This sample size also compares favourably with conventions established by other LPAs, exceed</w:t>
      </w:r>
      <w:r w:rsidR="004459CF">
        <w:rPr>
          <w:rFonts w:cstheme="minorHAnsi"/>
        </w:rPr>
        <w:t>ing</w:t>
      </w:r>
      <w:r w:rsidR="00913679">
        <w:rPr>
          <w:rFonts w:cstheme="minorHAnsi"/>
        </w:rPr>
        <w:t xml:space="preserve"> minimum sample</w:t>
      </w:r>
      <w:r w:rsidR="00BE07AC">
        <w:rPr>
          <w:rFonts w:cstheme="minorHAnsi"/>
        </w:rPr>
        <w:t xml:space="preserve"> sizes</w:t>
      </w:r>
      <w:r w:rsidR="00913679">
        <w:rPr>
          <w:rFonts w:cstheme="minorHAnsi"/>
        </w:rPr>
        <w:t xml:space="preserve"> analysed elsewhere</w:t>
      </w:r>
      <w:r w:rsidR="00B25C8E">
        <w:rPr>
          <w:rFonts w:cstheme="minorHAnsi"/>
        </w:rPr>
        <w:t xml:space="preserve"> (see Appendix C)</w:t>
      </w:r>
      <w:r w:rsidR="00913679">
        <w:rPr>
          <w:rFonts w:cstheme="minorHAnsi"/>
        </w:rPr>
        <w:t xml:space="preserve">. </w:t>
      </w:r>
      <w:r w:rsidR="00553C28">
        <w:rPr>
          <w:rFonts w:cstheme="minorHAnsi"/>
        </w:rPr>
        <w:t xml:space="preserve"> </w:t>
      </w:r>
      <w:r>
        <w:rPr>
          <w:rFonts w:cstheme="minorHAnsi"/>
        </w:rPr>
        <w:t xml:space="preserve"> For developments where more than one dwelling is permitted,</w:t>
      </w:r>
      <w:r w:rsidR="00203B4D">
        <w:rPr>
          <w:rFonts w:cstheme="minorHAnsi"/>
        </w:rPr>
        <w:t xml:space="preserve"> each dwelling type was measured and analysed, and the results multiplied by the number of dwellings of that type within the scheme</w:t>
      </w:r>
      <w:r>
        <w:rPr>
          <w:rFonts w:cstheme="minorHAnsi"/>
        </w:rPr>
        <w:t xml:space="preserve">. </w:t>
      </w:r>
    </w:p>
    <w:p w14:paraId="4E15BF2A" w14:textId="3859C9FA" w:rsidR="001D06ED" w:rsidRDefault="00923161" w:rsidP="00585695">
      <w:pPr>
        <w:jc w:val="both"/>
        <w:rPr>
          <w:rFonts w:cstheme="minorHAnsi"/>
        </w:rPr>
      </w:pPr>
      <w:r>
        <w:rPr>
          <w:rFonts w:cstheme="minorHAnsi"/>
        </w:rPr>
        <w:t>5.</w:t>
      </w:r>
      <w:r w:rsidR="00CF3E43">
        <w:rPr>
          <w:rFonts w:cstheme="minorHAnsi"/>
        </w:rPr>
        <w:t>3</w:t>
      </w:r>
      <w:r>
        <w:rPr>
          <w:rFonts w:cstheme="minorHAnsi"/>
        </w:rPr>
        <w:tab/>
        <w:t>In accordance with PPG requirements, the sample</w:t>
      </w:r>
      <w:r w:rsidR="00695642">
        <w:rPr>
          <w:rFonts w:cstheme="minorHAnsi"/>
        </w:rPr>
        <w:t>d</w:t>
      </w:r>
      <w:r>
        <w:rPr>
          <w:rFonts w:cstheme="minorHAnsi"/>
        </w:rPr>
        <w:t xml:space="preserve"> plans relate to a range of dwelling sizes and types being developed in the </w:t>
      </w:r>
      <w:r w:rsidR="004459CF">
        <w:rPr>
          <w:rFonts w:cstheme="minorHAnsi"/>
        </w:rPr>
        <w:t xml:space="preserve">Plan </w:t>
      </w:r>
      <w:r>
        <w:rPr>
          <w:rFonts w:cstheme="minorHAnsi"/>
        </w:rPr>
        <w:t>area</w:t>
      </w:r>
      <w:r w:rsidR="00695642">
        <w:rPr>
          <w:rFonts w:cstheme="minorHAnsi"/>
        </w:rPr>
        <w:t>,</w:t>
      </w:r>
      <w:r w:rsidR="004459CF">
        <w:rPr>
          <w:rFonts w:cstheme="minorHAnsi"/>
        </w:rPr>
        <w:t xml:space="preserve"> and also an array of different site typologies,</w:t>
      </w:r>
      <w:r w:rsidR="00695642">
        <w:rPr>
          <w:rFonts w:cstheme="minorHAnsi"/>
        </w:rPr>
        <w:t xml:space="preserve"> </w:t>
      </w:r>
      <w:r w:rsidR="00CF3E43">
        <w:rPr>
          <w:rFonts w:cstheme="minorHAnsi"/>
        </w:rPr>
        <w:t>comprising</w:t>
      </w:r>
      <w:r w:rsidR="00695642">
        <w:rPr>
          <w:rFonts w:cstheme="minorHAnsi"/>
        </w:rPr>
        <w:t>: 1-</w:t>
      </w:r>
      <w:r w:rsidR="00D55FAC">
        <w:rPr>
          <w:rFonts w:cstheme="minorHAnsi"/>
        </w:rPr>
        <w:t>5</w:t>
      </w:r>
      <w:r w:rsidR="00695642">
        <w:rPr>
          <w:rFonts w:cstheme="minorHAnsi"/>
        </w:rPr>
        <w:t xml:space="preserve"> bedroom dwellings; flats and houses</w:t>
      </w:r>
      <w:r w:rsidR="00583914">
        <w:rPr>
          <w:rFonts w:cstheme="minorHAnsi"/>
        </w:rPr>
        <w:t xml:space="preserve"> of 1-3 storeys</w:t>
      </w:r>
      <w:r w:rsidR="00695642">
        <w:rPr>
          <w:rFonts w:cstheme="minorHAnsi"/>
        </w:rPr>
        <w:t>; small (≤10</w:t>
      </w:r>
      <w:r w:rsidR="001D06ED">
        <w:rPr>
          <w:rFonts w:cstheme="minorHAnsi"/>
        </w:rPr>
        <w:t xml:space="preserve"> dwellings</w:t>
      </w:r>
      <w:r w:rsidR="00695642">
        <w:rPr>
          <w:rFonts w:cstheme="minorHAnsi"/>
        </w:rPr>
        <w:t>), medium (&gt;10&lt;50)</w:t>
      </w:r>
      <w:r w:rsidR="001D06ED">
        <w:rPr>
          <w:rFonts w:cstheme="minorHAnsi"/>
        </w:rPr>
        <w:t xml:space="preserve"> and</w:t>
      </w:r>
      <w:r w:rsidR="00695642">
        <w:rPr>
          <w:rFonts w:cstheme="minorHAnsi"/>
        </w:rPr>
        <w:t xml:space="preserve"> large (≥50) scale developments; </w:t>
      </w:r>
      <w:r w:rsidR="00583914" w:rsidRPr="001E7DD6">
        <w:rPr>
          <w:rFonts w:cstheme="minorHAnsi"/>
        </w:rPr>
        <w:t>market and affordable housing;</w:t>
      </w:r>
      <w:r w:rsidR="00583914">
        <w:rPr>
          <w:rFonts w:cstheme="minorHAnsi"/>
        </w:rPr>
        <w:t xml:space="preserve"> </w:t>
      </w:r>
      <w:r w:rsidR="00695642">
        <w:rPr>
          <w:rFonts w:cstheme="minorHAnsi"/>
        </w:rPr>
        <w:t>urban and rural locations; new build and conversions</w:t>
      </w:r>
      <w:r w:rsidR="00ED226C">
        <w:rPr>
          <w:rFonts w:cstheme="minorHAnsi"/>
        </w:rPr>
        <w:t>. A detailed breakdown is provided within Appendix B.</w:t>
      </w:r>
    </w:p>
    <w:p w14:paraId="2D22BFDD" w14:textId="660EF5AC" w:rsidR="00CF3E43" w:rsidRDefault="001D06ED" w:rsidP="00585695">
      <w:pPr>
        <w:jc w:val="both"/>
        <w:rPr>
          <w:rFonts w:cstheme="minorHAnsi"/>
        </w:rPr>
      </w:pPr>
      <w:r>
        <w:rPr>
          <w:rFonts w:cstheme="minorHAnsi"/>
        </w:rPr>
        <w:t>5.</w:t>
      </w:r>
      <w:r w:rsidR="00CF3E43">
        <w:rPr>
          <w:rFonts w:cstheme="minorHAnsi"/>
        </w:rPr>
        <w:t>4</w:t>
      </w:r>
      <w:r>
        <w:rPr>
          <w:rFonts w:cstheme="minorHAnsi"/>
        </w:rPr>
        <w:tab/>
      </w:r>
      <w:r w:rsidR="00583914">
        <w:rPr>
          <w:rFonts w:cstheme="minorHAnsi"/>
        </w:rPr>
        <w:t>Developments permitted via prior approval were excluded from the sample</w:t>
      </w:r>
      <w:r w:rsidR="00FD1DF5">
        <w:rPr>
          <w:rFonts w:cstheme="minorHAnsi"/>
        </w:rPr>
        <w:t xml:space="preserve"> on the grounds of being irrelevant to the study, following April 2021 amendments to the Town and Country Planning (General Permitted Development) England Order 2015 requiring </w:t>
      </w:r>
      <w:r w:rsidR="00DC783A">
        <w:rPr>
          <w:rFonts w:cstheme="minorHAnsi"/>
        </w:rPr>
        <w:t xml:space="preserve">their </w:t>
      </w:r>
      <w:r w:rsidR="00FD1DF5">
        <w:rPr>
          <w:rFonts w:cstheme="minorHAnsi"/>
        </w:rPr>
        <w:t xml:space="preserve">compliance with the NDSS. </w:t>
      </w:r>
    </w:p>
    <w:p w14:paraId="4EBE9B05" w14:textId="6A9625B0" w:rsidR="002A239C" w:rsidRDefault="00CF3E43" w:rsidP="00585695">
      <w:pPr>
        <w:jc w:val="both"/>
        <w:rPr>
          <w:rFonts w:cstheme="minorHAnsi"/>
        </w:rPr>
      </w:pPr>
      <w:r>
        <w:rPr>
          <w:rFonts w:cstheme="minorHAnsi"/>
        </w:rPr>
        <w:t>5.5</w:t>
      </w:r>
      <w:r>
        <w:rPr>
          <w:rFonts w:cstheme="minorHAnsi"/>
        </w:rPr>
        <w:tab/>
        <w:t xml:space="preserve">The analysis involved the </w:t>
      </w:r>
      <w:r w:rsidR="00195E6B">
        <w:rPr>
          <w:rFonts w:cstheme="minorHAnsi"/>
        </w:rPr>
        <w:t xml:space="preserve">digital </w:t>
      </w:r>
      <w:r>
        <w:rPr>
          <w:rFonts w:cstheme="minorHAnsi"/>
        </w:rPr>
        <w:t>measuring of scaled plans</w:t>
      </w:r>
      <w:r w:rsidR="00195E6B">
        <w:rPr>
          <w:rFonts w:cstheme="minorHAnsi"/>
        </w:rPr>
        <w:t xml:space="preserve">. Where </w:t>
      </w:r>
      <w:r w:rsidR="00DC73D7">
        <w:rPr>
          <w:rFonts w:cstheme="minorHAnsi"/>
        </w:rPr>
        <w:t xml:space="preserve">developer-submitted </w:t>
      </w:r>
      <w:r w:rsidR="00AE46EF">
        <w:rPr>
          <w:rFonts w:cstheme="minorHAnsi"/>
        </w:rPr>
        <w:t>accommodation schedules provide</w:t>
      </w:r>
      <w:r w:rsidR="005177BB">
        <w:rPr>
          <w:rFonts w:cstheme="minorHAnsi"/>
        </w:rPr>
        <w:t>d</w:t>
      </w:r>
      <w:r w:rsidR="00AE46EF">
        <w:rPr>
          <w:rFonts w:cstheme="minorHAnsi"/>
        </w:rPr>
        <w:t xml:space="preserve"> </w:t>
      </w:r>
      <w:r w:rsidR="00195E6B">
        <w:rPr>
          <w:rFonts w:cstheme="minorHAnsi"/>
        </w:rPr>
        <w:t>figures for GIA</w:t>
      </w:r>
      <w:r w:rsidR="00AE46EF">
        <w:rPr>
          <w:rFonts w:cstheme="minorHAnsi"/>
        </w:rPr>
        <w:t xml:space="preserve"> or</w:t>
      </w:r>
      <w:r w:rsidR="00195E6B">
        <w:rPr>
          <w:rFonts w:cstheme="minorHAnsi"/>
        </w:rPr>
        <w:t xml:space="preserve"> other dimensions, these </w:t>
      </w:r>
      <w:r w:rsidR="005177BB">
        <w:rPr>
          <w:rFonts w:cstheme="minorHAnsi"/>
        </w:rPr>
        <w:t>were</w:t>
      </w:r>
      <w:r w:rsidR="00195E6B">
        <w:rPr>
          <w:rFonts w:cstheme="minorHAnsi"/>
        </w:rPr>
        <w:t xml:space="preserve"> </w:t>
      </w:r>
      <w:r w:rsidR="007F0DA9">
        <w:rPr>
          <w:rFonts w:cstheme="minorHAnsi"/>
        </w:rPr>
        <w:t xml:space="preserve">sampled and </w:t>
      </w:r>
      <w:r w:rsidR="00195E6B">
        <w:rPr>
          <w:rFonts w:cstheme="minorHAnsi"/>
        </w:rPr>
        <w:t xml:space="preserve">verified as accurate. Recognising the potential for inaccuracies in digital measuring </w:t>
      </w:r>
      <w:r w:rsidR="00AE46EF">
        <w:rPr>
          <w:rFonts w:cstheme="minorHAnsi"/>
        </w:rPr>
        <w:t>techniques</w:t>
      </w:r>
      <w:r w:rsidR="00195E6B">
        <w:rPr>
          <w:rFonts w:cstheme="minorHAnsi"/>
        </w:rPr>
        <w:t>, calculations of GIA are rounded to the nearest square metre.</w:t>
      </w:r>
      <w:r w:rsidR="00B50E9E">
        <w:rPr>
          <w:rFonts w:cstheme="minorHAnsi"/>
        </w:rPr>
        <w:t xml:space="preserve"> </w:t>
      </w:r>
      <w:r w:rsidR="00195E6B">
        <w:rPr>
          <w:rFonts w:cstheme="minorHAnsi"/>
        </w:rPr>
        <w:t xml:space="preserve">NDSS technical requirements stipulate bedroom area sizes to </w:t>
      </w:r>
      <w:r w:rsidR="00195E6B" w:rsidRPr="00B50E9E">
        <w:rPr>
          <w:rFonts w:cstheme="minorHAnsi"/>
        </w:rPr>
        <w:t xml:space="preserve">within 0.5 square metres, and </w:t>
      </w:r>
      <w:r w:rsidR="00AE46EF" w:rsidRPr="00B50E9E">
        <w:rPr>
          <w:rFonts w:cstheme="minorHAnsi"/>
        </w:rPr>
        <w:t>singular</w:t>
      </w:r>
      <w:r w:rsidR="00195E6B" w:rsidRPr="00B50E9E">
        <w:rPr>
          <w:rFonts w:cstheme="minorHAnsi"/>
        </w:rPr>
        <w:t xml:space="preserve"> dimensions to within </w:t>
      </w:r>
      <w:r w:rsidR="00AE46EF" w:rsidRPr="00B50E9E">
        <w:rPr>
          <w:rFonts w:cstheme="minorHAnsi"/>
        </w:rPr>
        <w:t>0.05m</w:t>
      </w:r>
      <w:r w:rsidR="00B50E9E" w:rsidRPr="00B50E9E">
        <w:rPr>
          <w:rFonts w:cstheme="minorHAnsi"/>
        </w:rPr>
        <w:t>.</w:t>
      </w:r>
      <w:r w:rsidR="00B50E9E">
        <w:rPr>
          <w:rFonts w:cstheme="minorHAnsi"/>
        </w:rPr>
        <w:t xml:space="preserve"> Measurements have therefore been rounded to nearest 0.1m to enable comparison with the requirements, whilst allowing reasonable margins of error due to measuring.</w:t>
      </w:r>
      <w:r w:rsidR="00AE46EF">
        <w:rPr>
          <w:rFonts w:cstheme="minorHAnsi"/>
        </w:rPr>
        <w:t xml:space="preserve"> </w:t>
      </w:r>
    </w:p>
    <w:p w14:paraId="1519AF83" w14:textId="356960D9" w:rsidR="0098571A" w:rsidRDefault="0098571A" w:rsidP="00585695">
      <w:pPr>
        <w:jc w:val="both"/>
        <w:rPr>
          <w:rFonts w:cstheme="minorHAnsi"/>
        </w:rPr>
      </w:pPr>
      <w:r>
        <w:rPr>
          <w:rFonts w:cstheme="minorHAnsi"/>
        </w:rPr>
        <w:t>5.6</w:t>
      </w:r>
      <w:r>
        <w:rPr>
          <w:rFonts w:cstheme="minorHAnsi"/>
        </w:rPr>
        <w:tab/>
        <w:t>The provision of sectional drawings showing ceiling heights is not routine for planning applications. NDSS technical requirements relating to ceiling height have not, therefore, been evaluated on this basis.</w:t>
      </w:r>
      <w:r w:rsidR="001606F7">
        <w:rPr>
          <w:rFonts w:cstheme="minorHAnsi"/>
        </w:rPr>
        <w:t xml:space="preserve"> Where plans show headroom </w:t>
      </w:r>
      <w:r w:rsidR="00DC73D7">
        <w:rPr>
          <w:rFonts w:cstheme="minorHAnsi"/>
        </w:rPr>
        <w:t xml:space="preserve">heights </w:t>
      </w:r>
      <w:r w:rsidR="001606F7">
        <w:rPr>
          <w:rFonts w:cstheme="minorHAnsi"/>
        </w:rPr>
        <w:t xml:space="preserve">below 1500mm and 900mm, GIA and bedroom floor area calculations have been adjusted according to </w:t>
      </w:r>
      <w:r w:rsidR="00DC73D7">
        <w:rPr>
          <w:rFonts w:cstheme="minorHAnsi"/>
        </w:rPr>
        <w:t xml:space="preserve">NDSS </w:t>
      </w:r>
      <w:r w:rsidR="001606F7">
        <w:rPr>
          <w:rFonts w:cstheme="minorHAnsi"/>
        </w:rPr>
        <w:t>requirements f. and g</w:t>
      </w:r>
      <w:r w:rsidR="00DC783A">
        <w:rPr>
          <w:rFonts w:cstheme="minorHAnsi"/>
        </w:rPr>
        <w:t xml:space="preserve"> respectively</w:t>
      </w:r>
      <w:r w:rsidR="005177BB">
        <w:rPr>
          <w:rFonts w:cstheme="minorHAnsi"/>
        </w:rPr>
        <w:t xml:space="preserve"> (see Appendix A for details)</w:t>
      </w:r>
      <w:r w:rsidR="001606F7">
        <w:rPr>
          <w:rFonts w:cstheme="minorHAnsi"/>
        </w:rPr>
        <w:t xml:space="preserve">. </w:t>
      </w:r>
      <w:r>
        <w:rPr>
          <w:rFonts w:cstheme="minorHAnsi"/>
        </w:rPr>
        <w:t xml:space="preserve">  </w:t>
      </w:r>
    </w:p>
    <w:p w14:paraId="0845EBB1" w14:textId="40F9331A" w:rsidR="008B5940" w:rsidRPr="00923161" w:rsidRDefault="008B5940" w:rsidP="00585695">
      <w:pPr>
        <w:jc w:val="both"/>
        <w:rPr>
          <w:rFonts w:cstheme="minorHAnsi"/>
        </w:rPr>
      </w:pPr>
      <w:r>
        <w:rPr>
          <w:rFonts w:cstheme="minorHAnsi"/>
        </w:rPr>
        <w:t>5.7</w:t>
      </w:r>
      <w:r>
        <w:rPr>
          <w:rFonts w:cstheme="minorHAnsi"/>
        </w:rPr>
        <w:tab/>
        <w:t xml:space="preserve">The evaluation documented the GIA of each dwelling analysed, as well as </w:t>
      </w:r>
      <w:r w:rsidR="00DC783A">
        <w:rPr>
          <w:rFonts w:cstheme="minorHAnsi"/>
        </w:rPr>
        <w:t xml:space="preserve">its </w:t>
      </w:r>
      <w:r>
        <w:rPr>
          <w:rFonts w:cstheme="minorHAnsi"/>
        </w:rPr>
        <w:t xml:space="preserve">bedroom areas, </w:t>
      </w:r>
      <w:r w:rsidR="00317DAB">
        <w:rPr>
          <w:rFonts w:cstheme="minorHAnsi"/>
        </w:rPr>
        <w:t>widths,</w:t>
      </w:r>
      <w:r>
        <w:rPr>
          <w:rFonts w:cstheme="minorHAnsi"/>
        </w:rPr>
        <w:t xml:space="preserve"> and areas of built-in storage (where illustrated).</w:t>
      </w:r>
      <w:r w:rsidR="00DC783A">
        <w:rPr>
          <w:rFonts w:cstheme="minorHAnsi"/>
        </w:rPr>
        <w:t xml:space="preserve"> Appendix B provides this detailed evidence.</w:t>
      </w:r>
      <w:r>
        <w:rPr>
          <w:rFonts w:cstheme="minorHAnsi"/>
        </w:rPr>
        <w:t xml:space="preserve"> Dwellings were determined to have failed to meet the overall NDSS standard if GIA, bedroom area or bedroom width requirements were not met. Built-in</w:t>
      </w:r>
      <w:r w:rsidR="006B0CC0">
        <w:rPr>
          <w:rFonts w:cstheme="minorHAnsi"/>
        </w:rPr>
        <w:t xml:space="preserve"> bedroom</w:t>
      </w:r>
      <w:r>
        <w:rPr>
          <w:rFonts w:cstheme="minorHAnsi"/>
        </w:rPr>
        <w:t xml:space="preserve"> storage, whilst documented, was not considered to be a determining factor, recognising that submitted floor plans may not</w:t>
      </w:r>
      <w:r w:rsidR="00DC783A">
        <w:rPr>
          <w:rFonts w:cstheme="minorHAnsi"/>
        </w:rPr>
        <w:t xml:space="preserve"> routinely </w:t>
      </w:r>
      <w:r>
        <w:rPr>
          <w:rFonts w:cstheme="minorHAnsi"/>
        </w:rPr>
        <w:t>illustrate this provision</w:t>
      </w:r>
      <w:r w:rsidR="00BE07AC">
        <w:rPr>
          <w:rFonts w:cstheme="minorHAnsi"/>
        </w:rPr>
        <w:t xml:space="preserve"> as </w:t>
      </w:r>
      <w:r>
        <w:rPr>
          <w:rFonts w:cstheme="minorHAnsi"/>
        </w:rPr>
        <w:t xml:space="preserve">this level of detail is not currently required.   </w:t>
      </w:r>
    </w:p>
    <w:p w14:paraId="00CD39CC" w14:textId="50B53C75" w:rsidR="008B5940" w:rsidRPr="005323D4" w:rsidRDefault="005323D4" w:rsidP="00585695">
      <w:pPr>
        <w:jc w:val="both"/>
        <w:rPr>
          <w:rFonts w:cstheme="minorHAnsi"/>
          <w:b/>
          <w:bCs/>
        </w:rPr>
      </w:pPr>
      <w:r w:rsidRPr="005323D4">
        <w:rPr>
          <w:rFonts w:cstheme="minorHAnsi"/>
          <w:b/>
          <w:bCs/>
        </w:rPr>
        <w:t>6</w:t>
      </w:r>
      <w:r w:rsidRPr="005323D4">
        <w:rPr>
          <w:rFonts w:cstheme="minorHAnsi"/>
          <w:b/>
          <w:bCs/>
        </w:rPr>
        <w:tab/>
      </w:r>
      <w:r>
        <w:rPr>
          <w:rFonts w:cstheme="minorHAnsi"/>
          <w:b/>
          <w:bCs/>
        </w:rPr>
        <w:t>Analysis and Evaluation</w:t>
      </w:r>
      <w:r w:rsidR="00EC40EB">
        <w:rPr>
          <w:rFonts w:cstheme="minorHAnsi"/>
          <w:b/>
          <w:bCs/>
        </w:rPr>
        <w:t xml:space="preserve"> of Need</w:t>
      </w:r>
    </w:p>
    <w:p w14:paraId="59F38B52" w14:textId="1C363FE9" w:rsidR="005375B7" w:rsidRDefault="005323D4" w:rsidP="00585695">
      <w:pPr>
        <w:jc w:val="both"/>
        <w:rPr>
          <w:rFonts w:cstheme="minorHAnsi"/>
        </w:rPr>
      </w:pPr>
      <w:r>
        <w:rPr>
          <w:rFonts w:cstheme="minorHAnsi"/>
        </w:rPr>
        <w:lastRenderedPageBreak/>
        <w:t>6.1</w:t>
      </w:r>
      <w:r>
        <w:rPr>
          <w:rFonts w:cstheme="minorHAnsi"/>
        </w:rPr>
        <w:tab/>
      </w:r>
      <w:r w:rsidR="00CF1C35">
        <w:rPr>
          <w:rFonts w:cstheme="minorHAnsi"/>
        </w:rPr>
        <w:t xml:space="preserve">Evidence collated illustrates that the majority of dwellings recently permitted in the Plan Area do not meet the NDSS as a minimum. </w:t>
      </w:r>
      <w:r>
        <w:rPr>
          <w:rFonts w:cstheme="minorHAnsi"/>
        </w:rPr>
        <w:t xml:space="preserve">Of the </w:t>
      </w:r>
      <w:r w:rsidR="006B0CC0">
        <w:rPr>
          <w:rFonts w:cstheme="minorHAnsi"/>
        </w:rPr>
        <w:t>1110</w:t>
      </w:r>
      <w:r>
        <w:rPr>
          <w:rFonts w:cstheme="minorHAnsi"/>
        </w:rPr>
        <w:t xml:space="preserve"> dwellings within the sample, plans for </w:t>
      </w:r>
      <w:r w:rsidR="00CF1C35">
        <w:rPr>
          <w:rFonts w:cstheme="minorHAnsi"/>
        </w:rPr>
        <w:t xml:space="preserve">only </w:t>
      </w:r>
      <w:r w:rsidR="006B0CC0">
        <w:rPr>
          <w:rFonts w:cstheme="minorHAnsi"/>
        </w:rPr>
        <w:t>35</w:t>
      </w:r>
      <w:r>
        <w:rPr>
          <w:rFonts w:cstheme="minorHAnsi"/>
        </w:rPr>
        <w:t>% (</w:t>
      </w:r>
      <w:r w:rsidR="006B0CC0">
        <w:rPr>
          <w:rFonts w:cstheme="minorHAnsi"/>
        </w:rPr>
        <w:t>383</w:t>
      </w:r>
      <w:r>
        <w:rPr>
          <w:rFonts w:cstheme="minorHAnsi"/>
        </w:rPr>
        <w:t xml:space="preserve"> dwellings) were determined to have met the assessed NDSS requirements of GIA, bedroom area and bedroom width</w:t>
      </w:r>
      <w:r w:rsidR="003721DE">
        <w:rPr>
          <w:rFonts w:cstheme="minorHAnsi"/>
        </w:rPr>
        <w:t>, suggesting insufficient internal space was provided to ensure an appropriate standard of amenity for the intended number of occupants</w:t>
      </w:r>
      <w:r>
        <w:rPr>
          <w:rFonts w:cstheme="minorHAnsi"/>
        </w:rPr>
        <w:t>.</w:t>
      </w:r>
      <w:r w:rsidR="00455FB0">
        <w:rPr>
          <w:rFonts w:cstheme="minorHAnsi"/>
        </w:rPr>
        <w:t xml:space="preserve"> </w:t>
      </w:r>
      <w:r w:rsidR="00125691">
        <w:rPr>
          <w:rFonts w:cstheme="minorHAnsi"/>
        </w:rPr>
        <w:t xml:space="preserve">While direct comparisons with the findings of </w:t>
      </w:r>
      <w:r w:rsidR="00455FB0">
        <w:rPr>
          <w:rFonts w:cstheme="minorHAnsi"/>
        </w:rPr>
        <w:t>studies conducted</w:t>
      </w:r>
      <w:r w:rsidR="00125691">
        <w:rPr>
          <w:rFonts w:cstheme="minorHAnsi"/>
        </w:rPr>
        <w:t xml:space="preserve"> by other authorities is difficult due to the range of methodologies used</w:t>
      </w:r>
      <w:r w:rsidR="00455FB0">
        <w:rPr>
          <w:rFonts w:cstheme="minorHAnsi"/>
        </w:rPr>
        <w:t xml:space="preserve">, the analysis suggests Chichester’s </w:t>
      </w:r>
      <w:r w:rsidR="00DB2314">
        <w:rPr>
          <w:rFonts w:cstheme="minorHAnsi"/>
        </w:rPr>
        <w:t xml:space="preserve">proposed adoption of the NDSS to improve amenity standards </w:t>
      </w:r>
      <w:r w:rsidR="0010498A">
        <w:rPr>
          <w:rFonts w:cstheme="minorHAnsi"/>
        </w:rPr>
        <w:t>is</w:t>
      </w:r>
      <w:r w:rsidR="00DB2314">
        <w:rPr>
          <w:rFonts w:cstheme="minorHAnsi"/>
        </w:rPr>
        <w:t xml:space="preserve"> similarly justified (see Appendix C for further details).</w:t>
      </w:r>
    </w:p>
    <w:p w14:paraId="483460E8" w14:textId="5971B97F" w:rsidR="007F0DA9" w:rsidRDefault="006B0CC0" w:rsidP="008D2F7D">
      <w:pPr>
        <w:jc w:val="center"/>
        <w:rPr>
          <w:rFonts w:cstheme="minorHAnsi"/>
        </w:rPr>
      </w:pPr>
      <w:r>
        <w:rPr>
          <w:noProof/>
        </w:rPr>
        <w:drawing>
          <wp:inline distT="0" distB="0" distL="0" distR="0" wp14:anchorId="75353896" wp14:editId="2F81FC4E">
            <wp:extent cx="4572000" cy="2743200"/>
            <wp:effectExtent l="0" t="0" r="0" b="0"/>
            <wp:docPr id="2" name="Chart 2" descr="Pie chart showing 727 (65%) of permitted dwellings sampled failed to meet Nationally Described Space Standards">
              <a:extLst xmlns:a="http://schemas.openxmlformats.org/drawingml/2006/main">
                <a:ext uri="{FF2B5EF4-FFF2-40B4-BE49-F238E27FC236}">
                  <a16:creationId xmlns:a16="http://schemas.microsoft.com/office/drawing/2014/main" id="{734BF19F-4396-4156-B8B4-BE4DDB879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419FC1" w14:textId="747B225C" w:rsidR="00D3023C" w:rsidRDefault="003721DE" w:rsidP="00882B19">
      <w:pPr>
        <w:jc w:val="both"/>
        <w:rPr>
          <w:rFonts w:cstheme="minorHAnsi"/>
        </w:rPr>
      </w:pPr>
      <w:r>
        <w:rPr>
          <w:rFonts w:cstheme="minorHAnsi"/>
        </w:rPr>
        <w:t>6.2</w:t>
      </w:r>
      <w:r>
        <w:rPr>
          <w:rFonts w:cstheme="minorHAnsi"/>
        </w:rPr>
        <w:tab/>
        <w:t xml:space="preserve">While 65% (726 dwellings) </w:t>
      </w:r>
      <w:r w:rsidR="0010498A">
        <w:rPr>
          <w:rFonts w:cstheme="minorHAnsi"/>
        </w:rPr>
        <w:t xml:space="preserve">of CDC sampled dwellings </w:t>
      </w:r>
      <w:r>
        <w:rPr>
          <w:rFonts w:cstheme="minorHAnsi"/>
        </w:rPr>
        <w:t xml:space="preserve">met the criteria for GIA, only 40% (448 dwellings) meet the bedroom size (area and width) criteria. </w:t>
      </w:r>
      <w:r w:rsidR="00F03774">
        <w:rPr>
          <w:rFonts w:cstheme="minorHAnsi"/>
        </w:rPr>
        <w:t>W</w:t>
      </w:r>
      <w:r>
        <w:rPr>
          <w:rFonts w:cstheme="minorHAnsi"/>
        </w:rPr>
        <w:t>ith the majority of dwellings failin</w:t>
      </w:r>
      <w:r w:rsidR="00F03774">
        <w:rPr>
          <w:rFonts w:cstheme="minorHAnsi"/>
        </w:rPr>
        <w:t xml:space="preserve">g to meet bedroom space parameters, the evidence suggests dwelling are inappropriately configured to enable an appropriate </w:t>
      </w:r>
      <w:r w:rsidR="0010498A">
        <w:rPr>
          <w:rFonts w:cstheme="minorHAnsi"/>
        </w:rPr>
        <w:t>standard</w:t>
      </w:r>
      <w:r w:rsidR="00F03774">
        <w:rPr>
          <w:rFonts w:cstheme="minorHAnsi"/>
        </w:rPr>
        <w:t xml:space="preserve"> of amenity for future occupants.</w:t>
      </w:r>
    </w:p>
    <w:p w14:paraId="05310F78" w14:textId="0081059A" w:rsidR="007F0DA9" w:rsidRDefault="004E0B40" w:rsidP="008D2F7D">
      <w:pPr>
        <w:jc w:val="both"/>
        <w:rPr>
          <w:rFonts w:cstheme="minorHAnsi"/>
        </w:rPr>
      </w:pPr>
      <w:r>
        <w:rPr>
          <w:noProof/>
        </w:rPr>
        <w:t xml:space="preserve"> </w:t>
      </w:r>
      <w:r w:rsidR="006B0CC0">
        <w:rPr>
          <w:noProof/>
        </w:rPr>
        <w:drawing>
          <wp:inline distT="0" distB="0" distL="0" distR="0" wp14:anchorId="27AFDEB1" wp14:editId="6EDE276D">
            <wp:extent cx="2819400" cy="2486025"/>
            <wp:effectExtent l="0" t="0" r="0" b="9525"/>
            <wp:docPr id="5" name="Chart 5" descr="Pie chart showing 384 (35%) of permitted dwerllings sampled failed to meet NDSS Gross Internal Area criteria">
              <a:extLst xmlns:a="http://schemas.openxmlformats.org/drawingml/2006/main">
                <a:ext uri="{FF2B5EF4-FFF2-40B4-BE49-F238E27FC236}">
                  <a16:creationId xmlns:a16="http://schemas.microsoft.com/office/drawing/2014/main" id="{B3055644-FE10-4C0A-9E49-15089EC15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12BF8">
        <w:rPr>
          <w:noProof/>
        </w:rPr>
        <w:drawing>
          <wp:inline distT="0" distB="0" distL="0" distR="0" wp14:anchorId="70C0A335" wp14:editId="7ED6DEF3">
            <wp:extent cx="2867025" cy="2495550"/>
            <wp:effectExtent l="0" t="0" r="9525" b="0"/>
            <wp:docPr id="6" name="Chart 6" descr="Pie chart showing 662 (60%) of permitted dwerllings sampled failed to meet NDSS bedroom dimension criteria">
              <a:extLst xmlns:a="http://schemas.openxmlformats.org/drawingml/2006/main">
                <a:ext uri="{FF2B5EF4-FFF2-40B4-BE49-F238E27FC236}">
                  <a16:creationId xmlns:a16="http://schemas.microsoft.com/office/drawing/2014/main" id="{09638217-8BAA-4961-9592-622802A37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7A493D" w14:textId="0A4669B3" w:rsidR="00D3023C" w:rsidRDefault="00D3023C" w:rsidP="00D3023C">
      <w:pPr>
        <w:rPr>
          <w:rFonts w:cstheme="minorHAnsi"/>
        </w:rPr>
        <w:sectPr w:rsidR="00D3023C">
          <w:pgSz w:w="11906" w:h="16838"/>
          <w:pgMar w:top="1440" w:right="1440" w:bottom="1440" w:left="1440" w:header="708" w:footer="708" w:gutter="0"/>
          <w:cols w:space="708"/>
          <w:docGrid w:linePitch="360"/>
        </w:sectPr>
      </w:pPr>
    </w:p>
    <w:p w14:paraId="548CE13F" w14:textId="77777777" w:rsidR="00AF20C3" w:rsidRDefault="00AF20C3" w:rsidP="00585695">
      <w:pPr>
        <w:jc w:val="both"/>
        <w:rPr>
          <w:rFonts w:cstheme="minorHAnsi"/>
        </w:rPr>
      </w:pPr>
    </w:p>
    <w:p w14:paraId="328E45BD" w14:textId="2E5786E1" w:rsidR="00AF20C3" w:rsidRDefault="00AF20C3" w:rsidP="00585695">
      <w:pPr>
        <w:jc w:val="both"/>
        <w:rPr>
          <w:rFonts w:cstheme="minorHAnsi"/>
        </w:rPr>
      </w:pPr>
    </w:p>
    <w:p w14:paraId="0D587F8E" w14:textId="09E04219" w:rsidR="00AF20C3" w:rsidRDefault="00AF20C3" w:rsidP="00585695">
      <w:pPr>
        <w:jc w:val="both"/>
        <w:rPr>
          <w:rFonts w:cstheme="minorHAnsi"/>
        </w:rPr>
        <w:sectPr w:rsidR="00AF20C3" w:rsidSect="004B527B">
          <w:type w:val="continuous"/>
          <w:pgSz w:w="11906" w:h="16838"/>
          <w:pgMar w:top="1440" w:right="1440" w:bottom="1440" w:left="1440" w:header="708" w:footer="708" w:gutter="0"/>
          <w:cols w:num="2" w:space="708"/>
          <w:docGrid w:linePitch="360"/>
        </w:sectPr>
      </w:pPr>
    </w:p>
    <w:p w14:paraId="316F05D8" w14:textId="27CCB0F2" w:rsidR="005323D4" w:rsidRDefault="005375B7" w:rsidP="00585695">
      <w:pPr>
        <w:jc w:val="both"/>
        <w:rPr>
          <w:rFonts w:cstheme="minorHAnsi"/>
        </w:rPr>
      </w:pPr>
      <w:r>
        <w:rPr>
          <w:rFonts w:cstheme="minorHAnsi"/>
        </w:rPr>
        <w:t>6.</w:t>
      </w:r>
      <w:r w:rsidR="005249A2">
        <w:rPr>
          <w:rFonts w:cstheme="minorHAnsi"/>
        </w:rPr>
        <w:t>3</w:t>
      </w:r>
      <w:r>
        <w:rPr>
          <w:rFonts w:cstheme="minorHAnsi"/>
        </w:rPr>
        <w:tab/>
      </w:r>
      <w:r w:rsidR="00F03774">
        <w:rPr>
          <w:rFonts w:cstheme="minorHAnsi"/>
        </w:rPr>
        <w:t>A higher proportion of</w:t>
      </w:r>
      <w:r>
        <w:rPr>
          <w:rFonts w:cstheme="minorHAnsi"/>
        </w:rPr>
        <w:t xml:space="preserve"> dwellings sampled me</w:t>
      </w:r>
      <w:r w:rsidR="00F03774">
        <w:rPr>
          <w:rFonts w:cstheme="minorHAnsi"/>
        </w:rPr>
        <w:t>t</w:t>
      </w:r>
      <w:r>
        <w:rPr>
          <w:rFonts w:cstheme="minorHAnsi"/>
        </w:rPr>
        <w:t xml:space="preserve"> the GIA requirements</w:t>
      </w:r>
      <w:r w:rsidR="004459CF">
        <w:rPr>
          <w:rFonts w:cstheme="minorHAnsi"/>
        </w:rPr>
        <w:t xml:space="preserve"> but not the bedroom size elements</w:t>
      </w:r>
      <w:r w:rsidR="00F03774">
        <w:rPr>
          <w:rFonts w:cstheme="minorHAnsi"/>
        </w:rPr>
        <w:t>. T</w:t>
      </w:r>
      <w:r>
        <w:rPr>
          <w:rFonts w:cstheme="minorHAnsi"/>
        </w:rPr>
        <w:t xml:space="preserve">his suggests that implementation of the NDSS within the Chichester Local Plan area </w:t>
      </w:r>
      <w:r w:rsidR="00BE07AC">
        <w:rPr>
          <w:rFonts w:cstheme="minorHAnsi"/>
        </w:rPr>
        <w:t xml:space="preserve">is not </w:t>
      </w:r>
      <w:r w:rsidR="00BE07AC">
        <w:rPr>
          <w:rFonts w:cstheme="minorHAnsi"/>
        </w:rPr>
        <w:lastRenderedPageBreak/>
        <w:t>likely to result in</w:t>
      </w:r>
      <w:r>
        <w:rPr>
          <w:rFonts w:cstheme="minorHAnsi"/>
        </w:rPr>
        <w:t xml:space="preserve"> increases to residential plot sizes</w:t>
      </w:r>
      <w:r w:rsidR="00F03774">
        <w:rPr>
          <w:rFonts w:cstheme="minorHAnsi"/>
        </w:rPr>
        <w:t xml:space="preserve"> in the majority of instances</w:t>
      </w:r>
      <w:r>
        <w:rPr>
          <w:rFonts w:cstheme="minorHAnsi"/>
        </w:rPr>
        <w:t xml:space="preserve">. More likely, NDSS implementation would ensure that the internal layout of the dwellings was </w:t>
      </w:r>
      <w:r w:rsidR="005177BB">
        <w:rPr>
          <w:rFonts w:cstheme="minorHAnsi"/>
        </w:rPr>
        <w:t xml:space="preserve">more </w:t>
      </w:r>
      <w:r>
        <w:rPr>
          <w:rFonts w:cstheme="minorHAnsi"/>
        </w:rPr>
        <w:t>carefully designed to</w:t>
      </w:r>
      <w:r w:rsidR="004B527B">
        <w:rPr>
          <w:rFonts w:cstheme="minorHAnsi"/>
        </w:rPr>
        <w:t xml:space="preserve"> ensur</w:t>
      </w:r>
      <w:r w:rsidR="00485237">
        <w:rPr>
          <w:rFonts w:cstheme="minorHAnsi"/>
        </w:rPr>
        <w:t>e</w:t>
      </w:r>
      <w:r w:rsidR="004B527B">
        <w:rPr>
          <w:rFonts w:cstheme="minorHAnsi"/>
        </w:rPr>
        <w:t xml:space="preserve"> </w:t>
      </w:r>
      <w:r>
        <w:rPr>
          <w:rFonts w:cstheme="minorHAnsi"/>
        </w:rPr>
        <w:t>provision of bedrooms of appropriate sizes</w:t>
      </w:r>
      <w:r w:rsidR="005177BB">
        <w:rPr>
          <w:rFonts w:cstheme="minorHAnsi"/>
        </w:rPr>
        <w:t>, providing</w:t>
      </w:r>
      <w:r w:rsidR="004B527B">
        <w:rPr>
          <w:rFonts w:cstheme="minorHAnsi"/>
        </w:rPr>
        <w:t xml:space="preserve"> </w:t>
      </w:r>
      <w:r w:rsidR="004459CF">
        <w:rPr>
          <w:rFonts w:cstheme="minorHAnsi"/>
        </w:rPr>
        <w:t xml:space="preserve">suitably high standards of </w:t>
      </w:r>
      <w:r>
        <w:rPr>
          <w:rFonts w:cstheme="minorHAnsi"/>
        </w:rPr>
        <w:t>occupant amenity</w:t>
      </w:r>
      <w:r w:rsidR="003D4625">
        <w:rPr>
          <w:rFonts w:cstheme="minorHAnsi"/>
        </w:rPr>
        <w:t xml:space="preserve"> </w:t>
      </w:r>
      <w:r w:rsidR="0070474C">
        <w:rPr>
          <w:rFonts w:cstheme="minorHAnsi"/>
        </w:rPr>
        <w:t xml:space="preserve">through </w:t>
      </w:r>
      <w:r w:rsidR="003D4625">
        <w:rPr>
          <w:rFonts w:cstheme="minorHAnsi"/>
        </w:rPr>
        <w:t>sufficient space and flexibility for either one double bed, or one or two single beds (depending on dimensions), plus storage and associated circulation space</w:t>
      </w:r>
      <w:r>
        <w:rPr>
          <w:rFonts w:cstheme="minorHAnsi"/>
        </w:rPr>
        <w:t xml:space="preserve">.   </w:t>
      </w:r>
      <w:r w:rsidR="005323D4">
        <w:rPr>
          <w:rFonts w:cstheme="minorHAnsi"/>
        </w:rPr>
        <w:t xml:space="preserve">   </w:t>
      </w:r>
      <w:r w:rsidR="005323D4">
        <w:rPr>
          <w:rFonts w:cstheme="minorHAnsi"/>
        </w:rPr>
        <w:tab/>
      </w:r>
    </w:p>
    <w:p w14:paraId="730F6BF1" w14:textId="70B3DC49" w:rsidR="00730F4D" w:rsidRDefault="00485237" w:rsidP="00585695">
      <w:pPr>
        <w:jc w:val="both"/>
        <w:rPr>
          <w:rFonts w:cstheme="minorHAnsi"/>
        </w:rPr>
      </w:pPr>
      <w:r>
        <w:rPr>
          <w:rFonts w:cstheme="minorHAnsi"/>
        </w:rPr>
        <w:t>6.</w:t>
      </w:r>
      <w:r w:rsidR="005249A2">
        <w:rPr>
          <w:rFonts w:cstheme="minorHAnsi"/>
        </w:rPr>
        <w:t>4</w:t>
      </w:r>
      <w:r>
        <w:rPr>
          <w:rFonts w:cstheme="minorHAnsi"/>
        </w:rPr>
        <w:tab/>
        <w:t xml:space="preserve">Considering the type of dwellings sampled in terms of number of bedrooms, </w:t>
      </w:r>
      <w:r w:rsidR="00317DAB">
        <w:rPr>
          <w:rFonts w:cstheme="minorHAnsi"/>
        </w:rPr>
        <w:t>1-bedroom</w:t>
      </w:r>
      <w:r>
        <w:rPr>
          <w:rFonts w:cstheme="minorHAnsi"/>
        </w:rPr>
        <w:t xml:space="preserve"> properties were least likely to meet NDSS, with only </w:t>
      </w:r>
      <w:r w:rsidR="006B0CC0">
        <w:rPr>
          <w:rFonts w:cstheme="minorHAnsi"/>
        </w:rPr>
        <w:t>30</w:t>
      </w:r>
      <w:r>
        <w:rPr>
          <w:rFonts w:cstheme="minorHAnsi"/>
        </w:rPr>
        <w:t>% meeting the criteria measured</w:t>
      </w:r>
      <w:r w:rsidR="009F2B0A">
        <w:rPr>
          <w:rFonts w:cstheme="minorHAnsi"/>
        </w:rPr>
        <w:t xml:space="preserve"> (in terms of GIA and/or bedroom sizes)</w:t>
      </w:r>
      <w:r>
        <w:rPr>
          <w:rFonts w:cstheme="minorHAnsi"/>
        </w:rPr>
        <w:t xml:space="preserve">. </w:t>
      </w:r>
      <w:r w:rsidR="00730F4D">
        <w:rPr>
          <w:rFonts w:cstheme="minorHAnsi"/>
        </w:rPr>
        <w:t xml:space="preserve">The majority of </w:t>
      </w:r>
      <w:r w:rsidR="00317DAB">
        <w:rPr>
          <w:rFonts w:cstheme="minorHAnsi"/>
        </w:rPr>
        <w:t>2-bedroom</w:t>
      </w:r>
      <w:r w:rsidR="00730F4D">
        <w:rPr>
          <w:rFonts w:cstheme="minorHAnsi"/>
        </w:rPr>
        <w:t xml:space="preserve">, </w:t>
      </w:r>
      <w:r w:rsidR="006B0CC0">
        <w:rPr>
          <w:rFonts w:cstheme="minorHAnsi"/>
        </w:rPr>
        <w:t>3</w:t>
      </w:r>
      <w:r w:rsidR="00730F4D">
        <w:rPr>
          <w:rFonts w:cstheme="minorHAnsi"/>
        </w:rPr>
        <w:t xml:space="preserve"> bedroom and </w:t>
      </w:r>
      <w:r w:rsidR="00317DAB">
        <w:rPr>
          <w:rFonts w:cstheme="minorHAnsi"/>
        </w:rPr>
        <w:t>4-bedroom</w:t>
      </w:r>
      <w:r w:rsidR="00730F4D">
        <w:rPr>
          <w:rFonts w:cstheme="minorHAnsi"/>
        </w:rPr>
        <w:t xml:space="preserve"> properties were, however, also unlikely to meet the criteria.</w:t>
      </w:r>
      <w:r w:rsidR="005713F4">
        <w:rPr>
          <w:rFonts w:cstheme="minorHAnsi"/>
        </w:rPr>
        <w:t xml:space="preserve"> </w:t>
      </w:r>
    </w:p>
    <w:p w14:paraId="787EAF6E" w14:textId="3673D004" w:rsidR="00353074" w:rsidRDefault="00353074" w:rsidP="00585695">
      <w:pPr>
        <w:jc w:val="both"/>
        <w:rPr>
          <w:rFonts w:cstheme="minorHAnsi"/>
        </w:rPr>
      </w:pPr>
    </w:p>
    <w:p w14:paraId="2B268D7E" w14:textId="77783F7D" w:rsidR="00AF20C3" w:rsidRDefault="006B0CC0" w:rsidP="00585695">
      <w:pPr>
        <w:jc w:val="center"/>
        <w:rPr>
          <w:rFonts w:cstheme="minorHAnsi"/>
        </w:rPr>
      </w:pPr>
      <w:r>
        <w:rPr>
          <w:noProof/>
        </w:rPr>
        <w:drawing>
          <wp:inline distT="0" distB="0" distL="0" distR="0" wp14:anchorId="5B28934C" wp14:editId="0DB7FB26">
            <wp:extent cx="5731510" cy="1953895"/>
            <wp:effectExtent l="0" t="0" r="2540" b="8255"/>
            <wp:docPr id="7" name="Chart 7" descr="Bar chart showing over 50% of 1, 2, 3 and 4 bedroom dwellings sampled failed to meet NDSS">
              <a:extLst xmlns:a="http://schemas.openxmlformats.org/drawingml/2006/main">
                <a:ext uri="{FF2B5EF4-FFF2-40B4-BE49-F238E27FC236}">
                  <a16:creationId xmlns:a16="http://schemas.microsoft.com/office/drawing/2014/main" id="{7BE86118-F6C7-49A2-9FAB-C6448F239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7530FC" w14:textId="6BED6DA4" w:rsidR="00C13F2D" w:rsidRDefault="00C13F2D" w:rsidP="00C13F2D">
      <w:pPr>
        <w:jc w:val="both"/>
        <w:rPr>
          <w:rFonts w:cstheme="minorHAnsi"/>
        </w:rPr>
      </w:pPr>
      <w:r>
        <w:rPr>
          <w:rFonts w:cstheme="minorHAnsi"/>
        </w:rPr>
        <w:t>6.</w:t>
      </w:r>
      <w:r w:rsidR="005249A2">
        <w:rPr>
          <w:rFonts w:cstheme="minorHAnsi"/>
        </w:rPr>
        <w:t>5</w:t>
      </w:r>
      <w:r>
        <w:rPr>
          <w:rFonts w:cstheme="minorHAnsi"/>
        </w:rPr>
        <w:tab/>
        <w:t xml:space="preserve">Dwellings within large developments were less likely to meet the criteria than those within smaller schemes, with only </w:t>
      </w:r>
      <w:r w:rsidR="00D129DE">
        <w:rPr>
          <w:rFonts w:cstheme="minorHAnsi"/>
        </w:rPr>
        <w:t>32</w:t>
      </w:r>
      <w:r>
        <w:rPr>
          <w:rFonts w:cstheme="minorHAnsi"/>
        </w:rPr>
        <w:t xml:space="preserve">% </w:t>
      </w:r>
      <w:r w:rsidR="00F03774">
        <w:rPr>
          <w:rFonts w:cstheme="minorHAnsi"/>
        </w:rPr>
        <w:t>meeting the NDSS</w:t>
      </w:r>
      <w:r>
        <w:rPr>
          <w:rFonts w:cstheme="minorHAnsi"/>
        </w:rPr>
        <w:t>, compared with 44% and 88% for medium and small schemes respectively. This suggests a policy requiring compliance with NDSS would proportionately impact the developers of larger scheme</w:t>
      </w:r>
      <w:r w:rsidR="006943BC">
        <w:rPr>
          <w:rFonts w:cstheme="minorHAnsi"/>
        </w:rPr>
        <w:t>s</w:t>
      </w:r>
      <w:r>
        <w:rPr>
          <w:rFonts w:cstheme="minorHAnsi"/>
        </w:rPr>
        <w:t xml:space="preserve">, who are </w:t>
      </w:r>
      <w:r w:rsidR="007A4459">
        <w:rPr>
          <w:rFonts w:cstheme="minorHAnsi"/>
        </w:rPr>
        <w:t xml:space="preserve">assessed </w:t>
      </w:r>
      <w:r>
        <w:rPr>
          <w:rFonts w:cstheme="minorHAnsi"/>
        </w:rPr>
        <w:t xml:space="preserve">more likely to work nationally than developers of small and medium schemes. </w:t>
      </w:r>
      <w:r w:rsidR="00CA6741">
        <w:rPr>
          <w:rFonts w:cstheme="minorHAnsi"/>
        </w:rPr>
        <w:t>While this would require some adaption by the large developers/housebuilders, it would be consistent with e</w:t>
      </w:r>
      <w:r>
        <w:rPr>
          <w:rFonts w:cstheme="minorHAnsi"/>
        </w:rPr>
        <w:t>vidence within the Government’s own Housing Standards Review</w:t>
      </w:r>
      <w:r w:rsidR="0077789C">
        <w:rPr>
          <w:rStyle w:val="FootnoteReference"/>
          <w:rFonts w:cstheme="minorHAnsi"/>
        </w:rPr>
        <w:footnoteReference w:id="5"/>
      </w:r>
      <w:r w:rsidR="00CA6741">
        <w:rPr>
          <w:rFonts w:cstheme="minorHAnsi"/>
        </w:rPr>
        <w:t>, which</w:t>
      </w:r>
      <w:r>
        <w:rPr>
          <w:rFonts w:cstheme="minorHAnsi"/>
        </w:rPr>
        <w:t xml:space="preserve"> suggest</w:t>
      </w:r>
      <w:r w:rsidR="007A4459">
        <w:rPr>
          <w:rFonts w:cstheme="minorHAnsi"/>
        </w:rPr>
        <w:t>s</w:t>
      </w:r>
      <w:r>
        <w:rPr>
          <w:rFonts w:cstheme="minorHAnsi"/>
        </w:rPr>
        <w:t xml:space="preserve"> ‘volume developers’ would benefit from ensuring designs meet NDSS as a minimum to avoid the need to re-design</w:t>
      </w:r>
      <w:r w:rsidR="007A4459">
        <w:rPr>
          <w:rFonts w:cstheme="minorHAnsi"/>
        </w:rPr>
        <w:t xml:space="preserve"> and re-check dwelling and bedroom dimensions</w:t>
      </w:r>
      <w:r>
        <w:rPr>
          <w:rFonts w:cstheme="minorHAnsi"/>
        </w:rPr>
        <w:t xml:space="preserve"> in each individual local authority area.</w:t>
      </w:r>
    </w:p>
    <w:p w14:paraId="0063C161" w14:textId="00BA6625" w:rsidR="00353074" w:rsidRDefault="00353074" w:rsidP="00C13F2D">
      <w:pPr>
        <w:jc w:val="both"/>
        <w:rPr>
          <w:rFonts w:cstheme="minorHAnsi"/>
        </w:rPr>
      </w:pPr>
    </w:p>
    <w:p w14:paraId="45A5C16B" w14:textId="33F3DAB4" w:rsidR="00730F4D" w:rsidRDefault="00D129DE" w:rsidP="000B1252">
      <w:pPr>
        <w:jc w:val="center"/>
        <w:rPr>
          <w:rFonts w:cstheme="minorHAnsi"/>
        </w:rPr>
      </w:pPr>
      <w:r>
        <w:rPr>
          <w:noProof/>
        </w:rPr>
        <w:lastRenderedPageBreak/>
        <w:drawing>
          <wp:inline distT="0" distB="0" distL="0" distR="0" wp14:anchorId="2D19E922" wp14:editId="674EE8DC">
            <wp:extent cx="5731510" cy="1948180"/>
            <wp:effectExtent l="0" t="0" r="2540" b="13970"/>
            <wp:docPr id="9" name="Chart 9" descr="Bar chart showing over 50% of dwellings within medium and large scale developments failed to met NDSS">
              <a:extLst xmlns:a="http://schemas.openxmlformats.org/drawingml/2006/main">
                <a:ext uri="{FF2B5EF4-FFF2-40B4-BE49-F238E27FC236}">
                  <a16:creationId xmlns:a16="http://schemas.microsoft.com/office/drawing/2014/main" id="{A5F24539-4433-4E24-ADD1-ACA0E12F2C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A84751" w14:textId="62480BDA" w:rsidR="002F173C" w:rsidRDefault="002F173C" w:rsidP="005249A2">
      <w:pPr>
        <w:jc w:val="both"/>
        <w:rPr>
          <w:rFonts w:cstheme="minorHAnsi"/>
        </w:rPr>
      </w:pPr>
      <w:r>
        <w:rPr>
          <w:rFonts w:cstheme="minorHAnsi"/>
        </w:rPr>
        <w:t>6.</w:t>
      </w:r>
      <w:r w:rsidR="005249A2">
        <w:rPr>
          <w:rFonts w:cstheme="minorHAnsi"/>
        </w:rPr>
        <w:t>6</w:t>
      </w:r>
      <w:r>
        <w:rPr>
          <w:rFonts w:cstheme="minorHAnsi"/>
        </w:rPr>
        <w:tab/>
      </w:r>
      <w:r w:rsidR="00D129DE">
        <w:rPr>
          <w:rFonts w:cstheme="minorHAnsi"/>
        </w:rPr>
        <w:t>48</w:t>
      </w:r>
      <w:r>
        <w:rPr>
          <w:rFonts w:cstheme="minorHAnsi"/>
        </w:rPr>
        <w:t>% of sampled dwellings categorised as affordable (</w:t>
      </w:r>
      <w:r w:rsidR="00D129DE">
        <w:rPr>
          <w:rFonts w:cstheme="minorHAnsi"/>
        </w:rPr>
        <w:t>155</w:t>
      </w:r>
      <w:r>
        <w:rPr>
          <w:rFonts w:cstheme="minorHAnsi"/>
        </w:rPr>
        <w:t xml:space="preserve"> of a total of </w:t>
      </w:r>
      <w:r w:rsidR="00D129DE">
        <w:rPr>
          <w:rFonts w:cstheme="minorHAnsi"/>
        </w:rPr>
        <w:t>321</w:t>
      </w:r>
      <w:r>
        <w:rPr>
          <w:rFonts w:cstheme="minorHAnsi"/>
        </w:rPr>
        <w:t xml:space="preserve">) met the NDSS criteria, in comparison with only </w:t>
      </w:r>
      <w:r w:rsidR="00D129DE">
        <w:rPr>
          <w:rFonts w:cstheme="minorHAnsi"/>
        </w:rPr>
        <w:t>29</w:t>
      </w:r>
      <w:r>
        <w:rPr>
          <w:rFonts w:cstheme="minorHAnsi"/>
        </w:rPr>
        <w:t>% of the market dwellings (</w:t>
      </w:r>
      <w:r w:rsidR="00D129DE">
        <w:rPr>
          <w:rFonts w:cstheme="minorHAnsi"/>
        </w:rPr>
        <w:t>228</w:t>
      </w:r>
      <w:r>
        <w:rPr>
          <w:rFonts w:cstheme="minorHAnsi"/>
        </w:rPr>
        <w:t xml:space="preserve"> of </w:t>
      </w:r>
      <w:r w:rsidR="00D129DE">
        <w:rPr>
          <w:rFonts w:cstheme="minorHAnsi"/>
        </w:rPr>
        <w:t>789</w:t>
      </w:r>
      <w:r>
        <w:rPr>
          <w:rFonts w:cstheme="minorHAnsi"/>
        </w:rPr>
        <w:t>). Th</w:t>
      </w:r>
      <w:r w:rsidR="00977A00">
        <w:rPr>
          <w:rFonts w:cstheme="minorHAnsi"/>
        </w:rPr>
        <w:t>is</w:t>
      </w:r>
      <w:r>
        <w:rPr>
          <w:rFonts w:cstheme="minorHAnsi"/>
        </w:rPr>
        <w:t xml:space="preserve"> disparity </w:t>
      </w:r>
      <w:r w:rsidR="00C73387">
        <w:rPr>
          <w:rFonts w:cstheme="minorHAnsi"/>
        </w:rPr>
        <w:t>may be</w:t>
      </w:r>
      <w:r w:rsidR="00DF2CE3">
        <w:rPr>
          <w:rFonts w:cstheme="minorHAnsi"/>
        </w:rPr>
        <w:t xml:space="preserve"> </w:t>
      </w:r>
      <w:r>
        <w:rPr>
          <w:rFonts w:cstheme="minorHAnsi"/>
        </w:rPr>
        <w:t>due to permissions for affordable dwelling</w:t>
      </w:r>
      <w:r w:rsidR="00977A00">
        <w:rPr>
          <w:rFonts w:cstheme="minorHAnsi"/>
        </w:rPr>
        <w:t>s</w:t>
      </w:r>
      <w:r>
        <w:rPr>
          <w:rFonts w:cstheme="minorHAnsi"/>
        </w:rPr>
        <w:t xml:space="preserve"> being considered in term</w:t>
      </w:r>
      <w:r w:rsidR="007335B5">
        <w:rPr>
          <w:rFonts w:cstheme="minorHAnsi"/>
        </w:rPr>
        <w:t>s</w:t>
      </w:r>
      <w:r>
        <w:rPr>
          <w:rFonts w:cstheme="minorHAnsi"/>
        </w:rPr>
        <w:t xml:space="preserve"> of </w:t>
      </w:r>
      <w:r w:rsidR="00977A00">
        <w:rPr>
          <w:rFonts w:cstheme="minorHAnsi"/>
        </w:rPr>
        <w:t xml:space="preserve">their </w:t>
      </w:r>
      <w:r>
        <w:rPr>
          <w:rFonts w:cstheme="minorHAnsi"/>
        </w:rPr>
        <w:t>compliance with the CDC Planning Obligations and Affordable Housing Supplementary Planning Document</w:t>
      </w:r>
      <w:r w:rsidR="00DF2CE3">
        <w:rPr>
          <w:rFonts w:cstheme="minorHAnsi"/>
        </w:rPr>
        <w:t xml:space="preserve"> (July 2016)</w:t>
      </w:r>
      <w:r>
        <w:rPr>
          <w:rFonts w:cstheme="minorHAnsi"/>
        </w:rPr>
        <w:t xml:space="preserve">, which </w:t>
      </w:r>
      <w:r w:rsidR="00C67A40">
        <w:rPr>
          <w:rFonts w:cstheme="minorHAnsi"/>
        </w:rPr>
        <w:t>requires units to be designed to</w:t>
      </w:r>
      <w:r w:rsidR="00977A00">
        <w:rPr>
          <w:rFonts w:cstheme="minorHAnsi"/>
        </w:rPr>
        <w:t xml:space="preserve"> meet or exceed the Design and Quality Standards of the Homes and Communities Agency, including </w:t>
      </w:r>
      <w:r w:rsidR="00AD425B">
        <w:rPr>
          <w:rFonts w:cstheme="minorHAnsi"/>
        </w:rPr>
        <w:t xml:space="preserve">minimum </w:t>
      </w:r>
      <w:r w:rsidR="007335B5">
        <w:rPr>
          <w:rFonts w:cstheme="minorHAnsi"/>
        </w:rPr>
        <w:t xml:space="preserve">GIAs in accordance with </w:t>
      </w:r>
      <w:r w:rsidR="00977A00">
        <w:rPr>
          <w:rFonts w:cstheme="minorHAnsi"/>
        </w:rPr>
        <w:t>Housing Quality Indicators</w:t>
      </w:r>
      <w:r w:rsidR="007335B5">
        <w:rPr>
          <w:rFonts w:cstheme="minorHAnsi"/>
        </w:rPr>
        <w:t xml:space="preserve"> (HQI). Both the Design and Quality Standards and the HQI</w:t>
      </w:r>
      <w:r w:rsidR="00AD425B">
        <w:rPr>
          <w:rFonts w:cstheme="minorHAnsi"/>
        </w:rPr>
        <w:t xml:space="preserve"> </w:t>
      </w:r>
      <w:r w:rsidR="007335B5">
        <w:rPr>
          <w:rFonts w:cstheme="minorHAnsi"/>
        </w:rPr>
        <w:t>have since been withdrawn</w:t>
      </w:r>
      <w:r w:rsidR="00AD425B">
        <w:rPr>
          <w:rFonts w:cstheme="minorHAnsi"/>
        </w:rPr>
        <w:t xml:space="preserve"> (in October 2019 and March 2023 respectively)</w:t>
      </w:r>
      <w:r w:rsidR="007335B5">
        <w:rPr>
          <w:rFonts w:cstheme="minorHAnsi"/>
        </w:rPr>
        <w:t>. Homes England</w:t>
      </w:r>
      <w:r w:rsidR="00AD425B">
        <w:rPr>
          <w:rFonts w:cstheme="minorHAnsi"/>
        </w:rPr>
        <w:t xml:space="preserve"> (replacing the Home and Communities Agency)</w:t>
      </w:r>
      <w:r w:rsidR="007335B5">
        <w:rPr>
          <w:rFonts w:cstheme="minorHAnsi"/>
        </w:rPr>
        <w:t xml:space="preserve"> </w:t>
      </w:r>
      <w:r w:rsidR="00DF2CE3">
        <w:rPr>
          <w:rFonts w:cstheme="minorHAnsi"/>
        </w:rPr>
        <w:t xml:space="preserve">has </w:t>
      </w:r>
      <w:r w:rsidR="007335B5">
        <w:rPr>
          <w:rFonts w:cstheme="minorHAnsi"/>
        </w:rPr>
        <w:t xml:space="preserve">not set </w:t>
      </w:r>
      <w:r w:rsidR="00DF2CE3">
        <w:rPr>
          <w:rFonts w:cstheme="minorHAnsi"/>
        </w:rPr>
        <w:t xml:space="preserve">replacement </w:t>
      </w:r>
      <w:r w:rsidR="007335B5">
        <w:rPr>
          <w:rFonts w:cstheme="minorHAnsi"/>
        </w:rPr>
        <w:t>mandatory minimum size</w:t>
      </w:r>
      <w:r w:rsidR="00AD425B">
        <w:rPr>
          <w:rFonts w:cstheme="minorHAnsi"/>
        </w:rPr>
        <w:t xml:space="preserve"> standards, </w:t>
      </w:r>
      <w:r w:rsidR="007335B5">
        <w:rPr>
          <w:rFonts w:cstheme="minorHAnsi"/>
        </w:rPr>
        <w:t>refer</w:t>
      </w:r>
      <w:r w:rsidR="00DF2CE3">
        <w:rPr>
          <w:rFonts w:cstheme="minorHAnsi"/>
        </w:rPr>
        <w:t>r</w:t>
      </w:r>
      <w:r w:rsidR="00AD425B">
        <w:rPr>
          <w:rFonts w:cstheme="minorHAnsi"/>
        </w:rPr>
        <w:t xml:space="preserve">ing </w:t>
      </w:r>
      <w:r w:rsidR="007335B5">
        <w:rPr>
          <w:rFonts w:cstheme="minorHAnsi"/>
        </w:rPr>
        <w:t>to LPA use of NDSS</w:t>
      </w:r>
      <w:r w:rsidR="00AD425B">
        <w:rPr>
          <w:rFonts w:cstheme="minorHAnsi"/>
        </w:rPr>
        <w:t xml:space="preserve"> as a planning consideration as an alternative</w:t>
      </w:r>
      <w:r w:rsidR="00DF2CE3">
        <w:rPr>
          <w:rStyle w:val="FootnoteReference"/>
          <w:rFonts w:cstheme="minorHAnsi"/>
        </w:rPr>
        <w:footnoteReference w:id="6"/>
      </w:r>
      <w:r w:rsidR="00AD425B">
        <w:rPr>
          <w:rFonts w:cstheme="minorHAnsi"/>
        </w:rPr>
        <w:t xml:space="preserve">. </w:t>
      </w:r>
      <w:r w:rsidR="007335B5">
        <w:rPr>
          <w:rFonts w:cstheme="minorHAnsi"/>
        </w:rPr>
        <w:t xml:space="preserve"> </w:t>
      </w:r>
    </w:p>
    <w:p w14:paraId="17BB59AB" w14:textId="4E4CA4B0" w:rsidR="00DF2CE3" w:rsidRDefault="00DF2CE3" w:rsidP="005249A2">
      <w:pPr>
        <w:jc w:val="both"/>
        <w:rPr>
          <w:rFonts w:cstheme="minorHAnsi"/>
        </w:rPr>
      </w:pPr>
      <w:r>
        <w:rPr>
          <w:rFonts w:cstheme="minorHAnsi"/>
        </w:rPr>
        <w:t>6.</w:t>
      </w:r>
      <w:r w:rsidR="005249A2">
        <w:rPr>
          <w:rFonts w:cstheme="minorHAnsi"/>
        </w:rPr>
        <w:t>7</w:t>
      </w:r>
      <w:r>
        <w:rPr>
          <w:rFonts w:cstheme="minorHAnsi"/>
        </w:rPr>
        <w:tab/>
        <w:t xml:space="preserve"> The proposed submission Local Plan policy to require compliance with NDSS, for both market as well as affordable housing, </w:t>
      </w:r>
      <w:r w:rsidR="00D82A87">
        <w:rPr>
          <w:rFonts w:cstheme="minorHAnsi"/>
        </w:rPr>
        <w:t xml:space="preserve">is therefore anticipated to ensure minimum space standards are met for all tenures, </w:t>
      </w:r>
      <w:r w:rsidR="00344B0D">
        <w:rPr>
          <w:rFonts w:cstheme="minorHAnsi"/>
        </w:rPr>
        <w:t>a betterment and</w:t>
      </w:r>
      <w:r w:rsidR="00D82A87">
        <w:rPr>
          <w:rFonts w:cstheme="minorHAnsi"/>
        </w:rPr>
        <w:t xml:space="preserve"> broadening</w:t>
      </w:r>
      <w:r w:rsidR="00344B0D">
        <w:rPr>
          <w:rFonts w:cstheme="minorHAnsi"/>
        </w:rPr>
        <w:t xml:space="preserve"> of</w:t>
      </w:r>
      <w:r w:rsidR="00D82A87">
        <w:rPr>
          <w:rFonts w:cstheme="minorHAnsi"/>
        </w:rPr>
        <w:t xml:space="preserve"> the </w:t>
      </w:r>
      <w:r w:rsidR="00344B0D">
        <w:rPr>
          <w:rFonts w:cstheme="minorHAnsi"/>
        </w:rPr>
        <w:t>standards required within</w:t>
      </w:r>
      <w:r w:rsidR="00D82A87">
        <w:rPr>
          <w:rFonts w:cstheme="minorHAnsi"/>
        </w:rPr>
        <w:t xml:space="preserve"> the existing SPD</w:t>
      </w:r>
      <w:r w:rsidR="005C4F42">
        <w:rPr>
          <w:rFonts w:cstheme="minorHAnsi"/>
        </w:rPr>
        <w:t>, demonstrated to be only partially effective</w:t>
      </w:r>
      <w:r w:rsidR="00D82A87">
        <w:rPr>
          <w:rFonts w:cstheme="minorHAnsi"/>
        </w:rPr>
        <w:t xml:space="preserve">.  </w:t>
      </w:r>
    </w:p>
    <w:p w14:paraId="222F62FF" w14:textId="72EFF2CD" w:rsidR="00C73387" w:rsidRDefault="00C73387" w:rsidP="008D2F7D">
      <w:pPr>
        <w:jc w:val="center"/>
        <w:rPr>
          <w:rFonts w:cstheme="minorHAnsi"/>
        </w:rPr>
      </w:pPr>
    </w:p>
    <w:p w14:paraId="3C347D4B" w14:textId="052228A1" w:rsidR="002F173C" w:rsidRDefault="00CB130D" w:rsidP="00585695">
      <w:pPr>
        <w:jc w:val="both"/>
        <w:rPr>
          <w:rFonts w:cstheme="minorHAnsi"/>
        </w:rPr>
      </w:pPr>
      <w:r>
        <w:rPr>
          <w:rFonts w:cstheme="minorHAnsi"/>
        </w:rPr>
        <w:tab/>
      </w:r>
      <w:r w:rsidR="005C4F42">
        <w:rPr>
          <w:noProof/>
        </w:rPr>
        <w:drawing>
          <wp:inline distT="0" distB="0" distL="0" distR="0" wp14:anchorId="0A7D4C75" wp14:editId="1680638F">
            <wp:extent cx="4572000" cy="2743200"/>
            <wp:effectExtent l="0" t="0" r="0" b="0"/>
            <wp:docPr id="10" name="Chart 10" descr="Bar chart showing relative proportions of market and affordable dwelling tenures meeting NDSS, with relative proportion of market dwellings failing NDSS greater than for affordable dwellings.">
              <a:extLst xmlns:a="http://schemas.openxmlformats.org/drawingml/2006/main">
                <a:ext uri="{FF2B5EF4-FFF2-40B4-BE49-F238E27FC236}">
                  <a16:creationId xmlns:a16="http://schemas.microsoft.com/office/drawing/2014/main" id="{646AC67B-9CE6-4851-9AD5-03304F140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8DD1D6" w14:textId="372C7C67" w:rsidR="00113B3A" w:rsidRDefault="00D82A87" w:rsidP="00585695">
      <w:pPr>
        <w:jc w:val="both"/>
        <w:rPr>
          <w:rFonts w:cstheme="minorHAnsi"/>
        </w:rPr>
      </w:pPr>
      <w:r>
        <w:rPr>
          <w:rFonts w:cstheme="minorHAnsi"/>
        </w:rPr>
        <w:lastRenderedPageBreak/>
        <w:t>6.</w:t>
      </w:r>
      <w:r w:rsidR="005249A2">
        <w:rPr>
          <w:rFonts w:cstheme="minorHAnsi"/>
        </w:rPr>
        <w:t>8</w:t>
      </w:r>
      <w:r>
        <w:rPr>
          <w:rFonts w:cstheme="minorHAnsi"/>
        </w:rPr>
        <w:tab/>
      </w:r>
      <w:r w:rsidR="00CB130D">
        <w:rPr>
          <w:rFonts w:cstheme="minorHAnsi"/>
        </w:rPr>
        <w:t>Considering bedroom trends in more detail</w:t>
      </w:r>
      <w:r w:rsidR="005177BB">
        <w:rPr>
          <w:rFonts w:cstheme="minorHAnsi"/>
        </w:rPr>
        <w:t>, for those dwellings failing the NDSS bedroom size criteria, the majority</w:t>
      </w:r>
      <w:r w:rsidR="00DC0C7B">
        <w:rPr>
          <w:rFonts w:cstheme="minorHAnsi"/>
        </w:rPr>
        <w:t xml:space="preserve"> (</w:t>
      </w:r>
      <w:r w:rsidR="00344B0D">
        <w:rPr>
          <w:rFonts w:cstheme="minorHAnsi"/>
        </w:rPr>
        <w:t>64</w:t>
      </w:r>
      <w:r w:rsidR="00DC0C7B">
        <w:rPr>
          <w:rFonts w:cstheme="minorHAnsi"/>
        </w:rPr>
        <w:t xml:space="preserve">%) </w:t>
      </w:r>
      <w:r w:rsidR="005177BB">
        <w:rPr>
          <w:rFonts w:cstheme="minorHAnsi"/>
        </w:rPr>
        <w:t xml:space="preserve">failed with regards to secondary bedrooms in comparison with primary or </w:t>
      </w:r>
      <w:r w:rsidR="00BE07AC">
        <w:rPr>
          <w:rFonts w:cstheme="minorHAnsi"/>
        </w:rPr>
        <w:t>sole</w:t>
      </w:r>
      <w:r w:rsidR="005177BB">
        <w:rPr>
          <w:rFonts w:cstheme="minorHAnsi"/>
        </w:rPr>
        <w:t xml:space="preserve"> bedrooms. This result suggests </w:t>
      </w:r>
      <w:r w:rsidR="005713F4">
        <w:rPr>
          <w:rFonts w:cstheme="minorHAnsi"/>
        </w:rPr>
        <w:t xml:space="preserve">developer </w:t>
      </w:r>
      <w:r w:rsidR="005177BB">
        <w:rPr>
          <w:rFonts w:cstheme="minorHAnsi"/>
        </w:rPr>
        <w:t xml:space="preserve">prioritisation of main bedrooms with regards to space, </w:t>
      </w:r>
      <w:r w:rsidR="000A3012">
        <w:rPr>
          <w:rFonts w:cstheme="minorHAnsi"/>
        </w:rPr>
        <w:t xml:space="preserve">but </w:t>
      </w:r>
      <w:r w:rsidR="00BE07AC">
        <w:rPr>
          <w:rFonts w:cstheme="minorHAnsi"/>
        </w:rPr>
        <w:t xml:space="preserve">that </w:t>
      </w:r>
      <w:r w:rsidR="003C0671">
        <w:rPr>
          <w:rFonts w:cstheme="minorHAnsi"/>
        </w:rPr>
        <w:t xml:space="preserve">new </w:t>
      </w:r>
      <w:r w:rsidR="000A3012">
        <w:rPr>
          <w:rFonts w:cstheme="minorHAnsi"/>
        </w:rPr>
        <w:t xml:space="preserve">dwellings </w:t>
      </w:r>
      <w:r w:rsidR="003C0671">
        <w:rPr>
          <w:rFonts w:cstheme="minorHAnsi"/>
        </w:rPr>
        <w:t>are consistently</w:t>
      </w:r>
      <w:r w:rsidR="000A3012">
        <w:rPr>
          <w:rFonts w:cstheme="minorHAnsi"/>
        </w:rPr>
        <w:t xml:space="preserve"> providing insufficient bedroom space for the total number of occupants stated within planning submissions i.e. a </w:t>
      </w:r>
      <w:r w:rsidR="00317DAB">
        <w:rPr>
          <w:rFonts w:cstheme="minorHAnsi"/>
        </w:rPr>
        <w:t>2-bedroom</w:t>
      </w:r>
      <w:r w:rsidR="00DC0C7B">
        <w:rPr>
          <w:rFonts w:cstheme="minorHAnsi"/>
        </w:rPr>
        <w:t>, 4</w:t>
      </w:r>
      <w:r w:rsidR="00317DAB">
        <w:rPr>
          <w:rFonts w:cstheme="minorHAnsi"/>
        </w:rPr>
        <w:t>-</w:t>
      </w:r>
      <w:r w:rsidR="00DC0C7B">
        <w:rPr>
          <w:rFonts w:cstheme="minorHAnsi"/>
        </w:rPr>
        <w:t>person dwelling only providing sufficient space for 3 persons.</w:t>
      </w:r>
    </w:p>
    <w:p w14:paraId="1B69DC25" w14:textId="172A3EA6" w:rsidR="00344B0D" w:rsidRDefault="00344B0D" w:rsidP="008D2F7D">
      <w:pPr>
        <w:jc w:val="center"/>
        <w:rPr>
          <w:rFonts w:cstheme="minorHAnsi"/>
        </w:rPr>
      </w:pPr>
    </w:p>
    <w:p w14:paraId="049A343D" w14:textId="30141D7C" w:rsidR="00113B3A" w:rsidRDefault="005C4F42" w:rsidP="00585695">
      <w:pPr>
        <w:jc w:val="center"/>
        <w:rPr>
          <w:rFonts w:cstheme="minorHAnsi"/>
        </w:rPr>
      </w:pPr>
      <w:r>
        <w:rPr>
          <w:noProof/>
        </w:rPr>
        <w:drawing>
          <wp:inline distT="0" distB="0" distL="0" distR="0" wp14:anchorId="0EBBF26B" wp14:editId="69ED97C4">
            <wp:extent cx="4572000" cy="2743200"/>
            <wp:effectExtent l="0" t="0" r="0" b="0"/>
            <wp:docPr id="12" name="Chart 12" descr="Pie chart showing 64% of dwelling that failed to meet NDSS was on the basis of secondary bedroom sizes. ">
              <a:extLst xmlns:a="http://schemas.openxmlformats.org/drawingml/2006/main">
                <a:ext uri="{FF2B5EF4-FFF2-40B4-BE49-F238E27FC236}">
                  <a16:creationId xmlns:a16="http://schemas.microsoft.com/office/drawing/2014/main" id="{8F07BFDA-DE5E-41DE-8176-4A51315DE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BDE53F" w14:textId="2F291692" w:rsidR="00EC40EB" w:rsidRDefault="00585695" w:rsidP="00585695">
      <w:pPr>
        <w:jc w:val="both"/>
        <w:rPr>
          <w:rFonts w:cstheme="minorHAnsi"/>
          <w:b/>
          <w:bCs/>
        </w:rPr>
      </w:pPr>
      <w:r>
        <w:rPr>
          <w:rFonts w:cstheme="minorHAnsi"/>
          <w:b/>
          <w:bCs/>
        </w:rPr>
        <w:t>7</w:t>
      </w:r>
      <w:r w:rsidR="00EC40EB">
        <w:rPr>
          <w:rFonts w:cstheme="minorHAnsi"/>
          <w:b/>
          <w:bCs/>
        </w:rPr>
        <w:t>.</w:t>
      </w:r>
      <w:r w:rsidR="00EC40EB">
        <w:rPr>
          <w:rFonts w:cstheme="minorHAnsi"/>
          <w:b/>
          <w:bCs/>
        </w:rPr>
        <w:tab/>
      </w:r>
      <w:r w:rsidR="00EC40EB" w:rsidRPr="00EC40EB">
        <w:rPr>
          <w:rFonts w:cstheme="minorHAnsi"/>
          <w:b/>
          <w:bCs/>
        </w:rPr>
        <w:t>Viability</w:t>
      </w:r>
    </w:p>
    <w:p w14:paraId="0F5F930C" w14:textId="375BF9CE" w:rsidR="005C4F42" w:rsidRDefault="00585695" w:rsidP="00585695">
      <w:pPr>
        <w:jc w:val="both"/>
        <w:rPr>
          <w:rFonts w:cstheme="minorHAnsi"/>
        </w:rPr>
      </w:pPr>
      <w:r>
        <w:rPr>
          <w:rFonts w:cstheme="minorHAnsi"/>
        </w:rPr>
        <w:t>7</w:t>
      </w:r>
      <w:r w:rsidR="001E5B90">
        <w:rPr>
          <w:rFonts w:cstheme="minorHAnsi"/>
        </w:rPr>
        <w:t>.1</w:t>
      </w:r>
      <w:r w:rsidR="001E5B90">
        <w:rPr>
          <w:rFonts w:cstheme="minorHAnsi"/>
        </w:rPr>
        <w:tab/>
      </w:r>
      <w:r w:rsidR="00736E79">
        <w:rPr>
          <w:rFonts w:cstheme="minorHAnsi"/>
        </w:rPr>
        <w:t xml:space="preserve">The impact of NDSS compliance on housing supply and affordability has been robustly considered. </w:t>
      </w:r>
      <w:r w:rsidR="00D24F6A">
        <w:rPr>
          <w:rFonts w:cstheme="minorHAnsi"/>
        </w:rPr>
        <w:t>The Local Plan Viability Assessment Stage</w:t>
      </w:r>
      <w:r w:rsidR="00D63078">
        <w:rPr>
          <w:rFonts w:cstheme="minorHAnsi"/>
        </w:rPr>
        <w:t>s</w:t>
      </w:r>
      <w:r w:rsidR="00D24F6A">
        <w:rPr>
          <w:rFonts w:cstheme="minorHAnsi"/>
        </w:rPr>
        <w:t xml:space="preserve"> 1 </w:t>
      </w:r>
      <w:r w:rsidR="00D63078">
        <w:rPr>
          <w:rFonts w:cstheme="minorHAnsi"/>
        </w:rPr>
        <w:t>and 2</w:t>
      </w:r>
      <w:r w:rsidR="00EA190F">
        <w:rPr>
          <w:rFonts w:cstheme="minorHAnsi"/>
        </w:rPr>
        <w:t>,</w:t>
      </w:r>
      <w:r w:rsidR="00D24F6A">
        <w:rPr>
          <w:rFonts w:cstheme="minorHAnsi"/>
        </w:rPr>
        <w:t xml:space="preserve"> assumed minimum dwelling sizes </w:t>
      </w:r>
      <w:r w:rsidR="00EA190F">
        <w:rPr>
          <w:rFonts w:cstheme="minorHAnsi"/>
        </w:rPr>
        <w:t>considered in terms of</w:t>
      </w:r>
      <w:r w:rsidR="00D24F6A">
        <w:rPr>
          <w:rFonts w:cstheme="minorHAnsi"/>
        </w:rPr>
        <w:t xml:space="preserve"> GIA, consistent with the NDSS requirements. </w:t>
      </w:r>
      <w:r w:rsidR="001E5B90">
        <w:rPr>
          <w:rFonts w:cstheme="minorHAnsi"/>
        </w:rPr>
        <w:t xml:space="preserve">The findings </w:t>
      </w:r>
      <w:r w:rsidR="00736E79">
        <w:rPr>
          <w:rFonts w:cstheme="minorHAnsi"/>
        </w:rPr>
        <w:t xml:space="preserve">of </w:t>
      </w:r>
      <w:r w:rsidR="001E5B90">
        <w:rPr>
          <w:rFonts w:cstheme="minorHAnsi"/>
        </w:rPr>
        <w:t>the</w:t>
      </w:r>
      <w:r w:rsidR="00D63078">
        <w:rPr>
          <w:rFonts w:cstheme="minorHAnsi"/>
        </w:rPr>
        <w:t xml:space="preserve"> Stage 1</w:t>
      </w:r>
      <w:r w:rsidR="001E5B90">
        <w:rPr>
          <w:rFonts w:cstheme="minorHAnsi"/>
        </w:rPr>
        <w:t xml:space="preserve"> assessment were that appropriate dwelling sizes ha</w:t>
      </w:r>
      <w:r w:rsidR="002B613D">
        <w:rPr>
          <w:rFonts w:cstheme="minorHAnsi"/>
        </w:rPr>
        <w:t>d</w:t>
      </w:r>
      <w:r w:rsidR="001E5B90">
        <w:rPr>
          <w:rFonts w:cstheme="minorHAnsi"/>
        </w:rPr>
        <w:t xml:space="preserve"> been allowed and the approach to require NDSS compliance </w:t>
      </w:r>
      <w:r w:rsidR="00736E79">
        <w:rPr>
          <w:rFonts w:cstheme="minorHAnsi"/>
        </w:rPr>
        <w:t>was</w:t>
      </w:r>
      <w:r w:rsidR="001E5B90">
        <w:rPr>
          <w:rFonts w:cstheme="minorHAnsi"/>
        </w:rPr>
        <w:t xml:space="preserve"> considered viable, representing more of an early-stage planning and feasibility factor than a significant, clear negative viability impact. </w:t>
      </w:r>
    </w:p>
    <w:p w14:paraId="3B6C2578" w14:textId="37B04A5D" w:rsidR="002D5943" w:rsidRPr="00D24F6A" w:rsidRDefault="002D5943" w:rsidP="00585695">
      <w:pPr>
        <w:jc w:val="both"/>
        <w:rPr>
          <w:rFonts w:cstheme="minorHAnsi"/>
        </w:rPr>
      </w:pPr>
      <w:r>
        <w:rPr>
          <w:rFonts w:cstheme="minorHAnsi"/>
        </w:rPr>
        <w:t>7.2</w:t>
      </w:r>
      <w:r>
        <w:rPr>
          <w:rFonts w:cstheme="minorHAnsi"/>
        </w:rPr>
        <w:tab/>
        <w:t xml:space="preserve">The Viability Assessment </w:t>
      </w:r>
      <w:r w:rsidR="00673316">
        <w:rPr>
          <w:rFonts w:cstheme="minorHAnsi"/>
        </w:rPr>
        <w:t>is supported by</w:t>
      </w:r>
      <w:r>
        <w:rPr>
          <w:rFonts w:cstheme="minorHAnsi"/>
        </w:rPr>
        <w:t xml:space="preserve"> the evidence within this analysis that</w:t>
      </w:r>
      <w:r w:rsidR="00173669">
        <w:rPr>
          <w:rFonts w:cstheme="minorHAnsi"/>
        </w:rPr>
        <w:t xml:space="preserve"> demonstrates the majority (6</w:t>
      </w:r>
      <w:r w:rsidR="005C4F42">
        <w:rPr>
          <w:rFonts w:cstheme="minorHAnsi"/>
        </w:rPr>
        <w:t>5</w:t>
      </w:r>
      <w:r w:rsidR="00173669">
        <w:rPr>
          <w:rFonts w:cstheme="minorHAnsi"/>
        </w:rPr>
        <w:t xml:space="preserve">%) of sampled dwellings comply with NDSS GIA criteria, </w:t>
      </w:r>
      <w:r>
        <w:rPr>
          <w:rFonts w:cstheme="minorHAnsi"/>
        </w:rPr>
        <w:t>suggest</w:t>
      </w:r>
      <w:r w:rsidR="00173669">
        <w:rPr>
          <w:rFonts w:cstheme="minorHAnsi"/>
        </w:rPr>
        <w:t>ing</w:t>
      </w:r>
      <w:r w:rsidR="005C4F42">
        <w:rPr>
          <w:rFonts w:cstheme="minorHAnsi"/>
        </w:rPr>
        <w:t xml:space="preserve"> </w:t>
      </w:r>
      <w:r w:rsidR="006E063A">
        <w:rPr>
          <w:rFonts w:cstheme="minorHAnsi"/>
        </w:rPr>
        <w:t>the proposed</w:t>
      </w:r>
      <w:r>
        <w:rPr>
          <w:rFonts w:cstheme="minorHAnsi"/>
        </w:rPr>
        <w:t xml:space="preserve"> </w:t>
      </w:r>
      <w:r w:rsidR="00173669">
        <w:rPr>
          <w:rFonts w:cstheme="minorHAnsi"/>
        </w:rPr>
        <w:t>adoption of</w:t>
      </w:r>
      <w:r>
        <w:rPr>
          <w:rFonts w:cstheme="minorHAnsi"/>
        </w:rPr>
        <w:t xml:space="preserve"> NDSS will not prompt developers to increase GIAs and therefore the overall footprints of dwellings in the majority of cases. It follows that housing density within developments will</w:t>
      </w:r>
      <w:r w:rsidR="00673316">
        <w:rPr>
          <w:rFonts w:cstheme="minorHAnsi"/>
        </w:rPr>
        <w:t xml:space="preserve"> be less likely</w:t>
      </w:r>
      <w:r>
        <w:rPr>
          <w:rFonts w:cstheme="minorHAnsi"/>
        </w:rPr>
        <w:t xml:space="preserve"> affected as a consequence, </w:t>
      </w:r>
      <w:r w:rsidR="00673316">
        <w:rPr>
          <w:rFonts w:cstheme="minorHAnsi"/>
        </w:rPr>
        <w:t>minimising</w:t>
      </w:r>
      <w:r>
        <w:rPr>
          <w:rFonts w:cstheme="minorHAnsi"/>
        </w:rPr>
        <w:t xml:space="preserve"> possible impacts on housing supply.</w:t>
      </w:r>
      <w:r w:rsidR="00094125" w:rsidRPr="00094125">
        <w:rPr>
          <w:rFonts w:cstheme="minorHAnsi"/>
        </w:rPr>
        <w:t xml:space="preserve"> </w:t>
      </w:r>
      <w:r w:rsidR="00094125">
        <w:rPr>
          <w:rFonts w:cstheme="minorHAnsi"/>
        </w:rPr>
        <w:t xml:space="preserve">In view of its strategic nature, the Viability Assessment did not consider the specifics of how overall GIA is apportioned within a dwelling. It is assumed that any internal design improvements necessary to ensure compliance with NDSS bedroom size criteria are unlikely to have a significant viability impact. While developers may incur costs associated with altering designs, it is suggested there is </w:t>
      </w:r>
      <w:r w:rsidR="00673316">
        <w:rPr>
          <w:rFonts w:cstheme="minorHAnsi"/>
        </w:rPr>
        <w:t xml:space="preserve">opportunity for </w:t>
      </w:r>
      <w:r w:rsidR="002716A0">
        <w:rPr>
          <w:rFonts w:cstheme="minorHAnsi"/>
        </w:rPr>
        <w:t xml:space="preserve">the </w:t>
      </w:r>
      <w:r w:rsidR="00673316">
        <w:rPr>
          <w:rFonts w:cstheme="minorHAnsi"/>
        </w:rPr>
        <w:t>‘volume developers’</w:t>
      </w:r>
      <w:r w:rsidR="002716A0">
        <w:rPr>
          <w:rFonts w:cstheme="minorHAnsi"/>
        </w:rPr>
        <w:t xml:space="preserve"> most likely affected</w:t>
      </w:r>
      <w:r w:rsidR="00673316">
        <w:rPr>
          <w:rFonts w:cstheme="minorHAnsi"/>
        </w:rPr>
        <w:t xml:space="preserve"> to apply improvements from re-design to schemes within other authorities which require NDSS</w:t>
      </w:r>
      <w:r w:rsidR="002716A0">
        <w:rPr>
          <w:rFonts w:cstheme="minorHAnsi"/>
        </w:rPr>
        <w:t>, as previously referenced within para. 6.4</w:t>
      </w:r>
      <w:r w:rsidR="00673316">
        <w:rPr>
          <w:rFonts w:cstheme="minorHAnsi"/>
        </w:rPr>
        <w:t xml:space="preserve">.    </w:t>
      </w:r>
      <w:r>
        <w:rPr>
          <w:rFonts w:cstheme="minorHAnsi"/>
        </w:rPr>
        <w:t xml:space="preserve">    </w:t>
      </w:r>
    </w:p>
    <w:p w14:paraId="0B6CD276" w14:textId="305D8E1E" w:rsidR="00EC40EB" w:rsidRPr="00EC40EB" w:rsidRDefault="00585695" w:rsidP="00585695">
      <w:pPr>
        <w:jc w:val="both"/>
        <w:rPr>
          <w:rFonts w:cstheme="minorHAnsi"/>
          <w:b/>
          <w:bCs/>
        </w:rPr>
      </w:pPr>
      <w:r>
        <w:rPr>
          <w:rFonts w:cstheme="minorHAnsi"/>
          <w:b/>
          <w:bCs/>
        </w:rPr>
        <w:t>8</w:t>
      </w:r>
      <w:r w:rsidR="00EC40EB">
        <w:rPr>
          <w:rFonts w:cstheme="minorHAnsi"/>
          <w:b/>
          <w:bCs/>
        </w:rPr>
        <w:t>.</w:t>
      </w:r>
      <w:r w:rsidR="00EC40EB">
        <w:rPr>
          <w:rFonts w:cstheme="minorHAnsi"/>
          <w:b/>
          <w:bCs/>
        </w:rPr>
        <w:tab/>
      </w:r>
      <w:r w:rsidR="00EC40EB" w:rsidRPr="00EC40EB">
        <w:rPr>
          <w:rFonts w:cstheme="minorHAnsi"/>
          <w:b/>
          <w:bCs/>
        </w:rPr>
        <w:t>Timing</w:t>
      </w:r>
    </w:p>
    <w:p w14:paraId="58B7DE6A" w14:textId="1DAF869E" w:rsidR="00EC40EB" w:rsidRDefault="00585695" w:rsidP="00585695">
      <w:pPr>
        <w:jc w:val="both"/>
        <w:rPr>
          <w:rFonts w:cstheme="minorHAnsi"/>
        </w:rPr>
      </w:pPr>
      <w:r>
        <w:rPr>
          <w:rFonts w:cstheme="minorHAnsi"/>
        </w:rPr>
        <w:lastRenderedPageBreak/>
        <w:t>8.1</w:t>
      </w:r>
      <w:r>
        <w:rPr>
          <w:rFonts w:cstheme="minorHAnsi"/>
        </w:rPr>
        <w:tab/>
      </w:r>
      <w:r w:rsidR="00740BF1">
        <w:rPr>
          <w:rFonts w:cstheme="minorHAnsi"/>
        </w:rPr>
        <w:t xml:space="preserve">The </w:t>
      </w:r>
      <w:r w:rsidR="00F70FD9">
        <w:rPr>
          <w:rFonts w:cstheme="minorHAnsi"/>
        </w:rPr>
        <w:t>Chichester</w:t>
      </w:r>
      <w:r w:rsidR="00740BF1">
        <w:rPr>
          <w:rFonts w:cstheme="minorHAnsi"/>
        </w:rPr>
        <w:t xml:space="preserve"> Local Plan </w:t>
      </w:r>
      <w:r w:rsidR="00F70FD9">
        <w:rPr>
          <w:rFonts w:cstheme="minorHAnsi"/>
        </w:rPr>
        <w:t xml:space="preserve">2021 – 2039: Proposed Submission </w:t>
      </w:r>
      <w:r w:rsidR="00740BF1">
        <w:rPr>
          <w:rFonts w:cstheme="minorHAnsi"/>
        </w:rPr>
        <w:t>stat</w:t>
      </w:r>
      <w:r w:rsidR="00622BCF">
        <w:rPr>
          <w:rFonts w:cstheme="minorHAnsi"/>
        </w:rPr>
        <w:t>es</w:t>
      </w:r>
      <w:r w:rsidR="00740BF1">
        <w:rPr>
          <w:rFonts w:cstheme="minorHAnsi"/>
        </w:rPr>
        <w:t xml:space="preserve"> the Council’s intention for </w:t>
      </w:r>
      <w:r w:rsidR="003C0671">
        <w:rPr>
          <w:rFonts w:cstheme="minorHAnsi"/>
        </w:rPr>
        <w:t xml:space="preserve">all new dwellings to meet NDSS </w:t>
      </w:r>
      <w:r w:rsidR="00F70FD9">
        <w:rPr>
          <w:rFonts w:cstheme="minorHAnsi"/>
        </w:rPr>
        <w:t>with regards to GIA</w:t>
      </w:r>
      <w:r w:rsidR="00622BCF">
        <w:rPr>
          <w:rFonts w:cstheme="minorHAnsi"/>
        </w:rPr>
        <w:t>, and</w:t>
      </w:r>
      <w:r w:rsidR="00F70FD9">
        <w:rPr>
          <w:rFonts w:cstheme="minorHAnsi"/>
        </w:rPr>
        <w:t xml:space="preserve"> </w:t>
      </w:r>
      <w:r w:rsidR="00121DF5">
        <w:rPr>
          <w:rFonts w:cstheme="minorHAnsi"/>
        </w:rPr>
        <w:t xml:space="preserve">has </w:t>
      </w:r>
      <w:r w:rsidR="0080564C">
        <w:rPr>
          <w:rFonts w:cstheme="minorHAnsi"/>
        </w:rPr>
        <w:t xml:space="preserve">recently </w:t>
      </w:r>
      <w:r w:rsidR="00121DF5">
        <w:rPr>
          <w:rFonts w:cstheme="minorHAnsi"/>
        </w:rPr>
        <w:t>been</w:t>
      </w:r>
      <w:r w:rsidR="00740BF1">
        <w:rPr>
          <w:rFonts w:cstheme="minorHAnsi"/>
        </w:rPr>
        <w:t xml:space="preserve"> subject to Regulation 19 consultation</w:t>
      </w:r>
      <w:r w:rsidR="0080564C">
        <w:rPr>
          <w:rFonts w:cstheme="minorHAnsi"/>
        </w:rPr>
        <w:t>, being acknowledged by developers within their related representations</w:t>
      </w:r>
      <w:r w:rsidR="003C0671">
        <w:rPr>
          <w:rFonts w:cstheme="minorHAnsi"/>
        </w:rPr>
        <w:t xml:space="preserve">. The Council has produced and published this paper providing evidence to </w:t>
      </w:r>
      <w:r w:rsidR="0033001F">
        <w:rPr>
          <w:rFonts w:cstheme="minorHAnsi"/>
        </w:rPr>
        <w:t xml:space="preserve">demonstrate </w:t>
      </w:r>
      <w:r w:rsidR="00673316">
        <w:rPr>
          <w:rFonts w:cstheme="minorHAnsi"/>
        </w:rPr>
        <w:t xml:space="preserve">the </w:t>
      </w:r>
      <w:r w:rsidR="003C0671">
        <w:rPr>
          <w:rFonts w:cstheme="minorHAnsi"/>
        </w:rPr>
        <w:t xml:space="preserve">need for the NDSS to be adopted to inform the </w:t>
      </w:r>
      <w:r w:rsidR="0033001F">
        <w:rPr>
          <w:rFonts w:cstheme="minorHAnsi"/>
        </w:rPr>
        <w:t>examination</w:t>
      </w:r>
      <w:r w:rsidR="003C0671">
        <w:rPr>
          <w:rFonts w:cstheme="minorHAnsi"/>
        </w:rPr>
        <w:t xml:space="preserve">.  </w:t>
      </w:r>
    </w:p>
    <w:p w14:paraId="21C816DD" w14:textId="16CD43EA" w:rsidR="00EC40EB" w:rsidRDefault="00585695" w:rsidP="00585695">
      <w:pPr>
        <w:jc w:val="both"/>
        <w:rPr>
          <w:rFonts w:cstheme="minorHAnsi"/>
        </w:rPr>
      </w:pPr>
      <w:r>
        <w:rPr>
          <w:rFonts w:cstheme="minorHAnsi"/>
        </w:rPr>
        <w:t>8.2</w:t>
      </w:r>
      <w:r>
        <w:rPr>
          <w:rFonts w:cstheme="minorHAnsi"/>
        </w:rPr>
        <w:tab/>
      </w:r>
      <w:r w:rsidR="00D37E17">
        <w:rPr>
          <w:rFonts w:cstheme="minorHAnsi"/>
        </w:rPr>
        <w:t xml:space="preserve">The public, including </w:t>
      </w:r>
      <w:r w:rsidR="0011241E">
        <w:rPr>
          <w:rFonts w:cstheme="minorHAnsi"/>
        </w:rPr>
        <w:t>developers and supporting agent</w:t>
      </w:r>
      <w:r w:rsidR="0033001F">
        <w:rPr>
          <w:rFonts w:cstheme="minorHAnsi"/>
        </w:rPr>
        <w:t>s</w:t>
      </w:r>
      <w:r w:rsidR="00F70FD9">
        <w:rPr>
          <w:rFonts w:cstheme="minorHAnsi"/>
        </w:rPr>
        <w:t xml:space="preserve"> most </w:t>
      </w:r>
      <w:r w:rsidR="0033001F">
        <w:rPr>
          <w:rFonts w:cstheme="minorHAnsi"/>
        </w:rPr>
        <w:t>likely to be affected by the proposed policy requirement</w:t>
      </w:r>
      <w:r w:rsidR="00F70FD9">
        <w:rPr>
          <w:rFonts w:cstheme="minorHAnsi"/>
        </w:rPr>
        <w:t>,</w:t>
      </w:r>
      <w:r w:rsidR="0011241E">
        <w:rPr>
          <w:rFonts w:cstheme="minorHAnsi"/>
        </w:rPr>
        <w:t xml:space="preserve"> </w:t>
      </w:r>
      <w:r w:rsidR="00622BCF">
        <w:rPr>
          <w:rFonts w:cstheme="minorHAnsi"/>
        </w:rPr>
        <w:t xml:space="preserve">were </w:t>
      </w:r>
      <w:r w:rsidR="0080564C">
        <w:rPr>
          <w:rFonts w:cstheme="minorHAnsi"/>
        </w:rPr>
        <w:t xml:space="preserve">first </w:t>
      </w:r>
      <w:r w:rsidR="00622BCF">
        <w:rPr>
          <w:rFonts w:cstheme="minorHAnsi"/>
        </w:rPr>
        <w:t xml:space="preserve">made aware of </w:t>
      </w:r>
      <w:r w:rsidR="0011241E">
        <w:rPr>
          <w:rFonts w:cstheme="minorHAnsi"/>
        </w:rPr>
        <w:t>the Council’s intention</w:t>
      </w:r>
      <w:r w:rsidR="00F70FD9">
        <w:rPr>
          <w:rFonts w:cstheme="minorHAnsi"/>
        </w:rPr>
        <w:t xml:space="preserve"> to propose NDSS</w:t>
      </w:r>
      <w:r w:rsidR="0011241E">
        <w:rPr>
          <w:rFonts w:cstheme="minorHAnsi"/>
        </w:rPr>
        <w:t xml:space="preserve"> </w:t>
      </w:r>
      <w:r w:rsidR="00C574BD">
        <w:rPr>
          <w:rFonts w:cstheme="minorHAnsi"/>
        </w:rPr>
        <w:t xml:space="preserve">compliance </w:t>
      </w:r>
      <w:r w:rsidR="0011241E">
        <w:rPr>
          <w:rFonts w:cstheme="minorHAnsi"/>
        </w:rPr>
        <w:t xml:space="preserve">during the </w:t>
      </w:r>
      <w:r w:rsidR="0033001F">
        <w:rPr>
          <w:rFonts w:cstheme="minorHAnsi"/>
        </w:rPr>
        <w:t>Regulation 1</w:t>
      </w:r>
      <w:r w:rsidR="00622BCF">
        <w:rPr>
          <w:rFonts w:cstheme="minorHAnsi"/>
        </w:rPr>
        <w:t>8</w:t>
      </w:r>
      <w:r w:rsidR="0033001F">
        <w:rPr>
          <w:rFonts w:cstheme="minorHAnsi"/>
        </w:rPr>
        <w:t xml:space="preserve"> </w:t>
      </w:r>
      <w:r w:rsidR="0011241E">
        <w:rPr>
          <w:rFonts w:cstheme="minorHAnsi"/>
        </w:rPr>
        <w:t>Preferred Approach consultation</w:t>
      </w:r>
      <w:r w:rsidR="00622BCF">
        <w:rPr>
          <w:rFonts w:cstheme="minorHAnsi"/>
        </w:rPr>
        <w:t xml:space="preserve"> in December 2018. Representations received from developers and the Home Builders Federation with regards to the </w:t>
      </w:r>
      <w:r w:rsidR="00C574BD">
        <w:rPr>
          <w:rFonts w:cstheme="minorHAnsi"/>
        </w:rPr>
        <w:t xml:space="preserve">emerging policy (DM2) </w:t>
      </w:r>
      <w:r w:rsidR="00622BCF">
        <w:rPr>
          <w:rFonts w:cstheme="minorHAnsi"/>
        </w:rPr>
        <w:t xml:space="preserve">demonstrate this awareness. </w:t>
      </w:r>
      <w:r w:rsidR="00332557">
        <w:rPr>
          <w:rFonts w:cstheme="minorHAnsi"/>
        </w:rPr>
        <w:t xml:space="preserve"> No concerns regarding </w:t>
      </w:r>
      <w:r w:rsidR="00F610ED">
        <w:rPr>
          <w:rFonts w:cstheme="minorHAnsi"/>
        </w:rPr>
        <w:t xml:space="preserve">the </w:t>
      </w:r>
      <w:r w:rsidR="00332557">
        <w:rPr>
          <w:rFonts w:cstheme="minorHAnsi"/>
        </w:rPr>
        <w:t>viability of the proposed NDSS compliance were represented</w:t>
      </w:r>
      <w:r w:rsidR="00B25C8E">
        <w:rPr>
          <w:rFonts w:cstheme="minorHAnsi"/>
        </w:rPr>
        <w:t xml:space="preserve"> at this stage</w:t>
      </w:r>
      <w:r w:rsidR="00332557">
        <w:rPr>
          <w:rFonts w:cstheme="minorHAnsi"/>
        </w:rPr>
        <w:t xml:space="preserve">. </w:t>
      </w:r>
      <w:r w:rsidR="0011241E">
        <w:rPr>
          <w:rFonts w:cstheme="minorHAnsi"/>
        </w:rPr>
        <w:t>On this basis,</w:t>
      </w:r>
      <w:r w:rsidR="00C574BD">
        <w:rPr>
          <w:rFonts w:cstheme="minorHAnsi"/>
        </w:rPr>
        <w:t xml:space="preserve"> recognising the length of time since the Reg</w:t>
      </w:r>
      <w:r w:rsidR="00332557">
        <w:rPr>
          <w:rFonts w:cstheme="minorHAnsi"/>
        </w:rPr>
        <w:t>ulation</w:t>
      </w:r>
      <w:r w:rsidR="00C574BD">
        <w:rPr>
          <w:rFonts w:cstheme="minorHAnsi"/>
        </w:rPr>
        <w:t xml:space="preserve"> 18 consultation,</w:t>
      </w:r>
      <w:r w:rsidR="0011241E">
        <w:rPr>
          <w:rFonts w:cstheme="minorHAnsi"/>
        </w:rPr>
        <w:t xml:space="preserve"> the Council does not consider it necessary to provide any transitional arrangements regarding the proposed space standards policy. </w:t>
      </w:r>
    </w:p>
    <w:p w14:paraId="5920A36F" w14:textId="5BB48354" w:rsidR="00332557" w:rsidRDefault="00332557" w:rsidP="00585695">
      <w:pPr>
        <w:jc w:val="both"/>
        <w:rPr>
          <w:rFonts w:cstheme="minorHAnsi"/>
        </w:rPr>
      </w:pPr>
      <w:r>
        <w:rPr>
          <w:rFonts w:cstheme="minorHAnsi"/>
        </w:rPr>
        <w:t>8.3</w:t>
      </w:r>
      <w:r>
        <w:rPr>
          <w:rFonts w:cstheme="minorHAnsi"/>
        </w:rPr>
        <w:tab/>
        <w:t>To support the adoption of the policy requirement, and to ensure tim</w:t>
      </w:r>
      <w:r w:rsidR="005C4F42">
        <w:rPr>
          <w:rFonts w:cstheme="minorHAnsi"/>
        </w:rPr>
        <w:t>ely</w:t>
      </w:r>
      <w:r>
        <w:rPr>
          <w:rFonts w:cstheme="minorHAnsi"/>
        </w:rPr>
        <w:t xml:space="preserve"> and accurate assessments of NDSS compliance within the consideration of planning applications, it is recommended that the CDC Local List is updated to require developers to provide detailed accommodation schedule</w:t>
      </w:r>
      <w:r w:rsidR="00F610ED">
        <w:rPr>
          <w:rFonts w:cstheme="minorHAnsi"/>
        </w:rPr>
        <w:t>s</w:t>
      </w:r>
      <w:r>
        <w:rPr>
          <w:rFonts w:cstheme="minorHAnsi"/>
        </w:rPr>
        <w:t xml:space="preserve"> summarising proposed GIA, bedroom and storage dimensions</w:t>
      </w:r>
      <w:r w:rsidR="008B1FF0">
        <w:rPr>
          <w:rFonts w:cstheme="minorHAnsi"/>
        </w:rPr>
        <w:t>, and bedspaces</w:t>
      </w:r>
      <w:r w:rsidR="00DD707C">
        <w:rPr>
          <w:rFonts w:cstheme="minorHAnsi"/>
        </w:rPr>
        <w:t>, in addition to scaled plans</w:t>
      </w:r>
      <w:r>
        <w:rPr>
          <w:rFonts w:cstheme="minorHAnsi"/>
        </w:rPr>
        <w:t xml:space="preserve">. </w:t>
      </w:r>
    </w:p>
    <w:p w14:paraId="371F19A3" w14:textId="41162A15" w:rsidR="006A1878" w:rsidRPr="006A1878" w:rsidRDefault="006A1878" w:rsidP="00585695">
      <w:pPr>
        <w:jc w:val="both"/>
        <w:rPr>
          <w:rFonts w:cstheme="minorHAnsi"/>
          <w:b/>
          <w:bCs/>
        </w:rPr>
      </w:pPr>
      <w:r w:rsidRPr="006A1878">
        <w:rPr>
          <w:rFonts w:cstheme="minorHAnsi"/>
          <w:b/>
          <w:bCs/>
        </w:rPr>
        <w:t>9.</w:t>
      </w:r>
      <w:r w:rsidRPr="006A1878">
        <w:rPr>
          <w:rFonts w:cstheme="minorHAnsi"/>
          <w:b/>
          <w:bCs/>
        </w:rPr>
        <w:tab/>
        <w:t>Comp</w:t>
      </w:r>
      <w:r w:rsidR="00694E6D">
        <w:rPr>
          <w:rFonts w:cstheme="minorHAnsi"/>
          <w:b/>
          <w:bCs/>
        </w:rPr>
        <w:t>atibility</w:t>
      </w:r>
      <w:r w:rsidRPr="006A1878">
        <w:rPr>
          <w:rFonts w:cstheme="minorHAnsi"/>
          <w:b/>
          <w:bCs/>
        </w:rPr>
        <w:t xml:space="preserve"> with Accessibility Standards</w:t>
      </w:r>
    </w:p>
    <w:p w14:paraId="4719019A" w14:textId="3F52588D" w:rsidR="009B78D0" w:rsidRDefault="006A1878" w:rsidP="00585695">
      <w:pPr>
        <w:jc w:val="both"/>
        <w:rPr>
          <w:rFonts w:cstheme="minorHAnsi"/>
        </w:rPr>
      </w:pPr>
      <w:r>
        <w:rPr>
          <w:rFonts w:cstheme="minorHAnsi"/>
        </w:rPr>
        <w:t>9.1</w:t>
      </w:r>
      <w:r>
        <w:rPr>
          <w:rFonts w:cstheme="minorHAnsi"/>
        </w:rPr>
        <w:tab/>
        <w:t>In response to a consultation conducted in 2020, the Government is proposing to mandate the current</w:t>
      </w:r>
      <w:r w:rsidR="00B658C6">
        <w:rPr>
          <w:rFonts w:cstheme="minorHAnsi"/>
        </w:rPr>
        <w:t>ly</w:t>
      </w:r>
      <w:r>
        <w:rPr>
          <w:rFonts w:cstheme="minorHAnsi"/>
        </w:rPr>
        <w:t xml:space="preserve"> </w:t>
      </w:r>
      <w:r w:rsidR="00E35DA3">
        <w:rPr>
          <w:rFonts w:cstheme="minorHAnsi"/>
        </w:rPr>
        <w:t xml:space="preserve">optional </w:t>
      </w:r>
      <w:r>
        <w:rPr>
          <w:rFonts w:cstheme="minorHAnsi"/>
        </w:rPr>
        <w:t xml:space="preserve">M4(2) (Category 2: Accessible and adaptable dwellings) requirement in Building Regulations as a minimum standard for all new homes. </w:t>
      </w:r>
      <w:r w:rsidR="00E35DA3">
        <w:rPr>
          <w:rFonts w:cstheme="minorHAnsi"/>
        </w:rPr>
        <w:t>This is subject to a further consultation on the technical details</w:t>
      </w:r>
      <w:r w:rsidR="00981631">
        <w:rPr>
          <w:rStyle w:val="FootnoteReference"/>
          <w:rFonts w:cstheme="minorHAnsi"/>
        </w:rPr>
        <w:footnoteReference w:id="7"/>
      </w:r>
      <w:r w:rsidR="00E35DA3">
        <w:rPr>
          <w:rFonts w:cstheme="minorHAnsi"/>
        </w:rPr>
        <w:t xml:space="preserve">. </w:t>
      </w:r>
      <w:r w:rsidR="009B78D0">
        <w:rPr>
          <w:rFonts w:cstheme="minorHAnsi"/>
        </w:rPr>
        <w:t>Given that this is another standard which will be applied to dwellings and is designed to impose certain standards, and which could increase the size of dwellings, it is considered pertinent to consider how this standard relates to and has a bearing on the necessity of adopting the NDSS.</w:t>
      </w:r>
      <w:r>
        <w:rPr>
          <w:rFonts w:cstheme="minorHAnsi"/>
        </w:rPr>
        <w:t xml:space="preserve"> </w:t>
      </w:r>
    </w:p>
    <w:p w14:paraId="2D357C5B" w14:textId="7E381FCC" w:rsidR="00B658C6" w:rsidRDefault="009B78D0" w:rsidP="00585695">
      <w:pPr>
        <w:jc w:val="both"/>
        <w:rPr>
          <w:rFonts w:cstheme="minorHAnsi"/>
        </w:rPr>
      </w:pPr>
      <w:r>
        <w:rPr>
          <w:rFonts w:cstheme="minorHAnsi"/>
        </w:rPr>
        <w:t>9.3</w:t>
      </w:r>
      <w:r>
        <w:rPr>
          <w:rFonts w:cstheme="minorHAnsi"/>
        </w:rPr>
        <w:tab/>
      </w:r>
      <w:r w:rsidR="00694E6D">
        <w:rPr>
          <w:rFonts w:cstheme="minorHAnsi"/>
        </w:rPr>
        <w:t>The current technical requirements</w:t>
      </w:r>
      <w:r>
        <w:rPr>
          <w:rFonts w:cstheme="minorHAnsi"/>
        </w:rPr>
        <w:t xml:space="preserve"> for M4(2)</w:t>
      </w:r>
      <w:r w:rsidR="00694E6D">
        <w:rPr>
          <w:rFonts w:cstheme="minorHAnsi"/>
        </w:rPr>
        <w:t xml:space="preserve"> </w:t>
      </w:r>
      <w:r w:rsidR="00981631">
        <w:rPr>
          <w:rFonts w:cstheme="minorHAnsi"/>
        </w:rPr>
        <w:t>relate to</w:t>
      </w:r>
      <w:r w:rsidR="00694E6D">
        <w:rPr>
          <w:rFonts w:cstheme="minorHAnsi"/>
        </w:rPr>
        <w:t xml:space="preserve"> provision for people </w:t>
      </w:r>
      <w:r w:rsidR="00B658C6">
        <w:rPr>
          <w:rFonts w:cstheme="minorHAnsi"/>
        </w:rPr>
        <w:t>to</w:t>
      </w:r>
      <w:r w:rsidR="00694E6D">
        <w:rPr>
          <w:rFonts w:cstheme="minorHAnsi"/>
        </w:rPr>
        <w:t xml:space="preserve"> gain access to and use dwelling</w:t>
      </w:r>
      <w:r w:rsidR="00981631">
        <w:rPr>
          <w:rFonts w:cstheme="minorHAnsi"/>
        </w:rPr>
        <w:t>s</w:t>
      </w:r>
      <w:r w:rsidR="00694E6D">
        <w:rPr>
          <w:rFonts w:cstheme="minorHAnsi"/>
        </w:rPr>
        <w:t>. The</w:t>
      </w:r>
      <w:r w:rsidR="00981631">
        <w:rPr>
          <w:rFonts w:cstheme="minorHAnsi"/>
        </w:rPr>
        <w:t xml:space="preserve"> specifications include</w:t>
      </w:r>
      <w:r w:rsidR="00694E6D">
        <w:rPr>
          <w:rFonts w:cstheme="minorHAnsi"/>
        </w:rPr>
        <w:t xml:space="preserve"> internal circulation areas and doorway dimensions, as well as clear access routes and zones within living spaces, </w:t>
      </w:r>
      <w:r w:rsidR="00317DAB">
        <w:rPr>
          <w:rFonts w:cstheme="minorHAnsi"/>
        </w:rPr>
        <w:t>bedrooms,</w:t>
      </w:r>
      <w:r w:rsidR="00694E6D">
        <w:rPr>
          <w:rFonts w:cstheme="minorHAnsi"/>
        </w:rPr>
        <w:t xml:space="preserve"> and bathrooms. Minimum GIA, bedroom or </w:t>
      </w:r>
      <w:r w:rsidR="00C30019">
        <w:rPr>
          <w:rFonts w:cstheme="minorHAnsi"/>
        </w:rPr>
        <w:t xml:space="preserve">built-in </w:t>
      </w:r>
      <w:r w:rsidR="00694E6D">
        <w:rPr>
          <w:rFonts w:cstheme="minorHAnsi"/>
        </w:rPr>
        <w:t>storage dimensions are not specified</w:t>
      </w:r>
      <w:r w:rsidR="00B658C6">
        <w:rPr>
          <w:rFonts w:cstheme="minorHAnsi"/>
        </w:rPr>
        <w:t xml:space="preserve"> and therefore M4(2) is not directly comparable with the NDSS. </w:t>
      </w:r>
    </w:p>
    <w:p w14:paraId="64A16FA5" w14:textId="72AB5E0B" w:rsidR="006A1878" w:rsidRDefault="00B658C6" w:rsidP="00585695">
      <w:pPr>
        <w:jc w:val="both"/>
        <w:rPr>
          <w:rFonts w:cstheme="minorHAnsi"/>
        </w:rPr>
      </w:pPr>
      <w:r>
        <w:rPr>
          <w:rFonts w:cstheme="minorHAnsi"/>
        </w:rPr>
        <w:t>9.2</w:t>
      </w:r>
      <w:r>
        <w:rPr>
          <w:rFonts w:cstheme="minorHAnsi"/>
        </w:rPr>
        <w:tab/>
        <w:t>One developer respondent to the Regulation 19 consultation raise</w:t>
      </w:r>
      <w:r w:rsidR="00944CEC">
        <w:rPr>
          <w:rFonts w:cstheme="minorHAnsi"/>
        </w:rPr>
        <w:t>s</w:t>
      </w:r>
      <w:r>
        <w:rPr>
          <w:rFonts w:cstheme="minorHAnsi"/>
        </w:rPr>
        <w:t xml:space="preserve"> the potential cumulative impact of </w:t>
      </w:r>
      <w:r w:rsidR="00981631">
        <w:rPr>
          <w:rFonts w:cstheme="minorHAnsi"/>
        </w:rPr>
        <w:t xml:space="preserve">mandated </w:t>
      </w:r>
      <w:r>
        <w:rPr>
          <w:rFonts w:cstheme="minorHAnsi"/>
        </w:rPr>
        <w:t xml:space="preserve">NDSS and M4(2) compliance on </w:t>
      </w:r>
      <w:r w:rsidR="00981631">
        <w:rPr>
          <w:rFonts w:cstheme="minorHAnsi"/>
        </w:rPr>
        <w:t>housing density</w:t>
      </w:r>
      <w:r>
        <w:rPr>
          <w:rFonts w:cstheme="minorHAnsi"/>
        </w:rPr>
        <w:t>.</w:t>
      </w:r>
      <w:r w:rsidR="00981631">
        <w:rPr>
          <w:rFonts w:cstheme="minorHAnsi"/>
        </w:rPr>
        <w:t xml:space="preserve"> </w:t>
      </w:r>
      <w:r w:rsidR="003D7B41">
        <w:rPr>
          <w:rFonts w:cstheme="minorHAnsi"/>
        </w:rPr>
        <w:t xml:space="preserve">However, </w:t>
      </w:r>
      <w:r w:rsidR="00150B6E">
        <w:rPr>
          <w:rFonts w:cstheme="minorHAnsi"/>
        </w:rPr>
        <w:t xml:space="preserve">whilst </w:t>
      </w:r>
      <w:r w:rsidR="00981631">
        <w:rPr>
          <w:rFonts w:cstheme="minorHAnsi"/>
        </w:rPr>
        <w:t xml:space="preserve">the </w:t>
      </w:r>
      <w:r w:rsidR="00944CEC">
        <w:rPr>
          <w:rFonts w:cstheme="minorHAnsi"/>
        </w:rPr>
        <w:t xml:space="preserve">combined </w:t>
      </w:r>
      <w:r w:rsidR="00981631">
        <w:rPr>
          <w:rFonts w:cstheme="minorHAnsi"/>
        </w:rPr>
        <w:t>impact</w:t>
      </w:r>
      <w:r w:rsidR="00150B6E">
        <w:rPr>
          <w:rFonts w:cstheme="minorHAnsi"/>
        </w:rPr>
        <w:t>s cannot be fully assessed until the technical requirements of M4(2) are determined, it is anticipated that the standards will be complementary, NDSS hav</w:t>
      </w:r>
      <w:r w:rsidR="00944CEC">
        <w:rPr>
          <w:rFonts w:cstheme="minorHAnsi"/>
        </w:rPr>
        <w:t>ing</w:t>
      </w:r>
      <w:r w:rsidR="00150B6E">
        <w:rPr>
          <w:rFonts w:cstheme="minorHAnsi"/>
        </w:rPr>
        <w:t xml:space="preserve"> been recognised as a potential common minimum baseline within the Government’s consultation</w:t>
      </w:r>
      <w:r w:rsidR="00882B19">
        <w:rPr>
          <w:rFonts w:cstheme="minorHAnsi"/>
        </w:rPr>
        <w:t xml:space="preserve">. It is, therefore, </w:t>
      </w:r>
      <w:r w:rsidR="00D8553D">
        <w:rPr>
          <w:rFonts w:cstheme="minorHAnsi"/>
        </w:rPr>
        <w:t xml:space="preserve">considered </w:t>
      </w:r>
      <w:r w:rsidR="00882B19">
        <w:rPr>
          <w:rFonts w:cstheme="minorHAnsi"/>
        </w:rPr>
        <w:t xml:space="preserve">reasonable to presume there will be no conflict between the two Standards. </w:t>
      </w:r>
      <w:r w:rsidR="00944CEC">
        <w:rPr>
          <w:rFonts w:cstheme="minorHAnsi"/>
        </w:rPr>
        <w:t xml:space="preserve">Furthermore, </w:t>
      </w:r>
      <w:r w:rsidR="00D8553D">
        <w:rPr>
          <w:rFonts w:cstheme="minorHAnsi"/>
        </w:rPr>
        <w:t xml:space="preserve">there is provision for flexibility, with the Government proposing for </w:t>
      </w:r>
      <w:r w:rsidR="00944CEC">
        <w:rPr>
          <w:rFonts w:cstheme="minorHAnsi"/>
        </w:rPr>
        <w:t xml:space="preserve">exceptional circumstances </w:t>
      </w:r>
      <w:r w:rsidR="00D8553D">
        <w:rPr>
          <w:rFonts w:cstheme="minorHAnsi"/>
        </w:rPr>
        <w:t>to</w:t>
      </w:r>
      <w:r w:rsidR="00944CEC">
        <w:rPr>
          <w:rFonts w:cstheme="minorHAnsi"/>
        </w:rPr>
        <w:t xml:space="preserve"> be </w:t>
      </w:r>
      <w:r w:rsidR="00944CEC">
        <w:rPr>
          <w:rFonts w:cstheme="minorHAnsi"/>
        </w:rPr>
        <w:lastRenderedPageBreak/>
        <w:t xml:space="preserve">considered if the application of M4(2) is justified as being impractical and unachievable on specific sites. </w:t>
      </w:r>
    </w:p>
    <w:p w14:paraId="4BB41C36" w14:textId="7B7FD649" w:rsidR="00730F4D" w:rsidRPr="00EC40EB" w:rsidRDefault="00944CEC" w:rsidP="00585695">
      <w:pPr>
        <w:jc w:val="both"/>
        <w:rPr>
          <w:rFonts w:cstheme="minorHAnsi"/>
          <w:b/>
          <w:bCs/>
        </w:rPr>
      </w:pPr>
      <w:r>
        <w:rPr>
          <w:rFonts w:cstheme="minorHAnsi"/>
          <w:b/>
          <w:bCs/>
        </w:rPr>
        <w:t>10</w:t>
      </w:r>
      <w:r w:rsidR="00EC40EB">
        <w:rPr>
          <w:rFonts w:cstheme="minorHAnsi"/>
          <w:b/>
          <w:bCs/>
        </w:rPr>
        <w:t>.</w:t>
      </w:r>
      <w:r w:rsidR="00EC40EB">
        <w:rPr>
          <w:rFonts w:cstheme="minorHAnsi"/>
          <w:b/>
          <w:bCs/>
        </w:rPr>
        <w:tab/>
      </w:r>
      <w:r w:rsidR="00DC0C7B" w:rsidRPr="00EC40EB">
        <w:rPr>
          <w:rFonts w:cstheme="minorHAnsi"/>
          <w:b/>
          <w:bCs/>
        </w:rPr>
        <w:t>Summary</w:t>
      </w:r>
    </w:p>
    <w:p w14:paraId="14B470D9" w14:textId="5B903C2C" w:rsidR="00307406" w:rsidRDefault="00944CEC" w:rsidP="00F610ED">
      <w:pPr>
        <w:jc w:val="both"/>
        <w:rPr>
          <w:rFonts w:cstheme="minorHAnsi"/>
        </w:rPr>
      </w:pPr>
      <w:r>
        <w:rPr>
          <w:rFonts w:cstheme="minorHAnsi"/>
        </w:rPr>
        <w:t>10</w:t>
      </w:r>
      <w:r w:rsidR="00585695">
        <w:rPr>
          <w:rFonts w:cstheme="minorHAnsi"/>
        </w:rPr>
        <w:t>.1</w:t>
      </w:r>
      <w:r w:rsidR="00585695">
        <w:rPr>
          <w:rFonts w:cstheme="minorHAnsi"/>
        </w:rPr>
        <w:tab/>
      </w:r>
      <w:r w:rsidR="00EC40EB">
        <w:rPr>
          <w:rFonts w:cstheme="minorHAnsi"/>
        </w:rPr>
        <w:t>The results of the sample analysis demonstrate the need for adoption of the NDSS within the proposed Submission Local Plan</w:t>
      </w:r>
      <w:r w:rsidR="00882B19">
        <w:rPr>
          <w:rFonts w:cstheme="minorHAnsi"/>
        </w:rPr>
        <w:t xml:space="preserve"> based on the failure of the majority of permitted developments to meet these minimum standards</w:t>
      </w:r>
      <w:r w:rsidR="00EC40EB">
        <w:rPr>
          <w:rFonts w:cstheme="minorHAnsi"/>
        </w:rPr>
        <w:t xml:space="preserve">. </w:t>
      </w:r>
      <w:r w:rsidR="0077789C">
        <w:rPr>
          <w:rFonts w:cstheme="minorHAnsi"/>
        </w:rPr>
        <w:t>C</w:t>
      </w:r>
      <w:r w:rsidR="00EC40EB">
        <w:rPr>
          <w:rFonts w:cstheme="minorHAnsi"/>
        </w:rPr>
        <w:t>ompliance with the NDSS w</w:t>
      </w:r>
      <w:r w:rsidR="00BF7CFE">
        <w:rPr>
          <w:rFonts w:cstheme="minorHAnsi"/>
        </w:rPr>
        <w:t>ill</w:t>
      </w:r>
      <w:r w:rsidR="00EC40EB">
        <w:rPr>
          <w:rFonts w:cstheme="minorHAnsi"/>
        </w:rPr>
        <w:t xml:space="preserve"> ensure developments provide sufficient bedroom sizes, in addition to gross internal areas, </w:t>
      </w:r>
      <w:r w:rsidR="00585695">
        <w:rPr>
          <w:rFonts w:cstheme="minorHAnsi"/>
        </w:rPr>
        <w:t>resulting in</w:t>
      </w:r>
      <w:r w:rsidR="00EC40EB">
        <w:rPr>
          <w:rFonts w:cstheme="minorHAnsi"/>
        </w:rPr>
        <w:t xml:space="preserve"> higher quality new dwellings offering </w:t>
      </w:r>
      <w:r w:rsidR="00BF7CFE">
        <w:rPr>
          <w:rFonts w:cstheme="minorHAnsi"/>
        </w:rPr>
        <w:t xml:space="preserve">a good standard of </w:t>
      </w:r>
      <w:r w:rsidR="00EC40EB">
        <w:rPr>
          <w:rFonts w:cstheme="minorHAnsi"/>
        </w:rPr>
        <w:t>amenity to future occupants.</w:t>
      </w:r>
      <w:r w:rsidR="00C574BD">
        <w:rPr>
          <w:rFonts w:cstheme="minorHAnsi"/>
        </w:rPr>
        <w:t xml:space="preserve"> Furthermore, it is considered that justification of </w:t>
      </w:r>
      <w:r w:rsidR="004532BC">
        <w:rPr>
          <w:rFonts w:cstheme="minorHAnsi"/>
        </w:rPr>
        <w:t xml:space="preserve">NDSS </w:t>
      </w:r>
      <w:r w:rsidR="00C574BD">
        <w:rPr>
          <w:rFonts w:cstheme="minorHAnsi"/>
        </w:rPr>
        <w:t>need, viability and timing as advised by the PPG has been appropriately addressed.</w:t>
      </w:r>
      <w:r w:rsidR="00EC40EB">
        <w:rPr>
          <w:rFonts w:cstheme="minorHAnsi"/>
        </w:rPr>
        <w:t xml:space="preserve">  </w:t>
      </w:r>
      <w:r w:rsidR="001D4949">
        <w:rPr>
          <w:rFonts w:cstheme="minorHAnsi"/>
        </w:rPr>
        <w:t>NDSS adoption is separate to, but likely complementary with, the proposed future mandating of M4(2) Building Regulation to ensure dwelling accessibility and adaptability.</w:t>
      </w:r>
    </w:p>
    <w:p w14:paraId="38A516B5" w14:textId="5AE4372F" w:rsidR="0082139C" w:rsidRDefault="0082139C">
      <w:pPr>
        <w:rPr>
          <w:rFonts w:cstheme="minorHAnsi"/>
        </w:rPr>
      </w:pPr>
      <w:r>
        <w:rPr>
          <w:rFonts w:cstheme="minorHAnsi"/>
        </w:rPr>
        <w:br w:type="page"/>
      </w:r>
    </w:p>
    <w:p w14:paraId="0025DF05" w14:textId="77777777" w:rsidR="00307406" w:rsidRDefault="00307406">
      <w:pPr>
        <w:rPr>
          <w:rFonts w:cstheme="minorHAnsi"/>
        </w:rPr>
      </w:pPr>
    </w:p>
    <w:p w14:paraId="23C9871D" w14:textId="320F4029" w:rsidR="00307406" w:rsidRDefault="00307406" w:rsidP="00307406">
      <w:pPr>
        <w:rPr>
          <w:b/>
          <w:bCs/>
        </w:rPr>
      </w:pPr>
      <w:r>
        <w:rPr>
          <w:b/>
          <w:bCs/>
        </w:rPr>
        <w:t>A</w:t>
      </w:r>
      <w:r w:rsidR="00DC783A">
        <w:rPr>
          <w:b/>
          <w:bCs/>
        </w:rPr>
        <w:t>ppendix</w:t>
      </w:r>
      <w:r>
        <w:rPr>
          <w:b/>
          <w:bCs/>
        </w:rPr>
        <w:t xml:space="preserve"> A</w:t>
      </w:r>
      <w:r>
        <w:rPr>
          <w:b/>
          <w:bCs/>
        </w:rPr>
        <w:tab/>
        <w:t>Nationally Described Space Standard – Technical Requirements</w:t>
      </w:r>
    </w:p>
    <w:p w14:paraId="05513BBB" w14:textId="4F7A977B" w:rsidR="00307406" w:rsidRPr="00307406" w:rsidRDefault="00307406" w:rsidP="00307406">
      <w:r w:rsidRPr="00307406">
        <w:t>The standard requires that:</w:t>
      </w:r>
    </w:p>
    <w:p w14:paraId="186D2065" w14:textId="77777777" w:rsidR="00307406" w:rsidRPr="00307406" w:rsidRDefault="00307406" w:rsidP="00307406">
      <w:pPr>
        <w:pStyle w:val="ListParagraph"/>
        <w:numPr>
          <w:ilvl w:val="0"/>
          <w:numId w:val="23"/>
        </w:numPr>
      </w:pPr>
      <w:r w:rsidRPr="00307406">
        <w:t>The dwelling provides at least the gross internal floor area and built-in storage area set out in Table 1;</w:t>
      </w:r>
    </w:p>
    <w:p w14:paraId="2D8083A8" w14:textId="77777777" w:rsidR="00307406" w:rsidRPr="00307406" w:rsidRDefault="00307406" w:rsidP="00307406">
      <w:pPr>
        <w:pStyle w:val="ListParagraph"/>
        <w:numPr>
          <w:ilvl w:val="0"/>
          <w:numId w:val="23"/>
        </w:numPr>
      </w:pPr>
      <w:r w:rsidRPr="00307406">
        <w:t>A dwelling with two or more bedspaces has at least one double (or twin bedroom);</w:t>
      </w:r>
    </w:p>
    <w:p w14:paraId="36478A04" w14:textId="77777777" w:rsidR="00307406" w:rsidRPr="00307406" w:rsidRDefault="00307406" w:rsidP="00307406">
      <w:pPr>
        <w:pStyle w:val="ListParagraph"/>
        <w:numPr>
          <w:ilvl w:val="0"/>
          <w:numId w:val="23"/>
        </w:numPr>
      </w:pPr>
      <w:r w:rsidRPr="00307406">
        <w:t>In order to provide one bedspace, a single bedroom has a floor area of at least 7.5 square meters and is at least 2.15m wide;</w:t>
      </w:r>
    </w:p>
    <w:p w14:paraId="718687F4" w14:textId="77777777" w:rsidR="00307406" w:rsidRPr="00307406" w:rsidRDefault="00307406" w:rsidP="00307406">
      <w:pPr>
        <w:pStyle w:val="ListParagraph"/>
        <w:numPr>
          <w:ilvl w:val="0"/>
          <w:numId w:val="23"/>
        </w:numPr>
      </w:pPr>
      <w:r w:rsidRPr="00307406">
        <w:t>In order to provide two bedspaces, a double (or twin bedroom as a floor are of at least 11.5 square metres;</w:t>
      </w:r>
    </w:p>
    <w:p w14:paraId="511A86F0" w14:textId="510AF8A3" w:rsidR="00307406" w:rsidRPr="00307406" w:rsidRDefault="00307406" w:rsidP="00307406">
      <w:pPr>
        <w:pStyle w:val="ListParagraph"/>
        <w:numPr>
          <w:ilvl w:val="0"/>
          <w:numId w:val="23"/>
        </w:numPr>
      </w:pPr>
      <w:r w:rsidRPr="00307406">
        <w:t>One double (or twi</w:t>
      </w:r>
      <w:r w:rsidR="001606F7">
        <w:t>n</w:t>
      </w:r>
      <w:r w:rsidRPr="00307406">
        <w:t xml:space="preserve"> bedroom) is at least 2.75m wide and every other double (or twin) bedroom is at least 2.55m wide;</w:t>
      </w:r>
    </w:p>
    <w:p w14:paraId="01B7833A" w14:textId="2CF15A09" w:rsidR="00307406" w:rsidRPr="00307406" w:rsidRDefault="00307406" w:rsidP="00307406">
      <w:pPr>
        <w:pStyle w:val="ListParagraph"/>
        <w:numPr>
          <w:ilvl w:val="0"/>
          <w:numId w:val="23"/>
        </w:numPr>
      </w:pPr>
      <w:r w:rsidRPr="00307406">
        <w:t>Any area within a he</w:t>
      </w:r>
      <w:r w:rsidR="001606F7">
        <w:t>a</w:t>
      </w:r>
      <w:r w:rsidRPr="00307406">
        <w:t xml:space="preserve">droom of less than 1.5m is not counted within the </w:t>
      </w:r>
      <w:r>
        <w:t>g</w:t>
      </w:r>
      <w:r w:rsidRPr="00307406">
        <w:t xml:space="preserve">ross </w:t>
      </w:r>
      <w:r>
        <w:t>i</w:t>
      </w:r>
      <w:r w:rsidRPr="00307406">
        <w:t xml:space="preserve">nternal </w:t>
      </w:r>
      <w:r>
        <w:t>a</w:t>
      </w:r>
      <w:r w:rsidRPr="00307406">
        <w:t xml:space="preserve">rea unless used solely for storage (if the area under the stairs is to be used for storage, assume a general floor area of 1 square metre within the </w:t>
      </w:r>
      <w:r>
        <w:t>g</w:t>
      </w:r>
      <w:r w:rsidRPr="00307406">
        <w:t xml:space="preserve">ross </w:t>
      </w:r>
      <w:r>
        <w:t>i</w:t>
      </w:r>
      <w:r w:rsidRPr="00307406">
        <w:t xml:space="preserve">nternal </w:t>
      </w:r>
      <w:r>
        <w:t>a</w:t>
      </w:r>
      <w:r w:rsidRPr="00307406">
        <w:t>rea;</w:t>
      </w:r>
    </w:p>
    <w:p w14:paraId="7831F9F8" w14:textId="77777777" w:rsidR="00307406" w:rsidRPr="00307406" w:rsidRDefault="00307406" w:rsidP="00307406">
      <w:pPr>
        <w:pStyle w:val="ListParagraph"/>
        <w:numPr>
          <w:ilvl w:val="0"/>
          <w:numId w:val="23"/>
        </w:numPr>
      </w:pPr>
      <w:r w:rsidRPr="00307406">
        <w:t>Any other area that is used solely for storage and has a headroom of 900-1500mm (such as under eaves) is counted at 50% of its floor area, and any area lower than 900mm is not counted at all;</w:t>
      </w:r>
    </w:p>
    <w:p w14:paraId="304F9E40" w14:textId="682FD5F8" w:rsidR="00307406" w:rsidRPr="00307406" w:rsidRDefault="00307406" w:rsidP="00307406">
      <w:pPr>
        <w:pStyle w:val="ListParagraph"/>
        <w:numPr>
          <w:ilvl w:val="0"/>
          <w:numId w:val="23"/>
        </w:numPr>
      </w:pPr>
      <w:r w:rsidRPr="00307406">
        <w:t xml:space="preserve">A built-in wardrobe counts towards the </w:t>
      </w:r>
      <w:r>
        <w:t>g</w:t>
      </w:r>
      <w:r w:rsidRPr="00307406">
        <w:t xml:space="preserve">ross </w:t>
      </w:r>
      <w:r>
        <w:t>i</w:t>
      </w:r>
      <w:r w:rsidRPr="00307406">
        <w:t xml:space="preserve">nternal </w:t>
      </w:r>
      <w:r>
        <w:t>a</w:t>
      </w:r>
      <w:r w:rsidRPr="00307406">
        <w:t>rea and bedroom floor area requirements, but should not reduce the effective width of the room below the minimum widths set out above. The built-in area in excess of 0.72square metres in a double bedroom and 0.36 square metres in a single bedroom counts towards the built-in storage requirement;</w:t>
      </w:r>
    </w:p>
    <w:p w14:paraId="7976D117" w14:textId="67269F19" w:rsidR="00307406" w:rsidRDefault="00307406" w:rsidP="00307406">
      <w:pPr>
        <w:pStyle w:val="ListParagraph"/>
        <w:numPr>
          <w:ilvl w:val="0"/>
          <w:numId w:val="23"/>
        </w:numPr>
      </w:pPr>
      <w:r w:rsidRPr="00307406">
        <w:t xml:space="preserve">The minimum floor to ceiling height is 2.3m from at least 75% of the </w:t>
      </w:r>
      <w:r>
        <w:t>g</w:t>
      </w:r>
      <w:r w:rsidRPr="00307406">
        <w:t xml:space="preserve">ross </w:t>
      </w:r>
      <w:r>
        <w:t>i</w:t>
      </w:r>
      <w:r w:rsidRPr="00307406">
        <w:t xml:space="preserve">nternal </w:t>
      </w:r>
      <w:r>
        <w:t>a</w:t>
      </w:r>
      <w:r w:rsidRPr="00307406">
        <w:t xml:space="preserve">rea. </w:t>
      </w:r>
    </w:p>
    <w:p w14:paraId="11F6EFBE" w14:textId="5239570A" w:rsidR="004C2B68" w:rsidRDefault="00307406" w:rsidP="005A260F">
      <w:pPr>
        <w:rPr>
          <w:rFonts w:cstheme="minorHAnsi"/>
          <w:b/>
          <w:bCs/>
          <w:iCs/>
        </w:rPr>
      </w:pPr>
      <w:r>
        <w:rPr>
          <w:noProof/>
        </w:rPr>
        <w:lastRenderedPageBreak/>
        <w:drawing>
          <wp:inline distT="0" distB="0" distL="0" distR="0" wp14:anchorId="00FAC002" wp14:editId="524457D1">
            <wp:extent cx="5731510" cy="6957060"/>
            <wp:effectExtent l="0" t="0" r="2540" b="0"/>
            <wp:docPr id="1" name="Picture 1" descr="A table extracted from statutory guidance showing the minimum standard Gross Internal Areas and built-in storage requirements for dwellings, organised by number of bedrooms, bedspaces and sto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extracted from statutory guidance showing the minimum standard Gross Internal Areas and built-in storage requirements for dwellings, organised by number of bedrooms, bedspaces and storeys."/>
                    <pic:cNvPicPr/>
                  </pic:nvPicPr>
                  <pic:blipFill>
                    <a:blip r:embed="rId17"/>
                    <a:stretch>
                      <a:fillRect/>
                    </a:stretch>
                  </pic:blipFill>
                  <pic:spPr>
                    <a:xfrm>
                      <a:off x="0" y="0"/>
                      <a:ext cx="5731510" cy="6957060"/>
                    </a:xfrm>
                    <a:prstGeom prst="rect">
                      <a:avLst/>
                    </a:prstGeom>
                  </pic:spPr>
                </pic:pic>
              </a:graphicData>
            </a:graphic>
          </wp:inline>
        </w:drawing>
      </w:r>
    </w:p>
    <w:p w14:paraId="4BC9B2AB" w14:textId="77777777" w:rsidR="00AE00B3" w:rsidRDefault="00AE00B3" w:rsidP="005A260F">
      <w:pPr>
        <w:rPr>
          <w:rFonts w:cstheme="minorHAnsi"/>
          <w:b/>
          <w:bCs/>
          <w:iCs/>
        </w:rPr>
        <w:sectPr w:rsidR="00AE00B3" w:rsidSect="004B527B">
          <w:type w:val="continuous"/>
          <w:pgSz w:w="11906" w:h="16838"/>
          <w:pgMar w:top="1440" w:right="1440" w:bottom="1440" w:left="1440" w:header="708" w:footer="708" w:gutter="0"/>
          <w:cols w:space="708"/>
          <w:docGrid w:linePitch="360"/>
        </w:sectPr>
      </w:pPr>
    </w:p>
    <w:p w14:paraId="0E5AC87A" w14:textId="29338AD4" w:rsidR="00AE00B3" w:rsidRDefault="00AE00B3" w:rsidP="005A260F">
      <w:pPr>
        <w:rPr>
          <w:rFonts w:cstheme="minorHAnsi"/>
          <w:b/>
          <w:bCs/>
          <w:iCs/>
        </w:rPr>
      </w:pPr>
      <w:r>
        <w:rPr>
          <w:rFonts w:cstheme="minorHAnsi"/>
          <w:b/>
          <w:bCs/>
          <w:iCs/>
        </w:rPr>
        <w:lastRenderedPageBreak/>
        <w:t>Appendix C: Other Local Authority Space Standards Evidence Findings for Purposes of Comparison</w:t>
      </w:r>
    </w:p>
    <w:tbl>
      <w:tblPr>
        <w:tblStyle w:val="TableGrid"/>
        <w:tblpPr w:leftFromText="180" w:rightFromText="180" w:vertAnchor="page" w:horzAnchor="margin" w:tblpY="1336"/>
        <w:tblW w:w="0" w:type="auto"/>
        <w:tblLook w:val="04A0" w:firstRow="1" w:lastRow="0" w:firstColumn="1" w:lastColumn="0" w:noHBand="0" w:noVBand="1"/>
      </w:tblPr>
      <w:tblGrid>
        <w:gridCol w:w="1696"/>
        <w:gridCol w:w="1560"/>
        <w:gridCol w:w="1842"/>
        <w:gridCol w:w="2172"/>
        <w:gridCol w:w="6095"/>
      </w:tblGrid>
      <w:tr w:rsidR="00AE00B3" w14:paraId="58B22AD9" w14:textId="77777777" w:rsidTr="00481889">
        <w:tc>
          <w:tcPr>
            <w:tcW w:w="1696" w:type="dxa"/>
          </w:tcPr>
          <w:p w14:paraId="6E5487CE" w14:textId="77777777" w:rsidR="00AE00B3" w:rsidRDefault="00AE00B3" w:rsidP="00481889">
            <w:r>
              <w:t>LPA</w:t>
            </w:r>
          </w:p>
        </w:tc>
        <w:tc>
          <w:tcPr>
            <w:tcW w:w="1560" w:type="dxa"/>
          </w:tcPr>
          <w:p w14:paraId="3BEACED7" w14:textId="77777777" w:rsidR="00AE00B3" w:rsidRDefault="00AE00B3" w:rsidP="00481889">
            <w:r>
              <w:t>Date of Study</w:t>
            </w:r>
          </w:p>
        </w:tc>
        <w:tc>
          <w:tcPr>
            <w:tcW w:w="1842" w:type="dxa"/>
          </w:tcPr>
          <w:p w14:paraId="3A0DF0A3" w14:textId="77777777" w:rsidR="00AE00B3" w:rsidRDefault="00AE00B3" w:rsidP="00481889">
            <w:r>
              <w:t>Method</w:t>
            </w:r>
          </w:p>
        </w:tc>
        <w:tc>
          <w:tcPr>
            <w:tcW w:w="2172" w:type="dxa"/>
          </w:tcPr>
          <w:p w14:paraId="43D57196" w14:textId="77777777" w:rsidR="00AE00B3" w:rsidRDefault="00AE00B3" w:rsidP="00481889">
            <w:r>
              <w:t>Findings</w:t>
            </w:r>
          </w:p>
        </w:tc>
        <w:tc>
          <w:tcPr>
            <w:tcW w:w="6095" w:type="dxa"/>
          </w:tcPr>
          <w:p w14:paraId="6E734F32" w14:textId="77777777" w:rsidR="00AE00B3" w:rsidRDefault="00AE00B3" w:rsidP="00481889">
            <w:r>
              <w:t>Link</w:t>
            </w:r>
          </w:p>
        </w:tc>
      </w:tr>
      <w:tr w:rsidR="00AE00B3" w14:paraId="571EECFD" w14:textId="77777777" w:rsidTr="00481889">
        <w:tc>
          <w:tcPr>
            <w:tcW w:w="1696" w:type="dxa"/>
          </w:tcPr>
          <w:p w14:paraId="4622A012" w14:textId="77777777" w:rsidR="00AE00B3" w:rsidRDefault="00AE00B3" w:rsidP="00481889">
            <w:r>
              <w:t>Blackpool Council</w:t>
            </w:r>
          </w:p>
        </w:tc>
        <w:tc>
          <w:tcPr>
            <w:tcW w:w="1560" w:type="dxa"/>
          </w:tcPr>
          <w:p w14:paraId="3963B931" w14:textId="77777777" w:rsidR="00AE00B3" w:rsidRDefault="00AE00B3" w:rsidP="00481889">
            <w:r>
              <w:t>Dec 2020</w:t>
            </w:r>
          </w:p>
        </w:tc>
        <w:tc>
          <w:tcPr>
            <w:tcW w:w="1842" w:type="dxa"/>
          </w:tcPr>
          <w:p w14:paraId="41C460CC" w14:textId="77777777" w:rsidR="00AE00B3" w:rsidRDefault="00AE00B3" w:rsidP="00481889">
            <w:r>
              <w:t>Undefined – presumably all criteria.</w:t>
            </w:r>
          </w:p>
        </w:tc>
        <w:tc>
          <w:tcPr>
            <w:tcW w:w="2172" w:type="dxa"/>
          </w:tcPr>
          <w:p w14:paraId="25C23D57" w14:textId="77777777" w:rsidR="00AE00B3" w:rsidRDefault="00AE00B3" w:rsidP="00481889">
            <w:r>
              <w:t>3% met all criteria (53 of 1702 dwellings); smaller schemes and larger properties more likely to meet criteria</w:t>
            </w:r>
          </w:p>
        </w:tc>
        <w:tc>
          <w:tcPr>
            <w:tcW w:w="6095" w:type="dxa"/>
          </w:tcPr>
          <w:p w14:paraId="27B7F42B" w14:textId="77777777" w:rsidR="00AE00B3" w:rsidRDefault="00AE00B3" w:rsidP="00481889">
            <w:hyperlink r:id="rId18" w:anchor=":~:text=3.0%20Space%20Standards%20Evidence%203.1%20The%20NPPG%20states,impacts%20of%20adopting%20the%20standard%20are%20properly%20assessed." w:history="1">
              <w:r>
                <w:rPr>
                  <w:rStyle w:val="Hyperlink"/>
                </w:rPr>
                <w:t>Space Standards and Accessible Homes Topic Paper Final Dec 2020 (blackpool.gov.uk)</w:t>
              </w:r>
            </w:hyperlink>
          </w:p>
        </w:tc>
      </w:tr>
      <w:tr w:rsidR="00AE00B3" w14:paraId="630985AC" w14:textId="77777777" w:rsidTr="00481889">
        <w:tc>
          <w:tcPr>
            <w:tcW w:w="1696" w:type="dxa"/>
          </w:tcPr>
          <w:p w14:paraId="587677CE" w14:textId="77777777" w:rsidR="00AE00B3" w:rsidRDefault="00AE00B3" w:rsidP="00481889">
            <w:r>
              <w:t>Colchester Borough Council</w:t>
            </w:r>
          </w:p>
        </w:tc>
        <w:tc>
          <w:tcPr>
            <w:tcW w:w="1560" w:type="dxa"/>
          </w:tcPr>
          <w:p w14:paraId="53DF0821" w14:textId="77777777" w:rsidR="00AE00B3" w:rsidRDefault="00AE00B3" w:rsidP="00481889">
            <w:r>
              <w:t>Unknown</w:t>
            </w:r>
          </w:p>
        </w:tc>
        <w:tc>
          <w:tcPr>
            <w:tcW w:w="1842" w:type="dxa"/>
          </w:tcPr>
          <w:p w14:paraId="2E47C237" w14:textId="77777777" w:rsidR="00AE00B3" w:rsidRDefault="00AE00B3" w:rsidP="00481889">
            <w:r>
              <w:t xml:space="preserve">GIA, </w:t>
            </w:r>
            <w:proofErr w:type="gramStart"/>
            <w:r>
              <w:t>bedroom</w:t>
            </w:r>
            <w:proofErr w:type="gramEnd"/>
            <w:r>
              <w:t xml:space="preserve"> and storage</w:t>
            </w:r>
          </w:p>
        </w:tc>
        <w:tc>
          <w:tcPr>
            <w:tcW w:w="2172" w:type="dxa"/>
          </w:tcPr>
          <w:p w14:paraId="11F284DC" w14:textId="77777777" w:rsidR="00AE00B3" w:rsidRDefault="00AE00B3" w:rsidP="00481889">
            <w:r>
              <w:t>12% met all criteria; 67% met GIA</w:t>
            </w:r>
          </w:p>
        </w:tc>
        <w:tc>
          <w:tcPr>
            <w:tcW w:w="6095" w:type="dxa"/>
          </w:tcPr>
          <w:p w14:paraId="1FDFAD56" w14:textId="77777777" w:rsidR="00AE00B3" w:rsidRDefault="00AE00B3" w:rsidP="00481889">
            <w:hyperlink r:id="rId19" w:history="1">
              <w:r>
                <w:rPr>
                  <w:rStyle w:val="Hyperlink"/>
                </w:rPr>
                <w:t>CBC-Local-Plan-CBC-Space-Study---evidence-base-EBC 2.18 CBC Space Study.pdf (windows.net)</w:t>
              </w:r>
            </w:hyperlink>
          </w:p>
        </w:tc>
      </w:tr>
      <w:tr w:rsidR="00AE00B3" w14:paraId="1274FEF4" w14:textId="77777777" w:rsidTr="00481889">
        <w:tc>
          <w:tcPr>
            <w:tcW w:w="1696" w:type="dxa"/>
          </w:tcPr>
          <w:p w14:paraId="7F59F19F" w14:textId="77777777" w:rsidR="00AE00B3" w:rsidRDefault="00AE00B3" w:rsidP="00481889">
            <w:r>
              <w:t>Doncaster Council</w:t>
            </w:r>
          </w:p>
        </w:tc>
        <w:tc>
          <w:tcPr>
            <w:tcW w:w="1560" w:type="dxa"/>
          </w:tcPr>
          <w:p w14:paraId="38974E4F" w14:textId="77777777" w:rsidR="00AE00B3" w:rsidRDefault="00AE00B3" w:rsidP="00481889">
            <w:r>
              <w:t>Nov 2019</w:t>
            </w:r>
          </w:p>
        </w:tc>
        <w:tc>
          <w:tcPr>
            <w:tcW w:w="1842" w:type="dxa"/>
          </w:tcPr>
          <w:p w14:paraId="1FA3F5C2" w14:textId="77777777" w:rsidR="00AE00B3" w:rsidRDefault="00AE00B3" w:rsidP="00481889">
            <w:r>
              <w:t xml:space="preserve">GIA, </w:t>
            </w:r>
            <w:proofErr w:type="gramStart"/>
            <w:r>
              <w:t>bedroom</w:t>
            </w:r>
            <w:proofErr w:type="gramEnd"/>
            <w:r>
              <w:t xml:space="preserve"> and storage</w:t>
            </w:r>
          </w:p>
        </w:tc>
        <w:tc>
          <w:tcPr>
            <w:tcW w:w="2172" w:type="dxa"/>
          </w:tcPr>
          <w:p w14:paraId="7017CAC5" w14:textId="77777777" w:rsidR="00AE00B3" w:rsidRDefault="00AE00B3" w:rsidP="00481889">
            <w:r>
              <w:t>9% met all criteria (23 of 246 dwellings); 58% met bedroom criteria; 82% met GIA criteria</w:t>
            </w:r>
          </w:p>
        </w:tc>
        <w:tc>
          <w:tcPr>
            <w:tcW w:w="6095" w:type="dxa"/>
          </w:tcPr>
          <w:p w14:paraId="5BCAE9B7" w14:textId="77777777" w:rsidR="00AE00B3" w:rsidRDefault="00AE00B3" w:rsidP="00481889">
            <w:hyperlink r:id="rId20" w:history="1">
              <w:r>
                <w:rPr>
                  <w:rStyle w:val="Hyperlink"/>
                </w:rPr>
                <w:t>SDEB25 - Housing Design Standards Policy Evidence Paper.pdf (windows.net)</w:t>
              </w:r>
            </w:hyperlink>
          </w:p>
        </w:tc>
      </w:tr>
      <w:tr w:rsidR="00AE00B3" w14:paraId="09474BBA" w14:textId="77777777" w:rsidTr="00481889">
        <w:tc>
          <w:tcPr>
            <w:tcW w:w="1696" w:type="dxa"/>
          </w:tcPr>
          <w:p w14:paraId="2D659894" w14:textId="77777777" w:rsidR="00AE00B3" w:rsidRDefault="00AE00B3" w:rsidP="00481889">
            <w:r>
              <w:t>Portsmouth Council</w:t>
            </w:r>
          </w:p>
        </w:tc>
        <w:tc>
          <w:tcPr>
            <w:tcW w:w="1560" w:type="dxa"/>
          </w:tcPr>
          <w:p w14:paraId="2D9B399D" w14:textId="77777777" w:rsidR="00AE00B3" w:rsidRDefault="00AE00B3" w:rsidP="00481889">
            <w:r>
              <w:t>July 2021</w:t>
            </w:r>
          </w:p>
        </w:tc>
        <w:tc>
          <w:tcPr>
            <w:tcW w:w="1842" w:type="dxa"/>
          </w:tcPr>
          <w:p w14:paraId="36FDF954" w14:textId="77777777" w:rsidR="00AE00B3" w:rsidRDefault="00AE00B3" w:rsidP="00481889">
            <w:r>
              <w:t>GIA and bedroom</w:t>
            </w:r>
          </w:p>
        </w:tc>
        <w:tc>
          <w:tcPr>
            <w:tcW w:w="2172" w:type="dxa"/>
          </w:tcPr>
          <w:p w14:paraId="4852D552" w14:textId="77777777" w:rsidR="00AE00B3" w:rsidRDefault="00AE00B3" w:rsidP="00481889">
            <w:r>
              <w:t>78% (269 of 345 units) met GIA and bedroom criteria; larger properties more likely to meet criteria</w:t>
            </w:r>
          </w:p>
        </w:tc>
        <w:tc>
          <w:tcPr>
            <w:tcW w:w="6095" w:type="dxa"/>
          </w:tcPr>
          <w:p w14:paraId="2CCE8168" w14:textId="77777777" w:rsidR="00AE00B3" w:rsidRDefault="00AE00B3" w:rsidP="00481889">
            <w:hyperlink r:id="rId21" w:history="1">
              <w:r>
                <w:rPr>
                  <w:rStyle w:val="Hyperlink"/>
                </w:rPr>
                <w:t>Space_Standards_Background_Paper_July_2021_compressed.pdf (portsmouth.gov.uk)</w:t>
              </w:r>
            </w:hyperlink>
          </w:p>
        </w:tc>
      </w:tr>
      <w:tr w:rsidR="00AE00B3" w14:paraId="3FACB1EB" w14:textId="77777777" w:rsidTr="00481889">
        <w:tc>
          <w:tcPr>
            <w:tcW w:w="1696" w:type="dxa"/>
          </w:tcPr>
          <w:p w14:paraId="0F30C2FD" w14:textId="77777777" w:rsidR="00AE00B3" w:rsidRDefault="00AE00B3" w:rsidP="00481889">
            <w:r>
              <w:t>Gateshead Council</w:t>
            </w:r>
          </w:p>
        </w:tc>
        <w:tc>
          <w:tcPr>
            <w:tcW w:w="1560" w:type="dxa"/>
          </w:tcPr>
          <w:p w14:paraId="5CB52206" w14:textId="77777777" w:rsidR="00AE00B3" w:rsidRDefault="00AE00B3" w:rsidP="00481889">
            <w:r>
              <w:t>Feb 2019</w:t>
            </w:r>
          </w:p>
        </w:tc>
        <w:tc>
          <w:tcPr>
            <w:tcW w:w="1842" w:type="dxa"/>
          </w:tcPr>
          <w:p w14:paraId="2BE73046" w14:textId="77777777" w:rsidR="00AE00B3" w:rsidRDefault="00AE00B3" w:rsidP="00481889">
            <w:r>
              <w:t>GIA</w:t>
            </w:r>
          </w:p>
        </w:tc>
        <w:tc>
          <w:tcPr>
            <w:tcW w:w="2172" w:type="dxa"/>
          </w:tcPr>
          <w:p w14:paraId="5F33BD14" w14:textId="77777777" w:rsidR="00AE00B3" w:rsidRDefault="00AE00B3" w:rsidP="00481889">
            <w:r>
              <w:t>50% (208 of 416 units)</w:t>
            </w:r>
          </w:p>
        </w:tc>
        <w:tc>
          <w:tcPr>
            <w:tcW w:w="6095" w:type="dxa"/>
          </w:tcPr>
          <w:p w14:paraId="5EE98553" w14:textId="77777777" w:rsidR="00AE00B3" w:rsidRDefault="00AE00B3" w:rsidP="00481889">
            <w:hyperlink r:id="rId22" w:history="1">
              <w:r>
                <w:rPr>
                  <w:rStyle w:val="Hyperlink"/>
                </w:rPr>
                <w:t>newcastle_upon_tyne_gateshead_supplementary_-_space_standards.pdf</w:t>
              </w:r>
            </w:hyperlink>
          </w:p>
        </w:tc>
      </w:tr>
      <w:tr w:rsidR="00AE00B3" w14:paraId="2E603A51" w14:textId="77777777" w:rsidTr="00481889">
        <w:tc>
          <w:tcPr>
            <w:tcW w:w="1696" w:type="dxa"/>
          </w:tcPr>
          <w:p w14:paraId="5F326C5F" w14:textId="77777777" w:rsidR="00AE00B3" w:rsidRDefault="00AE00B3" w:rsidP="00481889">
            <w:r>
              <w:t>Milton Keynes Council</w:t>
            </w:r>
          </w:p>
        </w:tc>
        <w:tc>
          <w:tcPr>
            <w:tcW w:w="1560" w:type="dxa"/>
          </w:tcPr>
          <w:p w14:paraId="2C7456D9" w14:textId="77777777" w:rsidR="00AE00B3" w:rsidRDefault="00AE00B3" w:rsidP="00481889">
            <w:r>
              <w:t>Aug 2017</w:t>
            </w:r>
          </w:p>
        </w:tc>
        <w:tc>
          <w:tcPr>
            <w:tcW w:w="1842" w:type="dxa"/>
          </w:tcPr>
          <w:p w14:paraId="0634909D" w14:textId="77777777" w:rsidR="00AE00B3" w:rsidRDefault="00AE00B3" w:rsidP="00481889">
            <w:r>
              <w:t>GIA and bedroom</w:t>
            </w:r>
          </w:p>
        </w:tc>
        <w:tc>
          <w:tcPr>
            <w:tcW w:w="2172" w:type="dxa"/>
          </w:tcPr>
          <w:p w14:paraId="299C78FB" w14:textId="77777777" w:rsidR="00AE00B3" w:rsidRDefault="00AE00B3" w:rsidP="00481889">
            <w:r>
              <w:t>49% (125 of 256 units) met GIA; 54% met bedroom floorspace; 84% met bedroom width</w:t>
            </w:r>
          </w:p>
        </w:tc>
        <w:tc>
          <w:tcPr>
            <w:tcW w:w="6095" w:type="dxa"/>
          </w:tcPr>
          <w:p w14:paraId="72D9F385" w14:textId="77777777" w:rsidR="00AE00B3" w:rsidRDefault="00AE00B3" w:rsidP="00481889">
            <w:hyperlink r:id="rId23" w:history="1">
              <w:r>
                <w:rPr>
                  <w:rStyle w:val="Hyperlink"/>
                </w:rPr>
                <w:t>Microsoft Word - NDSS Assessment - Report on Findings v0.3 (milton-keynes.gov.uk)</w:t>
              </w:r>
            </w:hyperlink>
          </w:p>
        </w:tc>
      </w:tr>
    </w:tbl>
    <w:p w14:paraId="71005EFA" w14:textId="77777777" w:rsidR="00AE00B3" w:rsidRDefault="00AE00B3" w:rsidP="005A260F">
      <w:pPr>
        <w:rPr>
          <w:rFonts w:cstheme="minorHAnsi"/>
          <w:b/>
          <w:bCs/>
          <w:iCs/>
        </w:rPr>
      </w:pPr>
    </w:p>
    <w:p w14:paraId="10BAD6BA" w14:textId="77777777" w:rsidR="00AE00B3" w:rsidRPr="00DC783A" w:rsidRDefault="00AE00B3" w:rsidP="005A260F">
      <w:pPr>
        <w:rPr>
          <w:rFonts w:cstheme="minorHAnsi"/>
          <w:b/>
          <w:bCs/>
          <w:iCs/>
        </w:rPr>
      </w:pPr>
    </w:p>
    <w:sectPr w:rsidR="00AE00B3" w:rsidRPr="00DC783A" w:rsidSect="00AE00B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28DC" w14:textId="77777777" w:rsidR="00DD4F51" w:rsidRDefault="00DD4F51" w:rsidP="00401546">
      <w:pPr>
        <w:spacing w:after="0" w:line="240" w:lineRule="auto"/>
      </w:pPr>
      <w:r>
        <w:separator/>
      </w:r>
    </w:p>
  </w:endnote>
  <w:endnote w:type="continuationSeparator" w:id="0">
    <w:p w14:paraId="438081B6" w14:textId="77777777" w:rsidR="00DD4F51" w:rsidRDefault="00DD4F51" w:rsidP="0040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D17E" w14:textId="77777777" w:rsidR="00DD4F51" w:rsidRDefault="00DD4F51" w:rsidP="00401546">
      <w:pPr>
        <w:spacing w:after="0" w:line="240" w:lineRule="auto"/>
      </w:pPr>
      <w:r>
        <w:separator/>
      </w:r>
    </w:p>
  </w:footnote>
  <w:footnote w:type="continuationSeparator" w:id="0">
    <w:p w14:paraId="78D04BD8" w14:textId="77777777" w:rsidR="00DD4F51" w:rsidRDefault="00DD4F51" w:rsidP="00401546">
      <w:pPr>
        <w:spacing w:after="0" w:line="240" w:lineRule="auto"/>
      </w:pPr>
      <w:r>
        <w:continuationSeparator/>
      </w:r>
    </w:p>
  </w:footnote>
  <w:footnote w:id="1">
    <w:p w14:paraId="4C743855" w14:textId="012C3AB3" w:rsidR="00F014BA" w:rsidRDefault="00F014BA">
      <w:pPr>
        <w:pStyle w:val="FootnoteText"/>
      </w:pPr>
      <w:r>
        <w:rPr>
          <w:rStyle w:val="FootnoteReference"/>
        </w:rPr>
        <w:footnoteRef/>
      </w:r>
      <w:r>
        <w:t xml:space="preserve"> </w:t>
      </w:r>
      <w:hyperlink r:id="rId1" w:history="1">
        <w:r w:rsidRPr="001B35B6">
          <w:rPr>
            <w:rStyle w:val="Hyperlink"/>
          </w:rPr>
          <w:t>https://www.gov.uk/guidance/housing-optional-technical-standards</w:t>
        </w:r>
      </w:hyperlink>
    </w:p>
  </w:footnote>
  <w:footnote w:id="2">
    <w:p w14:paraId="334C5447" w14:textId="219119DF" w:rsidR="00E5765F" w:rsidRDefault="00E5765F">
      <w:pPr>
        <w:pStyle w:val="FootnoteText"/>
      </w:pPr>
      <w:r>
        <w:rPr>
          <w:rStyle w:val="FootnoteReference"/>
        </w:rPr>
        <w:footnoteRef/>
      </w:r>
      <w:r>
        <w:t xml:space="preserve"> </w:t>
      </w:r>
      <w:hyperlink r:id="rId2" w:history="1">
        <w:r w:rsidRPr="00E5765F">
          <w:rPr>
            <w:color w:val="0000FF"/>
            <w:sz w:val="22"/>
            <w:szCs w:val="22"/>
            <w:u w:val="single"/>
          </w:rPr>
          <w:t>Code of measuring practice: definitions for rating purposes - GOV.UK (www.gov.uk)</w:t>
        </w:r>
      </w:hyperlink>
    </w:p>
  </w:footnote>
  <w:footnote w:id="3">
    <w:p w14:paraId="6673FC4B" w14:textId="54367E5E" w:rsidR="00961713" w:rsidRDefault="00961713">
      <w:pPr>
        <w:pStyle w:val="FootnoteText"/>
      </w:pPr>
      <w:r>
        <w:rPr>
          <w:rStyle w:val="FootnoteReference"/>
        </w:rPr>
        <w:footnoteRef/>
      </w:r>
      <w:r>
        <w:t xml:space="preserve"> The exception being the inclusion of dwellings proposed within 21/00571/FUL (pending decision), include</w:t>
      </w:r>
      <w:r w:rsidR="007F0DA9">
        <w:t>d</w:t>
      </w:r>
      <w:r>
        <w:t xml:space="preserve"> to ensure sampling inclusive of a v</w:t>
      </w:r>
      <w:r w:rsidR="007F0DA9">
        <w:t>e</w:t>
      </w:r>
      <w:r>
        <w:t>ry large development (300 dwellings).</w:t>
      </w:r>
    </w:p>
  </w:footnote>
  <w:footnote w:id="4">
    <w:p w14:paraId="07D2600F" w14:textId="13400D48" w:rsidR="00553C28" w:rsidRDefault="00553C28">
      <w:pPr>
        <w:pStyle w:val="FootnoteText"/>
      </w:pPr>
      <w:r>
        <w:rPr>
          <w:rStyle w:val="FootnoteReference"/>
        </w:rPr>
        <w:footnoteRef/>
      </w:r>
      <w:r>
        <w:t xml:space="preserve"> Assuming average of </w:t>
      </w:r>
      <w:r w:rsidR="00E83185">
        <w:t>559</w:t>
      </w:r>
      <w:r>
        <w:t xml:space="preserve"> dwelling</w:t>
      </w:r>
      <w:r w:rsidR="00EE2341">
        <w:t>s</w:t>
      </w:r>
      <w:r>
        <w:t xml:space="preserve"> per annum based on net dwellings completed in </w:t>
      </w:r>
      <w:r w:rsidR="00E83185">
        <w:t xml:space="preserve">2019/20, </w:t>
      </w:r>
      <w:r>
        <w:t>2020/21</w:t>
      </w:r>
      <w:r w:rsidR="00E83185">
        <w:t xml:space="preserve"> and 2021/22</w:t>
      </w:r>
      <w:r>
        <w:t xml:space="preserve"> – CDC Authority’s Monitoring Report 1</w:t>
      </w:r>
      <w:r w:rsidRPr="00553C28">
        <w:rPr>
          <w:vertAlign w:val="superscript"/>
        </w:rPr>
        <w:t>st</w:t>
      </w:r>
      <w:r>
        <w:t xml:space="preserve"> April 202</w:t>
      </w:r>
      <w:r w:rsidR="00E83185">
        <w:t>1</w:t>
      </w:r>
      <w:r>
        <w:t xml:space="preserve"> – 31</w:t>
      </w:r>
      <w:r w:rsidRPr="00553C28">
        <w:rPr>
          <w:vertAlign w:val="superscript"/>
        </w:rPr>
        <w:t>st</w:t>
      </w:r>
      <w:r>
        <w:t xml:space="preserve"> March 202</w:t>
      </w:r>
      <w:r w:rsidR="00E83185">
        <w:t>2</w:t>
      </w:r>
      <w:r w:rsidR="00EE2341">
        <w:t xml:space="preserve"> refers</w:t>
      </w:r>
      <w:r>
        <w:t>.</w:t>
      </w:r>
    </w:p>
  </w:footnote>
  <w:footnote w:id="5">
    <w:p w14:paraId="4DD1EAB8" w14:textId="70FE60CB" w:rsidR="0077789C" w:rsidRDefault="0077789C">
      <w:pPr>
        <w:pStyle w:val="FootnoteText"/>
      </w:pPr>
      <w:r>
        <w:rPr>
          <w:rStyle w:val="FootnoteReference"/>
        </w:rPr>
        <w:footnoteRef/>
      </w:r>
      <w:r>
        <w:t xml:space="preserve"> </w:t>
      </w:r>
      <w:bookmarkStart w:id="1" w:name="_Hlk129348094"/>
      <w:r>
        <w:t>Housing Standards Review: Final Implementation Impact Assessment, Department for Communities and Local Government, March 2015</w:t>
      </w:r>
      <w:bookmarkEnd w:id="1"/>
    </w:p>
  </w:footnote>
  <w:footnote w:id="6">
    <w:p w14:paraId="24901499" w14:textId="7B2660E7" w:rsidR="00DF2CE3" w:rsidRDefault="00DF2CE3">
      <w:pPr>
        <w:pStyle w:val="FootnoteText"/>
      </w:pPr>
      <w:r>
        <w:rPr>
          <w:rStyle w:val="FootnoteReference"/>
        </w:rPr>
        <w:footnoteRef/>
      </w:r>
      <w:r>
        <w:t xml:space="preserve"> </w:t>
      </w:r>
      <w:hyperlink r:id="rId3" w:history="1">
        <w:r w:rsidRPr="00DF2CE3">
          <w:rPr>
            <w:color w:val="0000FF"/>
            <w:sz w:val="22"/>
            <w:szCs w:val="22"/>
            <w:u w:val="single"/>
          </w:rPr>
          <w:t>Standards_by_Programme_chart_2018-19.pdf (publishing.service.gov.uk)</w:t>
        </w:r>
      </w:hyperlink>
    </w:p>
  </w:footnote>
  <w:footnote w:id="7">
    <w:p w14:paraId="11B62F9F" w14:textId="11F4F870" w:rsidR="00981631" w:rsidRDefault="00981631">
      <w:pPr>
        <w:pStyle w:val="FootnoteText"/>
      </w:pPr>
      <w:r>
        <w:rPr>
          <w:rStyle w:val="FootnoteReference"/>
        </w:rPr>
        <w:footnoteRef/>
      </w:r>
      <w:r>
        <w:t xml:space="preserve"> </w:t>
      </w:r>
      <w:hyperlink r:id="rId4" w:history="1">
        <w:r w:rsidRPr="00981631">
          <w:rPr>
            <w:color w:val="0000FF"/>
            <w:sz w:val="22"/>
            <w:szCs w:val="22"/>
            <w:u w:val="single"/>
          </w:rPr>
          <w:t>Raising accessibility standards for new homes: summary of consultation responses and government response - GOV.UK (www.gov.uk)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7A8"/>
    <w:multiLevelType w:val="hybridMultilevel"/>
    <w:tmpl w:val="61C2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6666E"/>
    <w:multiLevelType w:val="hybridMultilevel"/>
    <w:tmpl w:val="CF2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62135"/>
    <w:multiLevelType w:val="hybridMultilevel"/>
    <w:tmpl w:val="986E21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705B3F"/>
    <w:multiLevelType w:val="hybridMultilevel"/>
    <w:tmpl w:val="87DA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E0F0C"/>
    <w:multiLevelType w:val="hybridMultilevel"/>
    <w:tmpl w:val="F93E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47C89"/>
    <w:multiLevelType w:val="hybridMultilevel"/>
    <w:tmpl w:val="D3F0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C28CA"/>
    <w:multiLevelType w:val="hybridMultilevel"/>
    <w:tmpl w:val="217A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F4DB6"/>
    <w:multiLevelType w:val="hybridMultilevel"/>
    <w:tmpl w:val="0F1E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467A2"/>
    <w:multiLevelType w:val="hybridMultilevel"/>
    <w:tmpl w:val="2424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65193"/>
    <w:multiLevelType w:val="hybridMultilevel"/>
    <w:tmpl w:val="8560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F719C"/>
    <w:multiLevelType w:val="hybridMultilevel"/>
    <w:tmpl w:val="43EAB8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032F27"/>
    <w:multiLevelType w:val="hybridMultilevel"/>
    <w:tmpl w:val="94D8C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2190E"/>
    <w:multiLevelType w:val="hybridMultilevel"/>
    <w:tmpl w:val="D3C6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E637C"/>
    <w:multiLevelType w:val="hybridMultilevel"/>
    <w:tmpl w:val="B8AE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6F0761"/>
    <w:multiLevelType w:val="hybridMultilevel"/>
    <w:tmpl w:val="AE0E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6509E"/>
    <w:multiLevelType w:val="hybridMultilevel"/>
    <w:tmpl w:val="2684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E288C"/>
    <w:multiLevelType w:val="hybridMultilevel"/>
    <w:tmpl w:val="72E0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F2D9D"/>
    <w:multiLevelType w:val="hybridMultilevel"/>
    <w:tmpl w:val="1414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97963"/>
    <w:multiLevelType w:val="hybridMultilevel"/>
    <w:tmpl w:val="27566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572EAD"/>
    <w:multiLevelType w:val="hybridMultilevel"/>
    <w:tmpl w:val="AE06A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CF52C6"/>
    <w:multiLevelType w:val="hybridMultilevel"/>
    <w:tmpl w:val="E16EB66A"/>
    <w:lvl w:ilvl="0" w:tplc="B8C6FB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2519A"/>
    <w:multiLevelType w:val="hybridMultilevel"/>
    <w:tmpl w:val="8788F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8E24B6"/>
    <w:multiLevelType w:val="hybridMultilevel"/>
    <w:tmpl w:val="28E8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D0872"/>
    <w:multiLevelType w:val="hybridMultilevel"/>
    <w:tmpl w:val="B5306B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923559">
    <w:abstractNumId w:val="9"/>
  </w:num>
  <w:num w:numId="2" w16cid:durableId="7341409">
    <w:abstractNumId w:val="1"/>
  </w:num>
  <w:num w:numId="3" w16cid:durableId="1347055849">
    <w:abstractNumId w:val="22"/>
  </w:num>
  <w:num w:numId="4" w16cid:durableId="308167560">
    <w:abstractNumId w:val="3"/>
  </w:num>
  <w:num w:numId="5" w16cid:durableId="1718310310">
    <w:abstractNumId w:val="0"/>
  </w:num>
  <w:num w:numId="6" w16cid:durableId="1367560761">
    <w:abstractNumId w:val="8"/>
  </w:num>
  <w:num w:numId="7" w16cid:durableId="906693843">
    <w:abstractNumId w:val="16"/>
  </w:num>
  <w:num w:numId="8" w16cid:durableId="597829418">
    <w:abstractNumId w:val="15"/>
  </w:num>
  <w:num w:numId="9" w16cid:durableId="1578395725">
    <w:abstractNumId w:val="4"/>
  </w:num>
  <w:num w:numId="10" w16cid:durableId="325859277">
    <w:abstractNumId w:val="11"/>
  </w:num>
  <w:num w:numId="11" w16cid:durableId="1657569088">
    <w:abstractNumId w:val="17"/>
  </w:num>
  <w:num w:numId="12" w16cid:durableId="271057005">
    <w:abstractNumId w:val="21"/>
  </w:num>
  <w:num w:numId="13" w16cid:durableId="1560676502">
    <w:abstractNumId w:val="18"/>
  </w:num>
  <w:num w:numId="14" w16cid:durableId="512575106">
    <w:abstractNumId w:val="5"/>
  </w:num>
  <w:num w:numId="15" w16cid:durableId="823156921">
    <w:abstractNumId w:val="6"/>
  </w:num>
  <w:num w:numId="16" w16cid:durableId="1307970705">
    <w:abstractNumId w:val="23"/>
  </w:num>
  <w:num w:numId="17" w16cid:durableId="331640036">
    <w:abstractNumId w:val="12"/>
  </w:num>
  <w:num w:numId="18" w16cid:durableId="1534735020">
    <w:abstractNumId w:val="7"/>
  </w:num>
  <w:num w:numId="19" w16cid:durableId="2083864028">
    <w:abstractNumId w:val="20"/>
  </w:num>
  <w:num w:numId="20" w16cid:durableId="1583753981">
    <w:abstractNumId w:val="19"/>
  </w:num>
  <w:num w:numId="21" w16cid:durableId="1485245987">
    <w:abstractNumId w:val="14"/>
  </w:num>
  <w:num w:numId="22" w16cid:durableId="1342465367">
    <w:abstractNumId w:val="13"/>
  </w:num>
  <w:num w:numId="23" w16cid:durableId="16347872">
    <w:abstractNumId w:val="10"/>
  </w:num>
  <w:num w:numId="24" w16cid:durableId="68008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97"/>
    <w:rsid w:val="000043C1"/>
    <w:rsid w:val="00006FCB"/>
    <w:rsid w:val="000106AE"/>
    <w:rsid w:val="00011365"/>
    <w:rsid w:val="0001540E"/>
    <w:rsid w:val="00027AB7"/>
    <w:rsid w:val="00044A30"/>
    <w:rsid w:val="00055451"/>
    <w:rsid w:val="00064FF0"/>
    <w:rsid w:val="00094125"/>
    <w:rsid w:val="00094901"/>
    <w:rsid w:val="000A3012"/>
    <w:rsid w:val="000B1252"/>
    <w:rsid w:val="000B1927"/>
    <w:rsid w:val="000B3160"/>
    <w:rsid w:val="000B7386"/>
    <w:rsid w:val="000F263C"/>
    <w:rsid w:val="00100809"/>
    <w:rsid w:val="00100AFB"/>
    <w:rsid w:val="0010498A"/>
    <w:rsid w:val="00105880"/>
    <w:rsid w:val="0011241E"/>
    <w:rsid w:val="00113B3A"/>
    <w:rsid w:val="00121DF5"/>
    <w:rsid w:val="00125691"/>
    <w:rsid w:val="00135292"/>
    <w:rsid w:val="00144806"/>
    <w:rsid w:val="00150B6E"/>
    <w:rsid w:val="0015345F"/>
    <w:rsid w:val="00155144"/>
    <w:rsid w:val="00157B3C"/>
    <w:rsid w:val="001606F7"/>
    <w:rsid w:val="00164AF3"/>
    <w:rsid w:val="00167603"/>
    <w:rsid w:val="00170FFC"/>
    <w:rsid w:val="00173669"/>
    <w:rsid w:val="00195E6B"/>
    <w:rsid w:val="00197B41"/>
    <w:rsid w:val="001A734D"/>
    <w:rsid w:val="001D06ED"/>
    <w:rsid w:val="001D4949"/>
    <w:rsid w:val="001E310C"/>
    <w:rsid w:val="001E5B90"/>
    <w:rsid w:val="001E7DD6"/>
    <w:rsid w:val="001F595F"/>
    <w:rsid w:val="001F6E39"/>
    <w:rsid w:val="00203234"/>
    <w:rsid w:val="00203B4D"/>
    <w:rsid w:val="00211EE2"/>
    <w:rsid w:val="00212601"/>
    <w:rsid w:val="00220615"/>
    <w:rsid w:val="00254408"/>
    <w:rsid w:val="00255236"/>
    <w:rsid w:val="00260A4E"/>
    <w:rsid w:val="00263DCB"/>
    <w:rsid w:val="002716A0"/>
    <w:rsid w:val="00275700"/>
    <w:rsid w:val="002772FE"/>
    <w:rsid w:val="002825AE"/>
    <w:rsid w:val="002A239C"/>
    <w:rsid w:val="002A28A2"/>
    <w:rsid w:val="002B30A2"/>
    <w:rsid w:val="002B30B7"/>
    <w:rsid w:val="002B613D"/>
    <w:rsid w:val="002B7DA4"/>
    <w:rsid w:val="002C3BF6"/>
    <w:rsid w:val="002D133F"/>
    <w:rsid w:val="002D5943"/>
    <w:rsid w:val="002D6F39"/>
    <w:rsid w:val="002F173C"/>
    <w:rsid w:val="002F1CA1"/>
    <w:rsid w:val="00304891"/>
    <w:rsid w:val="00307406"/>
    <w:rsid w:val="0031549C"/>
    <w:rsid w:val="00317DAB"/>
    <w:rsid w:val="00321DFE"/>
    <w:rsid w:val="0033001F"/>
    <w:rsid w:val="00332370"/>
    <w:rsid w:val="00332557"/>
    <w:rsid w:val="003377F9"/>
    <w:rsid w:val="00342AFC"/>
    <w:rsid w:val="00343295"/>
    <w:rsid w:val="00344B0D"/>
    <w:rsid w:val="00353074"/>
    <w:rsid w:val="00354668"/>
    <w:rsid w:val="003721DE"/>
    <w:rsid w:val="003761E5"/>
    <w:rsid w:val="00376A09"/>
    <w:rsid w:val="003815E9"/>
    <w:rsid w:val="0038255F"/>
    <w:rsid w:val="00383B2E"/>
    <w:rsid w:val="00386596"/>
    <w:rsid w:val="00396588"/>
    <w:rsid w:val="003C01B0"/>
    <w:rsid w:val="003C0671"/>
    <w:rsid w:val="003C692A"/>
    <w:rsid w:val="003C6F36"/>
    <w:rsid w:val="003D4625"/>
    <w:rsid w:val="003D7B41"/>
    <w:rsid w:val="00401546"/>
    <w:rsid w:val="004459CF"/>
    <w:rsid w:val="0045148A"/>
    <w:rsid w:val="004532BC"/>
    <w:rsid w:val="00455FB0"/>
    <w:rsid w:val="00460BB0"/>
    <w:rsid w:val="004675D7"/>
    <w:rsid w:val="004730A0"/>
    <w:rsid w:val="004821A2"/>
    <w:rsid w:val="00485237"/>
    <w:rsid w:val="00491688"/>
    <w:rsid w:val="004A7821"/>
    <w:rsid w:val="004B0305"/>
    <w:rsid w:val="004B0634"/>
    <w:rsid w:val="004B21F4"/>
    <w:rsid w:val="004B527B"/>
    <w:rsid w:val="004B70AE"/>
    <w:rsid w:val="004C14E5"/>
    <w:rsid w:val="004C2B68"/>
    <w:rsid w:val="004D65E7"/>
    <w:rsid w:val="004D6903"/>
    <w:rsid w:val="004E0B40"/>
    <w:rsid w:val="004F2BC5"/>
    <w:rsid w:val="004F3125"/>
    <w:rsid w:val="00503214"/>
    <w:rsid w:val="00512ED7"/>
    <w:rsid w:val="005177BB"/>
    <w:rsid w:val="005249A2"/>
    <w:rsid w:val="00526220"/>
    <w:rsid w:val="005323D4"/>
    <w:rsid w:val="005375B7"/>
    <w:rsid w:val="00553C28"/>
    <w:rsid w:val="00554893"/>
    <w:rsid w:val="00570F26"/>
    <w:rsid w:val="005713C5"/>
    <w:rsid w:val="005713F4"/>
    <w:rsid w:val="00573306"/>
    <w:rsid w:val="00583914"/>
    <w:rsid w:val="00585695"/>
    <w:rsid w:val="005865FF"/>
    <w:rsid w:val="00587F57"/>
    <w:rsid w:val="00592352"/>
    <w:rsid w:val="005943E0"/>
    <w:rsid w:val="005A260F"/>
    <w:rsid w:val="005A55BE"/>
    <w:rsid w:val="005A5C8D"/>
    <w:rsid w:val="005A6C1E"/>
    <w:rsid w:val="005B3495"/>
    <w:rsid w:val="005B4910"/>
    <w:rsid w:val="005C38B1"/>
    <w:rsid w:val="005C3A2E"/>
    <w:rsid w:val="005C4F42"/>
    <w:rsid w:val="005F7C40"/>
    <w:rsid w:val="00615283"/>
    <w:rsid w:val="00621D5B"/>
    <w:rsid w:val="00622BCF"/>
    <w:rsid w:val="006256C5"/>
    <w:rsid w:val="00630495"/>
    <w:rsid w:val="00633CE1"/>
    <w:rsid w:val="00633DD5"/>
    <w:rsid w:val="00672166"/>
    <w:rsid w:val="00673316"/>
    <w:rsid w:val="00677134"/>
    <w:rsid w:val="00684C48"/>
    <w:rsid w:val="006937D4"/>
    <w:rsid w:val="006943BC"/>
    <w:rsid w:val="00694E6D"/>
    <w:rsid w:val="00695642"/>
    <w:rsid w:val="006A1878"/>
    <w:rsid w:val="006A6067"/>
    <w:rsid w:val="006B0CC0"/>
    <w:rsid w:val="006D07F8"/>
    <w:rsid w:val="006E063A"/>
    <w:rsid w:val="006E3088"/>
    <w:rsid w:val="006E3B15"/>
    <w:rsid w:val="006E4FBE"/>
    <w:rsid w:val="006F5D09"/>
    <w:rsid w:val="007005BE"/>
    <w:rsid w:val="0070474C"/>
    <w:rsid w:val="00706D9A"/>
    <w:rsid w:val="00727BA1"/>
    <w:rsid w:val="00730F4D"/>
    <w:rsid w:val="00732BED"/>
    <w:rsid w:val="007335B5"/>
    <w:rsid w:val="00736E79"/>
    <w:rsid w:val="00740BF1"/>
    <w:rsid w:val="00746D05"/>
    <w:rsid w:val="00776CBA"/>
    <w:rsid w:val="007774C5"/>
    <w:rsid w:val="0077789C"/>
    <w:rsid w:val="007871DF"/>
    <w:rsid w:val="0079303C"/>
    <w:rsid w:val="007A4459"/>
    <w:rsid w:val="007B40E7"/>
    <w:rsid w:val="007B676A"/>
    <w:rsid w:val="007C4F9C"/>
    <w:rsid w:val="007D29A2"/>
    <w:rsid w:val="007D2BA8"/>
    <w:rsid w:val="007E3354"/>
    <w:rsid w:val="007F0DA9"/>
    <w:rsid w:val="007F0F38"/>
    <w:rsid w:val="0080564C"/>
    <w:rsid w:val="00820121"/>
    <w:rsid w:val="0082139C"/>
    <w:rsid w:val="00832C3F"/>
    <w:rsid w:val="00836B7D"/>
    <w:rsid w:val="008455ED"/>
    <w:rsid w:val="0085076C"/>
    <w:rsid w:val="00857E7E"/>
    <w:rsid w:val="00882B19"/>
    <w:rsid w:val="008A6A77"/>
    <w:rsid w:val="008B1FF0"/>
    <w:rsid w:val="008B5940"/>
    <w:rsid w:val="008D2F7D"/>
    <w:rsid w:val="008E0E9A"/>
    <w:rsid w:val="008E2245"/>
    <w:rsid w:val="008E3FB7"/>
    <w:rsid w:val="008E7435"/>
    <w:rsid w:val="009065EC"/>
    <w:rsid w:val="00913679"/>
    <w:rsid w:val="00915153"/>
    <w:rsid w:val="00923161"/>
    <w:rsid w:val="009258E0"/>
    <w:rsid w:val="00927BCD"/>
    <w:rsid w:val="00944CEC"/>
    <w:rsid w:val="00945B8A"/>
    <w:rsid w:val="00950B95"/>
    <w:rsid w:val="00961713"/>
    <w:rsid w:val="00962A01"/>
    <w:rsid w:val="00963D65"/>
    <w:rsid w:val="00970BC8"/>
    <w:rsid w:val="00977A00"/>
    <w:rsid w:val="00981631"/>
    <w:rsid w:val="0098571A"/>
    <w:rsid w:val="0099056C"/>
    <w:rsid w:val="00992EA0"/>
    <w:rsid w:val="00994B09"/>
    <w:rsid w:val="009A3FC6"/>
    <w:rsid w:val="009A6259"/>
    <w:rsid w:val="009B211F"/>
    <w:rsid w:val="009B5FA2"/>
    <w:rsid w:val="009B78D0"/>
    <w:rsid w:val="009D1C2E"/>
    <w:rsid w:val="009F26F4"/>
    <w:rsid w:val="009F2B0A"/>
    <w:rsid w:val="00A12BE8"/>
    <w:rsid w:val="00A2644B"/>
    <w:rsid w:val="00A30BE2"/>
    <w:rsid w:val="00A333C9"/>
    <w:rsid w:val="00A34423"/>
    <w:rsid w:val="00A37C3C"/>
    <w:rsid w:val="00A44CEF"/>
    <w:rsid w:val="00A60DA1"/>
    <w:rsid w:val="00A6194E"/>
    <w:rsid w:val="00A678E1"/>
    <w:rsid w:val="00A74E7F"/>
    <w:rsid w:val="00A825A8"/>
    <w:rsid w:val="00A97A60"/>
    <w:rsid w:val="00AC015A"/>
    <w:rsid w:val="00AD188B"/>
    <w:rsid w:val="00AD425B"/>
    <w:rsid w:val="00AD6F50"/>
    <w:rsid w:val="00AE00B3"/>
    <w:rsid w:val="00AE2CE2"/>
    <w:rsid w:val="00AE3D37"/>
    <w:rsid w:val="00AE46EF"/>
    <w:rsid w:val="00AE7F3A"/>
    <w:rsid w:val="00AF20C3"/>
    <w:rsid w:val="00B02FB1"/>
    <w:rsid w:val="00B13E20"/>
    <w:rsid w:val="00B25C8E"/>
    <w:rsid w:val="00B33BE9"/>
    <w:rsid w:val="00B37AA1"/>
    <w:rsid w:val="00B50E9E"/>
    <w:rsid w:val="00B62B86"/>
    <w:rsid w:val="00B64C55"/>
    <w:rsid w:val="00B658C6"/>
    <w:rsid w:val="00B84AA3"/>
    <w:rsid w:val="00B85C60"/>
    <w:rsid w:val="00B90F3F"/>
    <w:rsid w:val="00B9387F"/>
    <w:rsid w:val="00B95AC9"/>
    <w:rsid w:val="00B97795"/>
    <w:rsid w:val="00BA7EA7"/>
    <w:rsid w:val="00BB1445"/>
    <w:rsid w:val="00BE07AC"/>
    <w:rsid w:val="00BE3E04"/>
    <w:rsid w:val="00BF3A91"/>
    <w:rsid w:val="00BF7CFE"/>
    <w:rsid w:val="00C06D4E"/>
    <w:rsid w:val="00C101D2"/>
    <w:rsid w:val="00C137EA"/>
    <w:rsid w:val="00C13F2D"/>
    <w:rsid w:val="00C22C1A"/>
    <w:rsid w:val="00C25FFB"/>
    <w:rsid w:val="00C27C17"/>
    <w:rsid w:val="00C30019"/>
    <w:rsid w:val="00C35B5F"/>
    <w:rsid w:val="00C574BD"/>
    <w:rsid w:val="00C67A40"/>
    <w:rsid w:val="00C73387"/>
    <w:rsid w:val="00C75701"/>
    <w:rsid w:val="00C778EC"/>
    <w:rsid w:val="00C8497E"/>
    <w:rsid w:val="00CA6741"/>
    <w:rsid w:val="00CA6CBD"/>
    <w:rsid w:val="00CB130D"/>
    <w:rsid w:val="00CB4BFE"/>
    <w:rsid w:val="00CC3791"/>
    <w:rsid w:val="00CC664F"/>
    <w:rsid w:val="00CD1B49"/>
    <w:rsid w:val="00CD54E5"/>
    <w:rsid w:val="00CE6592"/>
    <w:rsid w:val="00CF1C35"/>
    <w:rsid w:val="00CF3E43"/>
    <w:rsid w:val="00CF7AC4"/>
    <w:rsid w:val="00D04435"/>
    <w:rsid w:val="00D129DE"/>
    <w:rsid w:val="00D1738F"/>
    <w:rsid w:val="00D200A3"/>
    <w:rsid w:val="00D24F6A"/>
    <w:rsid w:val="00D3023C"/>
    <w:rsid w:val="00D36A16"/>
    <w:rsid w:val="00D37632"/>
    <w:rsid w:val="00D37E17"/>
    <w:rsid w:val="00D45D26"/>
    <w:rsid w:val="00D55FAC"/>
    <w:rsid w:val="00D56028"/>
    <w:rsid w:val="00D63078"/>
    <w:rsid w:val="00D67654"/>
    <w:rsid w:val="00D762C4"/>
    <w:rsid w:val="00D82A87"/>
    <w:rsid w:val="00D8553D"/>
    <w:rsid w:val="00D94C15"/>
    <w:rsid w:val="00DA40AB"/>
    <w:rsid w:val="00DA50C7"/>
    <w:rsid w:val="00DB2314"/>
    <w:rsid w:val="00DB73A1"/>
    <w:rsid w:val="00DB7529"/>
    <w:rsid w:val="00DC0C7B"/>
    <w:rsid w:val="00DC73D7"/>
    <w:rsid w:val="00DC783A"/>
    <w:rsid w:val="00DD23BA"/>
    <w:rsid w:val="00DD4F51"/>
    <w:rsid w:val="00DD707C"/>
    <w:rsid w:val="00DF2CE3"/>
    <w:rsid w:val="00DF33ED"/>
    <w:rsid w:val="00DF7E6B"/>
    <w:rsid w:val="00E02C0F"/>
    <w:rsid w:val="00E12BF8"/>
    <w:rsid w:val="00E149F1"/>
    <w:rsid w:val="00E31668"/>
    <w:rsid w:val="00E35DA3"/>
    <w:rsid w:val="00E464FA"/>
    <w:rsid w:val="00E50680"/>
    <w:rsid w:val="00E54DD5"/>
    <w:rsid w:val="00E57535"/>
    <w:rsid w:val="00E5765F"/>
    <w:rsid w:val="00E83185"/>
    <w:rsid w:val="00E8785B"/>
    <w:rsid w:val="00E9018D"/>
    <w:rsid w:val="00EA190F"/>
    <w:rsid w:val="00EA76AE"/>
    <w:rsid w:val="00EB183C"/>
    <w:rsid w:val="00EC40EB"/>
    <w:rsid w:val="00ED226C"/>
    <w:rsid w:val="00EE2341"/>
    <w:rsid w:val="00EE4AAB"/>
    <w:rsid w:val="00F014BA"/>
    <w:rsid w:val="00F03774"/>
    <w:rsid w:val="00F16E7D"/>
    <w:rsid w:val="00F23E4D"/>
    <w:rsid w:val="00F36161"/>
    <w:rsid w:val="00F4200A"/>
    <w:rsid w:val="00F423D8"/>
    <w:rsid w:val="00F610ED"/>
    <w:rsid w:val="00F70FD9"/>
    <w:rsid w:val="00F8288C"/>
    <w:rsid w:val="00F84F2F"/>
    <w:rsid w:val="00F92C0C"/>
    <w:rsid w:val="00FA00D2"/>
    <w:rsid w:val="00FA0962"/>
    <w:rsid w:val="00FC396B"/>
    <w:rsid w:val="00FC5BDA"/>
    <w:rsid w:val="00FC5BE1"/>
    <w:rsid w:val="00FD1DF5"/>
    <w:rsid w:val="00FD3657"/>
    <w:rsid w:val="00FD450F"/>
    <w:rsid w:val="00FD4FDA"/>
    <w:rsid w:val="00FE27F0"/>
    <w:rsid w:val="00FE46F5"/>
    <w:rsid w:val="00FE6B97"/>
    <w:rsid w:val="00FF1360"/>
    <w:rsid w:val="00FF25AE"/>
    <w:rsid w:val="00FF3B81"/>
    <w:rsid w:val="00FF5A7A"/>
    <w:rsid w:val="00FF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D941"/>
  <w15:docId w15:val="{5039678E-F2C6-4519-AC5F-185D595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B49"/>
    <w:pPr>
      <w:ind w:left="720"/>
      <w:contextualSpacing/>
    </w:pPr>
  </w:style>
  <w:style w:type="paragraph" w:styleId="FootnoteText">
    <w:name w:val="footnote text"/>
    <w:basedOn w:val="Normal"/>
    <w:link w:val="FootnoteTextChar"/>
    <w:uiPriority w:val="99"/>
    <w:semiHidden/>
    <w:unhideWhenUsed/>
    <w:rsid w:val="00401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1546"/>
    <w:rPr>
      <w:sz w:val="20"/>
      <w:szCs w:val="20"/>
    </w:rPr>
  </w:style>
  <w:style w:type="character" w:styleId="FootnoteReference">
    <w:name w:val="footnote reference"/>
    <w:basedOn w:val="DefaultParagraphFont"/>
    <w:uiPriority w:val="99"/>
    <w:semiHidden/>
    <w:unhideWhenUsed/>
    <w:rsid w:val="00401546"/>
    <w:rPr>
      <w:vertAlign w:val="superscript"/>
    </w:rPr>
  </w:style>
  <w:style w:type="paragraph" w:styleId="BalloonText">
    <w:name w:val="Balloon Text"/>
    <w:basedOn w:val="Normal"/>
    <w:link w:val="BalloonTextChar"/>
    <w:uiPriority w:val="99"/>
    <w:semiHidden/>
    <w:unhideWhenUsed/>
    <w:rsid w:val="001F5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95F"/>
    <w:rPr>
      <w:rFonts w:ascii="Tahoma" w:hAnsi="Tahoma" w:cs="Tahoma"/>
      <w:sz w:val="16"/>
      <w:szCs w:val="16"/>
    </w:rPr>
  </w:style>
  <w:style w:type="table" w:styleId="TableGrid">
    <w:name w:val="Table Grid"/>
    <w:basedOn w:val="TableNormal"/>
    <w:uiPriority w:val="39"/>
    <w:rsid w:val="0070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D9A"/>
    <w:pPr>
      <w:spacing w:after="0" w:line="240" w:lineRule="auto"/>
    </w:pPr>
  </w:style>
  <w:style w:type="character" w:styleId="CommentReference">
    <w:name w:val="annotation reference"/>
    <w:basedOn w:val="DefaultParagraphFont"/>
    <w:uiPriority w:val="99"/>
    <w:semiHidden/>
    <w:unhideWhenUsed/>
    <w:rsid w:val="00621D5B"/>
    <w:rPr>
      <w:sz w:val="16"/>
      <w:szCs w:val="16"/>
    </w:rPr>
  </w:style>
  <w:style w:type="paragraph" w:styleId="CommentText">
    <w:name w:val="annotation text"/>
    <w:basedOn w:val="Normal"/>
    <w:link w:val="CommentTextChar"/>
    <w:uiPriority w:val="99"/>
    <w:semiHidden/>
    <w:unhideWhenUsed/>
    <w:rsid w:val="00621D5B"/>
    <w:pPr>
      <w:spacing w:line="240" w:lineRule="auto"/>
    </w:pPr>
    <w:rPr>
      <w:sz w:val="20"/>
      <w:szCs w:val="20"/>
    </w:rPr>
  </w:style>
  <w:style w:type="character" w:customStyle="1" w:styleId="CommentTextChar">
    <w:name w:val="Comment Text Char"/>
    <w:basedOn w:val="DefaultParagraphFont"/>
    <w:link w:val="CommentText"/>
    <w:uiPriority w:val="99"/>
    <w:semiHidden/>
    <w:rsid w:val="00621D5B"/>
    <w:rPr>
      <w:sz w:val="20"/>
      <w:szCs w:val="20"/>
    </w:rPr>
  </w:style>
  <w:style w:type="paragraph" w:styleId="CommentSubject">
    <w:name w:val="annotation subject"/>
    <w:basedOn w:val="CommentText"/>
    <w:next w:val="CommentText"/>
    <w:link w:val="CommentSubjectChar"/>
    <w:uiPriority w:val="99"/>
    <w:semiHidden/>
    <w:unhideWhenUsed/>
    <w:rsid w:val="00621D5B"/>
    <w:rPr>
      <w:b/>
      <w:bCs/>
    </w:rPr>
  </w:style>
  <w:style w:type="character" w:customStyle="1" w:styleId="CommentSubjectChar">
    <w:name w:val="Comment Subject Char"/>
    <w:basedOn w:val="CommentTextChar"/>
    <w:link w:val="CommentSubject"/>
    <w:uiPriority w:val="99"/>
    <w:semiHidden/>
    <w:rsid w:val="00621D5B"/>
    <w:rPr>
      <w:b/>
      <w:bCs/>
      <w:sz w:val="20"/>
      <w:szCs w:val="20"/>
    </w:rPr>
  </w:style>
  <w:style w:type="character" w:styleId="Hyperlink">
    <w:name w:val="Hyperlink"/>
    <w:basedOn w:val="DefaultParagraphFont"/>
    <w:uiPriority w:val="99"/>
    <w:unhideWhenUsed/>
    <w:rsid w:val="002772FE"/>
    <w:rPr>
      <w:color w:val="0000FF"/>
      <w:u w:val="single"/>
    </w:rPr>
  </w:style>
  <w:style w:type="character" w:styleId="UnresolvedMention">
    <w:name w:val="Unresolved Mention"/>
    <w:basedOn w:val="DefaultParagraphFont"/>
    <w:uiPriority w:val="99"/>
    <w:semiHidden/>
    <w:unhideWhenUsed/>
    <w:rsid w:val="002772FE"/>
    <w:rPr>
      <w:color w:val="605E5C"/>
      <w:shd w:val="clear" w:color="auto" w:fill="E1DFDD"/>
    </w:rPr>
  </w:style>
  <w:style w:type="paragraph" w:styleId="Caption">
    <w:name w:val="caption"/>
    <w:basedOn w:val="Normal"/>
    <w:next w:val="Normal"/>
    <w:uiPriority w:val="35"/>
    <w:unhideWhenUsed/>
    <w:qFormat/>
    <w:rsid w:val="004B0305"/>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E54DD5"/>
    <w:rPr>
      <w:color w:val="800080" w:themeColor="followedHyperlink"/>
      <w:u w:val="single"/>
    </w:rPr>
  </w:style>
  <w:style w:type="paragraph" w:styleId="EndnoteText">
    <w:name w:val="endnote text"/>
    <w:basedOn w:val="Normal"/>
    <w:link w:val="EndnoteTextChar"/>
    <w:uiPriority w:val="99"/>
    <w:semiHidden/>
    <w:unhideWhenUsed/>
    <w:rsid w:val="007778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789C"/>
    <w:rPr>
      <w:sz w:val="20"/>
      <w:szCs w:val="20"/>
    </w:rPr>
  </w:style>
  <w:style w:type="character" w:styleId="EndnoteReference">
    <w:name w:val="endnote reference"/>
    <w:basedOn w:val="DefaultParagraphFont"/>
    <w:uiPriority w:val="99"/>
    <w:semiHidden/>
    <w:unhideWhenUsed/>
    <w:rsid w:val="0077789C"/>
    <w:rPr>
      <w:vertAlign w:val="superscript"/>
    </w:rPr>
  </w:style>
  <w:style w:type="paragraph" w:styleId="Revision">
    <w:name w:val="Revision"/>
    <w:hidden/>
    <w:uiPriority w:val="99"/>
    <w:semiHidden/>
    <w:rsid w:val="00CA6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www.blackpool.gov.uk/Residents/Planning-environment-and-community/Documents/Local-plan-2021/Space-Standards-and-Accessible-Homes-Topic-Paper-Final-Dec-2020.pdf" TargetMode="External"/><Relationship Id="rId3" Type="http://schemas.openxmlformats.org/officeDocument/2006/relationships/styles" Target="styles.xml"/><Relationship Id="rId21" Type="http://schemas.openxmlformats.org/officeDocument/2006/relationships/hyperlink" Target="https://portsmouth.gov.uk/wp-content/uploads/2021/09/Space_Standards_Background_Paper_July_2021_compressed.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dmbcwebstolive01.blob.core.windows.net/media/Default/Planning/Documents/Local%20Plan/Submission/Other%20Docs/SDEB25%20-%20Housing%20Design%20Standards%20Policy%20Evidence%20Pap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www.milton-keynes.gov.uk/sites/default/files/2022-01/Nationally%20Described%20Space%20Standards%20Study%20%28August%202017%29%20MKHOU002.pdf" TargetMode="External"/><Relationship Id="rId10" Type="http://schemas.openxmlformats.org/officeDocument/2006/relationships/chart" Target="charts/chart1.xml"/><Relationship Id="rId19" Type="http://schemas.openxmlformats.org/officeDocument/2006/relationships/hyperlink" Target="https://cbccrmdata.blob.core.windows.net/noteattachment/CBC-Local-Plan-CBC-Space-Study---evidence-base-EBC%202.18%20CBC%20Space%20Study.pdf"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chart" Target="charts/chart5.xml"/><Relationship Id="rId22" Type="http://schemas.openxmlformats.org/officeDocument/2006/relationships/hyperlink" Target="https://www.gateshead.gov.uk/media/12075/Gateshead-and-Newcastle-upon-Tyne-Compliance-with-NDSS-targets-and-implementation-of-the-standard/pdf/newcastle_upon_tyne_gateshead_supplementary_-_space_standards.pdf?m=6368729826147300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718827/Standards_by_Programme_chart_2018-19.pdf" TargetMode="External"/><Relationship Id="rId2" Type="http://schemas.openxmlformats.org/officeDocument/2006/relationships/hyperlink" Target="https://www.gov.uk/government/publications/measuring-practice-for-voa-property-valuations/code-of-measuring-practice-definitions-for-rating-purposes" TargetMode="External"/><Relationship Id="rId1" Type="http://schemas.openxmlformats.org/officeDocument/2006/relationships/hyperlink" Target="https://www.gov.uk/guidance/housing-optional-technical-standards" TargetMode="External"/><Relationship Id="rId4" Type="http://schemas.openxmlformats.org/officeDocument/2006/relationships/hyperlink" Target="https://www.gov.uk/government/consultations/raising-accessibility-standards-for-new-homes/outcome/raising-accessibility-standards-for-new-homes-summary-of-consultation-responses-and-government-respons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No.</a:t>
            </a:r>
            <a:r>
              <a:rPr lang="en-GB" sz="1200" baseline="0"/>
              <a:t> and </a:t>
            </a:r>
            <a:r>
              <a:rPr lang="en-GB" sz="1200"/>
              <a:t>Percentage</a:t>
            </a:r>
            <a:r>
              <a:rPr lang="en-GB" sz="1200" baseline="0"/>
              <a:t> of Sampled Permitted Dwellings Meeting Nationally Described Space Standards</a:t>
            </a:r>
            <a:endParaRPr lang="en-GB" sz="1200"/>
          </a:p>
        </c:rich>
      </c:tx>
      <c:layout>
        <c:manualLayout>
          <c:xMode val="edge"/>
          <c:yMode val="edge"/>
          <c:x val="0.16647222222222224"/>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69-42A2-A125-E1C0A8D16C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69-42A2-A125-E1C0A8D16C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Data!$AB$242:$AB$243</c:f>
              <c:strCache>
                <c:ptCount val="2"/>
                <c:pt idx="0">
                  <c:v>Failed</c:v>
                </c:pt>
                <c:pt idx="1">
                  <c:v>Met</c:v>
                </c:pt>
              </c:strCache>
            </c:strRef>
          </c:cat>
          <c:val>
            <c:numRef>
              <c:f>Data!$AM$242:$AM$243</c:f>
              <c:numCache>
                <c:formatCode>General</c:formatCode>
                <c:ptCount val="2"/>
                <c:pt idx="0">
                  <c:v>727</c:v>
                </c:pt>
                <c:pt idx="1">
                  <c:v>383</c:v>
                </c:pt>
              </c:numCache>
            </c:numRef>
          </c:val>
          <c:extLst>
            <c:ext xmlns:c16="http://schemas.microsoft.com/office/drawing/2014/chart" uri="{C3380CC4-5D6E-409C-BE32-E72D297353CC}">
              <c16:uniqueId val="{00000004-EA69-42A2-A125-E1C0A8D16CB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No.</a:t>
            </a:r>
            <a:r>
              <a:rPr lang="en-GB" sz="1200" baseline="0"/>
              <a:t> and </a:t>
            </a:r>
            <a:r>
              <a:rPr lang="en-GB" sz="1200"/>
              <a:t>Percentage</a:t>
            </a:r>
            <a:r>
              <a:rPr lang="en-GB" sz="1200" baseline="0"/>
              <a:t> of Sampled Permitted Dwellings Meeting NDSS for GIA</a:t>
            </a:r>
            <a:endParaRPr lang="en-GB" sz="1200"/>
          </a:p>
        </c:rich>
      </c:tx>
      <c:layout>
        <c:manualLayout>
          <c:xMode val="edge"/>
          <c:yMode val="edge"/>
          <c:x val="0.16647222222222224"/>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9D-41DA-8204-5E377AD253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9D-41DA-8204-5E377AD253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Data!$AB$242:$AB$243</c:f>
              <c:strCache>
                <c:ptCount val="2"/>
                <c:pt idx="0">
                  <c:v>Failed</c:v>
                </c:pt>
                <c:pt idx="1">
                  <c:v>Met</c:v>
                </c:pt>
              </c:strCache>
            </c:strRef>
          </c:cat>
          <c:val>
            <c:numRef>
              <c:f>Data!$AG$242:$AG$243</c:f>
              <c:numCache>
                <c:formatCode>General</c:formatCode>
                <c:ptCount val="2"/>
                <c:pt idx="0">
                  <c:v>384</c:v>
                </c:pt>
                <c:pt idx="1">
                  <c:v>726</c:v>
                </c:pt>
              </c:numCache>
            </c:numRef>
          </c:val>
          <c:extLst>
            <c:ext xmlns:c16="http://schemas.microsoft.com/office/drawing/2014/chart" uri="{C3380CC4-5D6E-409C-BE32-E72D297353CC}">
              <c16:uniqueId val="{00000004-319D-41DA-8204-5E377AD253A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No.</a:t>
            </a:r>
            <a:r>
              <a:rPr lang="en-GB" sz="1200" baseline="0"/>
              <a:t> and </a:t>
            </a:r>
            <a:r>
              <a:rPr lang="en-GB" sz="1200"/>
              <a:t>Percentage</a:t>
            </a:r>
            <a:r>
              <a:rPr lang="en-GB" sz="1200" baseline="0"/>
              <a:t> of Sampled Permitted Dwellings Meeting NDSS for Bedroom Dimensions</a:t>
            </a:r>
            <a:endParaRPr lang="en-GB" sz="1200"/>
          </a:p>
        </c:rich>
      </c:tx>
      <c:layout>
        <c:manualLayout>
          <c:xMode val="edge"/>
          <c:yMode val="edge"/>
          <c:x val="0.16647222222222224"/>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35-4F38-B494-C382AE1573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35-4F38-B494-C382AE1573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Data!$AB$242:$AB$243</c:f>
              <c:strCache>
                <c:ptCount val="2"/>
                <c:pt idx="0">
                  <c:v>Failed</c:v>
                </c:pt>
                <c:pt idx="1">
                  <c:v>Met</c:v>
                </c:pt>
              </c:strCache>
            </c:strRef>
          </c:cat>
          <c:val>
            <c:numRef>
              <c:f>Data!$AH$242:$AH$243</c:f>
              <c:numCache>
                <c:formatCode>General</c:formatCode>
                <c:ptCount val="2"/>
                <c:pt idx="0">
                  <c:v>662</c:v>
                </c:pt>
                <c:pt idx="1">
                  <c:v>448</c:v>
                </c:pt>
              </c:numCache>
            </c:numRef>
          </c:val>
          <c:extLst>
            <c:ext xmlns:c16="http://schemas.microsoft.com/office/drawing/2014/chart" uri="{C3380CC4-5D6E-409C-BE32-E72D297353CC}">
              <c16:uniqueId val="{00000004-7F35-4F38-B494-C382AE15735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sz="1200"/>
              <a:t>No.</a:t>
            </a:r>
            <a:r>
              <a:rPr lang="en-GB" sz="1200" baseline="0"/>
              <a:t> of Sampled Permitted Dwellings Meeting Nationally Described Space Standards by Dwelling Type</a:t>
            </a:r>
            <a:endParaRPr lang="en-GB" sz="1200"/>
          </a:p>
        </c:rich>
      </c:tx>
      <c:layout>
        <c:manualLayout>
          <c:xMode val="edge"/>
          <c:yMode val="edge"/>
          <c:x val="0.14691354435670032"/>
          <c:y val="3.080872498778971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Data!$AO$242</c:f>
              <c:strCache>
                <c:ptCount val="1"/>
                <c:pt idx="0">
                  <c:v>Failed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Data!$AP$241:$AT$241</c:f>
              <c:strCache>
                <c:ptCount val="5"/>
                <c:pt idx="0">
                  <c:v>1 bed</c:v>
                </c:pt>
                <c:pt idx="1">
                  <c:v>2 bed</c:v>
                </c:pt>
                <c:pt idx="2">
                  <c:v>3 bed</c:v>
                </c:pt>
                <c:pt idx="3">
                  <c:v>4 bed</c:v>
                </c:pt>
                <c:pt idx="4">
                  <c:v>5 bed</c:v>
                </c:pt>
              </c:strCache>
            </c:strRef>
          </c:cat>
          <c:val>
            <c:numRef>
              <c:f>Data!$AP$242:$AT$242</c:f>
              <c:numCache>
                <c:formatCode>General</c:formatCode>
                <c:ptCount val="5"/>
                <c:pt idx="0">
                  <c:v>50</c:v>
                </c:pt>
                <c:pt idx="1">
                  <c:v>250</c:v>
                </c:pt>
                <c:pt idx="2">
                  <c:v>284</c:v>
                </c:pt>
                <c:pt idx="3">
                  <c:v>143</c:v>
                </c:pt>
                <c:pt idx="4">
                  <c:v>0</c:v>
                </c:pt>
              </c:numCache>
            </c:numRef>
          </c:val>
          <c:extLst>
            <c:ext xmlns:c16="http://schemas.microsoft.com/office/drawing/2014/chart" uri="{C3380CC4-5D6E-409C-BE32-E72D297353CC}">
              <c16:uniqueId val="{00000000-4984-4670-A23E-D8F28453AA47}"/>
            </c:ext>
          </c:extLst>
        </c:ser>
        <c:ser>
          <c:idx val="1"/>
          <c:order val="1"/>
          <c:tx>
            <c:strRef>
              <c:f>Data!$AO$243</c:f>
              <c:strCache>
                <c:ptCount val="1"/>
                <c:pt idx="0">
                  <c:v>Met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Data!$AP$241:$AT$241</c:f>
              <c:strCache>
                <c:ptCount val="5"/>
                <c:pt idx="0">
                  <c:v>1 bed</c:v>
                </c:pt>
                <c:pt idx="1">
                  <c:v>2 bed</c:v>
                </c:pt>
                <c:pt idx="2">
                  <c:v>3 bed</c:v>
                </c:pt>
                <c:pt idx="3">
                  <c:v>4 bed</c:v>
                </c:pt>
                <c:pt idx="4">
                  <c:v>5 bed</c:v>
                </c:pt>
              </c:strCache>
            </c:strRef>
          </c:cat>
          <c:val>
            <c:numRef>
              <c:f>Data!$AP$243:$AT$243</c:f>
              <c:numCache>
                <c:formatCode>General</c:formatCode>
                <c:ptCount val="5"/>
                <c:pt idx="0">
                  <c:v>21</c:v>
                </c:pt>
                <c:pt idx="1">
                  <c:v>139</c:v>
                </c:pt>
                <c:pt idx="2">
                  <c:v>148</c:v>
                </c:pt>
                <c:pt idx="3">
                  <c:v>66</c:v>
                </c:pt>
                <c:pt idx="4">
                  <c:v>9</c:v>
                </c:pt>
              </c:numCache>
            </c:numRef>
          </c:val>
          <c:extLst>
            <c:ext xmlns:c16="http://schemas.microsoft.com/office/drawing/2014/chart" uri="{C3380CC4-5D6E-409C-BE32-E72D297353CC}">
              <c16:uniqueId val="{00000001-4984-4670-A23E-D8F28453AA47}"/>
            </c:ext>
          </c:extLst>
        </c:ser>
        <c:dLbls>
          <c:dLblPos val="ctr"/>
          <c:showLegendKey val="0"/>
          <c:showVal val="1"/>
          <c:showCatName val="0"/>
          <c:showSerName val="0"/>
          <c:showPercent val="0"/>
          <c:showBubbleSize val="0"/>
        </c:dLbls>
        <c:gapWidth val="150"/>
        <c:overlap val="100"/>
        <c:axId val="495469824"/>
        <c:axId val="495470152"/>
      </c:barChart>
      <c:catAx>
        <c:axId val="49546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470152"/>
        <c:crosses val="autoZero"/>
        <c:auto val="1"/>
        <c:lblAlgn val="ctr"/>
        <c:lblOffset val="100"/>
        <c:noMultiLvlLbl val="0"/>
      </c:catAx>
      <c:valAx>
        <c:axId val="495470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469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No. of Sampled Permitted</a:t>
            </a:r>
            <a:r>
              <a:rPr lang="en-GB" sz="1200" baseline="0"/>
              <a:t> Dwellings Meeting National Described Space Standards by Development Scale</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Data!$AV$242</c:f>
              <c:strCache>
                <c:ptCount val="1"/>
                <c:pt idx="0">
                  <c:v>Failed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Data!$AW$241:$AY$241</c:f>
              <c:strCache>
                <c:ptCount val="3"/>
                <c:pt idx="0">
                  <c:v>Small</c:v>
                </c:pt>
                <c:pt idx="1">
                  <c:v>Medium</c:v>
                </c:pt>
                <c:pt idx="2">
                  <c:v>Large</c:v>
                </c:pt>
              </c:strCache>
            </c:strRef>
          </c:cat>
          <c:val>
            <c:numRef>
              <c:f>Data!$AW$242:$AY$242</c:f>
              <c:numCache>
                <c:formatCode>General</c:formatCode>
                <c:ptCount val="3"/>
                <c:pt idx="0">
                  <c:v>3</c:v>
                </c:pt>
                <c:pt idx="1">
                  <c:v>62</c:v>
                </c:pt>
                <c:pt idx="2">
                  <c:v>662</c:v>
                </c:pt>
              </c:numCache>
            </c:numRef>
          </c:val>
          <c:extLst>
            <c:ext xmlns:c16="http://schemas.microsoft.com/office/drawing/2014/chart" uri="{C3380CC4-5D6E-409C-BE32-E72D297353CC}">
              <c16:uniqueId val="{00000000-8A24-46F8-BEF3-F5141792CD0D}"/>
            </c:ext>
          </c:extLst>
        </c:ser>
        <c:ser>
          <c:idx val="1"/>
          <c:order val="1"/>
          <c:tx>
            <c:strRef>
              <c:f>Data!$AV$243</c:f>
              <c:strCache>
                <c:ptCount val="1"/>
                <c:pt idx="0">
                  <c:v>Met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Data!$AW$241:$AY$241</c:f>
              <c:strCache>
                <c:ptCount val="3"/>
                <c:pt idx="0">
                  <c:v>Small</c:v>
                </c:pt>
                <c:pt idx="1">
                  <c:v>Medium</c:v>
                </c:pt>
                <c:pt idx="2">
                  <c:v>Large</c:v>
                </c:pt>
              </c:strCache>
            </c:strRef>
          </c:cat>
          <c:val>
            <c:numRef>
              <c:f>Data!$AW$243:$AY$243</c:f>
              <c:numCache>
                <c:formatCode>General</c:formatCode>
                <c:ptCount val="3"/>
                <c:pt idx="0">
                  <c:v>22</c:v>
                </c:pt>
                <c:pt idx="1">
                  <c:v>49</c:v>
                </c:pt>
                <c:pt idx="2">
                  <c:v>312</c:v>
                </c:pt>
              </c:numCache>
            </c:numRef>
          </c:val>
          <c:extLst>
            <c:ext xmlns:c16="http://schemas.microsoft.com/office/drawing/2014/chart" uri="{C3380CC4-5D6E-409C-BE32-E72D297353CC}">
              <c16:uniqueId val="{00000001-8A24-46F8-BEF3-F5141792CD0D}"/>
            </c:ext>
          </c:extLst>
        </c:ser>
        <c:dLbls>
          <c:showLegendKey val="0"/>
          <c:showVal val="0"/>
          <c:showCatName val="0"/>
          <c:showSerName val="0"/>
          <c:showPercent val="0"/>
          <c:showBubbleSize val="0"/>
        </c:dLbls>
        <c:gapWidth val="150"/>
        <c:overlap val="100"/>
        <c:axId val="613581280"/>
        <c:axId val="613583248"/>
      </c:barChart>
      <c:catAx>
        <c:axId val="61358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583248"/>
        <c:crosses val="autoZero"/>
        <c:auto val="1"/>
        <c:lblAlgn val="ctr"/>
        <c:lblOffset val="100"/>
        <c:noMultiLvlLbl val="0"/>
      </c:catAx>
      <c:valAx>
        <c:axId val="613583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58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sz="1200"/>
              <a:t>No.</a:t>
            </a:r>
            <a:r>
              <a:rPr lang="en-GB" sz="1200" baseline="0"/>
              <a:t> of Permitted Dwellings Meeting National Described Space Standards by Dwelling Tenure</a:t>
            </a:r>
            <a:endParaRPr lang="en-GB" sz="1200"/>
          </a:p>
        </c:rich>
      </c:tx>
      <c:layout>
        <c:manualLayout>
          <c:xMode val="edge"/>
          <c:yMode val="edge"/>
          <c:x val="0.15455555555555556"/>
          <c:y val="2.314814814814814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Data!$AV$247</c:f>
              <c:strCache>
                <c:ptCount val="1"/>
                <c:pt idx="0">
                  <c:v>Failed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Data!$AW$246:$AX$246</c:f>
              <c:strCache>
                <c:ptCount val="2"/>
                <c:pt idx="0">
                  <c:v>Affordable</c:v>
                </c:pt>
                <c:pt idx="1">
                  <c:v>Market </c:v>
                </c:pt>
              </c:strCache>
            </c:strRef>
          </c:cat>
          <c:val>
            <c:numRef>
              <c:f>Data!$AW$247:$AX$247</c:f>
              <c:numCache>
                <c:formatCode>General</c:formatCode>
                <c:ptCount val="2"/>
                <c:pt idx="0">
                  <c:v>166</c:v>
                </c:pt>
                <c:pt idx="1">
                  <c:v>561</c:v>
                </c:pt>
              </c:numCache>
            </c:numRef>
          </c:val>
          <c:extLst>
            <c:ext xmlns:c16="http://schemas.microsoft.com/office/drawing/2014/chart" uri="{C3380CC4-5D6E-409C-BE32-E72D297353CC}">
              <c16:uniqueId val="{00000000-F73C-4082-B2A9-838564FDE3C0}"/>
            </c:ext>
          </c:extLst>
        </c:ser>
        <c:ser>
          <c:idx val="1"/>
          <c:order val="1"/>
          <c:tx>
            <c:strRef>
              <c:f>Data!$AV$248</c:f>
              <c:strCache>
                <c:ptCount val="1"/>
                <c:pt idx="0">
                  <c:v>Met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Data!$AW$246:$AX$246</c:f>
              <c:strCache>
                <c:ptCount val="2"/>
                <c:pt idx="0">
                  <c:v>Affordable</c:v>
                </c:pt>
                <c:pt idx="1">
                  <c:v>Market </c:v>
                </c:pt>
              </c:strCache>
            </c:strRef>
          </c:cat>
          <c:val>
            <c:numRef>
              <c:f>Data!$AW$248:$AX$248</c:f>
              <c:numCache>
                <c:formatCode>General</c:formatCode>
                <c:ptCount val="2"/>
                <c:pt idx="0">
                  <c:v>155</c:v>
                </c:pt>
                <c:pt idx="1">
                  <c:v>228</c:v>
                </c:pt>
              </c:numCache>
            </c:numRef>
          </c:val>
          <c:extLst>
            <c:ext xmlns:c16="http://schemas.microsoft.com/office/drawing/2014/chart" uri="{C3380CC4-5D6E-409C-BE32-E72D297353CC}">
              <c16:uniqueId val="{00000001-F73C-4082-B2A9-838564FDE3C0}"/>
            </c:ext>
          </c:extLst>
        </c:ser>
        <c:dLbls>
          <c:showLegendKey val="0"/>
          <c:showVal val="0"/>
          <c:showCatName val="0"/>
          <c:showSerName val="0"/>
          <c:showPercent val="0"/>
          <c:showBubbleSize val="0"/>
        </c:dLbls>
        <c:gapWidth val="150"/>
        <c:overlap val="100"/>
        <c:axId val="462201616"/>
        <c:axId val="462201944"/>
      </c:barChart>
      <c:catAx>
        <c:axId val="46220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201944"/>
        <c:crosses val="autoZero"/>
        <c:auto val="1"/>
        <c:lblAlgn val="ctr"/>
        <c:lblOffset val="100"/>
        <c:noMultiLvlLbl val="0"/>
      </c:catAx>
      <c:valAx>
        <c:axId val="462201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20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Dwellings</a:t>
            </a:r>
            <a:r>
              <a:rPr lang="en-GB" sz="1200" baseline="0"/>
              <a:t> Failing NDSS Bedroom Size Criteria</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14-4089-A7DD-E95B04577053}"/>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E14-4089-A7DD-E95B045770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14-4089-A7DD-E95B045770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Data!$AI$241:$AK$241</c:f>
              <c:strCache>
                <c:ptCount val="3"/>
                <c:pt idx="0">
                  <c:v>Primary or Sole Bedroom</c:v>
                </c:pt>
                <c:pt idx="1">
                  <c:v>Secondary Bedroom(s)</c:v>
                </c:pt>
                <c:pt idx="2">
                  <c:v>Both Primary and Secondary</c:v>
                </c:pt>
              </c:strCache>
            </c:strRef>
          </c:cat>
          <c:val>
            <c:numRef>
              <c:f>Data!$AI$242:$AK$242</c:f>
              <c:numCache>
                <c:formatCode>General</c:formatCode>
                <c:ptCount val="3"/>
                <c:pt idx="0">
                  <c:v>192</c:v>
                </c:pt>
                <c:pt idx="1">
                  <c:v>560</c:v>
                </c:pt>
                <c:pt idx="2">
                  <c:v>122</c:v>
                </c:pt>
              </c:numCache>
            </c:numRef>
          </c:val>
          <c:extLst>
            <c:ext xmlns:c16="http://schemas.microsoft.com/office/drawing/2014/chart" uri="{C3380CC4-5D6E-409C-BE32-E72D297353CC}">
              <c16:uniqueId val="{00000006-AE14-4089-A7DD-E95B0457705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FF0000"/>
    </a:accent1>
    <a:accent2>
      <a:srgbClr val="70AD47"/>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FF0000"/>
    </a:accent1>
    <a:accent2>
      <a:srgbClr val="70AD47"/>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FF0000"/>
    </a:accent1>
    <a:accent2>
      <a:srgbClr val="70AD47"/>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FF0000"/>
    </a:accent1>
    <a:accent2>
      <a:srgbClr val="70AD47"/>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FF0000"/>
    </a:accent1>
    <a:accent2>
      <a:srgbClr val="70AD47"/>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FF0000"/>
    </a:accent1>
    <a:accent2>
      <a:srgbClr val="70AD47"/>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FF0000"/>
    </a:accent1>
    <a:accent2>
      <a:srgbClr val="70AD47"/>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80C5-76D2-4EA0-9ED6-E88370BD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Chivers</dc:creator>
  <cp:keywords/>
  <dc:description/>
  <cp:lastModifiedBy>Louise Brace</cp:lastModifiedBy>
  <cp:revision>9</cp:revision>
  <cp:lastPrinted>2018-07-24T08:27:00Z</cp:lastPrinted>
  <dcterms:created xsi:type="dcterms:W3CDTF">2023-08-02T07:43:00Z</dcterms:created>
  <dcterms:modified xsi:type="dcterms:W3CDTF">2024-04-15T11:50:00Z</dcterms:modified>
</cp:coreProperties>
</file>