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9E809" w14:textId="25AF0BD8" w:rsidR="00FD5888" w:rsidRDefault="00FD5888" w:rsidP="002839C9">
      <w:pPr>
        <w:jc w:val="center"/>
        <w:rPr>
          <w:rFonts w:ascii="Arial" w:hAnsi="Arial" w:cs="Arial"/>
          <w:b/>
          <w:sz w:val="56"/>
          <w:szCs w:val="56"/>
        </w:rPr>
      </w:pPr>
    </w:p>
    <w:p w14:paraId="2D467981" w14:textId="77777777" w:rsidR="008D66DE" w:rsidRDefault="008D66DE" w:rsidP="002839C9">
      <w:pPr>
        <w:jc w:val="center"/>
        <w:rPr>
          <w:rFonts w:ascii="Arial" w:hAnsi="Arial" w:cs="Arial"/>
          <w:b/>
          <w:sz w:val="56"/>
          <w:szCs w:val="56"/>
        </w:rPr>
      </w:pPr>
    </w:p>
    <w:p w14:paraId="05C34B76" w14:textId="77777777" w:rsidR="008D66DE" w:rsidRDefault="008D66DE" w:rsidP="008D66DE">
      <w:pPr>
        <w:jc w:val="center"/>
        <w:rPr>
          <w:rFonts w:ascii="Arial" w:hAnsi="Arial" w:cs="Arial"/>
          <w:b/>
          <w:sz w:val="56"/>
          <w:szCs w:val="56"/>
        </w:rPr>
      </w:pPr>
      <w:r>
        <w:rPr>
          <w:rFonts w:ascii="Arial" w:hAnsi="Arial" w:cs="Arial"/>
          <w:b/>
          <w:sz w:val="56"/>
          <w:szCs w:val="56"/>
        </w:rPr>
        <w:t>Chichester Local Plan 2021 - 2039</w:t>
      </w:r>
    </w:p>
    <w:p w14:paraId="3032A10B" w14:textId="77777777" w:rsidR="008D66DE" w:rsidRDefault="008D66DE" w:rsidP="008D66DE">
      <w:pPr>
        <w:jc w:val="right"/>
        <w:rPr>
          <w:rFonts w:ascii="Arial" w:hAnsi="Arial" w:cs="Arial"/>
          <w:b/>
          <w:sz w:val="56"/>
          <w:szCs w:val="56"/>
        </w:rPr>
      </w:pPr>
    </w:p>
    <w:p w14:paraId="2158FF29" w14:textId="5BFAD8DB" w:rsidR="008D66DE" w:rsidRPr="0020078A" w:rsidRDefault="008D66DE" w:rsidP="008D66DE">
      <w:pPr>
        <w:jc w:val="center"/>
        <w:rPr>
          <w:rFonts w:ascii="Arial" w:hAnsi="Arial" w:cs="Arial"/>
          <w:b/>
          <w:sz w:val="48"/>
          <w:szCs w:val="56"/>
        </w:rPr>
      </w:pPr>
      <w:r w:rsidRPr="0020078A">
        <w:rPr>
          <w:rFonts w:ascii="Arial" w:eastAsia="Times New Roman" w:hAnsi="Arial" w:cs="Arial"/>
          <w:noProof/>
          <w:sz w:val="16"/>
          <w:szCs w:val="24"/>
          <w:lang w:eastAsia="en-GB"/>
        </w:rPr>
        <w:drawing>
          <wp:anchor distT="0" distB="0" distL="114300" distR="114300" simplePos="0" relativeHeight="251661312" behindDoc="0" locked="0" layoutInCell="1" allowOverlap="1" wp14:anchorId="55E1D6CF" wp14:editId="5C3A074F">
            <wp:simplePos x="0" y="0"/>
            <wp:positionH relativeFrom="margin">
              <wp:align>center</wp:align>
            </wp:positionH>
            <wp:positionV relativeFrom="margin">
              <wp:posOffset>4745355</wp:posOffset>
            </wp:positionV>
            <wp:extent cx="1532890" cy="1541145"/>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2890" cy="1541145"/>
                    </a:xfrm>
                    <a:prstGeom prst="rect">
                      <a:avLst/>
                    </a:prstGeom>
                    <a:noFill/>
                  </pic:spPr>
                </pic:pic>
              </a:graphicData>
            </a:graphic>
          </wp:anchor>
        </w:drawing>
      </w:r>
      <w:r>
        <w:rPr>
          <w:rFonts w:ascii="Arial" w:hAnsi="Arial" w:cs="Arial"/>
          <w:b/>
          <w:sz w:val="48"/>
          <w:szCs w:val="56"/>
        </w:rPr>
        <w:t>Economic Development and Employment</w:t>
      </w:r>
    </w:p>
    <w:p w14:paraId="6E418B67" w14:textId="77777777" w:rsidR="008D66DE" w:rsidRPr="0020078A" w:rsidRDefault="008D66DE" w:rsidP="008D66DE">
      <w:pPr>
        <w:jc w:val="center"/>
        <w:rPr>
          <w:rFonts w:ascii="Arial" w:hAnsi="Arial" w:cs="Arial"/>
          <w:sz w:val="48"/>
          <w:szCs w:val="56"/>
        </w:rPr>
      </w:pPr>
      <w:r w:rsidRPr="0020078A">
        <w:rPr>
          <w:rFonts w:ascii="Arial" w:hAnsi="Arial" w:cs="Arial"/>
          <w:b/>
          <w:sz w:val="48"/>
          <w:szCs w:val="56"/>
        </w:rPr>
        <w:t xml:space="preserve">Background Paper </w:t>
      </w:r>
    </w:p>
    <w:p w14:paraId="638DE182" w14:textId="77777777" w:rsidR="008D66DE" w:rsidRPr="002C0A35" w:rsidRDefault="008D66DE" w:rsidP="008D66DE">
      <w:pPr>
        <w:rPr>
          <w:rFonts w:ascii="Arial" w:hAnsi="Arial" w:cs="Arial"/>
          <w:sz w:val="56"/>
          <w:szCs w:val="56"/>
        </w:rPr>
      </w:pPr>
    </w:p>
    <w:p w14:paraId="55111211" w14:textId="77777777" w:rsidR="008D66DE" w:rsidRPr="002C0A35" w:rsidRDefault="008D66DE" w:rsidP="008D66DE">
      <w:pPr>
        <w:rPr>
          <w:rFonts w:ascii="Arial" w:hAnsi="Arial" w:cs="Arial"/>
          <w:sz w:val="56"/>
          <w:szCs w:val="56"/>
        </w:rPr>
      </w:pPr>
    </w:p>
    <w:p w14:paraId="0AEEE7DA" w14:textId="77777777" w:rsidR="008D66DE" w:rsidRDefault="008D66DE" w:rsidP="008D66DE">
      <w:pPr>
        <w:rPr>
          <w:rFonts w:ascii="Arial" w:hAnsi="Arial" w:cs="Arial"/>
          <w:sz w:val="56"/>
          <w:szCs w:val="56"/>
        </w:rPr>
      </w:pPr>
    </w:p>
    <w:p w14:paraId="0A41493A" w14:textId="77777777" w:rsidR="008D66DE" w:rsidRDefault="008D66DE" w:rsidP="008D66DE">
      <w:pPr>
        <w:rPr>
          <w:rFonts w:ascii="Arial" w:hAnsi="Arial" w:cs="Arial"/>
          <w:b/>
          <w:sz w:val="32"/>
          <w:szCs w:val="32"/>
        </w:rPr>
      </w:pPr>
    </w:p>
    <w:p w14:paraId="05A2DDF0" w14:textId="77777777" w:rsidR="008D66DE" w:rsidRDefault="008D66DE" w:rsidP="008D66DE"/>
    <w:p w14:paraId="5428E593" w14:textId="77777777" w:rsidR="008D66DE" w:rsidRDefault="008D66DE" w:rsidP="008D66DE"/>
    <w:p w14:paraId="3FFC2ABE" w14:textId="77777777" w:rsidR="008D66DE" w:rsidRDefault="008D66DE" w:rsidP="008D66DE"/>
    <w:p w14:paraId="48009BE8" w14:textId="77777777" w:rsidR="008D66DE" w:rsidRDefault="008D66DE" w:rsidP="008D66DE"/>
    <w:p w14:paraId="5A69E7CD" w14:textId="77777777" w:rsidR="008D66DE" w:rsidRDefault="008D66DE" w:rsidP="008D66DE"/>
    <w:p w14:paraId="67050CBA" w14:textId="77777777" w:rsidR="00CA0531" w:rsidRDefault="00CA0531" w:rsidP="008D66DE"/>
    <w:p w14:paraId="2BEE791E" w14:textId="77777777" w:rsidR="008D66DE" w:rsidRDefault="008D66DE" w:rsidP="008D66DE"/>
    <w:bookmarkStart w:id="0" w:name="_Hlk166763471"/>
    <w:p w14:paraId="76A93EF9" w14:textId="446CA902" w:rsidR="008D66DE" w:rsidRDefault="008D66DE" w:rsidP="008D66DE">
      <w:pPr>
        <w:rPr>
          <w:rFonts w:ascii="Arial" w:hAnsi="Arial" w:cs="Arial"/>
          <w:b/>
          <w:sz w:val="32"/>
          <w:szCs w:val="32"/>
        </w:rPr>
      </w:pPr>
      <w:r>
        <w:fldChar w:fldCharType="begin"/>
      </w:r>
      <w:r>
        <w:instrText>HYPERLINK "http://www.chichester.gov.uk/"</w:instrText>
      </w:r>
      <w:r>
        <w:fldChar w:fldCharType="separate"/>
      </w:r>
      <w:r w:rsidRPr="00CC2C28">
        <w:rPr>
          <w:rFonts w:ascii="Arial" w:eastAsia="Times New Roman" w:hAnsi="Arial" w:cs="Arial"/>
          <w:b/>
          <w:bCs/>
          <w:color w:val="0000FF"/>
          <w:sz w:val="32"/>
          <w:szCs w:val="32"/>
          <w:u w:val="single"/>
        </w:rPr>
        <w:t>www.chichester.gov.uk</w:t>
      </w:r>
      <w:r>
        <w:rPr>
          <w:rFonts w:ascii="Arial" w:eastAsia="Times New Roman" w:hAnsi="Arial" w:cs="Arial"/>
          <w:b/>
          <w:bCs/>
          <w:color w:val="0000FF"/>
          <w:sz w:val="32"/>
          <w:szCs w:val="32"/>
          <w:u w:val="single"/>
        </w:rPr>
        <w:fldChar w:fldCharType="end"/>
      </w:r>
      <w:r w:rsidRPr="00CC2C28">
        <w:rPr>
          <w:rFonts w:ascii="Arial" w:eastAsia="Times New Roman" w:hAnsi="Arial" w:cs="Arial"/>
          <w:b/>
          <w:bCs/>
          <w:sz w:val="32"/>
          <w:szCs w:val="32"/>
        </w:rPr>
        <w:tab/>
      </w:r>
      <w:r w:rsidR="00E86954">
        <w:rPr>
          <w:rFonts w:ascii="Arial" w:eastAsia="Times New Roman" w:hAnsi="Arial" w:cs="Arial"/>
          <w:b/>
          <w:bCs/>
          <w:sz w:val="32"/>
          <w:szCs w:val="32"/>
        </w:rPr>
        <w:tab/>
      </w:r>
      <w:r w:rsidR="00E86954">
        <w:rPr>
          <w:rFonts w:ascii="Arial" w:eastAsia="Times New Roman" w:hAnsi="Arial" w:cs="Arial"/>
          <w:b/>
          <w:bCs/>
          <w:sz w:val="32"/>
          <w:szCs w:val="32"/>
        </w:rPr>
        <w:tab/>
      </w:r>
      <w:r w:rsidR="00E86954">
        <w:rPr>
          <w:rFonts w:ascii="Arial" w:eastAsia="Times New Roman" w:hAnsi="Arial" w:cs="Arial"/>
          <w:b/>
          <w:bCs/>
          <w:sz w:val="32"/>
          <w:szCs w:val="32"/>
        </w:rPr>
        <w:tab/>
      </w:r>
      <w:r w:rsidR="00E86954">
        <w:rPr>
          <w:rFonts w:ascii="Arial" w:eastAsia="Times New Roman" w:hAnsi="Arial" w:cs="Arial"/>
          <w:b/>
          <w:bCs/>
          <w:sz w:val="32"/>
          <w:szCs w:val="32"/>
        </w:rPr>
        <w:tab/>
      </w:r>
      <w:r w:rsidR="00E86954">
        <w:rPr>
          <w:rFonts w:ascii="Arial" w:eastAsia="Times New Roman" w:hAnsi="Arial" w:cs="Arial"/>
          <w:b/>
          <w:bCs/>
          <w:sz w:val="32"/>
          <w:szCs w:val="32"/>
        </w:rPr>
        <w:tab/>
      </w:r>
      <w:r w:rsidR="00E86954">
        <w:rPr>
          <w:rFonts w:ascii="Arial" w:eastAsia="Times New Roman" w:hAnsi="Arial" w:cs="Arial"/>
          <w:b/>
          <w:bCs/>
          <w:sz w:val="32"/>
          <w:szCs w:val="32"/>
        </w:rPr>
        <w:tab/>
      </w:r>
      <w:r>
        <w:rPr>
          <w:rFonts w:ascii="Arial" w:eastAsia="Times New Roman" w:hAnsi="Arial" w:cs="Arial"/>
          <w:b/>
          <w:bCs/>
          <w:sz w:val="32"/>
          <w:szCs w:val="32"/>
        </w:rPr>
        <w:t xml:space="preserve">May </w:t>
      </w:r>
      <w:r>
        <w:rPr>
          <w:rFonts w:ascii="Arial" w:hAnsi="Arial" w:cs="Arial"/>
          <w:b/>
          <w:sz w:val="32"/>
          <w:szCs w:val="32"/>
        </w:rPr>
        <w:t>2024</w:t>
      </w:r>
    </w:p>
    <w:bookmarkEnd w:id="0"/>
    <w:p w14:paraId="4EC764EE" w14:textId="77777777" w:rsidR="00FD5888" w:rsidRDefault="00FD5888" w:rsidP="002839C9">
      <w:pPr>
        <w:jc w:val="center"/>
        <w:rPr>
          <w:rFonts w:ascii="Arial" w:hAnsi="Arial" w:cs="Arial"/>
          <w:b/>
          <w:sz w:val="56"/>
          <w:szCs w:val="56"/>
        </w:rPr>
      </w:pPr>
    </w:p>
    <w:p w14:paraId="5277D920" w14:textId="77777777" w:rsidR="00FD5888" w:rsidRPr="00E86954" w:rsidRDefault="00FD5888" w:rsidP="002839C9">
      <w:pPr>
        <w:jc w:val="center"/>
        <w:rPr>
          <w:rFonts w:ascii="Arial" w:hAnsi="Arial" w:cs="Arial"/>
          <w:b/>
          <w:sz w:val="48"/>
          <w:szCs w:val="48"/>
        </w:rPr>
      </w:pPr>
    </w:p>
    <w:p w14:paraId="72268D44" w14:textId="1E24237D" w:rsidR="008D66DE" w:rsidRPr="00E04C1C" w:rsidRDefault="008D66DE" w:rsidP="00E04C1C">
      <w:pPr>
        <w:pStyle w:val="TOC1"/>
      </w:pPr>
      <w:r w:rsidRPr="00E04C1C">
        <w:lastRenderedPageBreak/>
        <w:t>Contents</w:t>
      </w:r>
    </w:p>
    <w:p w14:paraId="1B742E33" w14:textId="2DE41A27" w:rsidR="009C0E7E" w:rsidRPr="009C0E7E" w:rsidRDefault="009C0E7E" w:rsidP="009C0E7E">
      <w:pPr>
        <w:pStyle w:val="TOC1"/>
        <w:rPr>
          <w:rFonts w:asciiTheme="minorHAnsi" w:eastAsiaTheme="minorEastAsia" w:hAnsiTheme="minorHAnsi" w:cstheme="minorBidi"/>
          <w:b w:val="0"/>
          <w:bCs w:val="0"/>
          <w:noProof/>
          <w:color w:val="auto"/>
          <w:kern w:val="2"/>
          <w:sz w:val="20"/>
          <w:szCs w:val="20"/>
          <w:lang w:eastAsia="en-GB"/>
          <w14:ligatures w14:val="standardContextual"/>
        </w:rPr>
      </w:pPr>
      <w:r>
        <w:rPr>
          <w:sz w:val="32"/>
          <w:szCs w:val="32"/>
        </w:rPr>
        <w:fldChar w:fldCharType="begin"/>
      </w:r>
      <w:r>
        <w:rPr>
          <w:sz w:val="32"/>
          <w:szCs w:val="32"/>
        </w:rPr>
        <w:instrText xml:space="preserve"> TOC \o "1-1" \h \z \u </w:instrText>
      </w:r>
      <w:r>
        <w:rPr>
          <w:sz w:val="32"/>
          <w:szCs w:val="32"/>
        </w:rPr>
        <w:fldChar w:fldCharType="separate"/>
      </w:r>
      <w:hyperlink w:anchor="_Toc167976198" w:history="1">
        <w:r w:rsidRPr="009C0E7E">
          <w:rPr>
            <w:rStyle w:val="Hyperlink"/>
            <w:b w:val="0"/>
            <w:bCs w:val="0"/>
            <w:noProof/>
            <w:color w:val="auto"/>
            <w:sz w:val="24"/>
            <w:szCs w:val="24"/>
          </w:rPr>
          <w:t>1.</w:t>
        </w:r>
        <w:r w:rsidRPr="009C0E7E">
          <w:rPr>
            <w:rFonts w:asciiTheme="minorHAnsi" w:eastAsiaTheme="minorEastAsia" w:hAnsiTheme="minorHAnsi" w:cstheme="minorBidi"/>
            <w:b w:val="0"/>
            <w:bCs w:val="0"/>
            <w:noProof/>
            <w:color w:val="auto"/>
            <w:kern w:val="2"/>
            <w:sz w:val="20"/>
            <w:szCs w:val="20"/>
            <w:lang w:eastAsia="en-GB"/>
            <w14:ligatures w14:val="standardContextual"/>
          </w:rPr>
          <w:tab/>
        </w:r>
        <w:r w:rsidRPr="009C0E7E">
          <w:rPr>
            <w:rStyle w:val="Hyperlink"/>
            <w:b w:val="0"/>
            <w:bCs w:val="0"/>
            <w:noProof/>
            <w:color w:val="auto"/>
            <w:sz w:val="24"/>
            <w:szCs w:val="24"/>
          </w:rPr>
          <w:t>Introduction</w:t>
        </w:r>
        <w:r w:rsidRPr="009C0E7E">
          <w:rPr>
            <w:b w:val="0"/>
            <w:bCs w:val="0"/>
            <w:noProof/>
            <w:webHidden/>
            <w:color w:val="auto"/>
            <w:sz w:val="24"/>
            <w:szCs w:val="24"/>
          </w:rPr>
          <w:tab/>
        </w:r>
        <w:r w:rsidRPr="009C0E7E">
          <w:rPr>
            <w:b w:val="0"/>
            <w:bCs w:val="0"/>
            <w:noProof/>
            <w:webHidden/>
            <w:color w:val="auto"/>
            <w:sz w:val="24"/>
            <w:szCs w:val="24"/>
          </w:rPr>
          <w:fldChar w:fldCharType="begin"/>
        </w:r>
        <w:r w:rsidRPr="009C0E7E">
          <w:rPr>
            <w:b w:val="0"/>
            <w:bCs w:val="0"/>
            <w:noProof/>
            <w:webHidden/>
            <w:color w:val="auto"/>
            <w:sz w:val="24"/>
            <w:szCs w:val="24"/>
          </w:rPr>
          <w:instrText xml:space="preserve"> PAGEREF _Toc167976198 \h </w:instrText>
        </w:r>
        <w:r w:rsidRPr="009C0E7E">
          <w:rPr>
            <w:b w:val="0"/>
            <w:bCs w:val="0"/>
            <w:noProof/>
            <w:webHidden/>
            <w:color w:val="auto"/>
            <w:sz w:val="24"/>
            <w:szCs w:val="24"/>
          </w:rPr>
        </w:r>
        <w:r w:rsidRPr="009C0E7E">
          <w:rPr>
            <w:b w:val="0"/>
            <w:bCs w:val="0"/>
            <w:noProof/>
            <w:webHidden/>
            <w:color w:val="auto"/>
            <w:sz w:val="24"/>
            <w:szCs w:val="24"/>
          </w:rPr>
          <w:fldChar w:fldCharType="separate"/>
        </w:r>
        <w:r w:rsidRPr="009C0E7E">
          <w:rPr>
            <w:b w:val="0"/>
            <w:bCs w:val="0"/>
            <w:noProof/>
            <w:webHidden/>
            <w:color w:val="auto"/>
            <w:sz w:val="24"/>
            <w:szCs w:val="24"/>
          </w:rPr>
          <w:t>3</w:t>
        </w:r>
        <w:r w:rsidRPr="009C0E7E">
          <w:rPr>
            <w:b w:val="0"/>
            <w:bCs w:val="0"/>
            <w:noProof/>
            <w:webHidden/>
            <w:color w:val="auto"/>
            <w:sz w:val="24"/>
            <w:szCs w:val="24"/>
          </w:rPr>
          <w:fldChar w:fldCharType="end"/>
        </w:r>
      </w:hyperlink>
    </w:p>
    <w:p w14:paraId="531D1B44" w14:textId="2377CEDE" w:rsidR="009C0E7E" w:rsidRPr="009C0E7E" w:rsidRDefault="004245F7" w:rsidP="009C0E7E">
      <w:pPr>
        <w:pStyle w:val="TOC1"/>
        <w:rPr>
          <w:rFonts w:asciiTheme="minorHAnsi" w:eastAsiaTheme="minorEastAsia" w:hAnsiTheme="minorHAnsi" w:cstheme="minorBidi"/>
          <w:b w:val="0"/>
          <w:bCs w:val="0"/>
          <w:noProof/>
          <w:color w:val="auto"/>
          <w:kern w:val="2"/>
          <w:sz w:val="20"/>
          <w:szCs w:val="20"/>
          <w:lang w:eastAsia="en-GB"/>
          <w14:ligatures w14:val="standardContextual"/>
        </w:rPr>
      </w:pPr>
      <w:hyperlink w:anchor="_Toc167976199" w:history="1">
        <w:r w:rsidR="009C0E7E" w:rsidRPr="009C0E7E">
          <w:rPr>
            <w:rStyle w:val="Hyperlink"/>
            <w:b w:val="0"/>
            <w:bCs w:val="0"/>
            <w:noProof/>
            <w:color w:val="auto"/>
            <w:sz w:val="24"/>
            <w:szCs w:val="24"/>
          </w:rPr>
          <w:t>2.</w:t>
        </w:r>
        <w:r w:rsidR="009C0E7E" w:rsidRPr="009C0E7E">
          <w:rPr>
            <w:rFonts w:asciiTheme="minorHAnsi" w:eastAsiaTheme="minorEastAsia" w:hAnsiTheme="minorHAnsi" w:cstheme="minorBidi"/>
            <w:b w:val="0"/>
            <w:bCs w:val="0"/>
            <w:noProof/>
            <w:color w:val="auto"/>
            <w:kern w:val="2"/>
            <w:sz w:val="20"/>
            <w:szCs w:val="20"/>
            <w:lang w:eastAsia="en-GB"/>
            <w14:ligatures w14:val="standardContextual"/>
          </w:rPr>
          <w:tab/>
        </w:r>
        <w:r w:rsidR="009C0E7E" w:rsidRPr="009C0E7E">
          <w:rPr>
            <w:rStyle w:val="Hyperlink"/>
            <w:b w:val="0"/>
            <w:bCs w:val="0"/>
            <w:noProof/>
            <w:color w:val="auto"/>
            <w:sz w:val="24"/>
            <w:szCs w:val="24"/>
          </w:rPr>
          <w:t>National Policy and guidance</w:t>
        </w:r>
        <w:r w:rsidR="009C0E7E" w:rsidRPr="009C0E7E">
          <w:rPr>
            <w:b w:val="0"/>
            <w:bCs w:val="0"/>
            <w:noProof/>
            <w:webHidden/>
            <w:color w:val="auto"/>
            <w:sz w:val="24"/>
            <w:szCs w:val="24"/>
          </w:rPr>
          <w:tab/>
        </w:r>
        <w:r w:rsidR="009C0E7E" w:rsidRPr="009C0E7E">
          <w:rPr>
            <w:b w:val="0"/>
            <w:bCs w:val="0"/>
            <w:noProof/>
            <w:webHidden/>
            <w:color w:val="auto"/>
            <w:sz w:val="24"/>
            <w:szCs w:val="24"/>
          </w:rPr>
          <w:fldChar w:fldCharType="begin"/>
        </w:r>
        <w:r w:rsidR="009C0E7E" w:rsidRPr="009C0E7E">
          <w:rPr>
            <w:b w:val="0"/>
            <w:bCs w:val="0"/>
            <w:noProof/>
            <w:webHidden/>
            <w:color w:val="auto"/>
            <w:sz w:val="24"/>
            <w:szCs w:val="24"/>
          </w:rPr>
          <w:instrText xml:space="preserve"> PAGEREF _Toc167976199 \h </w:instrText>
        </w:r>
        <w:r w:rsidR="009C0E7E" w:rsidRPr="009C0E7E">
          <w:rPr>
            <w:b w:val="0"/>
            <w:bCs w:val="0"/>
            <w:noProof/>
            <w:webHidden/>
            <w:color w:val="auto"/>
            <w:sz w:val="24"/>
            <w:szCs w:val="24"/>
          </w:rPr>
        </w:r>
        <w:r w:rsidR="009C0E7E" w:rsidRPr="009C0E7E">
          <w:rPr>
            <w:b w:val="0"/>
            <w:bCs w:val="0"/>
            <w:noProof/>
            <w:webHidden/>
            <w:color w:val="auto"/>
            <w:sz w:val="24"/>
            <w:szCs w:val="24"/>
          </w:rPr>
          <w:fldChar w:fldCharType="separate"/>
        </w:r>
        <w:r w:rsidR="009C0E7E" w:rsidRPr="009C0E7E">
          <w:rPr>
            <w:b w:val="0"/>
            <w:bCs w:val="0"/>
            <w:noProof/>
            <w:webHidden/>
            <w:color w:val="auto"/>
            <w:sz w:val="24"/>
            <w:szCs w:val="24"/>
          </w:rPr>
          <w:t>3</w:t>
        </w:r>
        <w:r w:rsidR="009C0E7E" w:rsidRPr="009C0E7E">
          <w:rPr>
            <w:b w:val="0"/>
            <w:bCs w:val="0"/>
            <w:noProof/>
            <w:webHidden/>
            <w:color w:val="auto"/>
            <w:sz w:val="24"/>
            <w:szCs w:val="24"/>
          </w:rPr>
          <w:fldChar w:fldCharType="end"/>
        </w:r>
      </w:hyperlink>
    </w:p>
    <w:p w14:paraId="1EABD726" w14:textId="3F295B28" w:rsidR="009C0E7E" w:rsidRPr="009C0E7E" w:rsidRDefault="004245F7" w:rsidP="009C0E7E">
      <w:pPr>
        <w:pStyle w:val="TOC1"/>
        <w:rPr>
          <w:rFonts w:asciiTheme="minorHAnsi" w:eastAsiaTheme="minorEastAsia" w:hAnsiTheme="minorHAnsi" w:cstheme="minorBidi"/>
          <w:b w:val="0"/>
          <w:bCs w:val="0"/>
          <w:noProof/>
          <w:color w:val="auto"/>
          <w:kern w:val="2"/>
          <w:sz w:val="20"/>
          <w:szCs w:val="20"/>
          <w:lang w:eastAsia="en-GB"/>
          <w14:ligatures w14:val="standardContextual"/>
        </w:rPr>
      </w:pPr>
      <w:hyperlink w:anchor="_Toc167976200" w:history="1">
        <w:r w:rsidR="009C0E7E" w:rsidRPr="009C0E7E">
          <w:rPr>
            <w:rStyle w:val="Hyperlink"/>
            <w:b w:val="0"/>
            <w:bCs w:val="0"/>
            <w:noProof/>
            <w:color w:val="auto"/>
            <w:sz w:val="24"/>
            <w:szCs w:val="24"/>
          </w:rPr>
          <w:t>3.</w:t>
        </w:r>
        <w:r w:rsidR="009C0E7E" w:rsidRPr="009C0E7E">
          <w:rPr>
            <w:rFonts w:asciiTheme="minorHAnsi" w:eastAsiaTheme="minorEastAsia" w:hAnsiTheme="minorHAnsi" w:cstheme="minorBidi"/>
            <w:b w:val="0"/>
            <w:bCs w:val="0"/>
            <w:noProof/>
            <w:color w:val="auto"/>
            <w:kern w:val="2"/>
            <w:sz w:val="20"/>
            <w:szCs w:val="20"/>
            <w:lang w:eastAsia="en-GB"/>
            <w14:ligatures w14:val="standardContextual"/>
          </w:rPr>
          <w:tab/>
        </w:r>
        <w:r w:rsidR="009C0E7E" w:rsidRPr="009C0E7E">
          <w:rPr>
            <w:rStyle w:val="Hyperlink"/>
            <w:b w:val="0"/>
            <w:bCs w:val="0"/>
            <w:noProof/>
            <w:color w:val="auto"/>
            <w:sz w:val="24"/>
            <w:szCs w:val="24"/>
          </w:rPr>
          <w:t>What is the Economic Vision?</w:t>
        </w:r>
        <w:r w:rsidR="009C0E7E" w:rsidRPr="009C0E7E">
          <w:rPr>
            <w:b w:val="0"/>
            <w:bCs w:val="0"/>
            <w:noProof/>
            <w:webHidden/>
            <w:color w:val="auto"/>
            <w:sz w:val="24"/>
            <w:szCs w:val="24"/>
          </w:rPr>
          <w:tab/>
        </w:r>
        <w:r w:rsidR="009C0E7E" w:rsidRPr="009C0E7E">
          <w:rPr>
            <w:b w:val="0"/>
            <w:bCs w:val="0"/>
            <w:noProof/>
            <w:webHidden/>
            <w:color w:val="auto"/>
            <w:sz w:val="24"/>
            <w:szCs w:val="24"/>
          </w:rPr>
          <w:fldChar w:fldCharType="begin"/>
        </w:r>
        <w:r w:rsidR="009C0E7E" w:rsidRPr="009C0E7E">
          <w:rPr>
            <w:b w:val="0"/>
            <w:bCs w:val="0"/>
            <w:noProof/>
            <w:webHidden/>
            <w:color w:val="auto"/>
            <w:sz w:val="24"/>
            <w:szCs w:val="24"/>
          </w:rPr>
          <w:instrText xml:space="preserve"> PAGEREF _Toc167976200 \h </w:instrText>
        </w:r>
        <w:r w:rsidR="009C0E7E" w:rsidRPr="009C0E7E">
          <w:rPr>
            <w:b w:val="0"/>
            <w:bCs w:val="0"/>
            <w:noProof/>
            <w:webHidden/>
            <w:color w:val="auto"/>
            <w:sz w:val="24"/>
            <w:szCs w:val="24"/>
          </w:rPr>
        </w:r>
        <w:r w:rsidR="009C0E7E" w:rsidRPr="009C0E7E">
          <w:rPr>
            <w:b w:val="0"/>
            <w:bCs w:val="0"/>
            <w:noProof/>
            <w:webHidden/>
            <w:color w:val="auto"/>
            <w:sz w:val="24"/>
            <w:szCs w:val="24"/>
          </w:rPr>
          <w:fldChar w:fldCharType="separate"/>
        </w:r>
        <w:r w:rsidR="009C0E7E" w:rsidRPr="009C0E7E">
          <w:rPr>
            <w:b w:val="0"/>
            <w:bCs w:val="0"/>
            <w:noProof/>
            <w:webHidden/>
            <w:color w:val="auto"/>
            <w:sz w:val="24"/>
            <w:szCs w:val="24"/>
          </w:rPr>
          <w:t>4</w:t>
        </w:r>
        <w:r w:rsidR="009C0E7E" w:rsidRPr="009C0E7E">
          <w:rPr>
            <w:b w:val="0"/>
            <w:bCs w:val="0"/>
            <w:noProof/>
            <w:webHidden/>
            <w:color w:val="auto"/>
            <w:sz w:val="24"/>
            <w:szCs w:val="24"/>
          </w:rPr>
          <w:fldChar w:fldCharType="end"/>
        </w:r>
      </w:hyperlink>
    </w:p>
    <w:p w14:paraId="41697F4E" w14:textId="64B4D01F" w:rsidR="009C0E7E" w:rsidRPr="009C0E7E" w:rsidRDefault="004245F7" w:rsidP="009C0E7E">
      <w:pPr>
        <w:pStyle w:val="TOC1"/>
        <w:rPr>
          <w:rFonts w:asciiTheme="minorHAnsi" w:eastAsiaTheme="minorEastAsia" w:hAnsiTheme="minorHAnsi" w:cstheme="minorBidi"/>
          <w:b w:val="0"/>
          <w:bCs w:val="0"/>
          <w:noProof/>
          <w:color w:val="auto"/>
          <w:kern w:val="2"/>
          <w:sz w:val="20"/>
          <w:szCs w:val="20"/>
          <w:lang w:eastAsia="en-GB"/>
          <w14:ligatures w14:val="standardContextual"/>
        </w:rPr>
      </w:pPr>
      <w:hyperlink w:anchor="_Toc167976201" w:history="1">
        <w:r w:rsidR="009C0E7E" w:rsidRPr="009C0E7E">
          <w:rPr>
            <w:rStyle w:val="Hyperlink"/>
            <w:b w:val="0"/>
            <w:bCs w:val="0"/>
            <w:noProof/>
            <w:color w:val="auto"/>
            <w:sz w:val="24"/>
            <w:szCs w:val="24"/>
          </w:rPr>
          <w:t>4.</w:t>
        </w:r>
        <w:r w:rsidR="009C0E7E" w:rsidRPr="009C0E7E">
          <w:rPr>
            <w:rFonts w:asciiTheme="minorHAnsi" w:eastAsiaTheme="minorEastAsia" w:hAnsiTheme="minorHAnsi" w:cstheme="minorBidi"/>
            <w:b w:val="0"/>
            <w:bCs w:val="0"/>
            <w:noProof/>
            <w:color w:val="auto"/>
            <w:kern w:val="2"/>
            <w:sz w:val="20"/>
            <w:szCs w:val="20"/>
            <w:lang w:eastAsia="en-GB"/>
            <w14:ligatures w14:val="standardContextual"/>
          </w:rPr>
          <w:tab/>
        </w:r>
        <w:r w:rsidR="009C0E7E" w:rsidRPr="009C0E7E">
          <w:rPr>
            <w:rStyle w:val="Hyperlink"/>
            <w:b w:val="0"/>
            <w:bCs w:val="0"/>
            <w:noProof/>
            <w:color w:val="auto"/>
            <w:sz w:val="24"/>
            <w:szCs w:val="24"/>
          </w:rPr>
          <w:t>Background – previous stages of Local Plan preparation:</w:t>
        </w:r>
        <w:r w:rsidR="009C0E7E" w:rsidRPr="009C0E7E">
          <w:rPr>
            <w:b w:val="0"/>
            <w:bCs w:val="0"/>
            <w:noProof/>
            <w:webHidden/>
            <w:color w:val="auto"/>
            <w:sz w:val="24"/>
            <w:szCs w:val="24"/>
          </w:rPr>
          <w:tab/>
        </w:r>
        <w:r w:rsidR="009C0E7E" w:rsidRPr="009C0E7E">
          <w:rPr>
            <w:b w:val="0"/>
            <w:bCs w:val="0"/>
            <w:noProof/>
            <w:webHidden/>
            <w:color w:val="auto"/>
            <w:sz w:val="24"/>
            <w:szCs w:val="24"/>
          </w:rPr>
          <w:fldChar w:fldCharType="begin"/>
        </w:r>
        <w:r w:rsidR="009C0E7E" w:rsidRPr="009C0E7E">
          <w:rPr>
            <w:b w:val="0"/>
            <w:bCs w:val="0"/>
            <w:noProof/>
            <w:webHidden/>
            <w:color w:val="auto"/>
            <w:sz w:val="24"/>
            <w:szCs w:val="24"/>
          </w:rPr>
          <w:instrText xml:space="preserve"> PAGEREF _Toc167976201 \h </w:instrText>
        </w:r>
        <w:r w:rsidR="009C0E7E" w:rsidRPr="009C0E7E">
          <w:rPr>
            <w:b w:val="0"/>
            <w:bCs w:val="0"/>
            <w:noProof/>
            <w:webHidden/>
            <w:color w:val="auto"/>
            <w:sz w:val="24"/>
            <w:szCs w:val="24"/>
          </w:rPr>
        </w:r>
        <w:r w:rsidR="009C0E7E" w:rsidRPr="009C0E7E">
          <w:rPr>
            <w:b w:val="0"/>
            <w:bCs w:val="0"/>
            <w:noProof/>
            <w:webHidden/>
            <w:color w:val="auto"/>
            <w:sz w:val="24"/>
            <w:szCs w:val="24"/>
          </w:rPr>
          <w:fldChar w:fldCharType="separate"/>
        </w:r>
        <w:r w:rsidR="009C0E7E" w:rsidRPr="009C0E7E">
          <w:rPr>
            <w:b w:val="0"/>
            <w:bCs w:val="0"/>
            <w:noProof/>
            <w:webHidden/>
            <w:color w:val="auto"/>
            <w:sz w:val="24"/>
            <w:szCs w:val="24"/>
          </w:rPr>
          <w:t>4</w:t>
        </w:r>
        <w:r w:rsidR="009C0E7E" w:rsidRPr="009C0E7E">
          <w:rPr>
            <w:b w:val="0"/>
            <w:bCs w:val="0"/>
            <w:noProof/>
            <w:webHidden/>
            <w:color w:val="auto"/>
            <w:sz w:val="24"/>
            <w:szCs w:val="24"/>
          </w:rPr>
          <w:fldChar w:fldCharType="end"/>
        </w:r>
      </w:hyperlink>
    </w:p>
    <w:p w14:paraId="0745BD83" w14:textId="00FBCE8B" w:rsidR="009C0E7E" w:rsidRPr="009C0E7E" w:rsidRDefault="004245F7" w:rsidP="009C0E7E">
      <w:pPr>
        <w:pStyle w:val="TOC1"/>
        <w:rPr>
          <w:rFonts w:asciiTheme="minorHAnsi" w:eastAsiaTheme="minorEastAsia" w:hAnsiTheme="minorHAnsi" w:cstheme="minorBidi"/>
          <w:b w:val="0"/>
          <w:bCs w:val="0"/>
          <w:noProof/>
          <w:color w:val="auto"/>
          <w:kern w:val="2"/>
          <w:sz w:val="20"/>
          <w:szCs w:val="20"/>
          <w:lang w:eastAsia="en-GB"/>
          <w14:ligatures w14:val="standardContextual"/>
        </w:rPr>
      </w:pPr>
      <w:hyperlink w:anchor="_Toc167976202" w:history="1">
        <w:r w:rsidR="009C0E7E" w:rsidRPr="009C0E7E">
          <w:rPr>
            <w:rStyle w:val="Hyperlink"/>
            <w:b w:val="0"/>
            <w:bCs w:val="0"/>
            <w:noProof/>
            <w:color w:val="auto"/>
            <w:sz w:val="24"/>
            <w:szCs w:val="24"/>
          </w:rPr>
          <w:t>5.</w:t>
        </w:r>
        <w:r w:rsidR="009C0E7E" w:rsidRPr="009C0E7E">
          <w:rPr>
            <w:rFonts w:asciiTheme="minorHAnsi" w:eastAsiaTheme="minorEastAsia" w:hAnsiTheme="minorHAnsi" w:cstheme="minorBidi"/>
            <w:b w:val="0"/>
            <w:bCs w:val="0"/>
            <w:noProof/>
            <w:color w:val="auto"/>
            <w:kern w:val="2"/>
            <w:sz w:val="20"/>
            <w:szCs w:val="20"/>
            <w:lang w:eastAsia="en-GB"/>
            <w14:ligatures w14:val="standardContextual"/>
          </w:rPr>
          <w:tab/>
        </w:r>
        <w:r w:rsidR="009C0E7E" w:rsidRPr="009C0E7E">
          <w:rPr>
            <w:rStyle w:val="Hyperlink"/>
            <w:b w:val="0"/>
            <w:bCs w:val="0"/>
            <w:noProof/>
            <w:color w:val="auto"/>
            <w:sz w:val="24"/>
            <w:szCs w:val="24"/>
          </w:rPr>
          <w:t>Supporting evidence: How much employment space is needed?</w:t>
        </w:r>
        <w:r w:rsidR="009C0E7E" w:rsidRPr="009C0E7E">
          <w:rPr>
            <w:b w:val="0"/>
            <w:bCs w:val="0"/>
            <w:noProof/>
            <w:webHidden/>
            <w:color w:val="auto"/>
            <w:sz w:val="24"/>
            <w:szCs w:val="24"/>
          </w:rPr>
          <w:tab/>
        </w:r>
        <w:r w:rsidR="009C0E7E" w:rsidRPr="009C0E7E">
          <w:rPr>
            <w:b w:val="0"/>
            <w:bCs w:val="0"/>
            <w:noProof/>
            <w:webHidden/>
            <w:color w:val="auto"/>
            <w:sz w:val="24"/>
            <w:szCs w:val="24"/>
          </w:rPr>
          <w:fldChar w:fldCharType="begin"/>
        </w:r>
        <w:r w:rsidR="009C0E7E" w:rsidRPr="009C0E7E">
          <w:rPr>
            <w:b w:val="0"/>
            <w:bCs w:val="0"/>
            <w:noProof/>
            <w:webHidden/>
            <w:color w:val="auto"/>
            <w:sz w:val="24"/>
            <w:szCs w:val="24"/>
          </w:rPr>
          <w:instrText xml:space="preserve"> PAGEREF _Toc167976202 \h </w:instrText>
        </w:r>
        <w:r w:rsidR="009C0E7E" w:rsidRPr="009C0E7E">
          <w:rPr>
            <w:b w:val="0"/>
            <w:bCs w:val="0"/>
            <w:noProof/>
            <w:webHidden/>
            <w:color w:val="auto"/>
            <w:sz w:val="24"/>
            <w:szCs w:val="24"/>
          </w:rPr>
        </w:r>
        <w:r w:rsidR="009C0E7E" w:rsidRPr="009C0E7E">
          <w:rPr>
            <w:b w:val="0"/>
            <w:bCs w:val="0"/>
            <w:noProof/>
            <w:webHidden/>
            <w:color w:val="auto"/>
            <w:sz w:val="24"/>
            <w:szCs w:val="24"/>
          </w:rPr>
          <w:fldChar w:fldCharType="separate"/>
        </w:r>
        <w:r w:rsidR="009C0E7E" w:rsidRPr="009C0E7E">
          <w:rPr>
            <w:b w:val="0"/>
            <w:bCs w:val="0"/>
            <w:noProof/>
            <w:webHidden/>
            <w:color w:val="auto"/>
            <w:sz w:val="24"/>
            <w:szCs w:val="24"/>
          </w:rPr>
          <w:t>6</w:t>
        </w:r>
        <w:r w:rsidR="009C0E7E" w:rsidRPr="009C0E7E">
          <w:rPr>
            <w:b w:val="0"/>
            <w:bCs w:val="0"/>
            <w:noProof/>
            <w:webHidden/>
            <w:color w:val="auto"/>
            <w:sz w:val="24"/>
            <w:szCs w:val="24"/>
          </w:rPr>
          <w:fldChar w:fldCharType="end"/>
        </w:r>
      </w:hyperlink>
    </w:p>
    <w:p w14:paraId="19840CD4" w14:textId="3FFAFDF8" w:rsidR="009C0E7E" w:rsidRPr="009C0E7E" w:rsidRDefault="004245F7" w:rsidP="009C0E7E">
      <w:pPr>
        <w:pStyle w:val="TOC1"/>
        <w:rPr>
          <w:rFonts w:asciiTheme="minorHAnsi" w:eastAsiaTheme="minorEastAsia" w:hAnsiTheme="minorHAnsi" w:cstheme="minorBidi"/>
          <w:b w:val="0"/>
          <w:bCs w:val="0"/>
          <w:noProof/>
          <w:color w:val="auto"/>
          <w:kern w:val="2"/>
          <w:sz w:val="20"/>
          <w:szCs w:val="20"/>
          <w:lang w:eastAsia="en-GB"/>
          <w14:ligatures w14:val="standardContextual"/>
        </w:rPr>
      </w:pPr>
      <w:hyperlink w:anchor="_Toc167976203" w:history="1">
        <w:r w:rsidR="009C0E7E" w:rsidRPr="009C0E7E">
          <w:rPr>
            <w:rStyle w:val="Hyperlink"/>
            <w:b w:val="0"/>
            <w:bCs w:val="0"/>
            <w:noProof/>
            <w:color w:val="auto"/>
            <w:sz w:val="24"/>
            <w:szCs w:val="24"/>
          </w:rPr>
          <w:t>6.</w:t>
        </w:r>
        <w:r w:rsidR="009C0E7E" w:rsidRPr="009C0E7E">
          <w:rPr>
            <w:rFonts w:asciiTheme="minorHAnsi" w:eastAsiaTheme="minorEastAsia" w:hAnsiTheme="minorHAnsi" w:cstheme="minorBidi"/>
            <w:b w:val="0"/>
            <w:bCs w:val="0"/>
            <w:noProof/>
            <w:color w:val="auto"/>
            <w:kern w:val="2"/>
            <w:sz w:val="20"/>
            <w:szCs w:val="20"/>
            <w:lang w:eastAsia="en-GB"/>
            <w14:ligatures w14:val="standardContextual"/>
          </w:rPr>
          <w:tab/>
        </w:r>
        <w:r w:rsidR="009C0E7E" w:rsidRPr="009C0E7E">
          <w:rPr>
            <w:rStyle w:val="Hyperlink"/>
            <w:b w:val="0"/>
            <w:bCs w:val="0"/>
            <w:noProof/>
            <w:color w:val="auto"/>
            <w:sz w:val="24"/>
            <w:szCs w:val="24"/>
          </w:rPr>
          <w:t>Policy Approach: Where will the employment space be provided?</w:t>
        </w:r>
        <w:r w:rsidR="009C0E7E" w:rsidRPr="009C0E7E">
          <w:rPr>
            <w:b w:val="0"/>
            <w:bCs w:val="0"/>
            <w:noProof/>
            <w:webHidden/>
            <w:color w:val="auto"/>
            <w:sz w:val="24"/>
            <w:szCs w:val="24"/>
          </w:rPr>
          <w:tab/>
        </w:r>
        <w:r w:rsidR="009C0E7E" w:rsidRPr="009C0E7E">
          <w:rPr>
            <w:b w:val="0"/>
            <w:bCs w:val="0"/>
            <w:noProof/>
            <w:webHidden/>
            <w:color w:val="auto"/>
            <w:sz w:val="24"/>
            <w:szCs w:val="24"/>
          </w:rPr>
          <w:fldChar w:fldCharType="begin"/>
        </w:r>
        <w:r w:rsidR="009C0E7E" w:rsidRPr="009C0E7E">
          <w:rPr>
            <w:b w:val="0"/>
            <w:bCs w:val="0"/>
            <w:noProof/>
            <w:webHidden/>
            <w:color w:val="auto"/>
            <w:sz w:val="24"/>
            <w:szCs w:val="24"/>
          </w:rPr>
          <w:instrText xml:space="preserve"> PAGEREF _Toc167976203 \h </w:instrText>
        </w:r>
        <w:r w:rsidR="009C0E7E" w:rsidRPr="009C0E7E">
          <w:rPr>
            <w:b w:val="0"/>
            <w:bCs w:val="0"/>
            <w:noProof/>
            <w:webHidden/>
            <w:color w:val="auto"/>
            <w:sz w:val="24"/>
            <w:szCs w:val="24"/>
          </w:rPr>
        </w:r>
        <w:r w:rsidR="009C0E7E" w:rsidRPr="009C0E7E">
          <w:rPr>
            <w:b w:val="0"/>
            <w:bCs w:val="0"/>
            <w:noProof/>
            <w:webHidden/>
            <w:color w:val="auto"/>
            <w:sz w:val="24"/>
            <w:szCs w:val="24"/>
          </w:rPr>
          <w:fldChar w:fldCharType="separate"/>
        </w:r>
        <w:r w:rsidR="009C0E7E" w:rsidRPr="009C0E7E">
          <w:rPr>
            <w:b w:val="0"/>
            <w:bCs w:val="0"/>
            <w:noProof/>
            <w:webHidden/>
            <w:color w:val="auto"/>
            <w:sz w:val="24"/>
            <w:szCs w:val="24"/>
          </w:rPr>
          <w:t>7</w:t>
        </w:r>
        <w:r w:rsidR="009C0E7E" w:rsidRPr="009C0E7E">
          <w:rPr>
            <w:b w:val="0"/>
            <w:bCs w:val="0"/>
            <w:noProof/>
            <w:webHidden/>
            <w:color w:val="auto"/>
            <w:sz w:val="24"/>
            <w:szCs w:val="24"/>
          </w:rPr>
          <w:fldChar w:fldCharType="end"/>
        </w:r>
      </w:hyperlink>
    </w:p>
    <w:p w14:paraId="79ECEA5E" w14:textId="4AD590D0" w:rsidR="009C0E7E" w:rsidRPr="009C0E7E" w:rsidRDefault="004245F7" w:rsidP="009C0E7E">
      <w:pPr>
        <w:pStyle w:val="TOC1"/>
        <w:rPr>
          <w:rFonts w:asciiTheme="minorHAnsi" w:eastAsiaTheme="minorEastAsia" w:hAnsiTheme="minorHAnsi" w:cstheme="minorBidi"/>
          <w:b w:val="0"/>
          <w:bCs w:val="0"/>
          <w:noProof/>
          <w:color w:val="auto"/>
          <w:kern w:val="2"/>
          <w:sz w:val="20"/>
          <w:szCs w:val="20"/>
          <w:lang w:eastAsia="en-GB"/>
          <w14:ligatures w14:val="standardContextual"/>
        </w:rPr>
      </w:pPr>
      <w:hyperlink w:anchor="_Toc167976204" w:history="1">
        <w:r w:rsidR="009C0E7E" w:rsidRPr="009C0E7E">
          <w:rPr>
            <w:rStyle w:val="Hyperlink"/>
            <w:b w:val="0"/>
            <w:bCs w:val="0"/>
            <w:noProof/>
            <w:color w:val="auto"/>
            <w:sz w:val="24"/>
            <w:szCs w:val="24"/>
          </w:rPr>
          <w:t>7.</w:t>
        </w:r>
        <w:r w:rsidR="009C0E7E" w:rsidRPr="009C0E7E">
          <w:rPr>
            <w:rFonts w:asciiTheme="minorHAnsi" w:eastAsiaTheme="minorEastAsia" w:hAnsiTheme="minorHAnsi" w:cstheme="minorBidi"/>
            <w:b w:val="0"/>
            <w:bCs w:val="0"/>
            <w:noProof/>
            <w:color w:val="auto"/>
            <w:kern w:val="2"/>
            <w:sz w:val="20"/>
            <w:szCs w:val="20"/>
            <w:lang w:eastAsia="en-GB"/>
            <w14:ligatures w14:val="standardContextual"/>
          </w:rPr>
          <w:tab/>
        </w:r>
        <w:r w:rsidR="009C0E7E" w:rsidRPr="009C0E7E">
          <w:rPr>
            <w:rStyle w:val="Hyperlink"/>
            <w:b w:val="0"/>
            <w:bCs w:val="0"/>
            <w:noProof/>
            <w:color w:val="auto"/>
            <w:sz w:val="24"/>
            <w:szCs w:val="24"/>
          </w:rPr>
          <w:t>Development Management Policies</w:t>
        </w:r>
        <w:r w:rsidR="009C0E7E" w:rsidRPr="009C0E7E">
          <w:rPr>
            <w:b w:val="0"/>
            <w:bCs w:val="0"/>
            <w:noProof/>
            <w:webHidden/>
            <w:color w:val="auto"/>
            <w:sz w:val="24"/>
            <w:szCs w:val="24"/>
          </w:rPr>
          <w:tab/>
        </w:r>
        <w:r w:rsidR="009C0E7E" w:rsidRPr="009C0E7E">
          <w:rPr>
            <w:b w:val="0"/>
            <w:bCs w:val="0"/>
            <w:noProof/>
            <w:webHidden/>
            <w:color w:val="auto"/>
            <w:sz w:val="24"/>
            <w:szCs w:val="24"/>
          </w:rPr>
          <w:fldChar w:fldCharType="begin"/>
        </w:r>
        <w:r w:rsidR="009C0E7E" w:rsidRPr="009C0E7E">
          <w:rPr>
            <w:b w:val="0"/>
            <w:bCs w:val="0"/>
            <w:noProof/>
            <w:webHidden/>
            <w:color w:val="auto"/>
            <w:sz w:val="24"/>
            <w:szCs w:val="24"/>
          </w:rPr>
          <w:instrText xml:space="preserve"> PAGEREF _Toc167976204 \h </w:instrText>
        </w:r>
        <w:r w:rsidR="009C0E7E" w:rsidRPr="009C0E7E">
          <w:rPr>
            <w:b w:val="0"/>
            <w:bCs w:val="0"/>
            <w:noProof/>
            <w:webHidden/>
            <w:color w:val="auto"/>
            <w:sz w:val="24"/>
            <w:szCs w:val="24"/>
          </w:rPr>
        </w:r>
        <w:r w:rsidR="009C0E7E" w:rsidRPr="009C0E7E">
          <w:rPr>
            <w:b w:val="0"/>
            <w:bCs w:val="0"/>
            <w:noProof/>
            <w:webHidden/>
            <w:color w:val="auto"/>
            <w:sz w:val="24"/>
            <w:szCs w:val="24"/>
          </w:rPr>
          <w:fldChar w:fldCharType="separate"/>
        </w:r>
        <w:r w:rsidR="009C0E7E" w:rsidRPr="009C0E7E">
          <w:rPr>
            <w:b w:val="0"/>
            <w:bCs w:val="0"/>
            <w:noProof/>
            <w:webHidden/>
            <w:color w:val="auto"/>
            <w:sz w:val="24"/>
            <w:szCs w:val="24"/>
          </w:rPr>
          <w:t>10</w:t>
        </w:r>
        <w:r w:rsidR="009C0E7E" w:rsidRPr="009C0E7E">
          <w:rPr>
            <w:b w:val="0"/>
            <w:bCs w:val="0"/>
            <w:noProof/>
            <w:webHidden/>
            <w:color w:val="auto"/>
            <w:sz w:val="24"/>
            <w:szCs w:val="24"/>
          </w:rPr>
          <w:fldChar w:fldCharType="end"/>
        </w:r>
      </w:hyperlink>
    </w:p>
    <w:p w14:paraId="10E811AF" w14:textId="76376F2B" w:rsidR="009C0E7E" w:rsidRPr="009C0E7E" w:rsidRDefault="004245F7" w:rsidP="009C0E7E">
      <w:pPr>
        <w:pStyle w:val="TOC1"/>
        <w:rPr>
          <w:rFonts w:asciiTheme="minorHAnsi" w:eastAsiaTheme="minorEastAsia" w:hAnsiTheme="minorHAnsi" w:cstheme="minorBidi"/>
          <w:b w:val="0"/>
          <w:bCs w:val="0"/>
          <w:noProof/>
          <w:color w:val="auto"/>
          <w:kern w:val="2"/>
          <w:sz w:val="20"/>
          <w:szCs w:val="20"/>
          <w:lang w:eastAsia="en-GB"/>
          <w14:ligatures w14:val="standardContextual"/>
        </w:rPr>
      </w:pPr>
      <w:hyperlink w:anchor="_Toc167976205" w:history="1">
        <w:r w:rsidR="009C0E7E" w:rsidRPr="009C0E7E">
          <w:rPr>
            <w:rStyle w:val="Hyperlink"/>
            <w:b w:val="0"/>
            <w:bCs w:val="0"/>
            <w:noProof/>
            <w:color w:val="auto"/>
            <w:sz w:val="24"/>
            <w:szCs w:val="24"/>
          </w:rPr>
          <w:t>8.</w:t>
        </w:r>
        <w:r w:rsidR="009C0E7E" w:rsidRPr="009C0E7E">
          <w:rPr>
            <w:rFonts w:asciiTheme="minorHAnsi" w:eastAsiaTheme="minorEastAsia" w:hAnsiTheme="minorHAnsi" w:cstheme="minorBidi"/>
            <w:b w:val="0"/>
            <w:bCs w:val="0"/>
            <w:noProof/>
            <w:color w:val="auto"/>
            <w:kern w:val="2"/>
            <w:sz w:val="20"/>
            <w:szCs w:val="20"/>
            <w:lang w:eastAsia="en-GB"/>
            <w14:ligatures w14:val="standardContextual"/>
          </w:rPr>
          <w:tab/>
        </w:r>
        <w:r w:rsidR="009C0E7E" w:rsidRPr="009C0E7E">
          <w:rPr>
            <w:rStyle w:val="Hyperlink"/>
            <w:b w:val="0"/>
            <w:bCs w:val="0"/>
            <w:noProof/>
            <w:color w:val="auto"/>
            <w:sz w:val="24"/>
            <w:szCs w:val="24"/>
          </w:rPr>
          <w:t>Sustainability Appraisal and reasonable alternatives</w:t>
        </w:r>
        <w:r w:rsidR="009C0E7E" w:rsidRPr="009C0E7E">
          <w:rPr>
            <w:b w:val="0"/>
            <w:bCs w:val="0"/>
            <w:noProof/>
            <w:webHidden/>
            <w:color w:val="auto"/>
            <w:sz w:val="24"/>
            <w:szCs w:val="24"/>
          </w:rPr>
          <w:tab/>
        </w:r>
        <w:r w:rsidR="009C0E7E" w:rsidRPr="009C0E7E">
          <w:rPr>
            <w:b w:val="0"/>
            <w:bCs w:val="0"/>
            <w:noProof/>
            <w:webHidden/>
            <w:color w:val="auto"/>
            <w:sz w:val="24"/>
            <w:szCs w:val="24"/>
          </w:rPr>
          <w:fldChar w:fldCharType="begin"/>
        </w:r>
        <w:r w:rsidR="009C0E7E" w:rsidRPr="009C0E7E">
          <w:rPr>
            <w:b w:val="0"/>
            <w:bCs w:val="0"/>
            <w:noProof/>
            <w:webHidden/>
            <w:color w:val="auto"/>
            <w:sz w:val="24"/>
            <w:szCs w:val="24"/>
          </w:rPr>
          <w:instrText xml:space="preserve"> PAGEREF _Toc167976205 \h </w:instrText>
        </w:r>
        <w:r w:rsidR="009C0E7E" w:rsidRPr="009C0E7E">
          <w:rPr>
            <w:b w:val="0"/>
            <w:bCs w:val="0"/>
            <w:noProof/>
            <w:webHidden/>
            <w:color w:val="auto"/>
            <w:sz w:val="24"/>
            <w:szCs w:val="24"/>
          </w:rPr>
        </w:r>
        <w:r w:rsidR="009C0E7E" w:rsidRPr="009C0E7E">
          <w:rPr>
            <w:b w:val="0"/>
            <w:bCs w:val="0"/>
            <w:noProof/>
            <w:webHidden/>
            <w:color w:val="auto"/>
            <w:sz w:val="24"/>
            <w:szCs w:val="24"/>
          </w:rPr>
          <w:fldChar w:fldCharType="separate"/>
        </w:r>
        <w:r w:rsidR="009C0E7E" w:rsidRPr="009C0E7E">
          <w:rPr>
            <w:b w:val="0"/>
            <w:bCs w:val="0"/>
            <w:noProof/>
            <w:webHidden/>
            <w:color w:val="auto"/>
            <w:sz w:val="24"/>
            <w:szCs w:val="24"/>
          </w:rPr>
          <w:t>10</w:t>
        </w:r>
        <w:r w:rsidR="009C0E7E" w:rsidRPr="009C0E7E">
          <w:rPr>
            <w:b w:val="0"/>
            <w:bCs w:val="0"/>
            <w:noProof/>
            <w:webHidden/>
            <w:color w:val="auto"/>
            <w:sz w:val="24"/>
            <w:szCs w:val="24"/>
          </w:rPr>
          <w:fldChar w:fldCharType="end"/>
        </w:r>
      </w:hyperlink>
    </w:p>
    <w:p w14:paraId="31FB3207" w14:textId="4489B71F" w:rsidR="009C0E7E" w:rsidRPr="009C0E7E" w:rsidRDefault="004245F7" w:rsidP="009C0E7E">
      <w:pPr>
        <w:pStyle w:val="TOC1"/>
        <w:rPr>
          <w:rFonts w:asciiTheme="minorHAnsi" w:eastAsiaTheme="minorEastAsia" w:hAnsiTheme="minorHAnsi" w:cstheme="minorBidi"/>
          <w:b w:val="0"/>
          <w:bCs w:val="0"/>
          <w:noProof/>
          <w:color w:val="auto"/>
          <w:kern w:val="2"/>
          <w:sz w:val="20"/>
          <w:szCs w:val="20"/>
          <w:lang w:eastAsia="en-GB"/>
          <w14:ligatures w14:val="standardContextual"/>
        </w:rPr>
      </w:pPr>
      <w:hyperlink w:anchor="_Toc167976206" w:history="1">
        <w:r w:rsidR="009C0E7E" w:rsidRPr="009C0E7E">
          <w:rPr>
            <w:rStyle w:val="Hyperlink"/>
            <w:b w:val="0"/>
            <w:bCs w:val="0"/>
            <w:noProof/>
            <w:color w:val="auto"/>
            <w:sz w:val="24"/>
            <w:szCs w:val="24"/>
          </w:rPr>
          <w:t>9.</w:t>
        </w:r>
        <w:r w:rsidR="009C0E7E" w:rsidRPr="009C0E7E">
          <w:rPr>
            <w:rFonts w:asciiTheme="minorHAnsi" w:eastAsiaTheme="minorEastAsia" w:hAnsiTheme="minorHAnsi" w:cstheme="minorBidi"/>
            <w:b w:val="0"/>
            <w:bCs w:val="0"/>
            <w:noProof/>
            <w:color w:val="auto"/>
            <w:kern w:val="2"/>
            <w:sz w:val="20"/>
            <w:szCs w:val="20"/>
            <w:lang w:eastAsia="en-GB"/>
            <w14:ligatures w14:val="standardContextual"/>
          </w:rPr>
          <w:tab/>
        </w:r>
        <w:r w:rsidR="009C0E7E" w:rsidRPr="009C0E7E">
          <w:rPr>
            <w:rStyle w:val="Hyperlink"/>
            <w:b w:val="0"/>
            <w:bCs w:val="0"/>
            <w:noProof/>
            <w:color w:val="auto"/>
            <w:sz w:val="24"/>
            <w:szCs w:val="24"/>
          </w:rPr>
          <w:t>Conclusion</w:t>
        </w:r>
        <w:r w:rsidR="009C0E7E" w:rsidRPr="009C0E7E">
          <w:rPr>
            <w:b w:val="0"/>
            <w:bCs w:val="0"/>
            <w:noProof/>
            <w:webHidden/>
            <w:color w:val="auto"/>
            <w:sz w:val="24"/>
            <w:szCs w:val="24"/>
          </w:rPr>
          <w:tab/>
        </w:r>
        <w:r w:rsidR="009C0E7E" w:rsidRPr="009C0E7E">
          <w:rPr>
            <w:b w:val="0"/>
            <w:bCs w:val="0"/>
            <w:noProof/>
            <w:webHidden/>
            <w:color w:val="auto"/>
            <w:sz w:val="24"/>
            <w:szCs w:val="24"/>
          </w:rPr>
          <w:fldChar w:fldCharType="begin"/>
        </w:r>
        <w:r w:rsidR="009C0E7E" w:rsidRPr="009C0E7E">
          <w:rPr>
            <w:b w:val="0"/>
            <w:bCs w:val="0"/>
            <w:noProof/>
            <w:webHidden/>
            <w:color w:val="auto"/>
            <w:sz w:val="24"/>
            <w:szCs w:val="24"/>
          </w:rPr>
          <w:instrText xml:space="preserve"> PAGEREF _Toc167976206 \h </w:instrText>
        </w:r>
        <w:r w:rsidR="009C0E7E" w:rsidRPr="009C0E7E">
          <w:rPr>
            <w:b w:val="0"/>
            <w:bCs w:val="0"/>
            <w:noProof/>
            <w:webHidden/>
            <w:color w:val="auto"/>
            <w:sz w:val="24"/>
            <w:szCs w:val="24"/>
          </w:rPr>
        </w:r>
        <w:r w:rsidR="009C0E7E" w:rsidRPr="009C0E7E">
          <w:rPr>
            <w:b w:val="0"/>
            <w:bCs w:val="0"/>
            <w:noProof/>
            <w:webHidden/>
            <w:color w:val="auto"/>
            <w:sz w:val="24"/>
            <w:szCs w:val="24"/>
          </w:rPr>
          <w:fldChar w:fldCharType="separate"/>
        </w:r>
        <w:r w:rsidR="009C0E7E" w:rsidRPr="009C0E7E">
          <w:rPr>
            <w:b w:val="0"/>
            <w:bCs w:val="0"/>
            <w:noProof/>
            <w:webHidden/>
            <w:color w:val="auto"/>
            <w:sz w:val="24"/>
            <w:szCs w:val="24"/>
          </w:rPr>
          <w:t>11</w:t>
        </w:r>
        <w:r w:rsidR="009C0E7E" w:rsidRPr="009C0E7E">
          <w:rPr>
            <w:b w:val="0"/>
            <w:bCs w:val="0"/>
            <w:noProof/>
            <w:webHidden/>
            <w:color w:val="auto"/>
            <w:sz w:val="24"/>
            <w:szCs w:val="24"/>
          </w:rPr>
          <w:fldChar w:fldCharType="end"/>
        </w:r>
      </w:hyperlink>
    </w:p>
    <w:p w14:paraId="3C5C0426" w14:textId="0CBB0D04" w:rsidR="008D66DE" w:rsidRDefault="009C0E7E">
      <w:pPr>
        <w:rPr>
          <w:rFonts w:ascii="Arial" w:hAnsi="Arial" w:cs="Arial"/>
          <w:b/>
          <w:sz w:val="32"/>
          <w:szCs w:val="32"/>
        </w:rPr>
      </w:pPr>
      <w:r>
        <w:rPr>
          <w:rFonts w:ascii="Arial" w:hAnsi="Arial" w:cs="Arial"/>
          <w:color w:val="0073CF"/>
          <w:sz w:val="32"/>
          <w:szCs w:val="32"/>
        </w:rPr>
        <w:fldChar w:fldCharType="end"/>
      </w:r>
      <w:r w:rsidR="008D66DE">
        <w:rPr>
          <w:rFonts w:ascii="Arial" w:hAnsi="Arial" w:cs="Arial"/>
          <w:b/>
          <w:sz w:val="32"/>
          <w:szCs w:val="32"/>
        </w:rPr>
        <w:br w:type="page"/>
      </w:r>
    </w:p>
    <w:p w14:paraId="3FB3BA0F" w14:textId="0044655C" w:rsidR="002839C9" w:rsidRPr="006E26E0" w:rsidRDefault="002839C9" w:rsidP="00CA0531">
      <w:pPr>
        <w:pStyle w:val="Heading1"/>
        <w:numPr>
          <w:ilvl w:val="0"/>
          <w:numId w:val="11"/>
        </w:numPr>
        <w:ind w:left="709" w:hanging="709"/>
        <w:jc w:val="both"/>
        <w:rPr>
          <w:rFonts w:ascii="Arial" w:hAnsi="Arial" w:cs="Arial"/>
          <w:b/>
          <w:bCs/>
          <w:color w:val="0073CF"/>
          <w:sz w:val="28"/>
          <w:szCs w:val="28"/>
        </w:rPr>
      </w:pPr>
      <w:bookmarkStart w:id="1" w:name="_Toc167976198"/>
      <w:r w:rsidRPr="006E26E0">
        <w:rPr>
          <w:rFonts w:ascii="Arial" w:hAnsi="Arial" w:cs="Arial"/>
          <w:b/>
          <w:bCs/>
          <w:color w:val="0073CF"/>
          <w:sz w:val="28"/>
          <w:szCs w:val="28"/>
        </w:rPr>
        <w:lastRenderedPageBreak/>
        <w:t>Introduction</w:t>
      </w:r>
      <w:bookmarkEnd w:id="1"/>
    </w:p>
    <w:p w14:paraId="6CF5B3FA" w14:textId="77777777" w:rsidR="00AB6A40" w:rsidRPr="00A92251" w:rsidRDefault="00AB6A40" w:rsidP="001B59A6">
      <w:pPr>
        <w:pStyle w:val="ListParagraph"/>
        <w:spacing w:line="276" w:lineRule="auto"/>
        <w:jc w:val="both"/>
        <w:rPr>
          <w:rFonts w:cs="Arial"/>
          <w:b/>
        </w:rPr>
      </w:pPr>
    </w:p>
    <w:p w14:paraId="46AFA5FC" w14:textId="3BAC9B09" w:rsidR="00861A4D" w:rsidRDefault="002839C9" w:rsidP="001B59A6">
      <w:pPr>
        <w:pStyle w:val="ListParagraph"/>
        <w:numPr>
          <w:ilvl w:val="1"/>
          <w:numId w:val="11"/>
        </w:numPr>
        <w:spacing w:line="276" w:lineRule="auto"/>
        <w:ind w:left="709" w:hanging="709"/>
        <w:jc w:val="both"/>
        <w:rPr>
          <w:rFonts w:cs="Arial"/>
        </w:rPr>
      </w:pPr>
      <w:r w:rsidRPr="00265291">
        <w:rPr>
          <w:rFonts w:cs="Arial"/>
        </w:rPr>
        <w:t>This paper sets out the background to the employment policies and proposed allocation of land for employment as set out in the Chichester Local Plan</w:t>
      </w:r>
      <w:r w:rsidR="009824A0">
        <w:rPr>
          <w:rFonts w:cs="Arial"/>
        </w:rPr>
        <w:t xml:space="preserve"> 2021-39: Proposed Submission</w:t>
      </w:r>
      <w:r w:rsidRPr="00265291">
        <w:rPr>
          <w:rFonts w:cs="Arial"/>
        </w:rPr>
        <w:t>.</w:t>
      </w:r>
      <w:r w:rsidR="0059485C">
        <w:rPr>
          <w:rFonts w:cs="Arial"/>
        </w:rPr>
        <w:t xml:space="preserve"> </w:t>
      </w:r>
      <w:r w:rsidR="008948C6" w:rsidRPr="00265291">
        <w:rPr>
          <w:rFonts w:cs="Arial"/>
        </w:rPr>
        <w:t>The projected requirement for employment land and floorspace is</w:t>
      </w:r>
      <w:r w:rsidRPr="00265291">
        <w:rPr>
          <w:rFonts w:cs="Arial"/>
        </w:rPr>
        <w:t xml:space="preserve"> set out</w:t>
      </w:r>
      <w:r w:rsidR="008948C6" w:rsidRPr="00265291">
        <w:rPr>
          <w:rFonts w:cs="Arial"/>
        </w:rPr>
        <w:t xml:space="preserve"> in more detail </w:t>
      </w:r>
      <w:r w:rsidRPr="00265291">
        <w:rPr>
          <w:rFonts w:cs="Arial"/>
        </w:rPr>
        <w:t xml:space="preserve">in the Housing and Employment Development Needs Assessment </w:t>
      </w:r>
      <w:r w:rsidR="008948C6" w:rsidRPr="00265291">
        <w:rPr>
          <w:rFonts w:cs="Arial"/>
        </w:rPr>
        <w:t>April 2022</w:t>
      </w:r>
      <w:r w:rsidRPr="00265291">
        <w:rPr>
          <w:rFonts w:cs="Arial"/>
        </w:rPr>
        <w:t xml:space="preserve"> (HEDNA)</w:t>
      </w:r>
      <w:r w:rsidR="00D505CE" w:rsidRPr="00265291">
        <w:rPr>
          <w:rFonts w:cs="Arial"/>
        </w:rPr>
        <w:t xml:space="preserve"> </w:t>
      </w:r>
      <w:r w:rsidR="00585A13">
        <w:rPr>
          <w:rFonts w:cs="Arial"/>
        </w:rPr>
        <w:t xml:space="preserve">(H06) </w:t>
      </w:r>
      <w:r w:rsidR="00D505CE" w:rsidRPr="00265291">
        <w:rPr>
          <w:rFonts w:cs="Arial"/>
        </w:rPr>
        <w:t xml:space="preserve">which is </w:t>
      </w:r>
      <w:r w:rsidRPr="00265291">
        <w:rPr>
          <w:rFonts w:cs="Arial"/>
        </w:rPr>
        <w:t xml:space="preserve">available to view </w:t>
      </w:r>
      <w:r w:rsidR="00265291" w:rsidRPr="00265291">
        <w:rPr>
          <w:rFonts w:cs="Arial"/>
        </w:rPr>
        <w:t>in the Local Plan Examination Library</w:t>
      </w:r>
      <w:r w:rsidR="00265291">
        <w:rPr>
          <w:rFonts w:cs="Arial"/>
        </w:rPr>
        <w:t>.</w:t>
      </w:r>
    </w:p>
    <w:p w14:paraId="4EB31B57" w14:textId="77777777" w:rsidR="003D0AE2" w:rsidRDefault="003D0AE2" w:rsidP="003D0AE2">
      <w:pPr>
        <w:pStyle w:val="ListParagraph"/>
        <w:spacing w:line="276" w:lineRule="auto"/>
        <w:ind w:left="709"/>
        <w:jc w:val="both"/>
        <w:rPr>
          <w:rFonts w:cs="Arial"/>
        </w:rPr>
      </w:pPr>
    </w:p>
    <w:p w14:paraId="6EE35F35" w14:textId="28C19293" w:rsidR="003D0AE2" w:rsidRPr="003D0AE2" w:rsidRDefault="003D0AE2" w:rsidP="003D0AE2">
      <w:pPr>
        <w:pStyle w:val="ListParagraph"/>
        <w:numPr>
          <w:ilvl w:val="1"/>
          <w:numId w:val="11"/>
        </w:numPr>
        <w:spacing w:line="276" w:lineRule="auto"/>
        <w:ind w:left="709" w:hanging="709"/>
        <w:jc w:val="both"/>
        <w:rPr>
          <w:rFonts w:cs="Arial"/>
          <w:color w:val="0000FF" w:themeColor="hyperlink"/>
          <w:u w:val="single"/>
        </w:rPr>
      </w:pPr>
      <w:bookmarkStart w:id="2" w:name="_Hlk167349184"/>
      <w:r w:rsidRPr="003D0AE2">
        <w:rPr>
          <w:rFonts w:cs="Arial"/>
        </w:rPr>
        <w:t xml:space="preserve">The background papers and related evidence are available on the council website at </w:t>
      </w:r>
      <w:hyperlink r:id="rId9" w:history="1">
        <w:r>
          <w:rPr>
            <w:rStyle w:val="Hyperlink"/>
          </w:rPr>
          <w:t>www.chichester.gov.uk/localplanexaminationlibrary</w:t>
        </w:r>
      </w:hyperlink>
      <w:r>
        <w:t xml:space="preserve">. </w:t>
      </w:r>
      <w:r w:rsidRPr="003D0AE2">
        <w:rPr>
          <w:rFonts w:cs="Arial"/>
        </w:rPr>
        <w:t>This background paper may be reviewed and updates issued during the examination of the Local Plan.</w:t>
      </w:r>
    </w:p>
    <w:p w14:paraId="784BA770" w14:textId="00040AB0" w:rsidR="002839C9" w:rsidRPr="006E26E0" w:rsidRDefault="00CE6224" w:rsidP="00CA0531">
      <w:pPr>
        <w:pStyle w:val="Heading1"/>
        <w:numPr>
          <w:ilvl w:val="0"/>
          <w:numId w:val="11"/>
        </w:numPr>
        <w:ind w:left="709" w:hanging="709"/>
        <w:jc w:val="both"/>
        <w:rPr>
          <w:rFonts w:ascii="Arial" w:hAnsi="Arial" w:cs="Arial"/>
          <w:b/>
          <w:bCs/>
          <w:color w:val="0073CF"/>
          <w:sz w:val="28"/>
          <w:szCs w:val="28"/>
        </w:rPr>
      </w:pPr>
      <w:bookmarkStart w:id="3" w:name="_Toc167976199"/>
      <w:bookmarkEnd w:id="2"/>
      <w:r w:rsidRPr="006E26E0">
        <w:rPr>
          <w:rFonts w:ascii="Arial" w:hAnsi="Arial" w:cs="Arial"/>
          <w:b/>
          <w:bCs/>
          <w:color w:val="0073CF"/>
          <w:sz w:val="28"/>
          <w:szCs w:val="28"/>
        </w:rPr>
        <w:t>National Policy and guidance</w:t>
      </w:r>
      <w:bookmarkEnd w:id="3"/>
    </w:p>
    <w:p w14:paraId="09637B50" w14:textId="77777777" w:rsidR="00AB6A40" w:rsidRPr="00A92251" w:rsidRDefault="00AB6A40" w:rsidP="001B59A6">
      <w:pPr>
        <w:pStyle w:val="ListParagraph"/>
        <w:spacing w:line="276" w:lineRule="auto"/>
        <w:jc w:val="both"/>
        <w:rPr>
          <w:rFonts w:cs="Arial"/>
          <w:b/>
        </w:rPr>
      </w:pPr>
    </w:p>
    <w:p w14:paraId="410EFF61" w14:textId="4B5C511B" w:rsidR="00292FE6" w:rsidRDefault="00292FE6" w:rsidP="001B59A6">
      <w:pPr>
        <w:pStyle w:val="ListParagraph"/>
        <w:numPr>
          <w:ilvl w:val="1"/>
          <w:numId w:val="11"/>
        </w:numPr>
        <w:spacing w:line="276" w:lineRule="auto"/>
        <w:ind w:left="709" w:hanging="709"/>
        <w:jc w:val="both"/>
        <w:rPr>
          <w:rFonts w:cs="Arial"/>
        </w:rPr>
      </w:pPr>
      <w:r w:rsidRPr="00292FE6">
        <w:rPr>
          <w:rFonts w:cs="Arial"/>
        </w:rPr>
        <w:t>The NPPF was updated on 19 December 2023</w:t>
      </w:r>
      <w:r>
        <w:rPr>
          <w:rFonts w:cs="Arial"/>
        </w:rPr>
        <w:t>. Ho</w:t>
      </w:r>
      <w:r w:rsidRPr="00292FE6">
        <w:rPr>
          <w:rFonts w:cs="Arial"/>
        </w:rPr>
        <w:t xml:space="preserve">wever, under paragraph 230, plans that have reached regulation 19 of the Town and Country Planning (Local Planning) (England) Regulations 2012 (pre-submission) stage on or before the 19 March 2024 will be examined under the relevant previous </w:t>
      </w:r>
      <w:r>
        <w:rPr>
          <w:rFonts w:cs="Arial"/>
        </w:rPr>
        <w:t>version</w:t>
      </w:r>
      <w:r w:rsidRPr="00292FE6">
        <w:rPr>
          <w:rFonts w:cs="Arial"/>
        </w:rPr>
        <w:t xml:space="preserve"> of the Framework.  All references to the NPPF are</w:t>
      </w:r>
      <w:r>
        <w:rPr>
          <w:rFonts w:cs="Arial"/>
        </w:rPr>
        <w:t xml:space="preserve"> therefore </w:t>
      </w:r>
      <w:r w:rsidRPr="00292FE6">
        <w:rPr>
          <w:rFonts w:cs="Arial"/>
        </w:rPr>
        <w:t xml:space="preserve">to the 2021 version which </w:t>
      </w:r>
      <w:r w:rsidR="007E3974">
        <w:rPr>
          <w:rFonts w:cs="Arial"/>
        </w:rPr>
        <w:t>will</w:t>
      </w:r>
      <w:r w:rsidRPr="00292FE6">
        <w:rPr>
          <w:rFonts w:cs="Arial"/>
        </w:rPr>
        <w:t xml:space="preserve"> be used as the basis for the examination of the plan</w:t>
      </w:r>
      <w:r w:rsidR="00F6432B">
        <w:rPr>
          <w:rFonts w:cs="Arial"/>
        </w:rPr>
        <w:t>.</w:t>
      </w:r>
    </w:p>
    <w:p w14:paraId="67FD779C" w14:textId="2FA052E0" w:rsidR="00292FE6" w:rsidRDefault="00292FE6" w:rsidP="001B59A6">
      <w:pPr>
        <w:pStyle w:val="ListParagraph"/>
        <w:spacing w:line="276" w:lineRule="auto"/>
        <w:ind w:left="792"/>
        <w:jc w:val="both"/>
        <w:rPr>
          <w:rFonts w:cs="Arial"/>
        </w:rPr>
      </w:pPr>
      <w:r w:rsidRPr="00292FE6">
        <w:rPr>
          <w:rFonts w:cs="Arial"/>
        </w:rPr>
        <w:t xml:space="preserve"> </w:t>
      </w:r>
    </w:p>
    <w:p w14:paraId="487E56D9" w14:textId="03F82FC6" w:rsidR="002839C9" w:rsidRPr="00075380" w:rsidRDefault="002839C9" w:rsidP="001B59A6">
      <w:pPr>
        <w:pStyle w:val="ListParagraph"/>
        <w:numPr>
          <w:ilvl w:val="1"/>
          <w:numId w:val="11"/>
        </w:numPr>
        <w:spacing w:line="276" w:lineRule="auto"/>
        <w:ind w:left="709" w:hanging="709"/>
        <w:jc w:val="both"/>
        <w:rPr>
          <w:rFonts w:cs="Arial"/>
        </w:rPr>
      </w:pPr>
      <w:r w:rsidRPr="00075380">
        <w:rPr>
          <w:rFonts w:cs="Arial"/>
        </w:rPr>
        <w:t>National Planning Policy sets out</w:t>
      </w:r>
      <w:r w:rsidR="00A66329" w:rsidRPr="00075380">
        <w:rPr>
          <w:rFonts w:cs="Arial"/>
        </w:rPr>
        <w:t>, in para 8</w:t>
      </w:r>
      <w:r w:rsidR="003E2535">
        <w:rPr>
          <w:rFonts w:cs="Arial"/>
        </w:rPr>
        <w:t>2</w:t>
      </w:r>
      <w:r w:rsidR="00A66329" w:rsidRPr="00075380">
        <w:rPr>
          <w:rFonts w:cs="Arial"/>
        </w:rPr>
        <w:t xml:space="preserve"> of the National Planning Policy Framework</w:t>
      </w:r>
      <w:r w:rsidR="00265291">
        <w:rPr>
          <w:rFonts w:cs="Arial"/>
        </w:rPr>
        <w:t xml:space="preserve"> (</w:t>
      </w:r>
      <w:r w:rsidR="003E2535">
        <w:rPr>
          <w:rFonts w:cs="Arial"/>
        </w:rPr>
        <w:t>July 2021</w:t>
      </w:r>
      <w:r w:rsidR="00265291">
        <w:rPr>
          <w:rFonts w:cs="Arial"/>
        </w:rPr>
        <w:t>)</w:t>
      </w:r>
      <w:r w:rsidR="00A66329" w:rsidRPr="00075380">
        <w:rPr>
          <w:rFonts w:cs="Arial"/>
        </w:rPr>
        <w:t>,</w:t>
      </w:r>
      <w:r w:rsidRPr="00075380">
        <w:rPr>
          <w:rFonts w:cs="Arial"/>
        </w:rPr>
        <w:t xml:space="preserve"> </w:t>
      </w:r>
      <w:r w:rsidR="008118D8" w:rsidRPr="00075380">
        <w:rPr>
          <w:rFonts w:cs="Arial"/>
        </w:rPr>
        <w:t>that planning polic</w:t>
      </w:r>
      <w:r w:rsidR="00A66329" w:rsidRPr="00075380">
        <w:rPr>
          <w:rFonts w:cs="Arial"/>
        </w:rPr>
        <w:t>ies</w:t>
      </w:r>
      <w:r w:rsidRPr="00075380">
        <w:rPr>
          <w:rFonts w:cs="Arial"/>
        </w:rPr>
        <w:t xml:space="preserve"> should:</w:t>
      </w:r>
    </w:p>
    <w:p w14:paraId="31D691CF" w14:textId="77777777" w:rsidR="002839C9" w:rsidRPr="00B61CE1" w:rsidRDefault="002839C9" w:rsidP="001B59A6">
      <w:pPr>
        <w:pStyle w:val="ListParagraph"/>
        <w:numPr>
          <w:ilvl w:val="2"/>
          <w:numId w:val="15"/>
        </w:numPr>
        <w:spacing w:line="276" w:lineRule="auto"/>
        <w:jc w:val="both"/>
        <w:rPr>
          <w:rFonts w:cs="Arial"/>
        </w:rPr>
      </w:pPr>
      <w:r w:rsidRPr="00B61CE1">
        <w:rPr>
          <w:rFonts w:cs="Arial"/>
        </w:rPr>
        <w:t>Set out a clear economic vision and strategy which positively and proactively encourages sustainable economic growth, having regard to Local Industrial Strategies and other local policies for economic development and regeneration;</w:t>
      </w:r>
    </w:p>
    <w:p w14:paraId="0FA476E9" w14:textId="77777777" w:rsidR="002839C9" w:rsidRPr="00B61CE1" w:rsidRDefault="002839C9" w:rsidP="001B59A6">
      <w:pPr>
        <w:pStyle w:val="ListParagraph"/>
        <w:numPr>
          <w:ilvl w:val="2"/>
          <w:numId w:val="15"/>
        </w:numPr>
        <w:spacing w:line="276" w:lineRule="auto"/>
        <w:jc w:val="both"/>
        <w:rPr>
          <w:rFonts w:cs="Arial"/>
        </w:rPr>
      </w:pPr>
      <w:r w:rsidRPr="00B61CE1">
        <w:rPr>
          <w:rFonts w:cs="Arial"/>
        </w:rPr>
        <w:t>Set criteria, or identify strategic sites, for local and inward investment to match the strategy and to meet anticipated needs over the plan period;</w:t>
      </w:r>
    </w:p>
    <w:p w14:paraId="337291C7" w14:textId="77777777" w:rsidR="002839C9" w:rsidRPr="00B61CE1" w:rsidRDefault="002839C9" w:rsidP="001B59A6">
      <w:pPr>
        <w:pStyle w:val="ListParagraph"/>
        <w:numPr>
          <w:ilvl w:val="2"/>
          <w:numId w:val="15"/>
        </w:numPr>
        <w:spacing w:line="276" w:lineRule="auto"/>
        <w:jc w:val="both"/>
        <w:rPr>
          <w:rFonts w:cs="Arial"/>
        </w:rPr>
      </w:pPr>
      <w:r w:rsidRPr="00B61CE1">
        <w:rPr>
          <w:rFonts w:cs="Arial"/>
        </w:rPr>
        <w:t>Seek to address potential barriers to investment, such as inadequate infrastructure, services or housing, or a poor environment; and</w:t>
      </w:r>
    </w:p>
    <w:p w14:paraId="4D4F3D8F" w14:textId="77777777" w:rsidR="002839C9" w:rsidRPr="00B61CE1" w:rsidRDefault="002839C9" w:rsidP="001B59A6">
      <w:pPr>
        <w:pStyle w:val="ListParagraph"/>
        <w:numPr>
          <w:ilvl w:val="2"/>
          <w:numId w:val="15"/>
        </w:numPr>
        <w:spacing w:line="276" w:lineRule="auto"/>
        <w:jc w:val="both"/>
        <w:rPr>
          <w:rFonts w:cs="Arial"/>
        </w:rPr>
      </w:pPr>
      <w:r w:rsidRPr="00B61CE1">
        <w:rPr>
          <w:rFonts w:cs="Arial"/>
        </w:rPr>
        <w:t xml:space="preserve">Be flexible enough to accommodate needs not anticipated in the plan, allow for new and flexible working practices (such as live/work accommodation), and to enable a rapid response to changes in economic circumstances. </w:t>
      </w:r>
    </w:p>
    <w:p w14:paraId="73F96E9D" w14:textId="77777777" w:rsidR="002839C9" w:rsidRPr="00B61CE1" w:rsidRDefault="002839C9" w:rsidP="001B59A6">
      <w:pPr>
        <w:pStyle w:val="ListParagraph"/>
        <w:spacing w:line="276" w:lineRule="auto"/>
        <w:jc w:val="both"/>
        <w:rPr>
          <w:rFonts w:cs="Arial"/>
        </w:rPr>
      </w:pPr>
    </w:p>
    <w:p w14:paraId="43156ACE" w14:textId="53451975" w:rsidR="002839C9" w:rsidRPr="00075380" w:rsidRDefault="002839C9" w:rsidP="001B59A6">
      <w:pPr>
        <w:pStyle w:val="ListParagraph"/>
        <w:numPr>
          <w:ilvl w:val="1"/>
          <w:numId w:val="11"/>
        </w:numPr>
        <w:spacing w:line="276" w:lineRule="auto"/>
        <w:ind w:left="709" w:hanging="709"/>
        <w:jc w:val="both"/>
        <w:rPr>
          <w:rFonts w:cs="Arial"/>
        </w:rPr>
      </w:pPr>
      <w:r w:rsidRPr="00075380">
        <w:rPr>
          <w:rFonts w:cs="Arial"/>
        </w:rPr>
        <w:t>Planning policy and decisions should also support a prosperous rural economy by enabling</w:t>
      </w:r>
      <w:r w:rsidR="00A66329" w:rsidRPr="00075380">
        <w:rPr>
          <w:rFonts w:cs="Arial"/>
        </w:rPr>
        <w:t xml:space="preserve"> (NPPF para 8</w:t>
      </w:r>
      <w:r w:rsidR="003E2535">
        <w:rPr>
          <w:rFonts w:cs="Arial"/>
        </w:rPr>
        <w:t>4</w:t>
      </w:r>
      <w:r w:rsidR="00A66329" w:rsidRPr="00075380">
        <w:rPr>
          <w:rFonts w:cs="Arial"/>
        </w:rPr>
        <w:t>)</w:t>
      </w:r>
      <w:r w:rsidRPr="00075380">
        <w:rPr>
          <w:rFonts w:cs="Arial"/>
        </w:rPr>
        <w:t>:</w:t>
      </w:r>
    </w:p>
    <w:p w14:paraId="27AF3EB9" w14:textId="77777777" w:rsidR="002839C9" w:rsidRPr="00B61CE1" w:rsidRDefault="002839C9" w:rsidP="001B59A6">
      <w:pPr>
        <w:pStyle w:val="ListParagraph"/>
        <w:numPr>
          <w:ilvl w:val="0"/>
          <w:numId w:val="12"/>
        </w:numPr>
        <w:spacing w:line="276" w:lineRule="auto"/>
        <w:jc w:val="both"/>
        <w:rPr>
          <w:rFonts w:cs="Arial"/>
        </w:rPr>
      </w:pPr>
      <w:r w:rsidRPr="00B61CE1">
        <w:rPr>
          <w:rFonts w:cs="Arial"/>
        </w:rPr>
        <w:t xml:space="preserve">The sustainable growth and expansion of all types of business in rural areas, both through conversion of existing buildings and </w:t>
      </w:r>
      <w:r w:rsidR="00E8079C" w:rsidRPr="00B61CE1">
        <w:rPr>
          <w:rFonts w:cs="Arial"/>
        </w:rPr>
        <w:t>well-designed</w:t>
      </w:r>
      <w:r w:rsidRPr="00B61CE1">
        <w:rPr>
          <w:rFonts w:cs="Arial"/>
        </w:rPr>
        <w:t xml:space="preserve"> new buildings;</w:t>
      </w:r>
    </w:p>
    <w:p w14:paraId="0906098A" w14:textId="77777777" w:rsidR="002839C9" w:rsidRPr="00B61CE1" w:rsidRDefault="002839C9" w:rsidP="001B59A6">
      <w:pPr>
        <w:pStyle w:val="ListParagraph"/>
        <w:numPr>
          <w:ilvl w:val="0"/>
          <w:numId w:val="12"/>
        </w:numPr>
        <w:spacing w:line="276" w:lineRule="auto"/>
        <w:jc w:val="both"/>
        <w:rPr>
          <w:rFonts w:cs="Arial"/>
        </w:rPr>
      </w:pPr>
      <w:r w:rsidRPr="00B61CE1">
        <w:rPr>
          <w:rFonts w:cs="Arial"/>
        </w:rPr>
        <w:t>The development and diversification of agricultural and other land based rural businesses;</w:t>
      </w:r>
    </w:p>
    <w:p w14:paraId="47A8ADCD" w14:textId="77777777" w:rsidR="002839C9" w:rsidRPr="00B61CE1" w:rsidRDefault="002839C9" w:rsidP="001B59A6">
      <w:pPr>
        <w:pStyle w:val="ListParagraph"/>
        <w:numPr>
          <w:ilvl w:val="0"/>
          <w:numId w:val="12"/>
        </w:numPr>
        <w:spacing w:line="276" w:lineRule="auto"/>
        <w:jc w:val="both"/>
        <w:rPr>
          <w:rFonts w:cs="Arial"/>
        </w:rPr>
      </w:pPr>
      <w:r w:rsidRPr="00B61CE1">
        <w:rPr>
          <w:rFonts w:cs="Arial"/>
        </w:rPr>
        <w:t>Sustainable rural tourism and leisure development which respect the character of the countryside; and</w:t>
      </w:r>
    </w:p>
    <w:p w14:paraId="2D2073EE" w14:textId="77777777" w:rsidR="002839C9" w:rsidRPr="00B61CE1" w:rsidRDefault="002839C9" w:rsidP="001B59A6">
      <w:pPr>
        <w:pStyle w:val="ListParagraph"/>
        <w:numPr>
          <w:ilvl w:val="0"/>
          <w:numId w:val="12"/>
        </w:numPr>
        <w:spacing w:line="276" w:lineRule="auto"/>
        <w:jc w:val="both"/>
        <w:rPr>
          <w:rFonts w:cs="Arial"/>
        </w:rPr>
      </w:pPr>
      <w:r w:rsidRPr="00B61CE1">
        <w:rPr>
          <w:rFonts w:cs="Arial"/>
        </w:rPr>
        <w:lastRenderedPageBreak/>
        <w:t xml:space="preserve">The retention and development of accessible local services and community facilities, such as local shops, meeting places, sports venues, open space, cultural buildings, public houses and places of worship.  </w:t>
      </w:r>
    </w:p>
    <w:p w14:paraId="5DD4701C" w14:textId="10C879C4" w:rsidR="002839C9" w:rsidRPr="006E26E0" w:rsidRDefault="002839C9" w:rsidP="00CA0531">
      <w:pPr>
        <w:pStyle w:val="Heading1"/>
        <w:numPr>
          <w:ilvl w:val="0"/>
          <w:numId w:val="11"/>
        </w:numPr>
        <w:ind w:left="709" w:hanging="709"/>
        <w:jc w:val="both"/>
        <w:rPr>
          <w:rFonts w:ascii="Arial" w:hAnsi="Arial" w:cs="Arial"/>
          <w:b/>
          <w:bCs/>
          <w:color w:val="0073CF"/>
          <w:sz w:val="28"/>
          <w:szCs w:val="28"/>
        </w:rPr>
      </w:pPr>
      <w:bookmarkStart w:id="4" w:name="_Toc167976200"/>
      <w:r w:rsidRPr="006E26E0">
        <w:rPr>
          <w:rFonts w:ascii="Arial" w:hAnsi="Arial" w:cs="Arial"/>
          <w:b/>
          <w:bCs/>
          <w:color w:val="0073CF"/>
          <w:sz w:val="28"/>
          <w:szCs w:val="28"/>
        </w:rPr>
        <w:t>What is the Economic Vision?</w:t>
      </w:r>
      <w:bookmarkEnd w:id="4"/>
      <w:r w:rsidRPr="006E26E0">
        <w:rPr>
          <w:rFonts w:ascii="Arial" w:hAnsi="Arial" w:cs="Arial"/>
          <w:b/>
          <w:bCs/>
          <w:color w:val="0073CF"/>
          <w:sz w:val="28"/>
          <w:szCs w:val="28"/>
        </w:rPr>
        <w:t xml:space="preserve"> </w:t>
      </w:r>
    </w:p>
    <w:p w14:paraId="39DDDB7B" w14:textId="77777777" w:rsidR="00AB6A40" w:rsidRPr="00A92251" w:rsidRDefault="00AB6A40" w:rsidP="001B59A6">
      <w:pPr>
        <w:pStyle w:val="ListParagraph"/>
        <w:spacing w:line="276" w:lineRule="auto"/>
        <w:jc w:val="both"/>
        <w:rPr>
          <w:rFonts w:cs="Arial"/>
          <w:b/>
        </w:rPr>
      </w:pPr>
    </w:p>
    <w:p w14:paraId="3AF86696" w14:textId="46425CAD" w:rsidR="00CC1929" w:rsidRDefault="00CC1929" w:rsidP="001B59A6">
      <w:pPr>
        <w:pStyle w:val="ListParagraph"/>
        <w:numPr>
          <w:ilvl w:val="1"/>
          <w:numId w:val="11"/>
        </w:numPr>
        <w:spacing w:line="276" w:lineRule="auto"/>
        <w:ind w:left="709" w:hanging="709"/>
        <w:jc w:val="both"/>
        <w:rPr>
          <w:rFonts w:cs="Arial"/>
          <w:bCs/>
        </w:rPr>
      </w:pPr>
      <w:r w:rsidRPr="00CC1929">
        <w:rPr>
          <w:rFonts w:cs="Arial"/>
          <w:bCs/>
        </w:rPr>
        <w:t xml:space="preserve">Part of the Local Plan Vision is that people will be able to choose from a range of work opportunities to meet their aspirations for employment or use their entrepreneurial flair to start and grow their own creative, innovative and competitive businesses, moving towards a greener economy. Thriving sectors will include </w:t>
      </w:r>
      <w:r w:rsidR="00E832F5">
        <w:rPr>
          <w:rFonts w:cs="Arial"/>
          <w:bCs/>
        </w:rPr>
        <w:t>f</w:t>
      </w:r>
      <w:r w:rsidRPr="00CC1929">
        <w:rPr>
          <w:rFonts w:cs="Arial"/>
          <w:bCs/>
        </w:rPr>
        <w:t>ood</w:t>
      </w:r>
      <w:r w:rsidR="007E3974">
        <w:rPr>
          <w:rFonts w:cs="Arial"/>
          <w:bCs/>
        </w:rPr>
        <w:t xml:space="preserve"> and</w:t>
      </w:r>
      <w:r w:rsidRPr="00CC1929">
        <w:rPr>
          <w:rFonts w:cs="Arial"/>
          <w:bCs/>
        </w:rPr>
        <w:t xml:space="preserve"> </w:t>
      </w:r>
      <w:r w:rsidR="00E832F5">
        <w:rPr>
          <w:rFonts w:cs="Arial"/>
          <w:bCs/>
        </w:rPr>
        <w:t>d</w:t>
      </w:r>
      <w:r w:rsidRPr="00CC1929">
        <w:rPr>
          <w:rFonts w:cs="Arial"/>
          <w:bCs/>
        </w:rPr>
        <w:t>rink production and creative and low carbon industries supported by Chichester’s natural and cultural assets, high-tech manufacturing, as well as service and retail sectors needed to support the local and visitor population, including a night-time economy attractive to all and improving the offer for young people and students.</w:t>
      </w:r>
    </w:p>
    <w:p w14:paraId="292FA401" w14:textId="77777777" w:rsidR="007E3974" w:rsidRPr="00CC1929" w:rsidRDefault="007E3974" w:rsidP="001B59A6">
      <w:pPr>
        <w:pStyle w:val="ListParagraph"/>
        <w:spacing w:line="276" w:lineRule="auto"/>
        <w:ind w:left="792"/>
        <w:jc w:val="both"/>
        <w:rPr>
          <w:rFonts w:cs="Arial"/>
          <w:bCs/>
        </w:rPr>
      </w:pPr>
    </w:p>
    <w:p w14:paraId="6DE27460" w14:textId="02023EAC" w:rsidR="00C506CF" w:rsidRDefault="00CC1929" w:rsidP="001B59A6">
      <w:pPr>
        <w:pStyle w:val="ListParagraph"/>
        <w:numPr>
          <w:ilvl w:val="1"/>
          <w:numId w:val="11"/>
        </w:numPr>
        <w:spacing w:line="276" w:lineRule="auto"/>
        <w:ind w:left="709" w:hanging="709"/>
        <w:jc w:val="both"/>
        <w:rPr>
          <w:rFonts w:cs="Arial"/>
        </w:rPr>
      </w:pPr>
      <w:r w:rsidRPr="00E832F5">
        <w:rPr>
          <w:rFonts w:cs="Arial"/>
        </w:rPr>
        <w:t>Objective 4 of the</w:t>
      </w:r>
      <w:r w:rsidR="002839C9" w:rsidRPr="00E832F5">
        <w:rPr>
          <w:rFonts w:cs="Arial"/>
        </w:rPr>
        <w:t xml:space="preserve"> Local Plan</w:t>
      </w:r>
      <w:r w:rsidRPr="00E832F5">
        <w:rPr>
          <w:rFonts w:cs="Arial"/>
        </w:rPr>
        <w:t xml:space="preserve"> is to</w:t>
      </w:r>
      <w:r w:rsidR="002839C9" w:rsidRPr="00E832F5">
        <w:rPr>
          <w:rFonts w:cs="Arial"/>
        </w:rPr>
        <w:t xml:space="preserve"> </w:t>
      </w:r>
      <w:r w:rsidRPr="00E832F5">
        <w:rPr>
          <w:rFonts w:cs="Arial"/>
        </w:rPr>
        <w:t>support delivery of</w:t>
      </w:r>
      <w:r w:rsidR="002839C9" w:rsidRPr="00E832F5">
        <w:rPr>
          <w:rFonts w:cs="Arial"/>
        </w:rPr>
        <w:t xml:space="preserve"> a strong</w:t>
      </w:r>
      <w:r w:rsidR="008948C6" w:rsidRPr="00E832F5">
        <w:rPr>
          <w:rFonts w:cs="Arial"/>
        </w:rPr>
        <w:t>,</w:t>
      </w:r>
      <w:r w:rsidR="002839C9" w:rsidRPr="00E832F5">
        <w:rPr>
          <w:rFonts w:cs="Arial"/>
        </w:rPr>
        <w:t xml:space="preserve"> thriving</w:t>
      </w:r>
      <w:r w:rsidR="008948C6" w:rsidRPr="00E832F5">
        <w:rPr>
          <w:rFonts w:cs="Arial"/>
        </w:rPr>
        <w:t xml:space="preserve"> and diverse</w:t>
      </w:r>
      <w:r w:rsidR="002839C9" w:rsidRPr="00E832F5">
        <w:rPr>
          <w:rFonts w:cs="Arial"/>
        </w:rPr>
        <w:t xml:space="preserve"> economy, improving </w:t>
      </w:r>
      <w:r w:rsidR="008948C6" w:rsidRPr="00E832F5">
        <w:rPr>
          <w:rFonts w:cs="Arial"/>
        </w:rPr>
        <w:t>job</w:t>
      </w:r>
      <w:r w:rsidR="002839C9" w:rsidRPr="00E832F5">
        <w:rPr>
          <w:rFonts w:cs="Arial"/>
        </w:rPr>
        <w:t xml:space="preserve"> opportunities for all skill</w:t>
      </w:r>
      <w:r w:rsidR="008948C6" w:rsidRPr="00E832F5">
        <w:rPr>
          <w:rFonts w:cs="Arial"/>
        </w:rPr>
        <w:t xml:space="preserve"> levels while supporting a move to a diverse and low carbon economy</w:t>
      </w:r>
      <w:r w:rsidR="002839C9" w:rsidRPr="00E832F5">
        <w:rPr>
          <w:rFonts w:cs="Arial"/>
        </w:rPr>
        <w:t xml:space="preserve">. This reflects the Plan vision and the main priorities identified in the Economic Development Strategy for Chichester District </w:t>
      </w:r>
      <w:r w:rsidR="00CE3DE0">
        <w:rPr>
          <w:rFonts w:cs="Arial"/>
        </w:rPr>
        <w:t>2022-2025: A</w:t>
      </w:r>
      <w:r w:rsidR="00243567" w:rsidRPr="00E832F5">
        <w:rPr>
          <w:rFonts w:cs="Arial"/>
        </w:rPr>
        <w:t xml:space="preserve"> Prosperous and Sustainable Economy</w:t>
      </w:r>
      <w:r w:rsidR="00585A13">
        <w:rPr>
          <w:rFonts w:cs="Arial"/>
        </w:rPr>
        <w:t xml:space="preserve"> (REE02)</w:t>
      </w:r>
      <w:r w:rsidR="00094137" w:rsidRPr="00E832F5">
        <w:rPr>
          <w:rFonts w:cs="Arial"/>
        </w:rPr>
        <w:t xml:space="preserve">. The approach is consistent with </w:t>
      </w:r>
      <w:r w:rsidR="002839C9" w:rsidRPr="00E832F5">
        <w:rPr>
          <w:rFonts w:cs="Arial"/>
        </w:rPr>
        <w:t>key priorities of the Coast to Capital Local Economic Partnership (LEP)</w:t>
      </w:r>
      <w:r w:rsidR="00094137" w:rsidRPr="00E832F5">
        <w:rPr>
          <w:rFonts w:cs="Arial"/>
        </w:rPr>
        <w:t>’s Strategic Economic Plan 2018-2030</w:t>
      </w:r>
      <w:r w:rsidR="00585A13">
        <w:rPr>
          <w:rFonts w:cs="Arial"/>
        </w:rPr>
        <w:t xml:space="preserve"> (REE03)</w:t>
      </w:r>
      <w:r w:rsidR="00094137" w:rsidRPr="00E832F5">
        <w:rPr>
          <w:rFonts w:cs="Arial"/>
        </w:rPr>
        <w:t xml:space="preserve">, </w:t>
      </w:r>
      <w:r w:rsidR="002839C9" w:rsidRPr="00E832F5">
        <w:rPr>
          <w:rFonts w:cs="Arial"/>
        </w:rPr>
        <w:t xml:space="preserve">the West Sussex </w:t>
      </w:r>
      <w:r w:rsidR="00C44D5C" w:rsidRPr="00E832F5">
        <w:rPr>
          <w:rFonts w:cs="Arial"/>
        </w:rPr>
        <w:t>Economy Plan 2020-24</w:t>
      </w:r>
      <w:r w:rsidR="00FA5F39">
        <w:rPr>
          <w:rFonts w:cs="Arial"/>
        </w:rPr>
        <w:t xml:space="preserve"> </w:t>
      </w:r>
      <w:r w:rsidR="00585A13">
        <w:rPr>
          <w:rFonts w:cs="Arial"/>
        </w:rPr>
        <w:t xml:space="preserve">(REE07) </w:t>
      </w:r>
      <w:r w:rsidR="00FA5F39">
        <w:rPr>
          <w:rFonts w:cs="Arial"/>
        </w:rPr>
        <w:t>and</w:t>
      </w:r>
      <w:r w:rsidR="00094137" w:rsidRPr="00E832F5">
        <w:rPr>
          <w:rFonts w:cs="Arial"/>
        </w:rPr>
        <w:t xml:space="preserve"> </w:t>
      </w:r>
      <w:r w:rsidR="00DD3E51" w:rsidRPr="00E832F5">
        <w:rPr>
          <w:rFonts w:cs="Arial"/>
        </w:rPr>
        <w:t>the</w:t>
      </w:r>
      <w:r w:rsidR="00C13694" w:rsidRPr="00E832F5">
        <w:rPr>
          <w:rFonts w:cs="Arial"/>
        </w:rPr>
        <w:t xml:space="preserve"> Coastal West Sussex Economic Plan 2016</w:t>
      </w:r>
      <w:r w:rsidR="00094137" w:rsidRPr="00E832F5">
        <w:rPr>
          <w:rFonts w:cs="Arial"/>
        </w:rPr>
        <w:t>-20</w:t>
      </w:r>
      <w:r w:rsidR="00585A13">
        <w:rPr>
          <w:rFonts w:cs="Arial"/>
        </w:rPr>
        <w:t xml:space="preserve"> (REE01)</w:t>
      </w:r>
      <w:r w:rsidR="002839C9" w:rsidRPr="00E832F5">
        <w:rPr>
          <w:rFonts w:cs="Arial"/>
        </w:rPr>
        <w:t>.</w:t>
      </w:r>
      <w:r w:rsidR="00FA5F39">
        <w:rPr>
          <w:rFonts w:cs="Arial"/>
        </w:rPr>
        <w:t xml:space="preserve"> </w:t>
      </w:r>
      <w:r w:rsidR="00C506CF" w:rsidRPr="00C506CF">
        <w:rPr>
          <w:rFonts w:cs="Arial"/>
        </w:rPr>
        <w:t xml:space="preserve">A key element of the Economic Development Strategy for the district is a targeted approach supporting businesses with high growth potential that reflect local characteristics, along with supporting inward investment through a new Inward Investment Strategy. </w:t>
      </w:r>
      <w:r w:rsidR="00C506CF" w:rsidRPr="00075380">
        <w:rPr>
          <w:rFonts w:cs="Arial"/>
        </w:rPr>
        <w:t xml:space="preserve">The provision of suitable employment space is an important part in enabling this to happen. </w:t>
      </w:r>
    </w:p>
    <w:p w14:paraId="2D4A03C2" w14:textId="23978774" w:rsidR="00C506CF" w:rsidRPr="00C506CF" w:rsidRDefault="00C506CF" w:rsidP="001B59A6">
      <w:pPr>
        <w:pStyle w:val="ListParagraph"/>
        <w:spacing w:line="276" w:lineRule="auto"/>
        <w:ind w:left="792"/>
        <w:jc w:val="both"/>
        <w:rPr>
          <w:rFonts w:cs="Arial"/>
        </w:rPr>
      </w:pPr>
    </w:p>
    <w:p w14:paraId="0B7EEB1E" w14:textId="041D8D55" w:rsidR="00C506CF" w:rsidRPr="00C506CF" w:rsidRDefault="00C506CF" w:rsidP="001B59A6">
      <w:pPr>
        <w:pStyle w:val="ListParagraph"/>
        <w:numPr>
          <w:ilvl w:val="1"/>
          <w:numId w:val="11"/>
        </w:numPr>
        <w:spacing w:line="276" w:lineRule="auto"/>
        <w:ind w:left="709" w:hanging="709"/>
        <w:jc w:val="both"/>
        <w:rPr>
          <w:rFonts w:cs="Arial"/>
        </w:rPr>
      </w:pPr>
      <w:r w:rsidRPr="00C506CF">
        <w:rPr>
          <w:rFonts w:cs="Arial"/>
        </w:rPr>
        <w:t>Following the Government’s decision to withdraw funding for LEPs from April 2024, Coast 2 Capital agreed in November 2023 to end the statutory functions of the LEP at the end of March 2024. At this time the LEP’s functions transfer</w:t>
      </w:r>
      <w:r>
        <w:rPr>
          <w:rFonts w:cs="Arial"/>
        </w:rPr>
        <w:t>red</w:t>
      </w:r>
      <w:r w:rsidRPr="00C506CF">
        <w:rPr>
          <w:rFonts w:cs="Arial"/>
        </w:rPr>
        <w:t xml:space="preserve"> to relevant upper tier authorities, including WSCC.</w:t>
      </w:r>
    </w:p>
    <w:p w14:paraId="0AE2999F" w14:textId="0B342D0D" w:rsidR="00FC69FD" w:rsidRPr="006E26E0" w:rsidRDefault="00FC69FD" w:rsidP="009C0E7E">
      <w:pPr>
        <w:pStyle w:val="Heading1"/>
        <w:numPr>
          <w:ilvl w:val="0"/>
          <w:numId w:val="11"/>
        </w:numPr>
        <w:spacing w:after="240"/>
        <w:ind w:left="709" w:hanging="709"/>
        <w:jc w:val="both"/>
        <w:rPr>
          <w:rFonts w:ascii="Arial" w:hAnsi="Arial" w:cs="Arial"/>
          <w:b/>
          <w:bCs/>
          <w:color w:val="0073CF"/>
          <w:sz w:val="28"/>
          <w:szCs w:val="28"/>
        </w:rPr>
      </w:pPr>
      <w:bookmarkStart w:id="5" w:name="_Toc167976201"/>
      <w:r w:rsidRPr="006E26E0">
        <w:rPr>
          <w:rFonts w:ascii="Arial" w:hAnsi="Arial" w:cs="Arial"/>
          <w:b/>
          <w:bCs/>
          <w:color w:val="0073CF"/>
          <w:sz w:val="28"/>
          <w:szCs w:val="28"/>
        </w:rPr>
        <w:t xml:space="preserve">Background – previous stages of Local </w:t>
      </w:r>
      <w:r w:rsidRPr="009C0E7E">
        <w:rPr>
          <w:rFonts w:ascii="Arial" w:hAnsi="Arial" w:cs="Arial"/>
          <w:b/>
          <w:bCs/>
          <w:color w:val="0073CF"/>
          <w:sz w:val="28"/>
          <w:szCs w:val="28"/>
        </w:rPr>
        <w:t>Plan</w:t>
      </w:r>
      <w:r w:rsidRPr="006E26E0">
        <w:rPr>
          <w:rFonts w:ascii="Arial" w:hAnsi="Arial" w:cs="Arial"/>
          <w:b/>
          <w:bCs/>
          <w:color w:val="0073CF"/>
          <w:sz w:val="28"/>
          <w:szCs w:val="28"/>
        </w:rPr>
        <w:t xml:space="preserve"> preparation</w:t>
      </w:r>
      <w:bookmarkEnd w:id="5"/>
    </w:p>
    <w:p w14:paraId="6DB4AEEA" w14:textId="6DA483B7" w:rsidR="00FC69FD" w:rsidRPr="009C0E7E" w:rsidRDefault="00FC69FD" w:rsidP="009C0E7E">
      <w:pPr>
        <w:pStyle w:val="Heading2"/>
        <w:ind w:left="709"/>
        <w:rPr>
          <w:rFonts w:ascii="Arial" w:hAnsi="Arial" w:cs="Arial"/>
          <w:b/>
          <w:bCs/>
          <w:color w:val="0073CF"/>
          <w:sz w:val="24"/>
          <w:szCs w:val="24"/>
        </w:rPr>
      </w:pPr>
      <w:r w:rsidRPr="009C0E7E">
        <w:rPr>
          <w:rFonts w:ascii="Arial" w:hAnsi="Arial" w:cs="Arial"/>
          <w:b/>
          <w:bCs/>
          <w:color w:val="0073CF"/>
          <w:sz w:val="24"/>
          <w:szCs w:val="24"/>
        </w:rPr>
        <w:t>Local Plan Review Preferred Approach Stage:</w:t>
      </w:r>
    </w:p>
    <w:p w14:paraId="38B5E8CE" w14:textId="77777777" w:rsidR="00075380" w:rsidRPr="00075380" w:rsidRDefault="00075380" w:rsidP="001B59A6">
      <w:pPr>
        <w:pStyle w:val="ListParagraph"/>
        <w:spacing w:line="276" w:lineRule="auto"/>
        <w:ind w:left="360"/>
        <w:jc w:val="both"/>
        <w:rPr>
          <w:rFonts w:cs="Arial"/>
          <w:b/>
          <w:bCs/>
        </w:rPr>
      </w:pPr>
    </w:p>
    <w:p w14:paraId="2D6D158E" w14:textId="33334882" w:rsidR="00DE2A15" w:rsidRDefault="00DE2A15" w:rsidP="001B59A6">
      <w:pPr>
        <w:pStyle w:val="ListParagraph"/>
        <w:numPr>
          <w:ilvl w:val="1"/>
          <w:numId w:val="11"/>
        </w:numPr>
        <w:spacing w:line="276" w:lineRule="auto"/>
        <w:ind w:left="709" w:hanging="709"/>
        <w:jc w:val="both"/>
        <w:rPr>
          <w:rFonts w:cs="Arial"/>
        </w:rPr>
      </w:pPr>
      <w:r w:rsidRPr="00075380">
        <w:rPr>
          <w:rFonts w:cs="Arial"/>
        </w:rPr>
        <w:t xml:space="preserve">A Housing and Economic Needs Assessment (HEDNA) prepared in </w:t>
      </w:r>
      <w:r w:rsidR="00AC07A3" w:rsidRPr="00075380">
        <w:rPr>
          <w:rFonts w:cs="Arial"/>
        </w:rPr>
        <w:t xml:space="preserve">January </w:t>
      </w:r>
      <w:r w:rsidRPr="00075380">
        <w:rPr>
          <w:rFonts w:cs="Arial"/>
        </w:rPr>
        <w:t>2018</w:t>
      </w:r>
      <w:r w:rsidR="00AC07A3" w:rsidRPr="00075380">
        <w:rPr>
          <w:rFonts w:cs="Arial"/>
        </w:rPr>
        <w:t xml:space="preserve"> was updated in August 2018</w:t>
      </w:r>
      <w:r w:rsidR="00585A13">
        <w:rPr>
          <w:rFonts w:cs="Arial"/>
        </w:rPr>
        <w:t xml:space="preserve"> (H08)</w:t>
      </w:r>
      <w:r w:rsidR="00AC07A3" w:rsidRPr="00075380">
        <w:rPr>
          <w:rFonts w:cs="Arial"/>
        </w:rPr>
        <w:t xml:space="preserve"> </w:t>
      </w:r>
      <w:r w:rsidRPr="00075380">
        <w:rPr>
          <w:rFonts w:cs="Arial"/>
        </w:rPr>
        <w:t>to inform the Preferre</w:t>
      </w:r>
      <w:r w:rsidR="005438F4" w:rsidRPr="00075380">
        <w:rPr>
          <w:rFonts w:cs="Arial"/>
        </w:rPr>
        <w:t>d</w:t>
      </w:r>
      <w:r w:rsidRPr="00075380">
        <w:rPr>
          <w:rFonts w:cs="Arial"/>
        </w:rPr>
        <w:t xml:space="preserve"> Approach stage of </w:t>
      </w:r>
      <w:r w:rsidR="00AC07A3" w:rsidRPr="00075380">
        <w:rPr>
          <w:rFonts w:cs="Arial"/>
        </w:rPr>
        <w:t>plan preparation</w:t>
      </w:r>
      <w:r w:rsidRPr="00075380">
        <w:rPr>
          <w:rFonts w:cs="Arial"/>
        </w:rPr>
        <w:t>. At that time the requirement</w:t>
      </w:r>
      <w:r w:rsidR="00AC07A3" w:rsidRPr="00075380">
        <w:rPr>
          <w:rFonts w:cs="Arial"/>
        </w:rPr>
        <w:t xml:space="preserve"> for employment land </w:t>
      </w:r>
      <w:r w:rsidRPr="00075380">
        <w:rPr>
          <w:rFonts w:cs="Arial"/>
        </w:rPr>
        <w:t>across the plan period</w:t>
      </w:r>
      <w:r w:rsidR="00AC07A3" w:rsidRPr="00075380">
        <w:rPr>
          <w:rFonts w:cs="Arial"/>
        </w:rPr>
        <w:t xml:space="preserve"> (at that time 2016-2035) </w:t>
      </w:r>
      <w:r w:rsidRPr="00075380">
        <w:rPr>
          <w:rFonts w:cs="Arial"/>
        </w:rPr>
        <w:t xml:space="preserve">was predicted to be </w:t>
      </w:r>
      <w:r w:rsidR="00B779B7" w:rsidRPr="00075380">
        <w:rPr>
          <w:rFonts w:cs="Arial"/>
        </w:rPr>
        <w:t xml:space="preserve">around 146,000sqm of floorspace or </w:t>
      </w:r>
      <w:r w:rsidR="00AC07A3" w:rsidRPr="00075380">
        <w:rPr>
          <w:rFonts w:cs="Arial"/>
        </w:rPr>
        <w:t>27.7ha, based on a labour demand growth scenario</w:t>
      </w:r>
      <w:r w:rsidRPr="00075380">
        <w:rPr>
          <w:rFonts w:cs="Arial"/>
        </w:rPr>
        <w:t xml:space="preserve">. An additional allowance was added to this to allow for replacement of </w:t>
      </w:r>
      <w:r w:rsidR="00B779B7" w:rsidRPr="00075380">
        <w:rPr>
          <w:rFonts w:cs="Arial"/>
        </w:rPr>
        <w:t xml:space="preserve">trend based </w:t>
      </w:r>
      <w:r w:rsidRPr="00075380">
        <w:rPr>
          <w:rFonts w:cs="Arial"/>
        </w:rPr>
        <w:t xml:space="preserve">losses across </w:t>
      </w:r>
      <w:r w:rsidR="00B779B7" w:rsidRPr="00075380">
        <w:rPr>
          <w:rFonts w:cs="Arial"/>
        </w:rPr>
        <w:t xml:space="preserve">the first 10 years of </w:t>
      </w:r>
      <w:r w:rsidRPr="00075380">
        <w:rPr>
          <w:rFonts w:cs="Arial"/>
        </w:rPr>
        <w:t xml:space="preserve">the plan period, which increased the requirement </w:t>
      </w:r>
      <w:r w:rsidR="00B779B7" w:rsidRPr="00075380">
        <w:rPr>
          <w:rFonts w:cs="Arial"/>
        </w:rPr>
        <w:t>by 86,000sqm</w:t>
      </w:r>
      <w:r w:rsidRPr="00075380">
        <w:rPr>
          <w:rFonts w:cs="Arial"/>
        </w:rPr>
        <w:t xml:space="preserve">. </w:t>
      </w:r>
    </w:p>
    <w:p w14:paraId="6D669E29" w14:textId="77777777" w:rsidR="00861A4D" w:rsidRPr="00075380" w:rsidRDefault="00861A4D" w:rsidP="001B59A6">
      <w:pPr>
        <w:pStyle w:val="ListParagraph"/>
        <w:spacing w:line="276" w:lineRule="auto"/>
        <w:ind w:left="792"/>
        <w:jc w:val="both"/>
        <w:rPr>
          <w:rFonts w:cs="Arial"/>
        </w:rPr>
      </w:pPr>
    </w:p>
    <w:p w14:paraId="00F4F65E" w14:textId="20A9D288" w:rsidR="00DE2A15" w:rsidRDefault="00410DA6" w:rsidP="001B59A6">
      <w:pPr>
        <w:pStyle w:val="ListParagraph"/>
        <w:numPr>
          <w:ilvl w:val="1"/>
          <w:numId w:val="11"/>
        </w:numPr>
        <w:spacing w:line="276" w:lineRule="auto"/>
        <w:ind w:left="709" w:hanging="709"/>
        <w:jc w:val="both"/>
        <w:rPr>
          <w:rFonts w:cs="Arial"/>
        </w:rPr>
      </w:pPr>
      <w:r w:rsidRPr="00075380">
        <w:rPr>
          <w:rFonts w:cs="Arial"/>
        </w:rPr>
        <w:t xml:space="preserve">It was proposed that this need be met by bringing forward existing allocations on Land West of Chichester (part of a residential led scheme), Land at Chichester Business Park and Shopwyke, together with new allocations at Southern Gateway and Land South West of Chichester. </w:t>
      </w:r>
      <w:r w:rsidR="00DE2A15" w:rsidRPr="00075380">
        <w:rPr>
          <w:rFonts w:cs="Arial"/>
        </w:rPr>
        <w:t>An employment land allocation was proposed on land South West of Chichester to meet this need</w:t>
      </w:r>
      <w:r w:rsidR="00861A4D">
        <w:rPr>
          <w:rFonts w:cs="Arial"/>
        </w:rPr>
        <w:t>.</w:t>
      </w:r>
      <w:r w:rsidR="00DE2A15" w:rsidRPr="00075380">
        <w:rPr>
          <w:rFonts w:cs="Arial"/>
        </w:rPr>
        <w:t xml:space="preserve"> </w:t>
      </w:r>
    </w:p>
    <w:p w14:paraId="50F7C435" w14:textId="77777777" w:rsidR="00861A4D" w:rsidRPr="00075380" w:rsidRDefault="00861A4D" w:rsidP="001B59A6">
      <w:pPr>
        <w:pStyle w:val="ListParagraph"/>
        <w:spacing w:line="276" w:lineRule="auto"/>
        <w:ind w:left="792"/>
        <w:jc w:val="both"/>
        <w:rPr>
          <w:rFonts w:cs="Arial"/>
        </w:rPr>
      </w:pPr>
    </w:p>
    <w:p w14:paraId="69CBADFB" w14:textId="37C0BE3F" w:rsidR="00075380" w:rsidRDefault="00B5402F" w:rsidP="006E26E0">
      <w:pPr>
        <w:pStyle w:val="ListParagraph"/>
        <w:numPr>
          <w:ilvl w:val="1"/>
          <w:numId w:val="11"/>
        </w:numPr>
        <w:spacing w:after="240" w:line="276" w:lineRule="auto"/>
        <w:ind w:left="709" w:hanging="709"/>
        <w:jc w:val="both"/>
        <w:rPr>
          <w:rFonts w:cs="Arial"/>
        </w:rPr>
      </w:pPr>
      <w:r w:rsidRPr="00075380">
        <w:rPr>
          <w:rFonts w:cs="Arial"/>
        </w:rPr>
        <w:t>D</w:t>
      </w:r>
      <w:r w:rsidR="00C44D5C" w:rsidRPr="00075380">
        <w:rPr>
          <w:rFonts w:cs="Arial"/>
        </w:rPr>
        <w:t xml:space="preserve">evelopment Management policies sought to allow additional employment floorspace, modernisation and refurbishment within existing employment areas subject to criteria, and to allow other employment generating uses of similar character. Non employment uses would only be allowed </w:t>
      </w:r>
      <w:r w:rsidR="00861A4D">
        <w:rPr>
          <w:rFonts w:cs="Arial"/>
        </w:rPr>
        <w:t xml:space="preserve">on existing employment sites </w:t>
      </w:r>
      <w:r w:rsidR="00C44D5C" w:rsidRPr="00075380">
        <w:rPr>
          <w:rFonts w:cs="Arial"/>
        </w:rPr>
        <w:t xml:space="preserve">in specific circumstances. New employment uses would be permitted within settlement boundaries, with a sequential test applied to office uses. </w:t>
      </w:r>
    </w:p>
    <w:p w14:paraId="7452D87D" w14:textId="15E6C679" w:rsidR="00075380" w:rsidRPr="006E26E0" w:rsidRDefault="00075380" w:rsidP="00B96EF1">
      <w:pPr>
        <w:pStyle w:val="Heading2"/>
        <w:spacing w:after="240"/>
        <w:ind w:left="709"/>
        <w:jc w:val="both"/>
        <w:rPr>
          <w:rFonts w:ascii="Arial" w:hAnsi="Arial" w:cs="Arial"/>
          <w:b/>
          <w:bCs/>
          <w:color w:val="0073CF"/>
          <w:sz w:val="24"/>
          <w:szCs w:val="24"/>
        </w:rPr>
      </w:pPr>
      <w:r w:rsidRPr="006E26E0">
        <w:rPr>
          <w:rFonts w:ascii="Arial" w:hAnsi="Arial" w:cs="Arial"/>
          <w:b/>
          <w:bCs/>
          <w:color w:val="0073CF"/>
          <w:sz w:val="24"/>
          <w:szCs w:val="24"/>
        </w:rPr>
        <w:t>Consultation responses</w:t>
      </w:r>
      <w:r w:rsidR="00A249F5" w:rsidRPr="006E26E0">
        <w:rPr>
          <w:rFonts w:ascii="Arial" w:hAnsi="Arial" w:cs="Arial"/>
          <w:b/>
          <w:bCs/>
          <w:color w:val="0073CF"/>
          <w:sz w:val="24"/>
          <w:szCs w:val="24"/>
        </w:rPr>
        <w:t xml:space="preserve"> on the Preferred Approach</w:t>
      </w:r>
      <w:r w:rsidRPr="006E26E0">
        <w:rPr>
          <w:rFonts w:ascii="Arial" w:hAnsi="Arial" w:cs="Arial"/>
          <w:b/>
          <w:bCs/>
          <w:color w:val="0073CF"/>
          <w:sz w:val="24"/>
          <w:szCs w:val="24"/>
        </w:rPr>
        <w:t>:</w:t>
      </w:r>
    </w:p>
    <w:p w14:paraId="4D025360" w14:textId="7FF89FF5" w:rsidR="00081E13" w:rsidRDefault="00A249F5" w:rsidP="001B59A6">
      <w:pPr>
        <w:pStyle w:val="ListParagraph"/>
        <w:numPr>
          <w:ilvl w:val="1"/>
          <w:numId w:val="11"/>
        </w:numPr>
        <w:spacing w:line="276" w:lineRule="auto"/>
        <w:ind w:left="709" w:hanging="709"/>
        <w:jc w:val="both"/>
        <w:rPr>
          <w:rFonts w:cs="Arial"/>
        </w:rPr>
      </w:pPr>
      <w:r>
        <w:rPr>
          <w:rFonts w:cs="Arial"/>
        </w:rPr>
        <w:t>R</w:t>
      </w:r>
      <w:r w:rsidR="00902FAD" w:rsidRPr="00075380">
        <w:rPr>
          <w:rFonts w:cs="Arial"/>
        </w:rPr>
        <w:t>epresentations suggested that the employment floorspace requirement was too high</w:t>
      </w:r>
      <w:r w:rsidR="008A3A78" w:rsidRPr="00075380">
        <w:rPr>
          <w:rFonts w:cs="Arial"/>
        </w:rPr>
        <w:t>, and that the homes/jobs balance and any commuting implications should be clarified</w:t>
      </w:r>
      <w:r w:rsidR="00902FAD" w:rsidRPr="00075380">
        <w:rPr>
          <w:rFonts w:cs="Arial"/>
        </w:rPr>
        <w:t>. A</w:t>
      </w:r>
      <w:r w:rsidR="00B5402F" w:rsidRPr="00075380">
        <w:rPr>
          <w:rFonts w:cs="Arial"/>
        </w:rPr>
        <w:t xml:space="preserve"> large number of objections were received to the allocation of land South West of Chichester. </w:t>
      </w:r>
    </w:p>
    <w:p w14:paraId="134F1E79" w14:textId="77777777" w:rsidR="00861A4D" w:rsidRPr="00075380" w:rsidRDefault="00861A4D" w:rsidP="001B59A6">
      <w:pPr>
        <w:pStyle w:val="ListParagraph"/>
        <w:spacing w:line="276" w:lineRule="auto"/>
        <w:ind w:left="792"/>
        <w:jc w:val="both"/>
        <w:rPr>
          <w:rFonts w:cs="Arial"/>
        </w:rPr>
      </w:pPr>
    </w:p>
    <w:p w14:paraId="1620C7E7" w14:textId="5D50C59F" w:rsidR="00B5402F" w:rsidRDefault="00B5402F" w:rsidP="001B59A6">
      <w:pPr>
        <w:pStyle w:val="ListParagraph"/>
        <w:numPr>
          <w:ilvl w:val="1"/>
          <w:numId w:val="11"/>
        </w:numPr>
        <w:spacing w:line="276" w:lineRule="auto"/>
        <w:ind w:left="709" w:hanging="709"/>
        <w:jc w:val="both"/>
        <w:rPr>
          <w:rFonts w:cs="Arial"/>
        </w:rPr>
      </w:pPr>
      <w:r w:rsidRPr="00075380">
        <w:rPr>
          <w:rFonts w:cs="Arial"/>
        </w:rPr>
        <w:t>Some re</w:t>
      </w:r>
      <w:r w:rsidR="005A7126" w:rsidRPr="00075380">
        <w:rPr>
          <w:rFonts w:cs="Arial"/>
        </w:rPr>
        <w:t xml:space="preserve">spondents </w:t>
      </w:r>
      <w:r w:rsidRPr="00075380">
        <w:rPr>
          <w:rFonts w:cs="Arial"/>
        </w:rPr>
        <w:t>suggeste</w:t>
      </w:r>
      <w:r w:rsidR="00902FAD" w:rsidRPr="00075380">
        <w:rPr>
          <w:rFonts w:cs="Arial"/>
        </w:rPr>
        <w:t>d</w:t>
      </w:r>
      <w:r w:rsidR="004C31B3" w:rsidRPr="00075380">
        <w:rPr>
          <w:rFonts w:cs="Arial"/>
        </w:rPr>
        <w:t xml:space="preserve"> brownfield sites,</w:t>
      </w:r>
      <w:r w:rsidR="00902FAD" w:rsidRPr="00075380">
        <w:rPr>
          <w:rFonts w:cs="Arial"/>
        </w:rPr>
        <w:t xml:space="preserve"> areas around Goodwood and/or </w:t>
      </w:r>
      <w:r w:rsidR="00C5242F" w:rsidRPr="00075380">
        <w:rPr>
          <w:rFonts w:cs="Arial"/>
        </w:rPr>
        <w:t xml:space="preserve">areas </w:t>
      </w:r>
      <w:r w:rsidR="004C31B3" w:rsidRPr="00075380">
        <w:rPr>
          <w:rFonts w:cs="Arial"/>
        </w:rPr>
        <w:t>n</w:t>
      </w:r>
      <w:r w:rsidR="00902FAD" w:rsidRPr="00075380">
        <w:rPr>
          <w:rFonts w:cs="Arial"/>
        </w:rPr>
        <w:t>orth of the City</w:t>
      </w:r>
      <w:r w:rsidR="004C31B3" w:rsidRPr="00075380">
        <w:rPr>
          <w:rFonts w:cs="Arial"/>
        </w:rPr>
        <w:t xml:space="preserve"> (including within the South Downs National Park which is outside of the plan area)</w:t>
      </w:r>
      <w:r w:rsidR="00902FAD" w:rsidRPr="00075380">
        <w:rPr>
          <w:rFonts w:cs="Arial"/>
        </w:rPr>
        <w:t xml:space="preserve"> be considered instead and a site promoter suggested land in the north of the plan area at Crouchlands Farm.</w:t>
      </w:r>
      <w:r w:rsidR="004C31B3" w:rsidRPr="00075380">
        <w:rPr>
          <w:rFonts w:cs="Arial"/>
        </w:rPr>
        <w:t xml:space="preserve"> </w:t>
      </w:r>
    </w:p>
    <w:p w14:paraId="7EBA5167" w14:textId="77777777" w:rsidR="00861A4D" w:rsidRPr="00075380" w:rsidRDefault="00861A4D" w:rsidP="001B59A6">
      <w:pPr>
        <w:pStyle w:val="ListParagraph"/>
        <w:spacing w:line="276" w:lineRule="auto"/>
        <w:ind w:left="792"/>
        <w:jc w:val="both"/>
        <w:rPr>
          <w:rFonts w:cs="Arial"/>
        </w:rPr>
      </w:pPr>
    </w:p>
    <w:p w14:paraId="450F703E" w14:textId="4CD1EB28" w:rsidR="00902FAD" w:rsidRDefault="00902FAD" w:rsidP="001B59A6">
      <w:pPr>
        <w:pStyle w:val="ListParagraph"/>
        <w:numPr>
          <w:ilvl w:val="1"/>
          <w:numId w:val="11"/>
        </w:numPr>
        <w:spacing w:line="276" w:lineRule="auto"/>
        <w:ind w:left="709" w:hanging="709"/>
        <w:jc w:val="both"/>
        <w:rPr>
          <w:rFonts w:cs="Arial"/>
        </w:rPr>
      </w:pPr>
      <w:r w:rsidRPr="00075380">
        <w:rPr>
          <w:rFonts w:cs="Arial"/>
        </w:rPr>
        <w:t>Rolls Royce asked that land adjacent to their current premises be safeguarded for future expansion.</w:t>
      </w:r>
    </w:p>
    <w:p w14:paraId="2C37386C" w14:textId="77777777" w:rsidR="00861A4D" w:rsidRPr="00075380" w:rsidRDefault="00861A4D" w:rsidP="001B59A6">
      <w:pPr>
        <w:pStyle w:val="ListParagraph"/>
        <w:spacing w:line="276" w:lineRule="auto"/>
        <w:ind w:left="792"/>
        <w:jc w:val="both"/>
        <w:rPr>
          <w:rFonts w:cs="Arial"/>
        </w:rPr>
      </w:pPr>
    </w:p>
    <w:p w14:paraId="6293B1AB" w14:textId="35B0EA1F" w:rsidR="00C44D5C" w:rsidRDefault="00C44D5C" w:rsidP="001B59A6">
      <w:pPr>
        <w:pStyle w:val="ListParagraph"/>
        <w:numPr>
          <w:ilvl w:val="1"/>
          <w:numId w:val="11"/>
        </w:numPr>
        <w:spacing w:after="240" w:line="276" w:lineRule="auto"/>
        <w:ind w:left="709" w:hanging="709"/>
        <w:jc w:val="both"/>
        <w:rPr>
          <w:rFonts w:cs="Arial"/>
        </w:rPr>
      </w:pPr>
      <w:r w:rsidRPr="00075380">
        <w:rPr>
          <w:rFonts w:cs="Arial"/>
        </w:rPr>
        <w:t>Comments on the development management policies</w:t>
      </w:r>
      <w:r w:rsidR="001102FF" w:rsidRPr="00075380">
        <w:rPr>
          <w:rFonts w:cs="Arial"/>
        </w:rPr>
        <w:t xml:space="preserve"> questioned the focus of the policies on B1-B8 uses, suggested mixed use development should be supported, queried how employment development would be provided in rural areas, raised concerns about the length of marketing required before alternative uses could be considered and suggested additional elements in relation to marine employment. Other comments related to sites and locations so were more relevant to the strategic policy. </w:t>
      </w:r>
    </w:p>
    <w:p w14:paraId="1B71987D" w14:textId="18B9D370" w:rsidR="00075380" w:rsidRPr="006E26E0" w:rsidRDefault="00075380" w:rsidP="00B96EF1">
      <w:pPr>
        <w:pStyle w:val="Heading2"/>
        <w:spacing w:after="240"/>
        <w:ind w:left="709"/>
        <w:jc w:val="both"/>
        <w:rPr>
          <w:rFonts w:ascii="Arial" w:hAnsi="Arial" w:cs="Arial"/>
          <w:b/>
          <w:bCs/>
          <w:color w:val="0073CF"/>
          <w:sz w:val="24"/>
          <w:szCs w:val="24"/>
        </w:rPr>
      </w:pPr>
      <w:r w:rsidRPr="006E26E0">
        <w:rPr>
          <w:rFonts w:ascii="Arial" w:hAnsi="Arial" w:cs="Arial"/>
          <w:b/>
          <w:bCs/>
          <w:color w:val="0073CF"/>
          <w:sz w:val="24"/>
          <w:szCs w:val="24"/>
        </w:rPr>
        <w:t>Further technical work</w:t>
      </w:r>
    </w:p>
    <w:p w14:paraId="53A0F290" w14:textId="5F5275EF" w:rsidR="00B5402F" w:rsidRPr="00075380" w:rsidRDefault="004C31B3" w:rsidP="001B59A6">
      <w:pPr>
        <w:pStyle w:val="ListParagraph"/>
        <w:numPr>
          <w:ilvl w:val="1"/>
          <w:numId w:val="11"/>
        </w:numPr>
        <w:spacing w:line="276" w:lineRule="auto"/>
        <w:ind w:left="709" w:hanging="709"/>
        <w:jc w:val="both"/>
        <w:rPr>
          <w:rFonts w:cs="Arial"/>
        </w:rPr>
      </w:pPr>
      <w:r w:rsidRPr="00075380">
        <w:rPr>
          <w:rFonts w:cs="Arial"/>
        </w:rPr>
        <w:t>In light of comments received a</w:t>
      </w:r>
      <w:r w:rsidR="00B5402F" w:rsidRPr="00075380">
        <w:rPr>
          <w:rFonts w:cs="Arial"/>
        </w:rPr>
        <w:t>n update to the HEDNA was commissioned</w:t>
      </w:r>
      <w:r w:rsidR="004C03B3" w:rsidRPr="00075380">
        <w:rPr>
          <w:rFonts w:cs="Arial"/>
        </w:rPr>
        <w:t xml:space="preserve">. As well updating population and economic projections, </w:t>
      </w:r>
      <w:r w:rsidR="00B5402F" w:rsidRPr="00075380">
        <w:rPr>
          <w:rFonts w:cs="Arial"/>
        </w:rPr>
        <w:t xml:space="preserve">the consultants were asked to advise more specifically on the </w:t>
      </w:r>
      <w:r w:rsidR="004C03B3" w:rsidRPr="00075380">
        <w:rPr>
          <w:rFonts w:cs="Arial"/>
        </w:rPr>
        <w:t>jobs/homes balance and any commuting implications, and on the need to allow for</w:t>
      </w:r>
      <w:r w:rsidR="00A249F5">
        <w:rPr>
          <w:rFonts w:cs="Arial"/>
        </w:rPr>
        <w:t xml:space="preserve"> both a contingency buffer and </w:t>
      </w:r>
      <w:r w:rsidR="00B5402F" w:rsidRPr="00075380">
        <w:rPr>
          <w:rFonts w:cs="Arial"/>
        </w:rPr>
        <w:t>replacement of losses.</w:t>
      </w:r>
      <w:r w:rsidR="004C03B3" w:rsidRPr="00075380">
        <w:rPr>
          <w:rFonts w:cs="Arial"/>
        </w:rPr>
        <w:t xml:space="preserve"> Consultants were also asked to update the evidence on horticulture, which is subject of a separate background paper.</w:t>
      </w:r>
      <w:r w:rsidR="004A13A8">
        <w:rPr>
          <w:rFonts w:cs="Arial"/>
        </w:rPr>
        <w:t xml:space="preserve"> </w:t>
      </w:r>
      <w:r w:rsidR="004C03B3" w:rsidRPr="00075380">
        <w:rPr>
          <w:rFonts w:cs="Arial"/>
        </w:rPr>
        <w:t>The update</w:t>
      </w:r>
      <w:r w:rsidR="00BA30D7" w:rsidRPr="00075380">
        <w:rPr>
          <w:rFonts w:cs="Arial"/>
        </w:rPr>
        <w:t>, published in October 2020</w:t>
      </w:r>
      <w:r w:rsidR="00585A13">
        <w:rPr>
          <w:rFonts w:cs="Arial"/>
        </w:rPr>
        <w:t xml:space="preserve"> </w:t>
      </w:r>
      <w:r w:rsidR="00273ACA">
        <w:rPr>
          <w:rFonts w:cs="Arial"/>
        </w:rPr>
        <w:t>(H07)</w:t>
      </w:r>
      <w:r w:rsidR="00BA30D7" w:rsidRPr="00075380">
        <w:rPr>
          <w:rFonts w:cs="Arial"/>
        </w:rPr>
        <w:t xml:space="preserve">, </w:t>
      </w:r>
      <w:r w:rsidR="00BA30D7" w:rsidRPr="00075380">
        <w:rPr>
          <w:rFonts w:cs="Arial"/>
        </w:rPr>
        <w:lastRenderedPageBreak/>
        <w:t>recommended</w:t>
      </w:r>
      <w:r w:rsidR="00B5402F" w:rsidRPr="00075380">
        <w:rPr>
          <w:rFonts w:cs="Arial"/>
        </w:rPr>
        <w:t xml:space="preserve"> that</w:t>
      </w:r>
      <w:r w:rsidR="00BA30D7" w:rsidRPr="00075380">
        <w:rPr>
          <w:rFonts w:cs="Arial"/>
        </w:rPr>
        <w:t xml:space="preserve"> the contingency buffer be reduced from 5 years to 2 years with a separate allowance for replacement of losses included in the assessment.</w:t>
      </w:r>
      <w:r w:rsidR="00B5402F" w:rsidRPr="00075380">
        <w:rPr>
          <w:rFonts w:cs="Arial"/>
        </w:rPr>
        <w:t xml:space="preserve"> This resulted in a reduced requirement for employment space. </w:t>
      </w:r>
      <w:r w:rsidR="00EB178A" w:rsidRPr="00075380">
        <w:rPr>
          <w:rFonts w:cs="Arial"/>
        </w:rPr>
        <w:t>A f</w:t>
      </w:r>
      <w:r w:rsidR="00B5402F" w:rsidRPr="00075380">
        <w:rPr>
          <w:rFonts w:cs="Arial"/>
        </w:rPr>
        <w:t>urther update</w:t>
      </w:r>
      <w:r w:rsidR="00075380">
        <w:rPr>
          <w:rFonts w:cs="Arial"/>
        </w:rPr>
        <w:t xml:space="preserve"> </w:t>
      </w:r>
      <w:r w:rsidR="00B5402F" w:rsidRPr="00075380">
        <w:rPr>
          <w:rFonts w:cs="Arial"/>
        </w:rPr>
        <w:t>w</w:t>
      </w:r>
      <w:r w:rsidR="00EB178A" w:rsidRPr="00075380">
        <w:rPr>
          <w:rFonts w:cs="Arial"/>
        </w:rPr>
        <w:t>as</w:t>
      </w:r>
      <w:r w:rsidR="00B5402F" w:rsidRPr="00075380">
        <w:rPr>
          <w:rFonts w:cs="Arial"/>
        </w:rPr>
        <w:t xml:space="preserve"> commissioned which reported in </w:t>
      </w:r>
      <w:r w:rsidR="00EB178A" w:rsidRPr="00075380">
        <w:rPr>
          <w:rFonts w:cs="Arial"/>
        </w:rPr>
        <w:t>April 2022</w:t>
      </w:r>
      <w:r w:rsidR="00273ACA">
        <w:rPr>
          <w:rFonts w:cs="Arial"/>
        </w:rPr>
        <w:t xml:space="preserve"> (H06)</w:t>
      </w:r>
      <w:r w:rsidR="00EB178A" w:rsidRPr="00075380">
        <w:rPr>
          <w:rFonts w:cs="Arial"/>
        </w:rPr>
        <w:t>, to include consideration of the impacts of Covid and BREXIT</w:t>
      </w:r>
      <w:r w:rsidR="00C13CA7" w:rsidRPr="00075380">
        <w:rPr>
          <w:rFonts w:cs="Arial"/>
        </w:rPr>
        <w:t>. The latest update is considered further below.</w:t>
      </w:r>
    </w:p>
    <w:p w14:paraId="1A84FC7D" w14:textId="492F73C8" w:rsidR="002839C9" w:rsidRPr="006E26E0" w:rsidRDefault="00CE6224" w:rsidP="00CA0531">
      <w:pPr>
        <w:pStyle w:val="Heading1"/>
        <w:numPr>
          <w:ilvl w:val="0"/>
          <w:numId w:val="11"/>
        </w:numPr>
        <w:ind w:left="709" w:hanging="709"/>
        <w:jc w:val="both"/>
        <w:rPr>
          <w:rFonts w:ascii="Arial" w:hAnsi="Arial" w:cs="Arial"/>
          <w:b/>
          <w:bCs/>
          <w:color w:val="0073CF"/>
          <w:sz w:val="28"/>
          <w:szCs w:val="28"/>
        </w:rPr>
      </w:pPr>
      <w:bookmarkStart w:id="6" w:name="_Toc167976202"/>
      <w:r w:rsidRPr="006E26E0">
        <w:rPr>
          <w:rStyle w:val="Heading1Char"/>
          <w:rFonts w:ascii="Arial" w:hAnsi="Arial" w:cs="Arial"/>
          <w:b/>
          <w:bCs/>
          <w:color w:val="0073CF"/>
          <w:sz w:val="28"/>
          <w:szCs w:val="28"/>
        </w:rPr>
        <w:t xml:space="preserve">Supporting evidence: </w:t>
      </w:r>
      <w:r w:rsidR="002839C9" w:rsidRPr="006E26E0">
        <w:rPr>
          <w:rStyle w:val="Heading1Char"/>
          <w:rFonts w:ascii="Arial" w:hAnsi="Arial" w:cs="Arial"/>
          <w:b/>
          <w:bCs/>
          <w:color w:val="0073CF"/>
          <w:sz w:val="28"/>
          <w:szCs w:val="28"/>
        </w:rPr>
        <w:t>How much employment space is needed</w:t>
      </w:r>
      <w:r w:rsidR="002839C9" w:rsidRPr="006E26E0">
        <w:rPr>
          <w:rFonts w:ascii="Arial" w:hAnsi="Arial" w:cs="Arial"/>
          <w:b/>
          <w:bCs/>
          <w:color w:val="0073CF"/>
          <w:sz w:val="28"/>
          <w:szCs w:val="28"/>
        </w:rPr>
        <w:t>?</w:t>
      </w:r>
      <w:bookmarkEnd w:id="6"/>
      <w:r w:rsidR="002839C9" w:rsidRPr="006E26E0">
        <w:rPr>
          <w:rFonts w:ascii="Arial" w:hAnsi="Arial" w:cs="Arial"/>
          <w:b/>
          <w:bCs/>
          <w:color w:val="0073CF"/>
          <w:sz w:val="28"/>
          <w:szCs w:val="28"/>
        </w:rPr>
        <w:t xml:space="preserve">  </w:t>
      </w:r>
    </w:p>
    <w:p w14:paraId="7AD71568" w14:textId="77777777" w:rsidR="00AB6A40" w:rsidRDefault="00AB6A40" w:rsidP="001B59A6">
      <w:pPr>
        <w:pStyle w:val="ListParagraph"/>
        <w:spacing w:line="276" w:lineRule="auto"/>
        <w:jc w:val="both"/>
        <w:rPr>
          <w:rFonts w:cs="Arial"/>
          <w:b/>
        </w:rPr>
      </w:pPr>
    </w:p>
    <w:p w14:paraId="285D3A5B" w14:textId="309130BC" w:rsidR="002B3FC9" w:rsidRPr="00075380" w:rsidRDefault="001755E6" w:rsidP="001B59A6">
      <w:pPr>
        <w:pStyle w:val="ListParagraph"/>
        <w:numPr>
          <w:ilvl w:val="1"/>
          <w:numId w:val="11"/>
        </w:numPr>
        <w:spacing w:line="276" w:lineRule="auto"/>
        <w:ind w:left="709" w:hanging="709"/>
        <w:jc w:val="both"/>
        <w:rPr>
          <w:rFonts w:cs="Arial"/>
        </w:rPr>
      </w:pPr>
      <w:r w:rsidRPr="00075380">
        <w:rPr>
          <w:rFonts w:cs="Arial"/>
        </w:rPr>
        <w:t>The latest update to the HEDNA was published in April 2022</w:t>
      </w:r>
      <w:r w:rsidR="00585A13">
        <w:rPr>
          <w:rFonts w:cs="Arial"/>
        </w:rPr>
        <w:t xml:space="preserve"> (H06)</w:t>
      </w:r>
      <w:r w:rsidRPr="00075380">
        <w:rPr>
          <w:rFonts w:cs="Arial"/>
        </w:rPr>
        <w:t>.</w:t>
      </w:r>
      <w:r w:rsidR="002B3FC9" w:rsidRPr="00075380">
        <w:rPr>
          <w:rFonts w:cs="Arial"/>
        </w:rPr>
        <w:t xml:space="preserve"> The HEDNA examines several different scenarios for future employment growth in the plan area based on:</w:t>
      </w:r>
    </w:p>
    <w:p w14:paraId="1B948D67" w14:textId="77777777" w:rsidR="002B3FC9" w:rsidRPr="00B61CE1" w:rsidRDefault="00AF4C33" w:rsidP="001B59A6">
      <w:pPr>
        <w:pStyle w:val="ListParagraph"/>
        <w:numPr>
          <w:ilvl w:val="0"/>
          <w:numId w:val="13"/>
        </w:numPr>
        <w:spacing w:line="276" w:lineRule="auto"/>
        <w:jc w:val="both"/>
        <w:rPr>
          <w:rFonts w:cs="Arial"/>
        </w:rPr>
      </w:pPr>
      <w:r w:rsidRPr="00B61CE1">
        <w:rPr>
          <w:rFonts w:cs="Arial"/>
        </w:rPr>
        <w:t>Labour Demand (</w:t>
      </w:r>
      <w:r w:rsidR="002B3FC9" w:rsidRPr="00B61CE1">
        <w:rPr>
          <w:rFonts w:cs="Arial"/>
        </w:rPr>
        <w:t>baseline)</w:t>
      </w:r>
      <w:r w:rsidR="008A3CF3" w:rsidRPr="00B61CE1">
        <w:rPr>
          <w:rFonts w:cs="Arial"/>
        </w:rPr>
        <w:t xml:space="preserve"> – based on a baseline forecast number of jobs </w:t>
      </w:r>
      <w:r w:rsidR="004104C3" w:rsidRPr="00B61CE1">
        <w:rPr>
          <w:rFonts w:cs="Arial"/>
        </w:rPr>
        <w:t>(forecasts produced by Oxford Economics)</w:t>
      </w:r>
    </w:p>
    <w:p w14:paraId="2D0161D1" w14:textId="734EB5F1" w:rsidR="002B3FC9" w:rsidRPr="00B61CE1" w:rsidRDefault="002B3FC9" w:rsidP="001B59A6">
      <w:pPr>
        <w:pStyle w:val="ListParagraph"/>
        <w:numPr>
          <w:ilvl w:val="0"/>
          <w:numId w:val="13"/>
        </w:numPr>
        <w:spacing w:line="276" w:lineRule="auto"/>
        <w:jc w:val="both"/>
        <w:rPr>
          <w:rFonts w:cs="Arial"/>
        </w:rPr>
      </w:pPr>
      <w:r w:rsidRPr="00B61CE1">
        <w:rPr>
          <w:rFonts w:cs="Arial"/>
        </w:rPr>
        <w:t>La</w:t>
      </w:r>
      <w:r w:rsidR="00AF4C33" w:rsidRPr="00B61CE1">
        <w:rPr>
          <w:rFonts w:cs="Arial"/>
        </w:rPr>
        <w:t>bour Demand (</w:t>
      </w:r>
      <w:r w:rsidRPr="00B61CE1">
        <w:rPr>
          <w:rFonts w:cs="Arial"/>
        </w:rPr>
        <w:t>growth)</w:t>
      </w:r>
      <w:r w:rsidR="008A3CF3" w:rsidRPr="00B61CE1">
        <w:rPr>
          <w:rFonts w:cs="Arial"/>
        </w:rPr>
        <w:t xml:space="preserve"> – based on an adjusted growth forecast number of jobs</w:t>
      </w:r>
      <w:r w:rsidR="00C26E71">
        <w:rPr>
          <w:rFonts w:cs="Arial"/>
        </w:rPr>
        <w:t xml:space="preserve"> which takes account of strengths in the local economy</w:t>
      </w:r>
    </w:p>
    <w:p w14:paraId="291247A6" w14:textId="77777777" w:rsidR="002B3FC9" w:rsidRPr="00B61CE1" w:rsidRDefault="002B3FC9" w:rsidP="001B59A6">
      <w:pPr>
        <w:pStyle w:val="ListParagraph"/>
        <w:numPr>
          <w:ilvl w:val="0"/>
          <w:numId w:val="13"/>
        </w:numPr>
        <w:spacing w:line="276" w:lineRule="auto"/>
        <w:jc w:val="both"/>
        <w:rPr>
          <w:rFonts w:cs="Arial"/>
        </w:rPr>
      </w:pPr>
      <w:r w:rsidRPr="00B61CE1">
        <w:rPr>
          <w:rFonts w:cs="Arial"/>
        </w:rPr>
        <w:t>Labour Supply</w:t>
      </w:r>
      <w:r w:rsidR="00AF4C33" w:rsidRPr="00B61CE1">
        <w:rPr>
          <w:rFonts w:cs="Arial"/>
        </w:rPr>
        <w:t xml:space="preserve"> – based on</w:t>
      </w:r>
      <w:r w:rsidR="004E02DC" w:rsidRPr="00B61CE1">
        <w:rPr>
          <w:rFonts w:cs="Arial"/>
        </w:rPr>
        <w:t xml:space="preserve"> the forecast</w:t>
      </w:r>
      <w:r w:rsidR="00AF4C33" w:rsidRPr="00B61CE1">
        <w:rPr>
          <w:rFonts w:cs="Arial"/>
        </w:rPr>
        <w:t xml:space="preserve"> increase in the number of residents of working age</w:t>
      </w:r>
    </w:p>
    <w:p w14:paraId="3D53720A" w14:textId="77777777" w:rsidR="002B3FC9" w:rsidRDefault="002B3FC9" w:rsidP="006E26E0">
      <w:pPr>
        <w:pStyle w:val="ListParagraph"/>
        <w:numPr>
          <w:ilvl w:val="0"/>
          <w:numId w:val="13"/>
        </w:numPr>
        <w:spacing w:after="240" w:line="276" w:lineRule="auto"/>
        <w:jc w:val="both"/>
        <w:rPr>
          <w:rFonts w:cs="Arial"/>
        </w:rPr>
      </w:pPr>
      <w:r w:rsidRPr="00B61CE1">
        <w:rPr>
          <w:rFonts w:cs="Arial"/>
        </w:rPr>
        <w:t>Past completions</w:t>
      </w:r>
      <w:r w:rsidR="00AF4C33" w:rsidRPr="00B61CE1">
        <w:rPr>
          <w:rFonts w:cs="Arial"/>
        </w:rPr>
        <w:t xml:space="preserve"> (upper and lower net floorspace completion trends including and excluding the large development at Rolls Royce</w:t>
      </w:r>
      <w:r w:rsidR="007F31BE" w:rsidRPr="00B61CE1">
        <w:rPr>
          <w:rFonts w:cs="Arial"/>
        </w:rPr>
        <w:t xml:space="preserve"> which is seen as atypical</w:t>
      </w:r>
      <w:r w:rsidR="00AF4C33" w:rsidRPr="00B61CE1">
        <w:rPr>
          <w:rFonts w:cs="Arial"/>
        </w:rPr>
        <w:t>)</w:t>
      </w:r>
      <w:r w:rsidR="0073539D" w:rsidRPr="00B61CE1">
        <w:rPr>
          <w:rFonts w:cs="Arial"/>
        </w:rPr>
        <w:t>.</w:t>
      </w:r>
      <w:r w:rsidR="00AF4C33" w:rsidRPr="00B61CE1">
        <w:rPr>
          <w:rFonts w:cs="Arial"/>
        </w:rPr>
        <w:t xml:space="preserve"> </w:t>
      </w:r>
    </w:p>
    <w:p w14:paraId="7CF0BDEC" w14:textId="77777777" w:rsidR="006E26E0" w:rsidRPr="00B61CE1" w:rsidRDefault="006E26E0" w:rsidP="006E26E0">
      <w:pPr>
        <w:pStyle w:val="ListParagraph"/>
        <w:spacing w:after="240" w:line="276" w:lineRule="auto"/>
        <w:ind w:left="1152"/>
        <w:jc w:val="both"/>
        <w:rPr>
          <w:rFonts w:cs="Arial"/>
        </w:rPr>
      </w:pPr>
    </w:p>
    <w:p w14:paraId="5C292871" w14:textId="621767E5" w:rsidR="00987540" w:rsidRDefault="00F03095" w:rsidP="001B59A6">
      <w:pPr>
        <w:pStyle w:val="ListParagraph"/>
        <w:numPr>
          <w:ilvl w:val="1"/>
          <w:numId w:val="11"/>
        </w:numPr>
        <w:spacing w:line="276" w:lineRule="auto"/>
        <w:ind w:left="709" w:hanging="709"/>
        <w:jc w:val="both"/>
        <w:rPr>
          <w:rFonts w:cs="Arial"/>
        </w:rPr>
      </w:pPr>
      <w:r w:rsidRPr="00075380">
        <w:rPr>
          <w:rFonts w:cs="Arial"/>
        </w:rPr>
        <w:t xml:space="preserve">The report recommends that the </w:t>
      </w:r>
      <w:r w:rsidR="00260B89" w:rsidRPr="00075380">
        <w:rPr>
          <w:rFonts w:cs="Arial"/>
        </w:rPr>
        <w:t>labour demand scenario is used for office space and the completions scenario for factory and warehousing</w:t>
      </w:r>
      <w:r w:rsidR="00D6219B" w:rsidRPr="00075380">
        <w:rPr>
          <w:rFonts w:cs="Arial"/>
        </w:rPr>
        <w:t xml:space="preserve">.  </w:t>
      </w:r>
    </w:p>
    <w:p w14:paraId="45361B2F" w14:textId="77777777" w:rsidR="002332BD" w:rsidRPr="00075380" w:rsidRDefault="002332BD" w:rsidP="001B59A6">
      <w:pPr>
        <w:pStyle w:val="ListParagraph"/>
        <w:spacing w:line="276" w:lineRule="auto"/>
        <w:ind w:left="792"/>
        <w:jc w:val="both"/>
        <w:rPr>
          <w:rFonts w:cs="Arial"/>
        </w:rPr>
      </w:pPr>
    </w:p>
    <w:p w14:paraId="4E5CED09" w14:textId="1DE51F15" w:rsidR="008948C6" w:rsidRDefault="00631B24" w:rsidP="001B59A6">
      <w:pPr>
        <w:pStyle w:val="ListParagraph"/>
        <w:numPr>
          <w:ilvl w:val="1"/>
          <w:numId w:val="11"/>
        </w:numPr>
        <w:spacing w:line="276" w:lineRule="auto"/>
        <w:ind w:left="709" w:hanging="709"/>
        <w:jc w:val="both"/>
        <w:rPr>
          <w:rFonts w:cs="Arial"/>
        </w:rPr>
      </w:pPr>
      <w:r>
        <w:rPr>
          <w:rFonts w:cs="Arial"/>
        </w:rPr>
        <w:t>Forecast job numbers are converted to floorspace and land area using employment densities and plot ratios as set out in Table 12.2 of the 2022 HEDNA</w:t>
      </w:r>
      <w:r w:rsidR="00273ACA">
        <w:rPr>
          <w:rFonts w:cs="Arial"/>
        </w:rPr>
        <w:t xml:space="preserve"> (H06)</w:t>
      </w:r>
      <w:r>
        <w:rPr>
          <w:rFonts w:cs="Arial"/>
        </w:rPr>
        <w:t xml:space="preserve">. This </w:t>
      </w:r>
      <w:r w:rsidRPr="00075380">
        <w:rPr>
          <w:rFonts w:cs="Arial"/>
        </w:rPr>
        <w:t xml:space="preserve">suggests employment land and floorspace requirements for the period 2021-2039 as set out below. </w:t>
      </w:r>
      <w:r w:rsidR="008948C6" w:rsidRPr="00075380">
        <w:rPr>
          <w:rFonts w:cs="Arial"/>
        </w:rPr>
        <w:t>These figures include an allowance for some replacement of losses</w:t>
      </w:r>
      <w:r w:rsidR="00627B7B">
        <w:rPr>
          <w:rFonts w:cs="Arial"/>
        </w:rPr>
        <w:t xml:space="preserve">, </w:t>
      </w:r>
      <w:r w:rsidR="00260B89" w:rsidRPr="00075380">
        <w:rPr>
          <w:rFonts w:cs="Arial"/>
        </w:rPr>
        <w:t>at 50</w:t>
      </w:r>
      <w:r w:rsidR="00F9795D" w:rsidRPr="00075380">
        <w:rPr>
          <w:rFonts w:cs="Arial"/>
        </w:rPr>
        <w:t>%</w:t>
      </w:r>
      <w:r w:rsidR="00260B89" w:rsidRPr="00075380">
        <w:rPr>
          <w:rFonts w:cs="Arial"/>
        </w:rPr>
        <w:t xml:space="preserve"> of historic rates</w:t>
      </w:r>
      <w:r w:rsidR="00627B7B">
        <w:rPr>
          <w:rFonts w:cs="Arial"/>
        </w:rPr>
        <w:t>,</w:t>
      </w:r>
      <w:r w:rsidR="00E00FB8">
        <w:rPr>
          <w:rFonts w:cs="Arial"/>
        </w:rPr>
        <w:t xml:space="preserve"> and a flexible margin</w:t>
      </w:r>
      <w:r w:rsidR="00993FC4">
        <w:rPr>
          <w:rFonts w:cs="Arial"/>
        </w:rPr>
        <w:t>/ contingency buffer</w:t>
      </w:r>
      <w:r w:rsidR="00E00FB8">
        <w:rPr>
          <w:rFonts w:cs="Arial"/>
        </w:rPr>
        <w:t xml:space="preserve"> equivalent to 2 years of completions – as set out in Chapter 12 of the HEDNA. Account is also taken</w:t>
      </w:r>
      <w:r w:rsidR="008948C6" w:rsidRPr="00075380">
        <w:rPr>
          <w:rFonts w:cs="Arial"/>
        </w:rPr>
        <w:t xml:space="preserve"> of potential ongoing impacts of both Brexit and Covid</w:t>
      </w:r>
      <w:r w:rsidR="00531725" w:rsidRPr="00075380">
        <w:rPr>
          <w:rFonts w:cs="Arial"/>
        </w:rPr>
        <w:t>.</w:t>
      </w:r>
      <w:r w:rsidR="0059485C">
        <w:rPr>
          <w:rFonts w:cs="Arial"/>
        </w:rPr>
        <w:t xml:space="preserve"> </w:t>
      </w:r>
      <w:r w:rsidR="00F9795D" w:rsidRPr="00075380">
        <w:rPr>
          <w:rFonts w:cs="Arial"/>
        </w:rPr>
        <w:t>A range is given for</w:t>
      </w:r>
      <w:r w:rsidR="00531725" w:rsidRPr="00075380">
        <w:rPr>
          <w:rFonts w:cs="Arial"/>
        </w:rPr>
        <w:t xml:space="preserve"> office floorspace </w:t>
      </w:r>
      <w:r w:rsidR="00F9795D" w:rsidRPr="00075380">
        <w:rPr>
          <w:rFonts w:cs="Arial"/>
        </w:rPr>
        <w:t>given uncertainty around the return to offices post Covid, with more people working at home for at least some of the time</w:t>
      </w:r>
      <w:r w:rsidR="00531725" w:rsidRPr="00075380">
        <w:rPr>
          <w:rFonts w:cs="Arial"/>
        </w:rPr>
        <w:t>.</w:t>
      </w:r>
      <w:r w:rsidR="00DF2262" w:rsidRPr="00075380">
        <w:rPr>
          <w:rFonts w:cs="Arial"/>
        </w:rPr>
        <w:t xml:space="preserve"> It is noted that some of the requirement is likely to overlap with horticultural needs which are covered in more detail in the Horticulture Background Paper.</w:t>
      </w:r>
    </w:p>
    <w:p w14:paraId="03CAF3F0" w14:textId="77777777" w:rsidR="00861A4D" w:rsidRPr="00075380" w:rsidRDefault="00861A4D" w:rsidP="008D66DE">
      <w:pPr>
        <w:pStyle w:val="ListParagraph"/>
        <w:ind w:left="792"/>
        <w:jc w:val="both"/>
        <w:rPr>
          <w:rFonts w:cs="Arial"/>
        </w:rPr>
      </w:pPr>
    </w:p>
    <w:tbl>
      <w:tblPr>
        <w:tblW w:w="8784" w:type="dxa"/>
        <w:jc w:val="center"/>
        <w:tblLayout w:type="fixed"/>
        <w:tblLook w:val="04A0" w:firstRow="1" w:lastRow="0" w:firstColumn="1" w:lastColumn="0" w:noHBand="0" w:noVBand="1"/>
      </w:tblPr>
      <w:tblGrid>
        <w:gridCol w:w="2263"/>
        <w:gridCol w:w="3119"/>
        <w:gridCol w:w="3402"/>
      </w:tblGrid>
      <w:tr w:rsidR="008948C6" w:rsidRPr="008948C6" w14:paraId="197F7BC8" w14:textId="77777777" w:rsidTr="008D66DE">
        <w:trPr>
          <w:trHeight w:val="467"/>
          <w:jc w:val="center"/>
        </w:trPr>
        <w:tc>
          <w:tcPr>
            <w:tcW w:w="2263"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5DFE4789" w14:textId="6CC3BBC8" w:rsidR="008948C6" w:rsidRPr="00075380" w:rsidRDefault="008948C6" w:rsidP="008D66DE">
            <w:pPr>
              <w:pStyle w:val="ListParagraph"/>
              <w:ind w:left="360"/>
              <w:jc w:val="both"/>
              <w:rPr>
                <w:rFonts w:cs="Arial"/>
                <w:b/>
                <w:bCs/>
                <w:color w:val="FFFFFF"/>
              </w:rPr>
            </w:pPr>
          </w:p>
        </w:tc>
        <w:tc>
          <w:tcPr>
            <w:tcW w:w="3119" w:type="dxa"/>
            <w:tcBorders>
              <w:top w:val="single" w:sz="4" w:space="0" w:color="auto"/>
              <w:left w:val="nil"/>
              <w:bottom w:val="single" w:sz="4" w:space="0" w:color="auto"/>
              <w:right w:val="single" w:sz="4" w:space="0" w:color="auto"/>
            </w:tcBorders>
            <w:shd w:val="clear" w:color="000000" w:fill="002060"/>
            <w:vAlign w:val="center"/>
            <w:hideMark/>
          </w:tcPr>
          <w:p w14:paraId="7F0B47BB" w14:textId="77777777" w:rsidR="008948C6" w:rsidRPr="00075380" w:rsidRDefault="008948C6" w:rsidP="008D66DE">
            <w:pPr>
              <w:pStyle w:val="ListParagraph"/>
              <w:ind w:left="360"/>
              <w:jc w:val="both"/>
              <w:rPr>
                <w:rFonts w:cs="Arial"/>
                <w:color w:val="FFFFFF"/>
              </w:rPr>
            </w:pPr>
            <w:r w:rsidRPr="00075380">
              <w:rPr>
                <w:rFonts w:cs="Arial"/>
                <w:color w:val="FFFFFF"/>
              </w:rPr>
              <w:t>Floorspace (Sq. m)</w:t>
            </w:r>
          </w:p>
        </w:tc>
        <w:tc>
          <w:tcPr>
            <w:tcW w:w="3402" w:type="dxa"/>
            <w:tcBorders>
              <w:top w:val="single" w:sz="4" w:space="0" w:color="auto"/>
              <w:left w:val="nil"/>
              <w:bottom w:val="single" w:sz="4" w:space="0" w:color="auto"/>
              <w:right w:val="single" w:sz="4" w:space="0" w:color="auto"/>
            </w:tcBorders>
            <w:shd w:val="clear" w:color="000000" w:fill="002060"/>
            <w:vAlign w:val="center"/>
            <w:hideMark/>
          </w:tcPr>
          <w:p w14:paraId="6ECBBF86" w14:textId="77777777" w:rsidR="008948C6" w:rsidRPr="00075380" w:rsidRDefault="008948C6" w:rsidP="008D66DE">
            <w:pPr>
              <w:pStyle w:val="ListParagraph"/>
              <w:ind w:left="360"/>
              <w:jc w:val="both"/>
              <w:rPr>
                <w:rFonts w:cs="Arial"/>
                <w:color w:val="FFFFFF"/>
              </w:rPr>
            </w:pPr>
            <w:r w:rsidRPr="00075380">
              <w:rPr>
                <w:rFonts w:cs="Arial"/>
                <w:color w:val="FFFFFF"/>
              </w:rPr>
              <w:t>Employment Land (Ha)</w:t>
            </w:r>
          </w:p>
        </w:tc>
      </w:tr>
      <w:tr w:rsidR="008948C6" w:rsidRPr="008948C6" w14:paraId="33D92B99" w14:textId="77777777" w:rsidTr="008D66DE">
        <w:trPr>
          <w:trHeight w:val="29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ABC6420" w14:textId="77777777" w:rsidR="008948C6" w:rsidRPr="00075380" w:rsidRDefault="008948C6" w:rsidP="008D66DE">
            <w:pPr>
              <w:pStyle w:val="ListParagraph"/>
              <w:ind w:left="360"/>
              <w:jc w:val="both"/>
              <w:rPr>
                <w:rFonts w:cs="Arial"/>
                <w:color w:val="000000"/>
              </w:rPr>
            </w:pPr>
            <w:bookmarkStart w:id="7" w:name="_Hlk116898674"/>
            <w:r w:rsidRPr="00075380">
              <w:rPr>
                <w:rFonts w:cs="Arial"/>
                <w:color w:val="000000"/>
              </w:rPr>
              <w:t>Office</w:t>
            </w:r>
          </w:p>
        </w:tc>
        <w:tc>
          <w:tcPr>
            <w:tcW w:w="3119" w:type="dxa"/>
            <w:tcBorders>
              <w:top w:val="nil"/>
              <w:left w:val="nil"/>
              <w:bottom w:val="single" w:sz="4" w:space="0" w:color="auto"/>
              <w:right w:val="single" w:sz="4" w:space="0" w:color="auto"/>
            </w:tcBorders>
            <w:shd w:val="clear" w:color="auto" w:fill="auto"/>
            <w:noWrap/>
            <w:vAlign w:val="center"/>
            <w:hideMark/>
          </w:tcPr>
          <w:p w14:paraId="3859E981" w14:textId="77777777" w:rsidR="008948C6" w:rsidRPr="00075380" w:rsidRDefault="008948C6" w:rsidP="008D66DE">
            <w:pPr>
              <w:pStyle w:val="ListParagraph"/>
              <w:ind w:left="360"/>
              <w:jc w:val="both"/>
              <w:rPr>
                <w:rFonts w:cs="Arial"/>
                <w:color w:val="000000"/>
              </w:rPr>
            </w:pPr>
            <w:r w:rsidRPr="00075380">
              <w:rPr>
                <w:rFonts w:cs="Arial"/>
                <w:color w:val="000000"/>
              </w:rPr>
              <w:t>36,488 – 42,863</w:t>
            </w:r>
          </w:p>
        </w:tc>
        <w:tc>
          <w:tcPr>
            <w:tcW w:w="3402" w:type="dxa"/>
            <w:tcBorders>
              <w:top w:val="nil"/>
              <w:left w:val="nil"/>
              <w:bottom w:val="single" w:sz="4" w:space="0" w:color="auto"/>
              <w:right w:val="single" w:sz="4" w:space="0" w:color="auto"/>
            </w:tcBorders>
            <w:shd w:val="clear" w:color="auto" w:fill="auto"/>
            <w:noWrap/>
            <w:vAlign w:val="center"/>
            <w:hideMark/>
          </w:tcPr>
          <w:p w14:paraId="6C5FD772" w14:textId="77777777" w:rsidR="008948C6" w:rsidRPr="00075380" w:rsidRDefault="008948C6" w:rsidP="008D66DE">
            <w:pPr>
              <w:pStyle w:val="ListParagraph"/>
              <w:ind w:left="360"/>
              <w:jc w:val="both"/>
              <w:rPr>
                <w:rFonts w:cs="Arial"/>
                <w:color w:val="000000"/>
              </w:rPr>
            </w:pPr>
            <w:r w:rsidRPr="00075380">
              <w:rPr>
                <w:rFonts w:cs="Arial"/>
                <w:color w:val="000000"/>
              </w:rPr>
              <w:t>4.9 - 5.7</w:t>
            </w:r>
          </w:p>
        </w:tc>
      </w:tr>
      <w:tr w:rsidR="008948C6" w:rsidRPr="008948C6" w14:paraId="4DDC33F7" w14:textId="77777777" w:rsidTr="008D66DE">
        <w:trPr>
          <w:trHeight w:val="29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D6A57BD" w14:textId="77777777" w:rsidR="008948C6" w:rsidRPr="00075380" w:rsidRDefault="008948C6" w:rsidP="008D66DE">
            <w:pPr>
              <w:pStyle w:val="ListParagraph"/>
              <w:ind w:left="360"/>
              <w:jc w:val="both"/>
              <w:rPr>
                <w:rFonts w:cs="Arial"/>
                <w:color w:val="000000"/>
              </w:rPr>
            </w:pPr>
            <w:r w:rsidRPr="00075380">
              <w:rPr>
                <w:rFonts w:cs="Arial"/>
                <w:color w:val="000000"/>
              </w:rPr>
              <w:t>Industry</w:t>
            </w:r>
          </w:p>
        </w:tc>
        <w:tc>
          <w:tcPr>
            <w:tcW w:w="3119" w:type="dxa"/>
            <w:tcBorders>
              <w:top w:val="nil"/>
              <w:left w:val="nil"/>
              <w:bottom w:val="single" w:sz="4" w:space="0" w:color="auto"/>
              <w:right w:val="single" w:sz="4" w:space="0" w:color="auto"/>
            </w:tcBorders>
            <w:shd w:val="clear" w:color="auto" w:fill="auto"/>
            <w:noWrap/>
            <w:vAlign w:val="center"/>
            <w:hideMark/>
          </w:tcPr>
          <w:p w14:paraId="63B4A841" w14:textId="77777777" w:rsidR="008948C6" w:rsidRPr="00075380" w:rsidRDefault="008948C6" w:rsidP="008D66DE">
            <w:pPr>
              <w:pStyle w:val="ListParagraph"/>
              <w:ind w:left="360"/>
              <w:jc w:val="both"/>
              <w:rPr>
                <w:rFonts w:cs="Arial"/>
                <w:color w:val="000000"/>
              </w:rPr>
            </w:pPr>
            <w:r w:rsidRPr="00075380">
              <w:rPr>
                <w:rFonts w:cs="Arial"/>
                <w:color w:val="000000"/>
              </w:rPr>
              <w:t>50,497</w:t>
            </w:r>
          </w:p>
        </w:tc>
        <w:tc>
          <w:tcPr>
            <w:tcW w:w="3402" w:type="dxa"/>
            <w:tcBorders>
              <w:top w:val="nil"/>
              <w:left w:val="nil"/>
              <w:bottom w:val="single" w:sz="4" w:space="0" w:color="auto"/>
              <w:right w:val="single" w:sz="4" w:space="0" w:color="auto"/>
            </w:tcBorders>
            <w:shd w:val="clear" w:color="auto" w:fill="auto"/>
            <w:noWrap/>
            <w:vAlign w:val="center"/>
            <w:hideMark/>
          </w:tcPr>
          <w:p w14:paraId="24A7A11A" w14:textId="77777777" w:rsidR="008948C6" w:rsidRPr="00075380" w:rsidRDefault="008948C6" w:rsidP="008D66DE">
            <w:pPr>
              <w:pStyle w:val="ListParagraph"/>
              <w:ind w:left="360"/>
              <w:jc w:val="both"/>
              <w:rPr>
                <w:rFonts w:cs="Arial"/>
                <w:color w:val="000000"/>
              </w:rPr>
            </w:pPr>
            <w:r w:rsidRPr="00075380">
              <w:rPr>
                <w:rFonts w:cs="Arial"/>
                <w:color w:val="000000"/>
              </w:rPr>
              <w:t>12.6</w:t>
            </w:r>
          </w:p>
        </w:tc>
      </w:tr>
      <w:tr w:rsidR="008948C6" w:rsidRPr="008948C6" w14:paraId="73458356" w14:textId="77777777" w:rsidTr="008D66DE">
        <w:trPr>
          <w:trHeight w:val="29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3C27C8D" w14:textId="77777777" w:rsidR="008948C6" w:rsidRPr="00075380" w:rsidRDefault="008948C6" w:rsidP="008D66DE">
            <w:pPr>
              <w:pStyle w:val="ListParagraph"/>
              <w:ind w:left="360"/>
              <w:jc w:val="both"/>
              <w:rPr>
                <w:rFonts w:cs="Arial"/>
                <w:color w:val="000000"/>
              </w:rPr>
            </w:pPr>
            <w:r w:rsidRPr="00075380">
              <w:rPr>
                <w:rFonts w:cs="Arial"/>
                <w:color w:val="000000"/>
              </w:rPr>
              <w:t xml:space="preserve">Warehouse </w:t>
            </w:r>
          </w:p>
        </w:tc>
        <w:tc>
          <w:tcPr>
            <w:tcW w:w="3119" w:type="dxa"/>
            <w:tcBorders>
              <w:top w:val="nil"/>
              <w:left w:val="nil"/>
              <w:bottom w:val="single" w:sz="4" w:space="0" w:color="auto"/>
              <w:right w:val="single" w:sz="4" w:space="0" w:color="auto"/>
            </w:tcBorders>
            <w:shd w:val="clear" w:color="auto" w:fill="auto"/>
            <w:noWrap/>
            <w:vAlign w:val="center"/>
            <w:hideMark/>
          </w:tcPr>
          <w:p w14:paraId="2730DD54" w14:textId="77777777" w:rsidR="008948C6" w:rsidRPr="00075380" w:rsidRDefault="008948C6" w:rsidP="008D66DE">
            <w:pPr>
              <w:pStyle w:val="ListParagraph"/>
              <w:ind w:left="360"/>
              <w:jc w:val="both"/>
              <w:rPr>
                <w:rFonts w:cs="Arial"/>
                <w:color w:val="000000"/>
              </w:rPr>
            </w:pPr>
            <w:r w:rsidRPr="00075380">
              <w:rPr>
                <w:rFonts w:cs="Arial"/>
                <w:color w:val="000000"/>
              </w:rPr>
              <w:t>21,288</w:t>
            </w:r>
          </w:p>
        </w:tc>
        <w:tc>
          <w:tcPr>
            <w:tcW w:w="3402" w:type="dxa"/>
            <w:tcBorders>
              <w:top w:val="nil"/>
              <w:left w:val="nil"/>
              <w:bottom w:val="single" w:sz="4" w:space="0" w:color="auto"/>
              <w:right w:val="single" w:sz="4" w:space="0" w:color="auto"/>
            </w:tcBorders>
            <w:shd w:val="clear" w:color="auto" w:fill="auto"/>
            <w:noWrap/>
            <w:vAlign w:val="center"/>
            <w:hideMark/>
          </w:tcPr>
          <w:p w14:paraId="18A7AA86" w14:textId="77777777" w:rsidR="008948C6" w:rsidRPr="00075380" w:rsidRDefault="008948C6" w:rsidP="008D66DE">
            <w:pPr>
              <w:pStyle w:val="ListParagraph"/>
              <w:ind w:left="360"/>
              <w:jc w:val="both"/>
              <w:rPr>
                <w:rFonts w:cs="Arial"/>
                <w:color w:val="000000"/>
              </w:rPr>
            </w:pPr>
            <w:r w:rsidRPr="00075380">
              <w:rPr>
                <w:rFonts w:cs="Arial"/>
                <w:color w:val="000000"/>
              </w:rPr>
              <w:t>4.3</w:t>
            </w:r>
          </w:p>
        </w:tc>
      </w:tr>
      <w:bookmarkEnd w:id="7"/>
      <w:tr w:rsidR="008948C6" w:rsidRPr="008948C6" w14:paraId="62CA0CAA" w14:textId="77777777" w:rsidTr="008D66DE">
        <w:trPr>
          <w:trHeight w:val="29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CCC5DF9" w14:textId="77777777" w:rsidR="008948C6" w:rsidRPr="00075380" w:rsidRDefault="008948C6" w:rsidP="008D66DE">
            <w:pPr>
              <w:pStyle w:val="ListParagraph"/>
              <w:ind w:left="360"/>
              <w:jc w:val="both"/>
              <w:rPr>
                <w:rFonts w:cs="Arial"/>
                <w:color w:val="000000"/>
              </w:rPr>
            </w:pPr>
            <w:r w:rsidRPr="00075380">
              <w:rPr>
                <w:rFonts w:cs="Arial"/>
                <w:color w:val="000000"/>
              </w:rPr>
              <w:t>Total</w:t>
            </w:r>
          </w:p>
        </w:tc>
        <w:tc>
          <w:tcPr>
            <w:tcW w:w="3119" w:type="dxa"/>
            <w:tcBorders>
              <w:top w:val="nil"/>
              <w:left w:val="nil"/>
              <w:bottom w:val="single" w:sz="4" w:space="0" w:color="auto"/>
              <w:right w:val="single" w:sz="4" w:space="0" w:color="auto"/>
            </w:tcBorders>
            <w:shd w:val="clear" w:color="auto" w:fill="auto"/>
            <w:noWrap/>
            <w:vAlign w:val="center"/>
            <w:hideMark/>
          </w:tcPr>
          <w:p w14:paraId="573DEA4E" w14:textId="12F6F78E" w:rsidR="008948C6" w:rsidRPr="00075380" w:rsidRDefault="000D6644" w:rsidP="008D66DE">
            <w:pPr>
              <w:pStyle w:val="ListParagraph"/>
              <w:ind w:left="360"/>
              <w:jc w:val="both"/>
              <w:rPr>
                <w:rFonts w:cs="Arial"/>
                <w:color w:val="000000"/>
              </w:rPr>
            </w:pPr>
            <w:r w:rsidRPr="00075380">
              <w:rPr>
                <w:rFonts w:cs="Arial"/>
                <w:color w:val="000000"/>
              </w:rPr>
              <w:t>108,273 – 114,648</w:t>
            </w:r>
          </w:p>
        </w:tc>
        <w:tc>
          <w:tcPr>
            <w:tcW w:w="3402" w:type="dxa"/>
            <w:tcBorders>
              <w:top w:val="nil"/>
              <w:left w:val="nil"/>
              <w:bottom w:val="single" w:sz="4" w:space="0" w:color="auto"/>
              <w:right w:val="single" w:sz="4" w:space="0" w:color="auto"/>
            </w:tcBorders>
            <w:shd w:val="clear" w:color="auto" w:fill="auto"/>
            <w:noWrap/>
            <w:vAlign w:val="center"/>
            <w:hideMark/>
          </w:tcPr>
          <w:p w14:paraId="7D528BCC" w14:textId="77777777" w:rsidR="008948C6" w:rsidRPr="00075380" w:rsidRDefault="008948C6" w:rsidP="008D66DE">
            <w:pPr>
              <w:pStyle w:val="ListParagraph"/>
              <w:ind w:left="360"/>
              <w:jc w:val="both"/>
              <w:rPr>
                <w:rFonts w:cs="Arial"/>
                <w:color w:val="000000"/>
              </w:rPr>
            </w:pPr>
            <w:r w:rsidRPr="00075380">
              <w:rPr>
                <w:rFonts w:cs="Arial"/>
                <w:color w:val="000000"/>
              </w:rPr>
              <w:t>22.0 – 23.0</w:t>
            </w:r>
          </w:p>
        </w:tc>
      </w:tr>
    </w:tbl>
    <w:p w14:paraId="7C54C3D3" w14:textId="14729C74" w:rsidR="008948C6" w:rsidRPr="00075380" w:rsidRDefault="008948C6" w:rsidP="001B59A6">
      <w:pPr>
        <w:pStyle w:val="ListParagraph"/>
        <w:shd w:val="clear" w:color="auto" w:fill="FFFFFF"/>
        <w:ind w:left="709"/>
        <w:jc w:val="both"/>
        <w:outlineLvl w:val="4"/>
        <w:rPr>
          <w:rFonts w:cs="Arial"/>
        </w:rPr>
      </w:pPr>
      <w:r w:rsidRPr="00075380">
        <w:rPr>
          <w:rFonts w:cs="Arial"/>
        </w:rPr>
        <w:t>Source – Table EX3 of the 2022 HEDNA</w:t>
      </w:r>
      <w:r w:rsidR="000D6644" w:rsidRPr="00075380">
        <w:rPr>
          <w:rFonts w:cs="Arial"/>
        </w:rPr>
        <w:t xml:space="preserve">, with corrections to the total figure. </w:t>
      </w:r>
    </w:p>
    <w:p w14:paraId="0E67DFB9" w14:textId="5C7BF613" w:rsidR="000849C5" w:rsidRPr="006E26E0" w:rsidRDefault="00CE6224" w:rsidP="00CA0531">
      <w:pPr>
        <w:pStyle w:val="Heading1"/>
        <w:numPr>
          <w:ilvl w:val="0"/>
          <w:numId w:val="11"/>
        </w:numPr>
        <w:ind w:left="709" w:hanging="709"/>
        <w:jc w:val="both"/>
        <w:rPr>
          <w:rFonts w:ascii="Arial" w:hAnsi="Arial" w:cs="Arial"/>
          <w:b/>
          <w:bCs/>
          <w:color w:val="0073CF"/>
          <w:sz w:val="28"/>
          <w:szCs w:val="28"/>
        </w:rPr>
      </w:pPr>
      <w:bookmarkStart w:id="8" w:name="_Toc167976203"/>
      <w:r w:rsidRPr="006E26E0">
        <w:rPr>
          <w:rFonts w:ascii="Arial" w:hAnsi="Arial" w:cs="Arial"/>
          <w:b/>
          <w:bCs/>
          <w:color w:val="0073CF"/>
          <w:sz w:val="28"/>
          <w:szCs w:val="28"/>
        </w:rPr>
        <w:lastRenderedPageBreak/>
        <w:t xml:space="preserve">Policy Approach: </w:t>
      </w:r>
      <w:r w:rsidR="003D7AF4" w:rsidRPr="006E26E0">
        <w:rPr>
          <w:rFonts w:ascii="Arial" w:hAnsi="Arial" w:cs="Arial"/>
          <w:b/>
          <w:bCs/>
          <w:color w:val="0073CF"/>
          <w:sz w:val="28"/>
          <w:szCs w:val="28"/>
        </w:rPr>
        <w:t>W</w:t>
      </w:r>
      <w:r w:rsidR="002839C9" w:rsidRPr="006E26E0">
        <w:rPr>
          <w:rFonts w:ascii="Arial" w:hAnsi="Arial" w:cs="Arial"/>
          <w:b/>
          <w:bCs/>
          <w:color w:val="0073CF"/>
          <w:sz w:val="28"/>
          <w:szCs w:val="28"/>
        </w:rPr>
        <w:t>here will the employment space be provided?</w:t>
      </w:r>
      <w:bookmarkEnd w:id="8"/>
      <w:r w:rsidR="00D6219B" w:rsidRPr="006E26E0">
        <w:rPr>
          <w:rFonts w:ascii="Arial" w:hAnsi="Arial" w:cs="Arial"/>
          <w:b/>
          <w:bCs/>
          <w:color w:val="0073CF"/>
          <w:sz w:val="28"/>
          <w:szCs w:val="28"/>
        </w:rPr>
        <w:t xml:space="preserve"> </w:t>
      </w:r>
    </w:p>
    <w:p w14:paraId="21792EC8" w14:textId="4CA9FEF4" w:rsidR="00B40E6A" w:rsidRDefault="008044A1" w:rsidP="001B59A6">
      <w:pPr>
        <w:pStyle w:val="ListParagraph"/>
        <w:numPr>
          <w:ilvl w:val="1"/>
          <w:numId w:val="11"/>
        </w:numPr>
        <w:spacing w:before="240" w:line="276" w:lineRule="auto"/>
        <w:ind w:left="709" w:hanging="709"/>
        <w:jc w:val="both"/>
        <w:rPr>
          <w:rFonts w:cs="Arial"/>
        </w:rPr>
      </w:pPr>
      <w:r>
        <w:rPr>
          <w:rFonts w:cs="Arial"/>
        </w:rPr>
        <w:t xml:space="preserve">Just over </w:t>
      </w:r>
      <w:r w:rsidR="00A66E17">
        <w:rPr>
          <w:rFonts w:cs="Arial"/>
        </w:rPr>
        <w:t xml:space="preserve">3,695 </w:t>
      </w:r>
      <w:r w:rsidR="00AB7CEA" w:rsidRPr="00075380">
        <w:rPr>
          <w:rFonts w:cs="Arial"/>
        </w:rPr>
        <w:t xml:space="preserve">sqm of employment floorspace was delivered </w:t>
      </w:r>
      <w:r>
        <w:rPr>
          <w:rFonts w:cs="Arial"/>
        </w:rPr>
        <w:t>between April 2021 and March 202</w:t>
      </w:r>
      <w:r w:rsidR="00A66E17">
        <w:rPr>
          <w:rFonts w:cs="Arial"/>
        </w:rPr>
        <w:t>2 – rising to 7,106 sqm</w:t>
      </w:r>
      <w:r w:rsidR="00A66E17" w:rsidRPr="00075380">
        <w:rPr>
          <w:rFonts w:cs="Arial"/>
        </w:rPr>
        <w:t xml:space="preserve"> </w:t>
      </w:r>
      <w:r w:rsidR="00A66E17">
        <w:rPr>
          <w:rFonts w:cs="Arial"/>
        </w:rPr>
        <w:t>by March 2023. A</w:t>
      </w:r>
      <w:r w:rsidR="00AF123E" w:rsidRPr="00075380">
        <w:rPr>
          <w:rFonts w:cs="Arial"/>
        </w:rPr>
        <w:t xml:space="preserve">nother </w:t>
      </w:r>
      <w:r w:rsidR="007B24A7" w:rsidRPr="00075380">
        <w:rPr>
          <w:rFonts w:cs="Arial"/>
        </w:rPr>
        <w:t>5</w:t>
      </w:r>
      <w:r>
        <w:rPr>
          <w:rFonts w:cs="Arial"/>
        </w:rPr>
        <w:t>3</w:t>
      </w:r>
      <w:r w:rsidR="00AF123E" w:rsidRPr="00075380">
        <w:rPr>
          <w:rFonts w:cs="Arial"/>
        </w:rPr>
        <w:t>,</w:t>
      </w:r>
      <w:r w:rsidR="00A66E17">
        <w:rPr>
          <w:rFonts w:cs="Arial"/>
        </w:rPr>
        <w:t xml:space="preserve">190 had </w:t>
      </w:r>
      <w:r w:rsidR="00AF123E" w:rsidRPr="00075380">
        <w:rPr>
          <w:rFonts w:cs="Arial"/>
        </w:rPr>
        <w:t>planning permission</w:t>
      </w:r>
      <w:r w:rsidR="00A66E17">
        <w:rPr>
          <w:rFonts w:cs="Arial"/>
        </w:rPr>
        <w:t xml:space="preserve"> in March 2022 (53,190 in March 2023)</w:t>
      </w:r>
      <w:r w:rsidR="00AF123E" w:rsidRPr="00075380">
        <w:rPr>
          <w:rFonts w:cs="Arial"/>
        </w:rPr>
        <w:t xml:space="preserve">. In addition, there remains some employment space still to be delivered on sites allocated in the Chichester Local Plan Key Policies 2014-29 </w:t>
      </w:r>
      <w:r w:rsidR="003E6F0E" w:rsidRPr="00075380">
        <w:rPr>
          <w:rFonts w:cs="Arial"/>
        </w:rPr>
        <w:t xml:space="preserve">and subsequent Site Allocations DPD (adopted in 2019) </w:t>
      </w:r>
      <w:r w:rsidR="00AF123E" w:rsidRPr="00075380">
        <w:rPr>
          <w:rFonts w:cs="Arial"/>
        </w:rPr>
        <w:t xml:space="preserve">which are being brought forward as allocations in the new Local Plan 2021-39. The table </w:t>
      </w:r>
      <w:r w:rsidR="00A66E17">
        <w:rPr>
          <w:rFonts w:cs="Arial"/>
        </w:rPr>
        <w:t>in Policy E1</w:t>
      </w:r>
      <w:r w:rsidR="00AF123E" w:rsidRPr="00075380">
        <w:rPr>
          <w:rFonts w:cs="Arial"/>
        </w:rPr>
        <w:t xml:space="preserve"> shows the remaining</w:t>
      </w:r>
      <w:r w:rsidR="00F535CF" w:rsidRPr="00075380">
        <w:rPr>
          <w:rFonts w:cs="Arial"/>
        </w:rPr>
        <w:t xml:space="preserve"> space </w:t>
      </w:r>
      <w:r w:rsidR="00BB0995">
        <w:rPr>
          <w:rFonts w:cs="Arial"/>
        </w:rPr>
        <w:t>that does not yet have</w:t>
      </w:r>
      <w:r w:rsidR="00F535CF" w:rsidRPr="00075380">
        <w:rPr>
          <w:rFonts w:cs="Arial"/>
        </w:rPr>
        <w:t xml:space="preserve"> </w:t>
      </w:r>
      <w:r w:rsidR="00FA5705">
        <w:rPr>
          <w:rFonts w:cs="Arial"/>
        </w:rPr>
        <w:t xml:space="preserve">detailed </w:t>
      </w:r>
      <w:r w:rsidR="00F535CF" w:rsidRPr="00075380">
        <w:rPr>
          <w:rFonts w:cs="Arial"/>
        </w:rPr>
        <w:t>planning permission</w:t>
      </w:r>
      <w:r w:rsidR="00AF123E" w:rsidRPr="00075380">
        <w:rPr>
          <w:rFonts w:cs="Arial"/>
        </w:rPr>
        <w:t xml:space="preserve"> on each</w:t>
      </w:r>
      <w:r w:rsidR="00F535CF" w:rsidRPr="00075380">
        <w:rPr>
          <w:rFonts w:cs="Arial"/>
        </w:rPr>
        <w:t xml:space="preserve"> of these</w:t>
      </w:r>
      <w:r w:rsidR="00AF123E" w:rsidRPr="00075380">
        <w:rPr>
          <w:rFonts w:cs="Arial"/>
        </w:rPr>
        <w:t>. Land at Kingsham Road is allocated for 7,200sqm of office floorspace in the Site Allocation DPD</w:t>
      </w:r>
      <w:r w:rsidR="00B40E6A" w:rsidRPr="00075380">
        <w:rPr>
          <w:rFonts w:cs="Arial"/>
        </w:rPr>
        <w:t xml:space="preserve"> 2014-29 </w:t>
      </w:r>
      <w:r w:rsidR="00AF123E" w:rsidRPr="00075380">
        <w:rPr>
          <w:rFonts w:cs="Arial"/>
        </w:rPr>
        <w:t>adopted in 2019.</w:t>
      </w:r>
      <w:r w:rsidR="00E832F5">
        <w:rPr>
          <w:rFonts w:cs="Arial"/>
        </w:rPr>
        <w:t xml:space="preserve"> Where floorspace figures are not available they have been estimated from site area using plot ratio</w:t>
      </w:r>
      <w:r w:rsidR="00842249">
        <w:rPr>
          <w:rFonts w:cs="Arial"/>
        </w:rPr>
        <w:t>s consistent with</w:t>
      </w:r>
      <w:r w:rsidR="0048281D">
        <w:rPr>
          <w:rFonts w:cs="Arial"/>
        </w:rPr>
        <w:t xml:space="preserve"> </w:t>
      </w:r>
      <w:r w:rsidR="00842249">
        <w:rPr>
          <w:rFonts w:cs="Arial"/>
        </w:rPr>
        <w:t>Table 12.2 of the</w:t>
      </w:r>
      <w:r w:rsidR="0048281D">
        <w:rPr>
          <w:rFonts w:cs="Arial"/>
        </w:rPr>
        <w:t xml:space="preserve"> HEDNA</w:t>
      </w:r>
      <w:r w:rsidR="00E832F5">
        <w:rPr>
          <w:rFonts w:cs="Arial"/>
        </w:rPr>
        <w:t>.</w:t>
      </w:r>
      <w:r w:rsidR="00B40E6A" w:rsidRPr="00075380">
        <w:rPr>
          <w:rFonts w:cs="Arial"/>
        </w:rPr>
        <w:t xml:space="preserve"> </w:t>
      </w:r>
    </w:p>
    <w:p w14:paraId="50DB836C" w14:textId="77777777" w:rsidR="00861A4D" w:rsidRPr="00075380" w:rsidRDefault="00861A4D" w:rsidP="001B59A6">
      <w:pPr>
        <w:pStyle w:val="ListParagraph"/>
        <w:spacing w:line="276" w:lineRule="auto"/>
        <w:ind w:left="792"/>
        <w:jc w:val="both"/>
        <w:rPr>
          <w:rFonts w:cs="Arial"/>
        </w:rPr>
      </w:pPr>
    </w:p>
    <w:p w14:paraId="258FE0F6" w14:textId="06391D20" w:rsidR="00B40E6A" w:rsidRDefault="00B40E6A" w:rsidP="001B59A6">
      <w:pPr>
        <w:pStyle w:val="ListParagraph"/>
        <w:numPr>
          <w:ilvl w:val="1"/>
          <w:numId w:val="11"/>
        </w:numPr>
        <w:spacing w:line="276" w:lineRule="auto"/>
        <w:ind w:left="709" w:hanging="709"/>
        <w:jc w:val="both"/>
        <w:rPr>
          <w:rFonts w:cs="Arial"/>
        </w:rPr>
      </w:pPr>
      <w:r w:rsidRPr="00075380">
        <w:rPr>
          <w:rFonts w:cs="Arial"/>
        </w:rPr>
        <w:t>Chichester Business Park</w:t>
      </w:r>
      <w:r w:rsidR="00D677DF">
        <w:rPr>
          <w:rFonts w:cs="Arial"/>
        </w:rPr>
        <w:t xml:space="preserve"> (A19)</w:t>
      </w:r>
      <w:r w:rsidRPr="00075380">
        <w:rPr>
          <w:rFonts w:cs="Arial"/>
        </w:rPr>
        <w:t xml:space="preserve"> is largely covered by an existing permission (covering 2.47ha of the 2.7ha allocation).</w:t>
      </w:r>
      <w:r w:rsidR="00EB178A" w:rsidRPr="00075380">
        <w:rPr>
          <w:rFonts w:cs="Arial"/>
        </w:rPr>
        <w:t xml:space="preserve"> There is one plot remaining – plot </w:t>
      </w:r>
      <w:r w:rsidR="00291CF0" w:rsidRPr="00075380">
        <w:rPr>
          <w:rFonts w:cs="Arial"/>
        </w:rPr>
        <w:t>11</w:t>
      </w:r>
      <w:r w:rsidR="00EB178A" w:rsidRPr="00075380">
        <w:rPr>
          <w:rFonts w:cs="Arial"/>
        </w:rPr>
        <w:t xml:space="preserve"> from the original masterplan for the site.</w:t>
      </w:r>
    </w:p>
    <w:p w14:paraId="0DB222B0" w14:textId="77777777" w:rsidR="00861A4D" w:rsidRPr="00075380" w:rsidRDefault="00861A4D" w:rsidP="001B59A6">
      <w:pPr>
        <w:pStyle w:val="ListParagraph"/>
        <w:spacing w:line="276" w:lineRule="auto"/>
        <w:ind w:left="792"/>
        <w:jc w:val="both"/>
        <w:rPr>
          <w:rFonts w:cs="Arial"/>
        </w:rPr>
      </w:pPr>
    </w:p>
    <w:p w14:paraId="570F0BE3" w14:textId="474692C7" w:rsidR="00861A4D" w:rsidRDefault="00B40E6A" w:rsidP="001B59A6">
      <w:pPr>
        <w:pStyle w:val="ListParagraph"/>
        <w:numPr>
          <w:ilvl w:val="1"/>
          <w:numId w:val="11"/>
        </w:numPr>
        <w:spacing w:line="276" w:lineRule="auto"/>
        <w:ind w:left="709" w:hanging="709"/>
        <w:jc w:val="both"/>
        <w:rPr>
          <w:rFonts w:cs="Arial"/>
        </w:rPr>
      </w:pPr>
      <w:r w:rsidRPr="00075380">
        <w:rPr>
          <w:rFonts w:cs="Arial"/>
        </w:rPr>
        <w:t xml:space="preserve">At the Shopwyke </w:t>
      </w:r>
      <w:r w:rsidR="002662B5">
        <w:rPr>
          <w:rFonts w:cs="Arial"/>
        </w:rPr>
        <w:t>s</w:t>
      </w:r>
      <w:r w:rsidR="00D677DF">
        <w:rPr>
          <w:rFonts w:cs="Arial"/>
        </w:rPr>
        <w:t xml:space="preserve">trategic </w:t>
      </w:r>
      <w:r w:rsidR="002662B5">
        <w:rPr>
          <w:rFonts w:cs="Arial"/>
        </w:rPr>
        <w:t>d</w:t>
      </w:r>
      <w:r w:rsidR="00D677DF">
        <w:rPr>
          <w:rFonts w:cs="Arial"/>
        </w:rPr>
        <w:t xml:space="preserve">evelopment </w:t>
      </w:r>
      <w:r w:rsidR="002662B5">
        <w:rPr>
          <w:rFonts w:cs="Arial"/>
        </w:rPr>
        <w:t>l</w:t>
      </w:r>
      <w:r w:rsidR="00D677DF">
        <w:rPr>
          <w:rFonts w:cs="Arial"/>
        </w:rPr>
        <w:t>ocation (SDL)</w:t>
      </w:r>
      <w:r w:rsidRPr="00075380">
        <w:rPr>
          <w:rFonts w:cs="Arial"/>
        </w:rPr>
        <w:t>,</w:t>
      </w:r>
      <w:r w:rsidR="00D677DF">
        <w:rPr>
          <w:rFonts w:cs="Arial"/>
        </w:rPr>
        <w:t xml:space="preserve"> brought forward as Policy A7,</w:t>
      </w:r>
      <w:r w:rsidRPr="00075380">
        <w:rPr>
          <w:rFonts w:cs="Arial"/>
        </w:rPr>
        <w:t xml:space="preserve"> the former employment allocation at Portfield Quarry, within the SDL, is now built out as Glenmore Business Park. There is an outline permission covering the rest of the SDL which includes 4,000 sqm of employment floorspace</w:t>
      </w:r>
      <w:r w:rsidR="00070781" w:rsidRPr="00075380">
        <w:rPr>
          <w:rFonts w:cs="Arial"/>
        </w:rPr>
        <w:t xml:space="preserve"> </w:t>
      </w:r>
      <w:r w:rsidRPr="00075380">
        <w:rPr>
          <w:rFonts w:cs="Arial"/>
        </w:rPr>
        <w:t>(</w:t>
      </w:r>
      <w:r w:rsidRPr="00AA2155">
        <w:rPr>
          <w:rFonts w:cs="Arial"/>
        </w:rPr>
        <w:t>11/05283/OUT condition 4 – 4,000</w:t>
      </w:r>
      <w:r w:rsidR="005E0DE0" w:rsidRPr="00AA2155">
        <w:rPr>
          <w:rFonts w:cs="Arial"/>
        </w:rPr>
        <w:t xml:space="preserve"> </w:t>
      </w:r>
      <w:r w:rsidRPr="00AA2155">
        <w:rPr>
          <w:rFonts w:cs="Arial"/>
        </w:rPr>
        <w:t>square metres of B1 and B8)</w:t>
      </w:r>
      <w:r w:rsidR="00D22A12">
        <w:rPr>
          <w:rFonts w:cs="Arial"/>
        </w:rPr>
        <w:t>.</w:t>
      </w:r>
      <w:r w:rsidRPr="00075380">
        <w:rPr>
          <w:rFonts w:cs="Arial"/>
        </w:rPr>
        <w:t xml:space="preserve"> This is included as an extant permission so is not listed separately</w:t>
      </w:r>
      <w:r w:rsidR="00861A4D">
        <w:rPr>
          <w:rFonts w:cs="Arial"/>
        </w:rPr>
        <w:t>.</w:t>
      </w:r>
    </w:p>
    <w:p w14:paraId="001CCDD7" w14:textId="134EF4B9" w:rsidR="00553FBB" w:rsidRPr="00075380" w:rsidRDefault="00B40E6A" w:rsidP="001B59A6">
      <w:pPr>
        <w:pStyle w:val="ListParagraph"/>
        <w:spacing w:line="276" w:lineRule="auto"/>
        <w:ind w:left="792"/>
        <w:jc w:val="both"/>
        <w:rPr>
          <w:rFonts w:cs="Arial"/>
        </w:rPr>
      </w:pPr>
      <w:r w:rsidRPr="00075380">
        <w:rPr>
          <w:rFonts w:cs="Arial"/>
        </w:rPr>
        <w:t xml:space="preserve"> </w:t>
      </w:r>
    </w:p>
    <w:p w14:paraId="059C2D83" w14:textId="7979B7B4" w:rsidR="003E6F0E" w:rsidRDefault="003E6F0E" w:rsidP="001B59A6">
      <w:pPr>
        <w:pStyle w:val="ListParagraph"/>
        <w:numPr>
          <w:ilvl w:val="1"/>
          <w:numId w:val="11"/>
        </w:numPr>
        <w:spacing w:line="276" w:lineRule="auto"/>
        <w:ind w:left="709" w:hanging="709"/>
        <w:jc w:val="both"/>
        <w:rPr>
          <w:rFonts w:cs="Arial"/>
        </w:rPr>
      </w:pPr>
      <w:r w:rsidRPr="00075380">
        <w:rPr>
          <w:rFonts w:cs="Arial"/>
        </w:rPr>
        <w:t xml:space="preserve">The </w:t>
      </w:r>
      <w:r w:rsidR="00F535CF" w:rsidRPr="00075380">
        <w:rPr>
          <w:rFonts w:cs="Arial"/>
        </w:rPr>
        <w:t xml:space="preserve">remaining </w:t>
      </w:r>
      <w:r w:rsidRPr="00075380">
        <w:rPr>
          <w:rFonts w:cs="Arial"/>
        </w:rPr>
        <w:t xml:space="preserve">employment land at Ellis Square, </w:t>
      </w:r>
      <w:r w:rsidR="001E17ED" w:rsidRPr="00075380">
        <w:rPr>
          <w:rFonts w:cs="Arial"/>
        </w:rPr>
        <w:t xml:space="preserve">Selsey, </w:t>
      </w:r>
      <w:r w:rsidRPr="00075380">
        <w:rPr>
          <w:rFonts w:cs="Arial"/>
        </w:rPr>
        <w:t>which was brought forward</w:t>
      </w:r>
      <w:r w:rsidR="00F535CF" w:rsidRPr="00075380">
        <w:rPr>
          <w:rFonts w:cs="Arial"/>
        </w:rPr>
        <w:t xml:space="preserve"> into the Chichester Local Plan Key Policies 2014-29</w:t>
      </w:r>
      <w:r w:rsidRPr="00075380">
        <w:rPr>
          <w:rFonts w:cs="Arial"/>
        </w:rPr>
        <w:t xml:space="preserve"> from an earlier</w:t>
      </w:r>
      <w:r w:rsidR="00F535CF" w:rsidRPr="00075380">
        <w:rPr>
          <w:rFonts w:cs="Arial"/>
        </w:rPr>
        <w:t xml:space="preserve"> 1999</w:t>
      </w:r>
      <w:r w:rsidRPr="00075380">
        <w:rPr>
          <w:rFonts w:cs="Arial"/>
        </w:rPr>
        <w:t xml:space="preserve"> Local Plan, is not being brought forward again as there has been little interest in developing the</w:t>
      </w:r>
      <w:r w:rsidR="001E17ED" w:rsidRPr="00075380">
        <w:rPr>
          <w:rFonts w:cs="Arial"/>
        </w:rPr>
        <w:t xml:space="preserve"> remaining part of the allocated</w:t>
      </w:r>
      <w:r w:rsidRPr="00075380">
        <w:rPr>
          <w:rFonts w:cs="Arial"/>
        </w:rPr>
        <w:t xml:space="preserve"> site for employment</w:t>
      </w:r>
      <w:r w:rsidR="0099477B" w:rsidRPr="00075380">
        <w:rPr>
          <w:rFonts w:cs="Arial"/>
        </w:rPr>
        <w:t>. The southern edge of the remaining land is now</w:t>
      </w:r>
      <w:r w:rsidRPr="00075380">
        <w:rPr>
          <w:rFonts w:cs="Arial"/>
        </w:rPr>
        <w:t xml:space="preserve"> </w:t>
      </w:r>
      <w:r w:rsidR="00F535CF" w:rsidRPr="00075380">
        <w:rPr>
          <w:rFonts w:cs="Arial"/>
        </w:rPr>
        <w:t xml:space="preserve">affected by </w:t>
      </w:r>
      <w:r w:rsidRPr="00075380">
        <w:rPr>
          <w:rFonts w:cs="Arial"/>
        </w:rPr>
        <w:t>a</w:t>
      </w:r>
      <w:r w:rsidR="001E17ED" w:rsidRPr="00075380">
        <w:rPr>
          <w:rFonts w:cs="Arial"/>
        </w:rPr>
        <w:t xml:space="preserve"> climate change </w:t>
      </w:r>
      <w:r w:rsidRPr="00075380">
        <w:rPr>
          <w:rFonts w:cs="Arial"/>
        </w:rPr>
        <w:t xml:space="preserve">tidal flood layer. </w:t>
      </w:r>
    </w:p>
    <w:p w14:paraId="3E974909" w14:textId="77777777" w:rsidR="005E0DE0" w:rsidRPr="005E0DE0" w:rsidRDefault="005E0DE0" w:rsidP="001B59A6">
      <w:pPr>
        <w:pStyle w:val="ListParagraph"/>
        <w:spacing w:line="276" w:lineRule="auto"/>
        <w:jc w:val="both"/>
        <w:rPr>
          <w:rFonts w:cs="Arial"/>
        </w:rPr>
      </w:pPr>
    </w:p>
    <w:p w14:paraId="1BF06047" w14:textId="656699D1" w:rsidR="00861A4D" w:rsidRDefault="003E6F0E" w:rsidP="001B59A6">
      <w:pPr>
        <w:pStyle w:val="ListParagraph"/>
        <w:numPr>
          <w:ilvl w:val="1"/>
          <w:numId w:val="11"/>
        </w:numPr>
        <w:spacing w:line="276" w:lineRule="auto"/>
        <w:ind w:left="709" w:hanging="709"/>
        <w:jc w:val="both"/>
        <w:rPr>
          <w:rFonts w:cs="Arial"/>
        </w:rPr>
      </w:pPr>
      <w:r w:rsidRPr="00075380">
        <w:rPr>
          <w:rFonts w:cs="Arial"/>
        </w:rPr>
        <w:t xml:space="preserve">Some land at Barnfield </w:t>
      </w:r>
      <w:r w:rsidR="00D677DF">
        <w:rPr>
          <w:rFonts w:cs="Arial"/>
        </w:rPr>
        <w:t xml:space="preserve">Drive </w:t>
      </w:r>
      <w:r w:rsidRPr="00075380">
        <w:rPr>
          <w:rFonts w:cs="Arial"/>
        </w:rPr>
        <w:t>within Chichester City was identified for</w:t>
      </w:r>
      <w:r w:rsidR="00D677DF">
        <w:rPr>
          <w:rFonts w:cs="Arial"/>
        </w:rPr>
        <w:t xml:space="preserve"> retail and</w:t>
      </w:r>
      <w:r w:rsidRPr="00075380">
        <w:rPr>
          <w:rFonts w:cs="Arial"/>
        </w:rPr>
        <w:t xml:space="preserve"> employment uses in the 2014-29 plan</w:t>
      </w:r>
      <w:r w:rsidR="00D677DF">
        <w:rPr>
          <w:rFonts w:cs="Arial"/>
        </w:rPr>
        <w:t>, as part of a wider Chichester City North Area policy, subject to flood risk and landfill gas assessments</w:t>
      </w:r>
      <w:r w:rsidRPr="00075380">
        <w:rPr>
          <w:rFonts w:cs="Arial"/>
        </w:rPr>
        <w:t>. Th</w:t>
      </w:r>
      <w:r w:rsidR="001E17ED" w:rsidRPr="00075380">
        <w:rPr>
          <w:rFonts w:cs="Arial"/>
        </w:rPr>
        <w:t xml:space="preserve">e remaining land </w:t>
      </w:r>
      <w:r w:rsidRPr="00075380">
        <w:rPr>
          <w:rFonts w:cs="Arial"/>
        </w:rPr>
        <w:t xml:space="preserve">is affected by flooding and contamination and </w:t>
      </w:r>
      <w:r w:rsidR="001E17ED" w:rsidRPr="00075380">
        <w:rPr>
          <w:rFonts w:cs="Arial"/>
        </w:rPr>
        <w:t xml:space="preserve">is not being brought forward as a strategic allocation, although Chichester City </w:t>
      </w:r>
      <w:r w:rsidR="00861A4D">
        <w:rPr>
          <w:rFonts w:cs="Arial"/>
        </w:rPr>
        <w:t xml:space="preserve">Council </w:t>
      </w:r>
      <w:r w:rsidR="001E17ED" w:rsidRPr="00075380">
        <w:rPr>
          <w:rFonts w:cs="Arial"/>
        </w:rPr>
        <w:t xml:space="preserve">may </w:t>
      </w:r>
      <w:r w:rsidR="005B67CF">
        <w:rPr>
          <w:rFonts w:cs="Arial"/>
        </w:rPr>
        <w:t xml:space="preserve">want to </w:t>
      </w:r>
      <w:r w:rsidR="001E17ED" w:rsidRPr="00075380">
        <w:rPr>
          <w:rFonts w:cs="Arial"/>
        </w:rPr>
        <w:t xml:space="preserve">consider the </w:t>
      </w:r>
      <w:r w:rsidR="00F535CF" w:rsidRPr="00075380">
        <w:rPr>
          <w:rFonts w:cs="Arial"/>
        </w:rPr>
        <w:t xml:space="preserve">appropriate future use of this </w:t>
      </w:r>
      <w:r w:rsidR="001E17ED" w:rsidRPr="00075380">
        <w:rPr>
          <w:rFonts w:cs="Arial"/>
        </w:rPr>
        <w:t>site in their neighbourhood plan.</w:t>
      </w:r>
    </w:p>
    <w:p w14:paraId="78750C18" w14:textId="7747E385" w:rsidR="003E6F0E" w:rsidRPr="00075380" w:rsidRDefault="001E17ED" w:rsidP="001B59A6">
      <w:pPr>
        <w:pStyle w:val="ListParagraph"/>
        <w:spacing w:line="276" w:lineRule="auto"/>
        <w:ind w:left="792"/>
        <w:jc w:val="both"/>
        <w:rPr>
          <w:rFonts w:cs="Arial"/>
        </w:rPr>
      </w:pPr>
      <w:r w:rsidRPr="00075380">
        <w:rPr>
          <w:rFonts w:cs="Arial"/>
        </w:rPr>
        <w:t xml:space="preserve"> </w:t>
      </w:r>
    </w:p>
    <w:p w14:paraId="46EADBE2" w14:textId="4D89654F" w:rsidR="00861A4D" w:rsidRDefault="00AF123E" w:rsidP="001B59A6">
      <w:pPr>
        <w:pStyle w:val="ListParagraph"/>
        <w:numPr>
          <w:ilvl w:val="1"/>
          <w:numId w:val="11"/>
        </w:numPr>
        <w:spacing w:line="276" w:lineRule="auto"/>
        <w:ind w:left="709" w:hanging="709"/>
        <w:jc w:val="both"/>
        <w:rPr>
          <w:rFonts w:cs="Arial"/>
        </w:rPr>
      </w:pPr>
      <w:r w:rsidRPr="00075380">
        <w:rPr>
          <w:rFonts w:cs="Arial"/>
        </w:rPr>
        <w:t xml:space="preserve">Together, these commitments and </w:t>
      </w:r>
      <w:r w:rsidR="001E17ED" w:rsidRPr="00075380">
        <w:rPr>
          <w:rFonts w:cs="Arial"/>
        </w:rPr>
        <w:t xml:space="preserve">brought forward </w:t>
      </w:r>
      <w:r w:rsidRPr="00075380">
        <w:rPr>
          <w:rFonts w:cs="Arial"/>
        </w:rPr>
        <w:t xml:space="preserve">allocations do not provide sufficient floorspace to meet the estimated need set out in the HEDNA. A new allocation </w:t>
      </w:r>
      <w:r w:rsidR="005E0DE0">
        <w:rPr>
          <w:rFonts w:cs="Arial"/>
        </w:rPr>
        <w:t>is</w:t>
      </w:r>
      <w:r w:rsidRPr="00075380">
        <w:rPr>
          <w:rFonts w:cs="Arial"/>
        </w:rPr>
        <w:t xml:space="preserve"> therefore proposed</w:t>
      </w:r>
      <w:r w:rsidR="00861A4D">
        <w:rPr>
          <w:rFonts w:cs="Arial"/>
        </w:rPr>
        <w:t xml:space="preserve"> on land South of Bognor Road</w:t>
      </w:r>
      <w:r w:rsidRPr="00075380">
        <w:rPr>
          <w:rFonts w:cs="Arial"/>
        </w:rPr>
        <w:t>.</w:t>
      </w:r>
      <w:r w:rsidR="00861A4D">
        <w:rPr>
          <w:rFonts w:cs="Arial"/>
        </w:rPr>
        <w:t xml:space="preserve"> This is an alternative to the allocation on land South West of Chichester proposed at the Preferred Approach stage - such a large site</w:t>
      </w:r>
      <w:r w:rsidR="005B67CF">
        <w:rPr>
          <w:rFonts w:cs="Arial"/>
        </w:rPr>
        <w:t xml:space="preserve"> as that proposed South West of Chichester </w:t>
      </w:r>
      <w:r w:rsidR="00861A4D">
        <w:rPr>
          <w:rFonts w:cs="Arial"/>
        </w:rPr>
        <w:t>is no longer required, th</w:t>
      </w:r>
      <w:r w:rsidR="000430C6">
        <w:rPr>
          <w:rFonts w:cs="Arial"/>
        </w:rPr>
        <w:t>at</w:t>
      </w:r>
      <w:r w:rsidR="00861A4D">
        <w:rPr>
          <w:rFonts w:cs="Arial"/>
        </w:rPr>
        <w:t xml:space="preserve"> site received numerous objections, and further work showed the </w:t>
      </w:r>
      <w:r w:rsidR="00861A4D">
        <w:rPr>
          <w:rFonts w:cs="Arial"/>
        </w:rPr>
        <w:lastRenderedPageBreak/>
        <w:t>site was not deliverable due to the cost of the link road.</w:t>
      </w:r>
      <w:r w:rsidR="00BF3AB5">
        <w:rPr>
          <w:rFonts w:cs="Arial"/>
        </w:rPr>
        <w:t xml:space="preserve"> That site was therefore removed from the plan.</w:t>
      </w:r>
      <w:r w:rsidR="00861A4D">
        <w:rPr>
          <w:rFonts w:cs="Arial"/>
        </w:rPr>
        <w:t xml:space="preserve"> </w:t>
      </w:r>
    </w:p>
    <w:p w14:paraId="179BB001" w14:textId="77777777" w:rsidR="0094029A" w:rsidRPr="0094029A" w:rsidRDefault="0094029A" w:rsidP="001B59A6">
      <w:pPr>
        <w:pStyle w:val="ListParagraph"/>
        <w:spacing w:line="276" w:lineRule="auto"/>
        <w:jc w:val="both"/>
        <w:rPr>
          <w:rFonts w:cs="Arial"/>
        </w:rPr>
      </w:pPr>
    </w:p>
    <w:p w14:paraId="75B69E32" w14:textId="77777777" w:rsidR="0094029A" w:rsidRPr="006E26E0" w:rsidRDefault="0094029A" w:rsidP="00B96EF1">
      <w:pPr>
        <w:pStyle w:val="Heading2"/>
        <w:ind w:left="709"/>
        <w:jc w:val="both"/>
        <w:rPr>
          <w:rFonts w:ascii="Arial" w:hAnsi="Arial" w:cs="Arial"/>
          <w:b/>
          <w:bCs/>
          <w:color w:val="0073CF"/>
          <w:sz w:val="24"/>
          <w:szCs w:val="24"/>
        </w:rPr>
      </w:pPr>
      <w:r w:rsidRPr="006E26E0">
        <w:rPr>
          <w:rFonts w:ascii="Arial" w:hAnsi="Arial" w:cs="Arial"/>
          <w:b/>
          <w:bCs/>
          <w:color w:val="0073CF"/>
          <w:sz w:val="24"/>
          <w:szCs w:val="24"/>
        </w:rPr>
        <w:t>Land South of Bognor Road</w:t>
      </w:r>
    </w:p>
    <w:p w14:paraId="79DFC904" w14:textId="77777777" w:rsidR="0094029A" w:rsidRPr="00F4622F" w:rsidRDefault="0094029A" w:rsidP="001B59A6">
      <w:pPr>
        <w:spacing w:after="0"/>
        <w:ind w:left="720" w:hanging="720"/>
        <w:jc w:val="both"/>
        <w:rPr>
          <w:rFonts w:ascii="Arial" w:eastAsia="Times New Roman" w:hAnsi="Arial" w:cs="Arial"/>
          <w:sz w:val="24"/>
          <w:szCs w:val="24"/>
        </w:rPr>
      </w:pPr>
    </w:p>
    <w:p w14:paraId="4F9A6138" w14:textId="159657B9" w:rsidR="0094029A" w:rsidRDefault="0094029A" w:rsidP="001B59A6">
      <w:pPr>
        <w:pStyle w:val="ListParagraph"/>
        <w:numPr>
          <w:ilvl w:val="1"/>
          <w:numId w:val="11"/>
        </w:numPr>
        <w:spacing w:line="276" w:lineRule="auto"/>
        <w:ind w:left="709" w:hanging="709"/>
        <w:jc w:val="both"/>
        <w:rPr>
          <w:rFonts w:cs="Arial"/>
        </w:rPr>
      </w:pPr>
      <w:r w:rsidRPr="00075380">
        <w:rPr>
          <w:rFonts w:cs="Arial"/>
        </w:rPr>
        <w:t>The Local Plan strategy focusses growth on Chichester City as the main sub regional centre. A site of 19.5ha has been identified</w:t>
      </w:r>
      <w:r>
        <w:rPr>
          <w:rFonts w:cs="Arial"/>
        </w:rPr>
        <w:t xml:space="preserve"> south of Bognor Road (Policy A20) which </w:t>
      </w:r>
      <w:r w:rsidRPr="00075380">
        <w:rPr>
          <w:rFonts w:cs="Arial"/>
        </w:rPr>
        <w:t>is located close to Chichester City, the A27 and A259 and close to the Runcton Horticultural Development Area</w:t>
      </w:r>
      <w:r>
        <w:rPr>
          <w:rFonts w:cs="Arial"/>
        </w:rPr>
        <w:t>, and on existing bus routes which could be enhanced with additional bus stops and pedestrian crossing points, and close to a planned bus lane on the A259</w:t>
      </w:r>
      <w:r w:rsidR="00120AFB">
        <w:rPr>
          <w:rFonts w:cs="Arial"/>
        </w:rPr>
        <w:t>. I</w:t>
      </w:r>
      <w:r w:rsidR="00541706">
        <w:rPr>
          <w:rFonts w:cs="Arial"/>
        </w:rPr>
        <w:t>t</w:t>
      </w:r>
      <w:r w:rsidR="00120AFB">
        <w:rPr>
          <w:rFonts w:cs="Arial"/>
        </w:rPr>
        <w:t xml:space="preserve"> is estimated that around 40% of the site would be available for employment uses with the </w:t>
      </w:r>
      <w:r w:rsidR="00120AFB" w:rsidRPr="00075380">
        <w:rPr>
          <w:rFonts w:cs="Arial"/>
        </w:rPr>
        <w:t>rest used for open space and landscaping to retain key views, biodiversity net gain, protection of habitats</w:t>
      </w:r>
      <w:r w:rsidR="00120AFB">
        <w:rPr>
          <w:rFonts w:cs="Arial"/>
        </w:rPr>
        <w:t>, cycle routes and accommodation and storage for travelling showpeople</w:t>
      </w:r>
      <w:r w:rsidR="00120AFB" w:rsidRPr="00075380">
        <w:rPr>
          <w:rFonts w:cs="Arial"/>
        </w:rPr>
        <w:t xml:space="preserve">. Development of the site </w:t>
      </w:r>
      <w:r w:rsidR="00120AFB">
        <w:rPr>
          <w:rFonts w:cs="Arial"/>
        </w:rPr>
        <w:t>c</w:t>
      </w:r>
      <w:r w:rsidR="00120AFB" w:rsidRPr="00075380">
        <w:rPr>
          <w:rFonts w:cs="Arial"/>
        </w:rPr>
        <w:t>ould also deliver the diversion of Vinnetrow Road removing one arm from the A27/A259 roundabout</w:t>
      </w:r>
      <w:r w:rsidR="00120AFB">
        <w:rPr>
          <w:rFonts w:cs="Arial"/>
        </w:rPr>
        <w:t>, if considered necessary as part of the monitor and manage package to be determined by the Transport Infrastructure Management Group</w:t>
      </w:r>
      <w:r w:rsidR="00120AFB" w:rsidRPr="00075380">
        <w:rPr>
          <w:rFonts w:cs="Arial"/>
        </w:rPr>
        <w:t xml:space="preserve">. </w:t>
      </w:r>
      <w:r w:rsidR="00120AFB">
        <w:rPr>
          <w:rFonts w:cs="Arial"/>
        </w:rPr>
        <w:t>The existing cycle route along the A259 presents an opportunity to maximise cycle links into the site. Su</w:t>
      </w:r>
      <w:r w:rsidRPr="00075380">
        <w:rPr>
          <w:rFonts w:cs="Arial"/>
        </w:rPr>
        <w:t>bject to detailed masterplanning the site could potentially accommodate more</w:t>
      </w:r>
      <w:r>
        <w:rPr>
          <w:rFonts w:cs="Arial"/>
        </w:rPr>
        <w:t xml:space="preserve"> employment</w:t>
      </w:r>
      <w:r w:rsidRPr="00075380">
        <w:rPr>
          <w:rFonts w:cs="Arial"/>
        </w:rPr>
        <w:t xml:space="preserve"> and so the floorspace is described in the allocation policy as a minimum. </w:t>
      </w:r>
    </w:p>
    <w:p w14:paraId="4FFB0667" w14:textId="77777777" w:rsidR="0094029A" w:rsidRPr="00F4622F" w:rsidRDefault="0094029A" w:rsidP="001B59A6">
      <w:pPr>
        <w:spacing w:after="0"/>
        <w:ind w:left="720" w:hanging="720"/>
        <w:jc w:val="both"/>
        <w:rPr>
          <w:rFonts w:ascii="Arial" w:eastAsia="Times New Roman" w:hAnsi="Arial" w:cs="Arial"/>
          <w:sz w:val="24"/>
          <w:szCs w:val="24"/>
        </w:rPr>
      </w:pPr>
    </w:p>
    <w:p w14:paraId="6C317B13" w14:textId="0C90E1CF" w:rsidR="0094029A" w:rsidRPr="00075380" w:rsidRDefault="0094029A" w:rsidP="001B59A6">
      <w:pPr>
        <w:pStyle w:val="ListParagraph"/>
        <w:numPr>
          <w:ilvl w:val="1"/>
          <w:numId w:val="11"/>
        </w:numPr>
        <w:spacing w:line="276" w:lineRule="auto"/>
        <w:ind w:left="709" w:hanging="709"/>
        <w:jc w:val="both"/>
        <w:rPr>
          <w:rFonts w:cs="Arial"/>
        </w:rPr>
      </w:pPr>
      <w:r w:rsidRPr="00075380">
        <w:rPr>
          <w:rFonts w:cs="Arial"/>
        </w:rPr>
        <w:t xml:space="preserve">The 2020 HEDNA </w:t>
      </w:r>
      <w:r w:rsidR="00273ACA">
        <w:rPr>
          <w:rFonts w:cs="Arial"/>
        </w:rPr>
        <w:t xml:space="preserve">(H07) </w:t>
      </w:r>
      <w:r w:rsidRPr="00075380">
        <w:rPr>
          <w:rFonts w:cs="Arial"/>
        </w:rPr>
        <w:t>noted that about 6.8 ha of the warehousing requirement in the plan area is likely to overlap with horticultural storage, distribution or packhouse requirements. The overall warehousing requirement has fallen in the 2022 update but it is considered that there is still likely to be a need for food production and distribution facilities in and close to the Horticultural Development Areas.</w:t>
      </w:r>
      <w:r w:rsidR="0059485C">
        <w:rPr>
          <w:rFonts w:cs="Arial"/>
        </w:rPr>
        <w:t xml:space="preserve"> </w:t>
      </w:r>
      <w:r w:rsidRPr="00075380">
        <w:rPr>
          <w:rFonts w:cs="Arial"/>
        </w:rPr>
        <w:t xml:space="preserve">The location of this site makes it potentially suitable for the types of uses that overlap between the horticultural and general employment needs.  </w:t>
      </w:r>
    </w:p>
    <w:p w14:paraId="2347E151" w14:textId="77777777" w:rsidR="0094029A" w:rsidRDefault="0094029A" w:rsidP="001B59A6">
      <w:pPr>
        <w:pStyle w:val="ListParagraph"/>
        <w:spacing w:line="276" w:lineRule="auto"/>
        <w:ind w:left="792"/>
        <w:jc w:val="both"/>
        <w:rPr>
          <w:rFonts w:cs="Arial"/>
        </w:rPr>
      </w:pPr>
    </w:p>
    <w:p w14:paraId="55AC591A" w14:textId="793477B5" w:rsidR="00504F0D" w:rsidRDefault="00504F0D" w:rsidP="001B59A6">
      <w:pPr>
        <w:pStyle w:val="ListParagraph"/>
        <w:numPr>
          <w:ilvl w:val="1"/>
          <w:numId w:val="11"/>
        </w:numPr>
        <w:spacing w:line="276" w:lineRule="auto"/>
        <w:ind w:left="709" w:hanging="709"/>
        <w:jc w:val="both"/>
        <w:rPr>
          <w:rFonts w:cs="Arial"/>
        </w:rPr>
      </w:pPr>
      <w:r w:rsidRPr="00075380">
        <w:rPr>
          <w:rFonts w:cs="Arial"/>
        </w:rPr>
        <w:t>Some employment space is also expected to come forward in other areas to meet more local needs.</w:t>
      </w:r>
      <w:r w:rsidR="0059485C">
        <w:rPr>
          <w:rFonts w:cs="Arial"/>
        </w:rPr>
        <w:t xml:space="preserve"> </w:t>
      </w:r>
      <w:r w:rsidRPr="00075380">
        <w:rPr>
          <w:rFonts w:cs="Arial"/>
        </w:rPr>
        <w:t>The strategic allocation for development at Land East of Chichester</w:t>
      </w:r>
      <w:r w:rsidR="00472E4D">
        <w:rPr>
          <w:rFonts w:cs="Arial"/>
        </w:rPr>
        <w:t xml:space="preserve"> (A8)</w:t>
      </w:r>
      <w:r w:rsidRPr="00075380">
        <w:rPr>
          <w:rFonts w:cs="Arial"/>
        </w:rPr>
        <w:t xml:space="preserve"> </w:t>
      </w:r>
      <w:r w:rsidR="00472E4D">
        <w:rPr>
          <w:rFonts w:cs="Arial"/>
        </w:rPr>
        <w:t>requir</w:t>
      </w:r>
      <w:r w:rsidRPr="00075380">
        <w:rPr>
          <w:rFonts w:cs="Arial"/>
        </w:rPr>
        <w:t>e</w:t>
      </w:r>
      <w:r w:rsidR="00472E4D">
        <w:rPr>
          <w:rFonts w:cs="Arial"/>
        </w:rPr>
        <w:t>s</w:t>
      </w:r>
      <w:r w:rsidRPr="00075380">
        <w:rPr>
          <w:rFonts w:cs="Arial"/>
        </w:rPr>
        <w:t xml:space="preserve"> flexible space for employment/ leisure use, and the broad location for development at Southbourne</w:t>
      </w:r>
      <w:r w:rsidR="00D159AE">
        <w:rPr>
          <w:rFonts w:cs="Arial"/>
        </w:rPr>
        <w:t xml:space="preserve"> (A13)</w:t>
      </w:r>
      <w:r w:rsidRPr="00075380">
        <w:rPr>
          <w:rFonts w:cs="Arial"/>
        </w:rPr>
        <w:t xml:space="preserve"> will also include </w:t>
      </w:r>
      <w:r w:rsidR="00D159AE">
        <w:rPr>
          <w:rFonts w:cs="Arial"/>
        </w:rPr>
        <w:t xml:space="preserve">local </w:t>
      </w:r>
      <w:r w:rsidRPr="00075380">
        <w:rPr>
          <w:rFonts w:cs="Arial"/>
        </w:rPr>
        <w:t>employment uses.</w:t>
      </w:r>
      <w:r w:rsidR="00A24338" w:rsidRPr="00075380">
        <w:rPr>
          <w:rFonts w:cs="Arial"/>
        </w:rPr>
        <w:t xml:space="preserve"> Employment space may also come forward through other neighbourhood plans</w:t>
      </w:r>
      <w:r w:rsidR="00CB3727">
        <w:rPr>
          <w:rFonts w:cs="Arial"/>
        </w:rPr>
        <w:t>.</w:t>
      </w:r>
      <w:r w:rsidRPr="00075380">
        <w:rPr>
          <w:rFonts w:cs="Arial"/>
        </w:rPr>
        <w:t xml:space="preserve"> </w:t>
      </w:r>
    </w:p>
    <w:p w14:paraId="1357F6AD" w14:textId="77777777" w:rsidR="00F477F6" w:rsidRPr="00F477F6" w:rsidRDefault="00F477F6" w:rsidP="001B59A6">
      <w:pPr>
        <w:pStyle w:val="ListParagraph"/>
        <w:spacing w:line="276" w:lineRule="auto"/>
        <w:jc w:val="both"/>
        <w:rPr>
          <w:rFonts w:cs="Arial"/>
        </w:rPr>
      </w:pPr>
    </w:p>
    <w:p w14:paraId="5AFF687A" w14:textId="190CE18D" w:rsidR="00F477F6" w:rsidRPr="00075380" w:rsidRDefault="00F477F6" w:rsidP="001B59A6">
      <w:pPr>
        <w:pStyle w:val="ListParagraph"/>
        <w:numPr>
          <w:ilvl w:val="1"/>
          <w:numId w:val="11"/>
        </w:numPr>
        <w:spacing w:line="276" w:lineRule="auto"/>
        <w:ind w:left="709" w:hanging="709"/>
        <w:jc w:val="both"/>
        <w:rPr>
          <w:rFonts w:cs="Arial"/>
        </w:rPr>
      </w:pPr>
      <w:r>
        <w:rPr>
          <w:rFonts w:cs="Arial"/>
        </w:rPr>
        <w:t>The table in Policy E1</w:t>
      </w:r>
      <w:r w:rsidR="0024455D">
        <w:rPr>
          <w:rFonts w:cs="Arial"/>
        </w:rPr>
        <w:t xml:space="preserve"> </w:t>
      </w:r>
      <w:r>
        <w:rPr>
          <w:rFonts w:cs="Arial"/>
        </w:rPr>
        <w:t>sets out the identified sources of supply</w:t>
      </w:r>
      <w:r w:rsidR="0024455D">
        <w:rPr>
          <w:rFonts w:cs="Arial"/>
        </w:rPr>
        <w:t xml:space="preserve">. This incorporates </w:t>
      </w:r>
      <w:r w:rsidR="00A7758B">
        <w:rPr>
          <w:rFonts w:cs="Arial"/>
        </w:rPr>
        <w:t xml:space="preserve">the council’s </w:t>
      </w:r>
      <w:r w:rsidR="0024455D">
        <w:rPr>
          <w:rFonts w:cs="Arial"/>
        </w:rPr>
        <w:t>suggested modifications post Reg</w:t>
      </w:r>
      <w:r w:rsidR="00A7758B">
        <w:rPr>
          <w:rFonts w:cs="Arial"/>
        </w:rPr>
        <w:t>ulation</w:t>
      </w:r>
      <w:r w:rsidR="0024455D">
        <w:rPr>
          <w:rFonts w:cs="Arial"/>
        </w:rPr>
        <w:t xml:space="preserve"> 19</w:t>
      </w:r>
      <w:r w:rsidR="00A7758B">
        <w:rPr>
          <w:rFonts w:cs="Arial"/>
        </w:rPr>
        <w:t xml:space="preserve"> consultation</w:t>
      </w:r>
      <w:r w:rsidR="00906512">
        <w:rPr>
          <w:rFonts w:cs="Arial"/>
        </w:rPr>
        <w:t xml:space="preserve"> (marked up by strikethrough of suggested deletions and underlining of suggested additions)</w:t>
      </w:r>
      <w:r w:rsidR="0024455D">
        <w:rPr>
          <w:rFonts w:cs="Arial"/>
        </w:rPr>
        <w:t xml:space="preserve"> – to take account of more recent planning permissions and completions data</w:t>
      </w:r>
      <w:r w:rsidR="005E196E">
        <w:rPr>
          <w:rFonts w:cs="Arial"/>
        </w:rPr>
        <w:t xml:space="preserve"> (to March 2023)</w:t>
      </w:r>
      <w:r w:rsidR="0024455D">
        <w:rPr>
          <w:rFonts w:cs="Arial"/>
        </w:rPr>
        <w:t>, and to amend the floorspace figure for Land West of Chichester to a figure based on the HEDNA methodology rather than a floorspace figure from a planning application, in response to a representation. The updated completions information means there is now a slight oversupply compared to the requirement but this will increase flexibility.</w:t>
      </w:r>
    </w:p>
    <w:p w14:paraId="0599CE6D" w14:textId="7890D22F" w:rsidR="00C742CA" w:rsidRDefault="00C742CA" w:rsidP="008D66DE">
      <w:pPr>
        <w:ind w:left="360"/>
        <w:jc w:val="both"/>
        <w:rPr>
          <w:rFonts w:ascii="Arial" w:hAnsi="Arial" w:cs="Arial"/>
        </w:rPr>
      </w:pPr>
    </w:p>
    <w:tbl>
      <w:tblPr>
        <w:tblStyle w:val="TableGrid"/>
        <w:tblW w:w="975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1"/>
      </w:tblGrid>
      <w:tr w:rsidR="00BC3269" w14:paraId="3C42DAA8" w14:textId="77777777" w:rsidTr="008001EC">
        <w:trPr>
          <w:trHeight w:val="397"/>
          <w:jc w:val="center"/>
        </w:trPr>
        <w:tc>
          <w:tcPr>
            <w:tcW w:w="9751" w:type="dxa"/>
            <w:shd w:val="clear" w:color="auto" w:fill="0C4670"/>
          </w:tcPr>
          <w:p w14:paraId="527060EA" w14:textId="77777777" w:rsidR="00BC3269" w:rsidRDefault="00BC3269" w:rsidP="008D66DE">
            <w:pPr>
              <w:pStyle w:val="Heading3"/>
            </w:pPr>
            <w:bookmarkStart w:id="9" w:name="_Toc125988998"/>
            <w:r>
              <w:lastRenderedPageBreak/>
              <w:t>Policy E1 Meeting Employment Land Needs</w:t>
            </w:r>
            <w:bookmarkEnd w:id="9"/>
          </w:p>
        </w:tc>
      </w:tr>
      <w:tr w:rsidR="00BC3269" w14:paraId="23CF39CD" w14:textId="77777777" w:rsidTr="008001EC">
        <w:trPr>
          <w:jc w:val="center"/>
        </w:trPr>
        <w:tc>
          <w:tcPr>
            <w:tcW w:w="9751" w:type="dxa"/>
          </w:tcPr>
          <w:p w14:paraId="6BCB3D37" w14:textId="77777777" w:rsidR="00BC3269" w:rsidRDefault="00BC3269" w:rsidP="008D66DE">
            <w:pPr>
              <w:pStyle w:val="ListParagraph"/>
              <w:ind w:left="0"/>
              <w:jc w:val="both"/>
              <w:rPr>
                <w:rFonts w:cs="Arial"/>
                <w:bCs/>
              </w:rPr>
            </w:pPr>
            <w:r w:rsidRPr="003C5E1F">
              <w:rPr>
                <w:rFonts w:cs="Arial"/>
                <w:bCs/>
              </w:rPr>
              <w:t>To contribute towards sustainable economic growth, provision will be made for a net additional 108,000 to 115,000sqm of new floorspace for office, industrial and warehousing use, in addition to other employment-generating uses, through the following sources of supply:</w:t>
            </w:r>
          </w:p>
          <w:p w14:paraId="6EF84D2E" w14:textId="77777777" w:rsidR="00BC3269" w:rsidRDefault="00BC3269" w:rsidP="008D66DE">
            <w:pPr>
              <w:pStyle w:val="ListParagraph"/>
              <w:ind w:left="0"/>
              <w:jc w:val="both"/>
              <w:rPr>
                <w:rFonts w:cs="Arial"/>
                <w:bCs/>
              </w:rPr>
            </w:pPr>
          </w:p>
          <w:tbl>
            <w:tblPr>
              <w:tblStyle w:val="TableGrid"/>
              <w:tblW w:w="0" w:type="auto"/>
              <w:tblInd w:w="75" w:type="dxa"/>
              <w:shd w:val="clear" w:color="auto" w:fill="FFFFFF" w:themeFill="background1"/>
              <w:tblLook w:val="04A0" w:firstRow="1" w:lastRow="0" w:firstColumn="1" w:lastColumn="0" w:noHBand="0" w:noVBand="1"/>
            </w:tblPr>
            <w:tblGrid>
              <w:gridCol w:w="2615"/>
              <w:gridCol w:w="4698"/>
              <w:gridCol w:w="2126"/>
            </w:tblGrid>
            <w:tr w:rsidR="00BC3269" w14:paraId="58F32107" w14:textId="77777777" w:rsidTr="008001EC">
              <w:tc>
                <w:tcPr>
                  <w:tcW w:w="7313" w:type="dxa"/>
                  <w:gridSpan w:val="2"/>
                  <w:tcBorders>
                    <w:top w:val="single" w:sz="8" w:space="0" w:color="auto"/>
                    <w:left w:val="single" w:sz="8" w:space="0" w:color="auto"/>
                    <w:bottom w:val="single" w:sz="8" w:space="0" w:color="auto"/>
                    <w:right w:val="single" w:sz="8" w:space="0" w:color="auto"/>
                  </w:tcBorders>
                  <w:shd w:val="clear" w:color="auto" w:fill="E4F2FC"/>
                  <w:hideMark/>
                </w:tcPr>
                <w:p w14:paraId="46B5D49F" w14:textId="77777777" w:rsidR="00BC3269" w:rsidRDefault="00BC3269" w:rsidP="008D66DE">
                  <w:pPr>
                    <w:jc w:val="both"/>
                    <w:rPr>
                      <w:rFonts w:ascii="Arial" w:hAnsi="Arial" w:cs="Arial"/>
                      <w:b/>
                    </w:rPr>
                  </w:pPr>
                  <w:bookmarkStart w:id="10" w:name="_Hlk123906699"/>
                  <w:r>
                    <w:rPr>
                      <w:rFonts w:ascii="Arial" w:hAnsi="Arial" w:cs="Arial"/>
                      <w:b/>
                    </w:rPr>
                    <w:t>Category</w:t>
                  </w:r>
                </w:p>
              </w:tc>
              <w:tc>
                <w:tcPr>
                  <w:tcW w:w="2126" w:type="dxa"/>
                  <w:tcBorders>
                    <w:top w:val="single" w:sz="8" w:space="0" w:color="auto"/>
                    <w:left w:val="single" w:sz="8" w:space="0" w:color="auto"/>
                    <w:bottom w:val="single" w:sz="8" w:space="0" w:color="auto"/>
                    <w:right w:val="single" w:sz="8" w:space="0" w:color="auto"/>
                  </w:tcBorders>
                  <w:shd w:val="clear" w:color="auto" w:fill="E4F2FC"/>
                  <w:hideMark/>
                </w:tcPr>
                <w:p w14:paraId="48AABBCA" w14:textId="77777777" w:rsidR="00BC3269" w:rsidRDefault="00BC3269" w:rsidP="008D66DE">
                  <w:pPr>
                    <w:jc w:val="both"/>
                    <w:rPr>
                      <w:rFonts w:ascii="Arial" w:hAnsi="Arial" w:cs="Arial"/>
                      <w:b/>
                    </w:rPr>
                  </w:pPr>
                  <w:r>
                    <w:rPr>
                      <w:rFonts w:ascii="Arial" w:hAnsi="Arial" w:cs="Arial"/>
                      <w:b/>
                    </w:rPr>
                    <w:t>Floorspace (m2)</w:t>
                  </w:r>
                </w:p>
              </w:tc>
            </w:tr>
            <w:tr w:rsidR="00BC3269" w14:paraId="16D6AD9D" w14:textId="77777777" w:rsidTr="008001EC">
              <w:tc>
                <w:tcPr>
                  <w:tcW w:w="7313"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0246F1EC" w14:textId="77777777" w:rsidR="00BC3269" w:rsidRDefault="00BC3269" w:rsidP="008D66DE">
                  <w:pPr>
                    <w:jc w:val="both"/>
                    <w:rPr>
                      <w:rFonts w:ascii="Arial" w:hAnsi="Arial" w:cs="Arial"/>
                      <w:b/>
                    </w:rPr>
                  </w:pPr>
                  <w:r>
                    <w:rPr>
                      <w:rFonts w:ascii="Arial" w:hAnsi="Arial" w:cs="Arial"/>
                      <w:b/>
                    </w:rPr>
                    <w:t>Employment floorspace requirement for the full Plan period (1 April 2021 to 31 March 2039)</w:t>
                  </w:r>
                </w:p>
              </w:tc>
              <w:tc>
                <w:tcPr>
                  <w:tcW w:w="212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6BB9F2E" w14:textId="77777777" w:rsidR="00BC3269" w:rsidRDefault="00BC3269" w:rsidP="008D66DE">
                  <w:pPr>
                    <w:jc w:val="both"/>
                    <w:rPr>
                      <w:rFonts w:ascii="Arial" w:hAnsi="Arial" w:cs="Arial"/>
                    </w:rPr>
                  </w:pPr>
                </w:p>
              </w:tc>
            </w:tr>
            <w:tr w:rsidR="00BC3269" w14:paraId="12841F04" w14:textId="77777777" w:rsidTr="008001EC">
              <w:tc>
                <w:tcPr>
                  <w:tcW w:w="731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44CF1ADB" w14:textId="77777777" w:rsidR="00BC3269" w:rsidRDefault="00BC3269" w:rsidP="008D66DE">
                  <w:pPr>
                    <w:jc w:val="both"/>
                    <w:rPr>
                      <w:rFonts w:ascii="Arial" w:hAnsi="Arial" w:cs="Arial"/>
                      <w:i/>
                    </w:rPr>
                  </w:pPr>
                  <w:r>
                    <w:rPr>
                      <w:rFonts w:ascii="Arial" w:hAnsi="Arial" w:cs="Arial"/>
                      <w:i/>
                    </w:rPr>
                    <w:t>Identified need from HEDNA</w:t>
                  </w:r>
                </w:p>
              </w:tc>
              <w:tc>
                <w:tcPr>
                  <w:tcW w:w="2126"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58460D96" w14:textId="77777777" w:rsidR="00BC3269" w:rsidRPr="00176A34" w:rsidRDefault="00BC3269" w:rsidP="008D66DE">
                  <w:pPr>
                    <w:jc w:val="both"/>
                    <w:rPr>
                      <w:rFonts w:ascii="Arial" w:hAnsi="Arial" w:cs="Arial"/>
                    </w:rPr>
                  </w:pPr>
                  <w:r w:rsidRPr="00176A34">
                    <w:rPr>
                      <w:rFonts w:ascii="Arial" w:hAnsi="Arial" w:cs="Arial"/>
                    </w:rPr>
                    <w:t>108,000 to 115,000</w:t>
                  </w:r>
                </w:p>
              </w:tc>
            </w:tr>
            <w:tr w:rsidR="00BC3269" w14:paraId="6094D630" w14:textId="77777777" w:rsidTr="008001EC">
              <w:tc>
                <w:tcPr>
                  <w:tcW w:w="7313" w:type="dxa"/>
                  <w:gridSpan w:val="2"/>
                  <w:tcBorders>
                    <w:top w:val="single" w:sz="4" w:space="0" w:color="auto"/>
                    <w:left w:val="single" w:sz="8" w:space="0" w:color="auto"/>
                    <w:bottom w:val="single" w:sz="4" w:space="0" w:color="auto"/>
                    <w:right w:val="single" w:sz="8" w:space="0" w:color="auto"/>
                  </w:tcBorders>
                  <w:shd w:val="clear" w:color="auto" w:fill="D9D9D9" w:themeFill="background1" w:themeFillShade="D9"/>
                  <w:hideMark/>
                </w:tcPr>
                <w:p w14:paraId="71A6A907" w14:textId="77777777" w:rsidR="00BC3269" w:rsidRDefault="00BC3269" w:rsidP="008D66DE">
                  <w:pPr>
                    <w:jc w:val="both"/>
                    <w:rPr>
                      <w:rFonts w:ascii="Arial" w:hAnsi="Arial" w:cs="Arial"/>
                      <w:b/>
                    </w:rPr>
                  </w:pPr>
                  <w:r>
                    <w:rPr>
                      <w:rFonts w:ascii="Arial" w:hAnsi="Arial" w:cs="Arial"/>
                      <w:b/>
                    </w:rPr>
                    <w:t>Identified sources of supply</w:t>
                  </w:r>
                </w:p>
              </w:tc>
              <w:tc>
                <w:tcPr>
                  <w:tcW w:w="2126" w:type="dxa"/>
                  <w:tcBorders>
                    <w:top w:val="single" w:sz="4" w:space="0" w:color="auto"/>
                    <w:left w:val="single" w:sz="8" w:space="0" w:color="auto"/>
                    <w:bottom w:val="single" w:sz="4" w:space="0" w:color="auto"/>
                    <w:right w:val="single" w:sz="8" w:space="0" w:color="auto"/>
                  </w:tcBorders>
                  <w:shd w:val="clear" w:color="auto" w:fill="D9D9D9" w:themeFill="background1" w:themeFillShade="D9"/>
                </w:tcPr>
                <w:p w14:paraId="21AF63D0" w14:textId="77777777" w:rsidR="00BC3269" w:rsidRPr="00865244" w:rsidRDefault="00BC3269" w:rsidP="008D66DE">
                  <w:pPr>
                    <w:pStyle w:val="ListParagraph"/>
                    <w:jc w:val="both"/>
                    <w:rPr>
                      <w:rFonts w:cs="Arial"/>
                    </w:rPr>
                  </w:pPr>
                </w:p>
              </w:tc>
            </w:tr>
            <w:tr w:rsidR="00BC3269" w14:paraId="6923DA33" w14:textId="77777777" w:rsidTr="008001EC">
              <w:tc>
                <w:tcPr>
                  <w:tcW w:w="7313" w:type="dxa"/>
                  <w:gridSpan w:val="2"/>
                  <w:tcBorders>
                    <w:top w:val="single" w:sz="4" w:space="0" w:color="auto"/>
                    <w:left w:val="single" w:sz="8" w:space="0" w:color="auto"/>
                    <w:bottom w:val="single" w:sz="4" w:space="0" w:color="auto"/>
                    <w:right w:val="single" w:sz="8" w:space="0" w:color="auto"/>
                  </w:tcBorders>
                  <w:shd w:val="clear" w:color="auto" w:fill="F2F2F2" w:themeFill="background1" w:themeFillShade="F2"/>
                  <w:hideMark/>
                </w:tcPr>
                <w:p w14:paraId="48E9CF0C" w14:textId="6099FA8C" w:rsidR="00BC3269" w:rsidRDefault="00BC3269" w:rsidP="008D66DE">
                  <w:pPr>
                    <w:jc w:val="both"/>
                    <w:rPr>
                      <w:rFonts w:ascii="Arial" w:hAnsi="Arial" w:cs="Arial"/>
                    </w:rPr>
                  </w:pPr>
                  <w:r>
                    <w:rPr>
                      <w:rFonts w:ascii="Arial" w:hAnsi="Arial" w:cs="Arial"/>
                    </w:rPr>
                    <w:t>Employment floorspace completions (1 April 2021 to 31 March 202</w:t>
                  </w:r>
                  <w:r w:rsidR="00292FE6" w:rsidRPr="00AA2155">
                    <w:rPr>
                      <w:rFonts w:ascii="Arial" w:hAnsi="Arial" w:cs="Arial"/>
                      <w:strike/>
                    </w:rPr>
                    <w:t>2</w:t>
                  </w:r>
                  <w:r w:rsidRPr="00AA2155">
                    <w:rPr>
                      <w:rFonts w:ascii="Arial" w:hAnsi="Arial" w:cs="Arial"/>
                      <w:b/>
                      <w:bCs/>
                      <w:u w:val="single"/>
                    </w:rPr>
                    <w:t>3</w:t>
                  </w:r>
                  <w:r>
                    <w:rPr>
                      <w:rFonts w:ascii="Arial" w:hAnsi="Arial" w:cs="Arial"/>
                    </w:rPr>
                    <w:t>)</w:t>
                  </w:r>
                </w:p>
              </w:tc>
              <w:tc>
                <w:tcPr>
                  <w:tcW w:w="2126" w:type="dxa"/>
                  <w:tcBorders>
                    <w:top w:val="single" w:sz="4" w:space="0" w:color="auto"/>
                    <w:left w:val="single" w:sz="8" w:space="0" w:color="auto"/>
                    <w:bottom w:val="single" w:sz="4" w:space="0" w:color="auto"/>
                    <w:right w:val="single" w:sz="8" w:space="0" w:color="auto"/>
                  </w:tcBorders>
                  <w:shd w:val="clear" w:color="auto" w:fill="F2F2F2" w:themeFill="background1" w:themeFillShade="F2"/>
                  <w:hideMark/>
                </w:tcPr>
                <w:p w14:paraId="4CB8D082" w14:textId="4BDE7E1E" w:rsidR="00BC3269" w:rsidRPr="00AA2155" w:rsidRDefault="007F0C53" w:rsidP="008D66DE">
                  <w:pPr>
                    <w:pStyle w:val="ListParagraph"/>
                    <w:jc w:val="both"/>
                    <w:rPr>
                      <w:rFonts w:cs="Arial"/>
                      <w:b/>
                      <w:bCs/>
                      <w:u w:val="single"/>
                    </w:rPr>
                  </w:pPr>
                  <w:r w:rsidRPr="00AA2155">
                    <w:rPr>
                      <w:rFonts w:cs="Arial"/>
                      <w:strike/>
                    </w:rPr>
                    <w:t>3,695</w:t>
                  </w:r>
                  <w:r>
                    <w:rPr>
                      <w:rFonts w:cs="Arial"/>
                      <w:b/>
                      <w:bCs/>
                      <w:u w:val="single"/>
                    </w:rPr>
                    <w:t xml:space="preserve"> </w:t>
                  </w:r>
                  <w:r w:rsidR="00BC3269" w:rsidRPr="00AA2155">
                    <w:rPr>
                      <w:rFonts w:cs="Arial"/>
                      <w:u w:val="single"/>
                    </w:rPr>
                    <w:t>7,106</w:t>
                  </w:r>
                </w:p>
              </w:tc>
            </w:tr>
            <w:tr w:rsidR="00BC3269" w14:paraId="10719C50" w14:textId="77777777" w:rsidTr="008001EC">
              <w:tc>
                <w:tcPr>
                  <w:tcW w:w="2615" w:type="dxa"/>
                  <w:vMerge w:val="restart"/>
                  <w:tcBorders>
                    <w:top w:val="single" w:sz="4" w:space="0" w:color="auto"/>
                    <w:left w:val="single" w:sz="8" w:space="0" w:color="auto"/>
                    <w:bottom w:val="single" w:sz="4" w:space="0" w:color="auto"/>
                    <w:right w:val="single" w:sz="4" w:space="0" w:color="auto"/>
                  </w:tcBorders>
                  <w:shd w:val="clear" w:color="auto" w:fill="F2F2F2" w:themeFill="background1" w:themeFillShade="F2"/>
                  <w:hideMark/>
                </w:tcPr>
                <w:p w14:paraId="1F76C19A" w14:textId="77777777" w:rsidR="00BC3269" w:rsidRDefault="00BC3269" w:rsidP="008D66DE">
                  <w:pPr>
                    <w:jc w:val="both"/>
                    <w:rPr>
                      <w:rFonts w:ascii="Arial" w:hAnsi="Arial" w:cs="Arial"/>
                    </w:rPr>
                  </w:pPr>
                  <w:r>
                    <w:rPr>
                      <w:rFonts w:ascii="Arial" w:hAnsi="Arial" w:cs="Arial"/>
                    </w:rPr>
                    <w:t xml:space="preserve">Floorspace supply </w:t>
                  </w:r>
                </w:p>
                <w:p w14:paraId="29EDFA14" w14:textId="77777777" w:rsidR="00BC3269" w:rsidRDefault="00BC3269" w:rsidP="008D66DE">
                  <w:pPr>
                    <w:jc w:val="both"/>
                    <w:rPr>
                      <w:rFonts w:ascii="Arial" w:hAnsi="Arial" w:cs="Arial"/>
                    </w:rPr>
                  </w:pPr>
                  <w:r>
                    <w:rPr>
                      <w:rFonts w:ascii="Arial" w:hAnsi="Arial" w:cs="Arial"/>
                    </w:rPr>
                    <w:t>(1 April 2023 to 31 March 2039)</w:t>
                  </w:r>
                </w:p>
              </w:tc>
              <w:tc>
                <w:tcPr>
                  <w:tcW w:w="4698" w:type="dxa"/>
                  <w:tcBorders>
                    <w:top w:val="single" w:sz="4" w:space="0" w:color="auto"/>
                    <w:left w:val="single" w:sz="4" w:space="0" w:color="auto"/>
                    <w:bottom w:val="single" w:sz="4" w:space="0" w:color="auto"/>
                    <w:right w:val="single" w:sz="8" w:space="0" w:color="auto"/>
                  </w:tcBorders>
                  <w:shd w:val="clear" w:color="auto" w:fill="F2F2F2" w:themeFill="background1" w:themeFillShade="F2"/>
                  <w:hideMark/>
                </w:tcPr>
                <w:p w14:paraId="299F8F88" w14:textId="77777777" w:rsidR="00BC3269" w:rsidRDefault="00BC3269" w:rsidP="008D66DE">
                  <w:pPr>
                    <w:jc w:val="both"/>
                    <w:rPr>
                      <w:rFonts w:ascii="Arial" w:hAnsi="Arial" w:cs="Arial"/>
                    </w:rPr>
                  </w:pPr>
                  <w:r>
                    <w:rPr>
                      <w:rFonts w:ascii="Arial" w:hAnsi="Arial" w:cs="Arial"/>
                    </w:rPr>
                    <w:t>Permissions</w:t>
                  </w:r>
                </w:p>
              </w:tc>
              <w:tc>
                <w:tcPr>
                  <w:tcW w:w="2126" w:type="dxa"/>
                  <w:tcBorders>
                    <w:top w:val="single" w:sz="4" w:space="0" w:color="auto"/>
                    <w:left w:val="single" w:sz="8" w:space="0" w:color="auto"/>
                    <w:bottom w:val="single" w:sz="4" w:space="0" w:color="auto"/>
                    <w:right w:val="single" w:sz="8" w:space="0" w:color="auto"/>
                  </w:tcBorders>
                  <w:shd w:val="clear" w:color="auto" w:fill="F2F2F2" w:themeFill="background1" w:themeFillShade="F2"/>
                  <w:hideMark/>
                </w:tcPr>
                <w:p w14:paraId="3CEF97BE" w14:textId="681A7138" w:rsidR="007F0C53" w:rsidRPr="00AA2155" w:rsidRDefault="007F0C53" w:rsidP="008D66DE">
                  <w:pPr>
                    <w:ind w:left="360"/>
                    <w:jc w:val="both"/>
                    <w:rPr>
                      <w:rFonts w:ascii="Arial" w:hAnsi="Arial" w:cs="Arial"/>
                      <w:strike/>
                    </w:rPr>
                  </w:pPr>
                  <w:r w:rsidRPr="00AA2155">
                    <w:rPr>
                      <w:rFonts w:ascii="Arial" w:hAnsi="Arial" w:cs="Arial"/>
                      <w:strike/>
                    </w:rPr>
                    <w:t>53,655</w:t>
                  </w:r>
                </w:p>
                <w:p w14:paraId="69522C12" w14:textId="2B6781E9" w:rsidR="00BC3269" w:rsidRPr="00AA2155" w:rsidRDefault="00BC3269" w:rsidP="008D66DE">
                  <w:pPr>
                    <w:ind w:left="360"/>
                    <w:jc w:val="both"/>
                    <w:rPr>
                      <w:rFonts w:ascii="Arial" w:hAnsi="Arial" w:cs="Arial"/>
                      <w:u w:val="single"/>
                    </w:rPr>
                  </w:pPr>
                  <w:r w:rsidRPr="00AA2155">
                    <w:rPr>
                      <w:rFonts w:ascii="Arial" w:hAnsi="Arial" w:cs="Arial"/>
                      <w:u w:val="single"/>
                    </w:rPr>
                    <w:t>53,190</w:t>
                  </w:r>
                </w:p>
              </w:tc>
            </w:tr>
            <w:tr w:rsidR="00BC3269" w14:paraId="72A654E9" w14:textId="77777777" w:rsidTr="008001EC">
              <w:tc>
                <w:tcPr>
                  <w:tcW w:w="2615" w:type="dxa"/>
                  <w:vMerge/>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71866082" w14:textId="77777777" w:rsidR="00BC3269" w:rsidRDefault="00BC3269" w:rsidP="008D66DE">
                  <w:pPr>
                    <w:jc w:val="both"/>
                    <w:rPr>
                      <w:rFonts w:ascii="Arial" w:hAnsi="Arial" w:cs="Arial"/>
                    </w:rPr>
                  </w:pPr>
                </w:p>
              </w:tc>
              <w:tc>
                <w:tcPr>
                  <w:tcW w:w="4698" w:type="dxa"/>
                  <w:tcBorders>
                    <w:top w:val="single" w:sz="4" w:space="0" w:color="auto"/>
                    <w:left w:val="single" w:sz="4" w:space="0" w:color="auto"/>
                    <w:bottom w:val="single" w:sz="4" w:space="0" w:color="auto"/>
                    <w:right w:val="single" w:sz="8" w:space="0" w:color="auto"/>
                  </w:tcBorders>
                  <w:shd w:val="clear" w:color="auto" w:fill="F2F2F2" w:themeFill="background1" w:themeFillShade="F2"/>
                  <w:hideMark/>
                </w:tcPr>
                <w:p w14:paraId="4B3144F3" w14:textId="22B7BDCD" w:rsidR="00BC3269" w:rsidRDefault="00BC3269" w:rsidP="008D66DE">
                  <w:pPr>
                    <w:jc w:val="both"/>
                    <w:rPr>
                      <w:rFonts w:ascii="Arial" w:hAnsi="Arial" w:cs="Arial"/>
                    </w:rPr>
                  </w:pPr>
                  <w:r>
                    <w:rPr>
                      <w:rFonts w:ascii="Arial" w:hAnsi="Arial" w:cs="Arial"/>
                    </w:rPr>
                    <w:t xml:space="preserve">Allocation in Site Allocations DPD 2014 </w:t>
                  </w:r>
                  <w:r w:rsidR="00292FE6">
                    <w:rPr>
                      <w:rFonts w:ascii="Arial" w:hAnsi="Arial" w:cs="Arial"/>
                    </w:rPr>
                    <w:t>–</w:t>
                  </w:r>
                  <w:r>
                    <w:rPr>
                      <w:rFonts w:ascii="Arial" w:hAnsi="Arial" w:cs="Arial"/>
                    </w:rPr>
                    <w:t xml:space="preserve"> 2029</w:t>
                  </w:r>
                </w:p>
              </w:tc>
              <w:tc>
                <w:tcPr>
                  <w:tcW w:w="2126" w:type="dxa"/>
                  <w:tcBorders>
                    <w:top w:val="single" w:sz="4" w:space="0" w:color="auto"/>
                    <w:left w:val="single" w:sz="8" w:space="0" w:color="auto"/>
                    <w:bottom w:val="single" w:sz="4" w:space="0" w:color="auto"/>
                    <w:right w:val="single" w:sz="8" w:space="0" w:color="auto"/>
                  </w:tcBorders>
                  <w:shd w:val="clear" w:color="auto" w:fill="F2F2F2" w:themeFill="background1" w:themeFillShade="F2"/>
                  <w:hideMark/>
                </w:tcPr>
                <w:p w14:paraId="3C2F0382" w14:textId="77777777" w:rsidR="00BC3269" w:rsidRPr="00865244" w:rsidRDefault="00BC3269" w:rsidP="008D66DE">
                  <w:pPr>
                    <w:jc w:val="both"/>
                    <w:rPr>
                      <w:rFonts w:ascii="Arial" w:hAnsi="Arial" w:cs="Arial"/>
                    </w:rPr>
                  </w:pPr>
                  <w:r w:rsidRPr="00865244">
                    <w:rPr>
                      <w:rFonts w:ascii="Arial" w:hAnsi="Arial" w:cs="Arial"/>
                    </w:rPr>
                    <w:t>7,200</w:t>
                  </w:r>
                </w:p>
              </w:tc>
            </w:tr>
            <w:tr w:rsidR="00BC3269" w14:paraId="5684EA6B" w14:textId="77777777" w:rsidTr="008001EC">
              <w:tc>
                <w:tcPr>
                  <w:tcW w:w="2615" w:type="dxa"/>
                  <w:vMerge/>
                  <w:tcBorders>
                    <w:top w:val="single" w:sz="4" w:space="0" w:color="auto"/>
                    <w:left w:val="single" w:sz="8" w:space="0" w:color="auto"/>
                    <w:bottom w:val="single" w:sz="8" w:space="0" w:color="auto"/>
                    <w:right w:val="single" w:sz="4" w:space="0" w:color="auto"/>
                  </w:tcBorders>
                  <w:shd w:val="clear" w:color="auto" w:fill="F2F2F2" w:themeFill="background1" w:themeFillShade="F2"/>
                  <w:vAlign w:val="center"/>
                  <w:hideMark/>
                </w:tcPr>
                <w:p w14:paraId="721461CE" w14:textId="77777777" w:rsidR="00BC3269" w:rsidRDefault="00BC3269" w:rsidP="008D66DE">
                  <w:pPr>
                    <w:jc w:val="both"/>
                    <w:rPr>
                      <w:rFonts w:ascii="Arial" w:hAnsi="Arial" w:cs="Arial"/>
                    </w:rPr>
                  </w:pPr>
                </w:p>
              </w:tc>
              <w:tc>
                <w:tcPr>
                  <w:tcW w:w="4698" w:type="dxa"/>
                  <w:tcBorders>
                    <w:top w:val="single" w:sz="4" w:space="0" w:color="auto"/>
                    <w:left w:val="single" w:sz="4" w:space="0" w:color="auto"/>
                    <w:bottom w:val="single" w:sz="8" w:space="0" w:color="auto"/>
                    <w:right w:val="single" w:sz="8" w:space="0" w:color="auto"/>
                  </w:tcBorders>
                  <w:shd w:val="clear" w:color="auto" w:fill="F2F2F2" w:themeFill="background1" w:themeFillShade="F2"/>
                </w:tcPr>
                <w:p w14:paraId="12F92316" w14:textId="77777777" w:rsidR="00BC3269" w:rsidRDefault="00BC3269" w:rsidP="008D66DE">
                  <w:pPr>
                    <w:jc w:val="both"/>
                    <w:rPr>
                      <w:rFonts w:ascii="Arial" w:hAnsi="Arial" w:cs="Arial"/>
                    </w:rPr>
                  </w:pPr>
                  <w:r>
                    <w:rPr>
                      <w:rFonts w:ascii="Arial" w:hAnsi="Arial" w:cs="Arial"/>
                    </w:rPr>
                    <w:t>Proposed allocations in this Plan (see Strategic Site Allocations Chapter)</w:t>
                  </w:r>
                </w:p>
                <w:p w14:paraId="7AC3B138" w14:textId="77777777" w:rsidR="00BC3269" w:rsidRDefault="00BC3269" w:rsidP="008D66DE">
                  <w:pPr>
                    <w:jc w:val="both"/>
                    <w:rPr>
                      <w:rFonts w:ascii="Arial" w:hAnsi="Arial" w:cs="Arial"/>
                    </w:rPr>
                  </w:pPr>
                  <w:r>
                    <w:rPr>
                      <w:rFonts w:ascii="Arial" w:hAnsi="Arial" w:cs="Arial"/>
                    </w:rPr>
                    <w:t>Brought forward from adopted plan (remaining employment space without permission):</w:t>
                  </w:r>
                </w:p>
                <w:p w14:paraId="4072B452" w14:textId="77777777" w:rsidR="00BC3269" w:rsidRDefault="00BC3269" w:rsidP="008D66DE">
                  <w:pPr>
                    <w:jc w:val="both"/>
                    <w:rPr>
                      <w:rFonts w:ascii="Arial" w:hAnsi="Arial" w:cs="Arial"/>
                    </w:rPr>
                  </w:pPr>
                  <w:r>
                    <w:rPr>
                      <w:rFonts w:ascii="Arial" w:hAnsi="Arial" w:cs="Arial"/>
                    </w:rPr>
                    <w:t>Land West of Chichester</w:t>
                  </w:r>
                </w:p>
                <w:p w14:paraId="0B7C74C0" w14:textId="77777777" w:rsidR="00BC3269" w:rsidRDefault="00BC3269" w:rsidP="008D66DE">
                  <w:pPr>
                    <w:jc w:val="both"/>
                    <w:rPr>
                      <w:rFonts w:ascii="Arial" w:hAnsi="Arial" w:cs="Arial"/>
                    </w:rPr>
                  </w:pPr>
                </w:p>
                <w:p w14:paraId="40979DC0" w14:textId="77777777" w:rsidR="00BC3269" w:rsidRDefault="00BC3269" w:rsidP="008D66DE">
                  <w:pPr>
                    <w:jc w:val="both"/>
                    <w:rPr>
                      <w:rFonts w:ascii="Arial" w:hAnsi="Arial" w:cs="Arial"/>
                    </w:rPr>
                  </w:pPr>
                  <w:r>
                    <w:rPr>
                      <w:rFonts w:ascii="Arial" w:hAnsi="Arial" w:cs="Arial"/>
                    </w:rPr>
                    <w:t>Chichester Business Park</w:t>
                  </w:r>
                </w:p>
                <w:p w14:paraId="138BAAD7" w14:textId="77777777" w:rsidR="00BC3269" w:rsidRDefault="00BC3269" w:rsidP="008D66DE">
                  <w:pPr>
                    <w:jc w:val="both"/>
                    <w:rPr>
                      <w:rFonts w:ascii="Arial" w:hAnsi="Arial" w:cs="Arial"/>
                    </w:rPr>
                  </w:pPr>
                  <w:r>
                    <w:rPr>
                      <w:rFonts w:ascii="Arial" w:hAnsi="Arial" w:cs="Arial"/>
                    </w:rPr>
                    <w:t>New allocations:</w:t>
                  </w:r>
                </w:p>
                <w:p w14:paraId="7025B6A5" w14:textId="77777777" w:rsidR="00BC3269" w:rsidRDefault="00BC3269" w:rsidP="008D66DE">
                  <w:pPr>
                    <w:jc w:val="both"/>
                    <w:rPr>
                      <w:rFonts w:ascii="Arial" w:hAnsi="Arial" w:cs="Arial"/>
                    </w:rPr>
                  </w:pPr>
                  <w:r>
                    <w:rPr>
                      <w:rFonts w:ascii="Arial" w:hAnsi="Arial" w:cs="Arial"/>
                    </w:rPr>
                    <w:t>Land South of Bognor Road</w:t>
                  </w:r>
                </w:p>
                <w:p w14:paraId="71DCCF26" w14:textId="77777777" w:rsidR="00BC3269" w:rsidRDefault="00BC3269" w:rsidP="008D66DE">
                  <w:pPr>
                    <w:jc w:val="both"/>
                    <w:rPr>
                      <w:rFonts w:ascii="Arial" w:hAnsi="Arial" w:cs="Arial"/>
                    </w:rPr>
                  </w:pPr>
                </w:p>
              </w:tc>
              <w:tc>
                <w:tcPr>
                  <w:tcW w:w="2126" w:type="dxa"/>
                  <w:tcBorders>
                    <w:top w:val="single" w:sz="4" w:space="0" w:color="auto"/>
                    <w:left w:val="single" w:sz="8" w:space="0" w:color="auto"/>
                    <w:bottom w:val="single" w:sz="8" w:space="0" w:color="auto"/>
                    <w:right w:val="single" w:sz="8" w:space="0" w:color="auto"/>
                  </w:tcBorders>
                  <w:shd w:val="clear" w:color="auto" w:fill="F2F2F2" w:themeFill="background1" w:themeFillShade="F2"/>
                </w:tcPr>
                <w:p w14:paraId="3F03E4B5" w14:textId="77777777" w:rsidR="00BC3269" w:rsidRPr="00865244" w:rsidRDefault="00BC3269" w:rsidP="008D66DE">
                  <w:pPr>
                    <w:jc w:val="both"/>
                    <w:rPr>
                      <w:rFonts w:ascii="Arial" w:hAnsi="Arial" w:cs="Arial"/>
                    </w:rPr>
                  </w:pPr>
                </w:p>
                <w:p w14:paraId="1369CFFE" w14:textId="77777777" w:rsidR="00BC3269" w:rsidRPr="00A45A1C" w:rsidRDefault="00BC3269" w:rsidP="008D66DE">
                  <w:pPr>
                    <w:jc w:val="both"/>
                    <w:rPr>
                      <w:rFonts w:ascii="Arial" w:hAnsi="Arial" w:cs="Arial"/>
                    </w:rPr>
                  </w:pPr>
                </w:p>
                <w:p w14:paraId="5D5D0DC0" w14:textId="77777777" w:rsidR="00BC3269" w:rsidRPr="00A45A1C" w:rsidRDefault="00BC3269" w:rsidP="008D66DE">
                  <w:pPr>
                    <w:jc w:val="both"/>
                    <w:rPr>
                      <w:rFonts w:ascii="Arial" w:hAnsi="Arial" w:cs="Arial"/>
                    </w:rPr>
                  </w:pPr>
                </w:p>
                <w:p w14:paraId="55E56DB8" w14:textId="44313435" w:rsidR="00BC3269" w:rsidRPr="00AA2155" w:rsidRDefault="007F0C53" w:rsidP="008D66DE">
                  <w:pPr>
                    <w:jc w:val="both"/>
                    <w:rPr>
                      <w:rFonts w:ascii="Arial" w:hAnsi="Arial" w:cs="Arial"/>
                      <w:strike/>
                    </w:rPr>
                  </w:pPr>
                  <w:r w:rsidRPr="00AA2155">
                    <w:rPr>
                      <w:rFonts w:ascii="Arial" w:hAnsi="Arial" w:cs="Arial"/>
                      <w:strike/>
                    </w:rPr>
                    <w:t>22,000</w:t>
                  </w:r>
                </w:p>
                <w:p w14:paraId="5DAF060E" w14:textId="77777777" w:rsidR="00BC3269" w:rsidRPr="00AA2155" w:rsidRDefault="00BC3269" w:rsidP="008D66DE">
                  <w:pPr>
                    <w:jc w:val="both"/>
                    <w:rPr>
                      <w:rFonts w:ascii="Arial" w:hAnsi="Arial" w:cs="Arial"/>
                      <w:u w:val="single"/>
                    </w:rPr>
                  </w:pPr>
                  <w:r w:rsidRPr="00AA2155">
                    <w:rPr>
                      <w:rFonts w:ascii="Arial" w:hAnsi="Arial" w:cs="Arial"/>
                      <w:u w:val="single"/>
                    </w:rPr>
                    <w:t>20,800</w:t>
                  </w:r>
                </w:p>
                <w:p w14:paraId="1E883B9A" w14:textId="77777777" w:rsidR="00BC3269" w:rsidRPr="000A4C35" w:rsidRDefault="00BC3269" w:rsidP="008D66DE">
                  <w:pPr>
                    <w:jc w:val="both"/>
                    <w:rPr>
                      <w:rFonts w:ascii="Arial" w:hAnsi="Arial" w:cs="Arial"/>
                    </w:rPr>
                  </w:pPr>
                </w:p>
                <w:p w14:paraId="6B6347BA" w14:textId="77777777" w:rsidR="00BC3269" w:rsidRPr="000A4C35" w:rsidRDefault="00BC3269" w:rsidP="008D66DE">
                  <w:pPr>
                    <w:jc w:val="both"/>
                    <w:rPr>
                      <w:rFonts w:ascii="Arial" w:hAnsi="Arial" w:cs="Arial"/>
                    </w:rPr>
                  </w:pPr>
                  <w:r>
                    <w:rPr>
                      <w:rFonts w:ascii="Arial" w:hAnsi="Arial" w:cs="Arial"/>
                    </w:rPr>
                    <w:t>92</w:t>
                  </w:r>
                </w:p>
                <w:p w14:paraId="5AC3A108" w14:textId="77777777" w:rsidR="00BC3269" w:rsidRPr="000A2C73" w:rsidRDefault="00BC3269" w:rsidP="008D66DE">
                  <w:pPr>
                    <w:jc w:val="both"/>
                    <w:rPr>
                      <w:rFonts w:ascii="Arial" w:hAnsi="Arial" w:cs="Arial"/>
                    </w:rPr>
                  </w:pPr>
                </w:p>
                <w:p w14:paraId="1E05907E" w14:textId="77777777" w:rsidR="00BC3269" w:rsidRPr="00C17E67" w:rsidRDefault="00BC3269" w:rsidP="008D66DE">
                  <w:pPr>
                    <w:jc w:val="both"/>
                    <w:rPr>
                      <w:rFonts w:ascii="Arial" w:hAnsi="Arial" w:cs="Arial"/>
                    </w:rPr>
                  </w:pPr>
                  <w:r w:rsidRPr="00C17E67">
                    <w:rPr>
                      <w:rFonts w:ascii="Arial" w:hAnsi="Arial" w:cs="Arial"/>
                    </w:rPr>
                    <w:t>28,000</w:t>
                  </w:r>
                </w:p>
              </w:tc>
            </w:tr>
            <w:tr w:rsidR="00BC3269" w14:paraId="313153D8" w14:textId="77777777" w:rsidTr="008001EC">
              <w:tc>
                <w:tcPr>
                  <w:tcW w:w="7313"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4421F100" w14:textId="77777777" w:rsidR="00BC3269" w:rsidRDefault="00BC3269" w:rsidP="008D66DE">
                  <w:pPr>
                    <w:jc w:val="both"/>
                    <w:rPr>
                      <w:rFonts w:ascii="Arial" w:hAnsi="Arial" w:cs="Arial"/>
                      <w:b/>
                    </w:rPr>
                  </w:pPr>
                  <w:r>
                    <w:rPr>
                      <w:rFonts w:ascii="Arial" w:hAnsi="Arial" w:cs="Arial"/>
                      <w:b/>
                    </w:rPr>
                    <w:t>Total supply for the full Plan period (1 April 2021 to 31 March 2039)</w:t>
                  </w:r>
                </w:p>
              </w:tc>
              <w:tc>
                <w:tcPr>
                  <w:tcW w:w="2126"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65275694" w14:textId="74214E42" w:rsidR="00BC3269" w:rsidRPr="00AA2155" w:rsidRDefault="007F0C53" w:rsidP="008D66DE">
                  <w:pPr>
                    <w:jc w:val="both"/>
                    <w:rPr>
                      <w:rFonts w:ascii="Arial" w:hAnsi="Arial" w:cs="Arial"/>
                      <w:b/>
                      <w:u w:val="single"/>
                    </w:rPr>
                  </w:pPr>
                  <w:r w:rsidRPr="00AA2155">
                    <w:rPr>
                      <w:rFonts w:ascii="Arial" w:hAnsi="Arial" w:cs="Arial"/>
                      <w:b/>
                      <w:strike/>
                    </w:rPr>
                    <w:t>114,652</w:t>
                  </w:r>
                  <w:r>
                    <w:rPr>
                      <w:rFonts w:ascii="Arial" w:hAnsi="Arial" w:cs="Arial"/>
                      <w:b/>
                      <w:u w:val="single"/>
                    </w:rPr>
                    <w:t xml:space="preserve"> </w:t>
                  </w:r>
                  <w:r w:rsidR="00BC3269" w:rsidRPr="00AA2155">
                    <w:rPr>
                      <w:rFonts w:ascii="Arial" w:hAnsi="Arial" w:cs="Arial"/>
                      <w:b/>
                      <w:u w:val="single"/>
                    </w:rPr>
                    <w:t>116,388</w:t>
                  </w:r>
                </w:p>
              </w:tc>
            </w:tr>
          </w:tbl>
          <w:bookmarkEnd w:id="10"/>
          <w:p w14:paraId="4C6A4468" w14:textId="77777777" w:rsidR="00BC3269" w:rsidRDefault="00BC3269" w:rsidP="008D66DE">
            <w:pPr>
              <w:pStyle w:val="justify"/>
              <w:spacing w:before="240" w:after="0" w:line="276" w:lineRule="auto"/>
              <w:jc w:val="both"/>
              <w:rPr>
                <w:rFonts w:cs="Arial"/>
              </w:rPr>
            </w:pPr>
            <w:r>
              <w:rPr>
                <w:rFonts w:ascii="Arial" w:hAnsi="Arial" w:cs="Arial"/>
                <w:bCs/>
                <w:szCs w:val="22"/>
              </w:rPr>
              <w:t>Proposals for employment related development on unallocated sites will be supported in accordance with Policy E2 of this Plan. Proposals for significant new office development will be encouraged in Chichester city centre in accordance with Policy A1. Smaller-scale office developments will be supported in other settlements in accordance with Policy E2.</w:t>
            </w:r>
          </w:p>
        </w:tc>
      </w:tr>
    </w:tbl>
    <w:p w14:paraId="52ACB2E7" w14:textId="77777777" w:rsidR="00BC3269" w:rsidRDefault="00BC3269" w:rsidP="008D66DE">
      <w:pPr>
        <w:ind w:left="360"/>
        <w:jc w:val="both"/>
        <w:rPr>
          <w:rFonts w:ascii="Arial" w:hAnsi="Arial" w:cs="Arial"/>
        </w:rPr>
      </w:pPr>
    </w:p>
    <w:p w14:paraId="4F95EB17" w14:textId="77777777" w:rsidR="00F4622F" w:rsidRPr="006E26E0" w:rsidRDefault="00F4622F" w:rsidP="00B96EF1">
      <w:pPr>
        <w:pStyle w:val="Heading2"/>
        <w:ind w:left="709"/>
        <w:jc w:val="both"/>
        <w:rPr>
          <w:rFonts w:ascii="Arial" w:hAnsi="Arial" w:cs="Arial"/>
          <w:b/>
          <w:bCs/>
          <w:color w:val="0073CF"/>
          <w:sz w:val="24"/>
          <w:szCs w:val="24"/>
        </w:rPr>
      </w:pPr>
      <w:r w:rsidRPr="006E26E0">
        <w:rPr>
          <w:rFonts w:ascii="Arial" w:hAnsi="Arial" w:cs="Arial"/>
          <w:b/>
          <w:bCs/>
          <w:color w:val="0073CF"/>
          <w:sz w:val="24"/>
          <w:szCs w:val="24"/>
        </w:rPr>
        <w:t>Existing vacant space:</w:t>
      </w:r>
    </w:p>
    <w:p w14:paraId="4568B23D" w14:textId="77777777" w:rsidR="00F4622F" w:rsidRPr="00F4622F" w:rsidRDefault="00F4622F" w:rsidP="001B59A6">
      <w:pPr>
        <w:spacing w:after="0"/>
        <w:jc w:val="both"/>
        <w:rPr>
          <w:rFonts w:ascii="Arial" w:eastAsia="Times New Roman" w:hAnsi="Arial" w:cs="Arial"/>
          <w:b/>
          <w:sz w:val="24"/>
          <w:szCs w:val="24"/>
        </w:rPr>
      </w:pPr>
    </w:p>
    <w:p w14:paraId="5C8AA2AE" w14:textId="1E35A0FC" w:rsidR="00F4622F" w:rsidRPr="00075380" w:rsidRDefault="00F4622F" w:rsidP="001B59A6">
      <w:pPr>
        <w:pStyle w:val="ListParagraph"/>
        <w:numPr>
          <w:ilvl w:val="1"/>
          <w:numId w:val="11"/>
        </w:numPr>
        <w:spacing w:line="276" w:lineRule="auto"/>
        <w:ind w:left="709" w:hanging="709"/>
        <w:jc w:val="both"/>
        <w:rPr>
          <w:rFonts w:cs="Arial"/>
        </w:rPr>
      </w:pPr>
      <w:r w:rsidRPr="00075380">
        <w:rPr>
          <w:rFonts w:cs="Arial"/>
        </w:rPr>
        <w:t xml:space="preserve">An audit of existing employment premises across the plan area </w:t>
      </w:r>
      <w:r w:rsidR="00C44EB7" w:rsidRPr="00075380">
        <w:rPr>
          <w:rFonts w:cs="Arial"/>
        </w:rPr>
        <w:t xml:space="preserve">in 2020 </w:t>
      </w:r>
      <w:r w:rsidRPr="00075380">
        <w:rPr>
          <w:rFonts w:cs="Arial"/>
        </w:rPr>
        <w:t>indicate</w:t>
      </w:r>
      <w:r w:rsidR="00C44EB7" w:rsidRPr="00075380">
        <w:rPr>
          <w:rFonts w:cs="Arial"/>
        </w:rPr>
        <w:t>d</w:t>
      </w:r>
      <w:r w:rsidRPr="00075380">
        <w:rPr>
          <w:rFonts w:cs="Arial"/>
        </w:rPr>
        <w:t xml:space="preserve"> that about 22,500sqm of floorspace was vacant across the plan area</w:t>
      </w:r>
      <w:r w:rsidR="00BF3AB5">
        <w:rPr>
          <w:rFonts w:cs="Arial"/>
        </w:rPr>
        <w:t>.</w:t>
      </w:r>
      <w:r w:rsidRPr="00075380">
        <w:rPr>
          <w:rFonts w:cs="Arial"/>
        </w:rPr>
        <w:t xml:space="preserve"> This represents around 4% of total employment floorspace and is not considered excessive. Some vacancy at any point in time is expected to allow for turnover and given the low level it is not considered that the vacant space is sufficient to be counted as an additional component of supply.</w:t>
      </w:r>
    </w:p>
    <w:p w14:paraId="3F3C2C74" w14:textId="02822E51" w:rsidR="00F535CF" w:rsidRDefault="00F535CF" w:rsidP="001B59A6">
      <w:pPr>
        <w:spacing w:after="0"/>
        <w:ind w:left="720" w:hanging="720"/>
        <w:jc w:val="both"/>
        <w:rPr>
          <w:rFonts w:ascii="Arial" w:eastAsia="Times New Roman" w:hAnsi="Arial" w:cs="Arial"/>
          <w:sz w:val="24"/>
          <w:szCs w:val="24"/>
        </w:rPr>
      </w:pPr>
    </w:p>
    <w:p w14:paraId="57379A8A" w14:textId="12EA11BB" w:rsidR="00F535CF" w:rsidRPr="00075380" w:rsidRDefault="00F535CF" w:rsidP="001B59A6">
      <w:pPr>
        <w:pStyle w:val="ListParagraph"/>
        <w:numPr>
          <w:ilvl w:val="1"/>
          <w:numId w:val="11"/>
        </w:numPr>
        <w:spacing w:line="276" w:lineRule="auto"/>
        <w:ind w:left="709" w:hanging="709"/>
        <w:jc w:val="both"/>
        <w:rPr>
          <w:rFonts w:cs="Arial"/>
        </w:rPr>
      </w:pPr>
      <w:r w:rsidRPr="00075380">
        <w:rPr>
          <w:rFonts w:cs="Arial"/>
        </w:rPr>
        <w:t xml:space="preserve">More recently, the 2022 HEDNA </w:t>
      </w:r>
      <w:r w:rsidR="00273ACA">
        <w:rPr>
          <w:rFonts w:cs="Arial"/>
        </w:rPr>
        <w:t xml:space="preserve">(H06) </w:t>
      </w:r>
      <w:r w:rsidR="0001393A" w:rsidRPr="00075380">
        <w:rPr>
          <w:rFonts w:cs="Arial"/>
        </w:rPr>
        <w:t>refers to vacancy of 5.5% in the office market in November 2021,</w:t>
      </w:r>
      <w:r w:rsidR="000430C6">
        <w:rPr>
          <w:rFonts w:cs="Arial"/>
        </w:rPr>
        <w:t xml:space="preserve"> which was</w:t>
      </w:r>
      <w:r w:rsidR="0001393A" w:rsidRPr="00075380">
        <w:rPr>
          <w:rFonts w:cs="Arial"/>
        </w:rPr>
        <w:t xml:space="preserve"> in line with vacancy rates across the South East</w:t>
      </w:r>
      <w:r w:rsidR="002661CD" w:rsidRPr="00075380">
        <w:rPr>
          <w:rFonts w:cs="Arial"/>
        </w:rPr>
        <w:t>, and notes that lower vacancy rates could mean an undersupp</w:t>
      </w:r>
      <w:r w:rsidR="007C50B1" w:rsidRPr="00075380">
        <w:rPr>
          <w:rFonts w:cs="Arial"/>
        </w:rPr>
        <w:t>l</w:t>
      </w:r>
      <w:r w:rsidR="002661CD" w:rsidRPr="00075380">
        <w:rPr>
          <w:rFonts w:cs="Arial"/>
        </w:rPr>
        <w:t>y. The vacancy rate for industry and warehousing was extremely low at 0.4%</w:t>
      </w:r>
    </w:p>
    <w:p w14:paraId="4D8FC2DA" w14:textId="77777777" w:rsidR="00F4622F" w:rsidRPr="00F4622F" w:rsidRDefault="00F4622F" w:rsidP="001B59A6">
      <w:pPr>
        <w:spacing w:after="0"/>
        <w:jc w:val="both"/>
        <w:rPr>
          <w:rFonts w:ascii="Arial" w:eastAsia="Times New Roman" w:hAnsi="Arial" w:cs="Arial"/>
          <w:b/>
          <w:sz w:val="24"/>
          <w:szCs w:val="24"/>
        </w:rPr>
      </w:pPr>
    </w:p>
    <w:p w14:paraId="054CB79E" w14:textId="77777777" w:rsidR="00F4622F" w:rsidRPr="006E26E0" w:rsidRDefault="00F4622F" w:rsidP="00B96EF1">
      <w:pPr>
        <w:pStyle w:val="Heading2"/>
        <w:ind w:left="709"/>
        <w:jc w:val="both"/>
        <w:rPr>
          <w:rFonts w:ascii="Arial" w:hAnsi="Arial" w:cs="Arial"/>
          <w:b/>
          <w:bCs/>
          <w:color w:val="0073CF"/>
          <w:sz w:val="24"/>
          <w:szCs w:val="24"/>
        </w:rPr>
      </w:pPr>
      <w:r w:rsidRPr="006E26E0">
        <w:rPr>
          <w:rFonts w:ascii="Arial" w:hAnsi="Arial" w:cs="Arial"/>
          <w:b/>
          <w:bCs/>
          <w:color w:val="0073CF"/>
          <w:sz w:val="24"/>
          <w:szCs w:val="24"/>
        </w:rPr>
        <w:lastRenderedPageBreak/>
        <w:t>Land Adjacent to Rolls Royce</w:t>
      </w:r>
    </w:p>
    <w:p w14:paraId="6B2CEE61" w14:textId="77777777" w:rsidR="00F4622F" w:rsidRPr="00F4622F" w:rsidRDefault="00F4622F" w:rsidP="001B59A6">
      <w:pPr>
        <w:spacing w:after="0"/>
        <w:ind w:left="720" w:hanging="720"/>
        <w:jc w:val="both"/>
        <w:rPr>
          <w:rFonts w:ascii="Arial" w:eastAsia="Times New Roman" w:hAnsi="Arial" w:cs="Arial"/>
          <w:sz w:val="24"/>
          <w:szCs w:val="24"/>
        </w:rPr>
      </w:pPr>
    </w:p>
    <w:p w14:paraId="35C1F21B" w14:textId="0A6DB752" w:rsidR="00F4622F" w:rsidRPr="00075380" w:rsidRDefault="00E242D4" w:rsidP="001B59A6">
      <w:pPr>
        <w:pStyle w:val="ListParagraph"/>
        <w:numPr>
          <w:ilvl w:val="1"/>
          <w:numId w:val="11"/>
        </w:numPr>
        <w:spacing w:line="276" w:lineRule="auto"/>
        <w:ind w:left="709" w:hanging="709"/>
        <w:jc w:val="both"/>
        <w:rPr>
          <w:rFonts w:cs="Arial"/>
        </w:rPr>
      </w:pPr>
      <w:r w:rsidRPr="00075380">
        <w:rPr>
          <w:rFonts w:cs="Arial"/>
        </w:rPr>
        <w:t>At the Preferred Approach consultation on the Local Plan, r</w:t>
      </w:r>
      <w:r w:rsidR="00F4622F" w:rsidRPr="00075380">
        <w:rPr>
          <w:rFonts w:cs="Arial"/>
        </w:rPr>
        <w:t xml:space="preserve">epresentations </w:t>
      </w:r>
      <w:r w:rsidRPr="00075380">
        <w:rPr>
          <w:rFonts w:cs="Arial"/>
        </w:rPr>
        <w:t>were</w:t>
      </w:r>
      <w:r w:rsidR="00F4622F" w:rsidRPr="00075380">
        <w:rPr>
          <w:rFonts w:cs="Arial"/>
        </w:rPr>
        <w:t xml:space="preserve"> made on behalf of Rolls Royce seeking an allocation to create longer term expansion space to the east of the current Rolls Royce factory, and to provide confidence for future investment. A s</w:t>
      </w:r>
      <w:r w:rsidRPr="00075380">
        <w:rPr>
          <w:rFonts w:cs="Arial"/>
        </w:rPr>
        <w:t>afeguarding policy</w:t>
      </w:r>
      <w:r w:rsidR="00F477F6">
        <w:rPr>
          <w:rFonts w:cs="Arial"/>
        </w:rPr>
        <w:t xml:space="preserve"> (Policy A21)</w:t>
      </w:r>
      <w:r w:rsidRPr="00075380">
        <w:rPr>
          <w:rFonts w:cs="Arial"/>
        </w:rPr>
        <w:t xml:space="preserve"> </w:t>
      </w:r>
      <w:r w:rsidR="00F4622F" w:rsidRPr="00075380">
        <w:rPr>
          <w:rFonts w:cs="Arial"/>
        </w:rPr>
        <w:t xml:space="preserve">is proposed </w:t>
      </w:r>
      <w:r w:rsidRPr="00075380">
        <w:rPr>
          <w:rFonts w:cs="Arial"/>
        </w:rPr>
        <w:t xml:space="preserve">in the plan </w:t>
      </w:r>
      <w:r w:rsidR="00F4622F" w:rsidRPr="00075380">
        <w:rPr>
          <w:rFonts w:cs="Arial"/>
        </w:rPr>
        <w:t xml:space="preserve">– any development would need to be directly connected to Rolls Royce. A criteria based policy is proposed to ensure matters such as traffic and impact on the South Downs National Park are fully considered and addressed. </w:t>
      </w:r>
    </w:p>
    <w:p w14:paraId="6C71BAD1" w14:textId="77777777" w:rsidR="00F4622F" w:rsidRPr="00F4622F" w:rsidRDefault="00F4622F" w:rsidP="001B59A6">
      <w:pPr>
        <w:spacing w:after="0"/>
        <w:ind w:left="720" w:hanging="720"/>
        <w:jc w:val="both"/>
        <w:rPr>
          <w:rFonts w:ascii="Arial" w:eastAsia="Times New Roman" w:hAnsi="Arial" w:cs="Arial"/>
          <w:sz w:val="24"/>
          <w:szCs w:val="24"/>
        </w:rPr>
      </w:pPr>
    </w:p>
    <w:p w14:paraId="6218C8ED" w14:textId="68DDCAD4" w:rsidR="00F4622F" w:rsidRDefault="00F4622F" w:rsidP="001B59A6">
      <w:pPr>
        <w:pStyle w:val="ListParagraph"/>
        <w:numPr>
          <w:ilvl w:val="1"/>
          <w:numId w:val="11"/>
        </w:numPr>
        <w:spacing w:line="276" w:lineRule="auto"/>
        <w:ind w:left="709" w:hanging="709"/>
        <w:jc w:val="both"/>
        <w:rPr>
          <w:rFonts w:cs="Arial"/>
        </w:rPr>
      </w:pPr>
      <w:r w:rsidRPr="00075380">
        <w:rPr>
          <w:rFonts w:cs="Arial"/>
        </w:rPr>
        <w:t xml:space="preserve">This site of approximately 10ha is not counted towards the general employment requirement since it relates to a specific requirement rather than part of the broader forecast need. </w:t>
      </w:r>
    </w:p>
    <w:p w14:paraId="68978FA1" w14:textId="77777777" w:rsidR="00962079" w:rsidRPr="00962079" w:rsidRDefault="00962079" w:rsidP="001B59A6">
      <w:pPr>
        <w:pStyle w:val="ListParagraph"/>
        <w:spacing w:line="276" w:lineRule="auto"/>
        <w:jc w:val="both"/>
        <w:rPr>
          <w:rFonts w:cs="Arial"/>
        </w:rPr>
      </w:pPr>
    </w:p>
    <w:p w14:paraId="1FBB1EC1" w14:textId="602BAC21" w:rsidR="00962079" w:rsidRDefault="00962079" w:rsidP="001B59A6">
      <w:pPr>
        <w:pStyle w:val="ListParagraph"/>
        <w:numPr>
          <w:ilvl w:val="1"/>
          <w:numId w:val="11"/>
        </w:numPr>
        <w:spacing w:line="276" w:lineRule="auto"/>
        <w:ind w:left="709" w:hanging="709"/>
        <w:jc w:val="both"/>
        <w:rPr>
          <w:rFonts w:cs="Arial"/>
        </w:rPr>
      </w:pPr>
      <w:r>
        <w:rPr>
          <w:rFonts w:cs="Arial"/>
        </w:rPr>
        <w:t>A</w:t>
      </w:r>
      <w:r w:rsidR="00984ABF">
        <w:rPr>
          <w:rFonts w:cs="Arial"/>
        </w:rPr>
        <w:t xml:space="preserve"> hybrid</w:t>
      </w:r>
      <w:r>
        <w:rPr>
          <w:rFonts w:cs="Arial"/>
        </w:rPr>
        <w:t xml:space="preserve"> planning application for development on this site</w:t>
      </w:r>
      <w:r w:rsidR="00984ABF">
        <w:rPr>
          <w:rFonts w:cs="Arial"/>
        </w:rPr>
        <w:t xml:space="preserve"> (for full permission for Phase 1 and outline for Phase 2)</w:t>
      </w:r>
      <w:r>
        <w:rPr>
          <w:rFonts w:cs="Arial"/>
        </w:rPr>
        <w:t xml:space="preserve"> was submitted in August 2023</w:t>
      </w:r>
      <w:r w:rsidR="00984ABF">
        <w:rPr>
          <w:rFonts w:cs="Arial"/>
        </w:rPr>
        <w:t xml:space="preserve"> (23/01855/FULEIA)</w:t>
      </w:r>
      <w:r w:rsidR="008D66DE">
        <w:rPr>
          <w:rFonts w:cs="Arial"/>
        </w:rPr>
        <w:t xml:space="preserve">. </w:t>
      </w:r>
      <w:r w:rsidR="00984ABF">
        <w:rPr>
          <w:rFonts w:cs="Arial"/>
        </w:rPr>
        <w:t>Planning Committee resolved on March 27</w:t>
      </w:r>
      <w:r w:rsidR="00984ABF" w:rsidRPr="00AA2155">
        <w:rPr>
          <w:rFonts w:cs="Arial"/>
          <w:vertAlign w:val="superscript"/>
        </w:rPr>
        <w:t>th</w:t>
      </w:r>
      <w:r w:rsidR="00984ABF">
        <w:rPr>
          <w:rFonts w:cs="Arial"/>
        </w:rPr>
        <w:t xml:space="preserve"> 2024</w:t>
      </w:r>
      <w:r w:rsidR="00910D4D">
        <w:rPr>
          <w:rFonts w:cs="Arial"/>
        </w:rPr>
        <w:t xml:space="preserve"> to permit subject to </w:t>
      </w:r>
      <w:r w:rsidR="00984ABF">
        <w:rPr>
          <w:rFonts w:cs="Arial"/>
        </w:rPr>
        <w:t>s106</w:t>
      </w:r>
      <w:r w:rsidR="00A6607D">
        <w:rPr>
          <w:rFonts w:cs="Arial"/>
        </w:rPr>
        <w:t xml:space="preserve"> being agreed</w:t>
      </w:r>
      <w:r>
        <w:rPr>
          <w:rFonts w:cs="Arial"/>
        </w:rPr>
        <w:t xml:space="preserve">. </w:t>
      </w:r>
    </w:p>
    <w:p w14:paraId="6DC7EAF8" w14:textId="4C83AE98" w:rsidR="00727950" w:rsidRPr="006E26E0" w:rsidRDefault="00727950" w:rsidP="00CA0531">
      <w:pPr>
        <w:pStyle w:val="Heading1"/>
        <w:numPr>
          <w:ilvl w:val="0"/>
          <w:numId w:val="11"/>
        </w:numPr>
        <w:ind w:left="709" w:hanging="709"/>
        <w:jc w:val="both"/>
        <w:rPr>
          <w:rFonts w:ascii="Arial" w:hAnsi="Arial" w:cs="Arial"/>
          <w:b/>
          <w:bCs/>
          <w:color w:val="0073CF"/>
          <w:sz w:val="28"/>
          <w:szCs w:val="28"/>
        </w:rPr>
      </w:pPr>
      <w:bookmarkStart w:id="11" w:name="_Toc167976204"/>
      <w:r w:rsidRPr="006E26E0">
        <w:rPr>
          <w:rFonts w:ascii="Arial" w:hAnsi="Arial" w:cs="Arial"/>
          <w:b/>
          <w:bCs/>
          <w:color w:val="0073CF"/>
          <w:sz w:val="28"/>
          <w:szCs w:val="28"/>
        </w:rPr>
        <w:t>Development Management Policies</w:t>
      </w:r>
      <w:bookmarkEnd w:id="11"/>
    </w:p>
    <w:p w14:paraId="1082B51C" w14:textId="77777777" w:rsidR="007B68B8" w:rsidRDefault="007B68B8" w:rsidP="001B59A6">
      <w:pPr>
        <w:pStyle w:val="ListParagraph"/>
        <w:spacing w:line="276" w:lineRule="auto"/>
        <w:ind w:left="360"/>
        <w:jc w:val="both"/>
        <w:rPr>
          <w:rFonts w:cs="Arial"/>
          <w:b/>
          <w:bCs/>
        </w:rPr>
      </w:pPr>
    </w:p>
    <w:p w14:paraId="1517A635" w14:textId="0025F5DC" w:rsidR="00727950" w:rsidRDefault="00727950" w:rsidP="001B59A6">
      <w:pPr>
        <w:pStyle w:val="ListParagraph"/>
        <w:numPr>
          <w:ilvl w:val="1"/>
          <w:numId w:val="11"/>
        </w:numPr>
        <w:spacing w:line="276" w:lineRule="auto"/>
        <w:ind w:left="709" w:hanging="709"/>
        <w:jc w:val="both"/>
        <w:rPr>
          <w:rFonts w:cs="Arial"/>
        </w:rPr>
      </w:pPr>
      <w:r w:rsidRPr="00727950">
        <w:rPr>
          <w:rFonts w:cs="Arial"/>
        </w:rPr>
        <w:t xml:space="preserve">The development management policies </w:t>
      </w:r>
      <w:r w:rsidR="0072405D">
        <w:rPr>
          <w:rFonts w:cs="Arial"/>
        </w:rPr>
        <w:t>have been</w:t>
      </w:r>
      <w:r w:rsidRPr="00727950">
        <w:rPr>
          <w:rFonts w:cs="Arial"/>
        </w:rPr>
        <w:t xml:space="preserve"> updated since the Preferred Approach to reflect changes to the Use Classes Order as well as in response to representations received.</w:t>
      </w:r>
      <w:r w:rsidR="00DD40AD">
        <w:rPr>
          <w:rFonts w:cs="Arial"/>
        </w:rPr>
        <w:t xml:space="preserve"> </w:t>
      </w:r>
      <w:r>
        <w:rPr>
          <w:rFonts w:cs="Arial"/>
        </w:rPr>
        <w:t>Separate policies relating to existing and new employment sites were combined into a single policy</w:t>
      </w:r>
      <w:r w:rsidR="00F477F6">
        <w:rPr>
          <w:rFonts w:cs="Arial"/>
        </w:rPr>
        <w:t xml:space="preserve"> (E2)</w:t>
      </w:r>
      <w:r>
        <w:rPr>
          <w:rFonts w:cs="Arial"/>
        </w:rPr>
        <w:t>.</w:t>
      </w:r>
      <w:r w:rsidR="00DD40AD">
        <w:rPr>
          <w:rFonts w:cs="Arial"/>
        </w:rPr>
        <w:t xml:space="preserve"> </w:t>
      </w:r>
      <w:r w:rsidRPr="00727950">
        <w:rPr>
          <w:rFonts w:cs="Arial"/>
        </w:rPr>
        <w:t>The marketing requirements set out in an appendix</w:t>
      </w:r>
      <w:r w:rsidR="00DB5C4B">
        <w:rPr>
          <w:rFonts w:cs="Arial"/>
        </w:rPr>
        <w:t xml:space="preserve"> (Appendix C) </w:t>
      </w:r>
      <w:r w:rsidRPr="00727950">
        <w:rPr>
          <w:rFonts w:cs="Arial"/>
        </w:rPr>
        <w:t xml:space="preserve">to the plan were reviewed, and the marketing requirement was reduced from </w:t>
      </w:r>
      <w:r w:rsidR="0060218F">
        <w:rPr>
          <w:rFonts w:cs="Arial"/>
        </w:rPr>
        <w:t xml:space="preserve">2 years </w:t>
      </w:r>
      <w:r w:rsidRPr="00727950">
        <w:rPr>
          <w:rFonts w:cs="Arial"/>
        </w:rPr>
        <w:t xml:space="preserve">to </w:t>
      </w:r>
      <w:r w:rsidR="0060218F">
        <w:rPr>
          <w:rFonts w:cs="Arial"/>
        </w:rPr>
        <w:t>1 year</w:t>
      </w:r>
      <w:r w:rsidR="002D5956">
        <w:rPr>
          <w:rFonts w:cs="Arial"/>
        </w:rPr>
        <w:t>. The supporting text to the employment policy sets out that particular scrutiny will be given to the marketing evidence for marine related uses with the aim of preserving these uses</w:t>
      </w:r>
      <w:r w:rsidR="0060218F">
        <w:rPr>
          <w:rFonts w:cs="Arial"/>
        </w:rPr>
        <w:t xml:space="preserve"> - marine economy uses are more specifically covered by Policy NE12 Development Around the Coast. </w:t>
      </w:r>
    </w:p>
    <w:p w14:paraId="289643AE" w14:textId="77777777" w:rsidR="00541706" w:rsidRDefault="00541706" w:rsidP="001B59A6">
      <w:pPr>
        <w:pStyle w:val="ListParagraph"/>
        <w:spacing w:line="276" w:lineRule="auto"/>
        <w:ind w:left="792"/>
        <w:jc w:val="both"/>
        <w:rPr>
          <w:rFonts w:cs="Arial"/>
        </w:rPr>
      </w:pPr>
    </w:p>
    <w:p w14:paraId="3E3AFE98" w14:textId="27BC01A6" w:rsidR="00541706" w:rsidRPr="00727950" w:rsidRDefault="00F866F3" w:rsidP="001B59A6">
      <w:pPr>
        <w:pStyle w:val="ListParagraph"/>
        <w:numPr>
          <w:ilvl w:val="1"/>
          <w:numId w:val="11"/>
        </w:numPr>
        <w:spacing w:line="276" w:lineRule="auto"/>
        <w:ind w:left="709" w:hanging="709"/>
        <w:jc w:val="both"/>
        <w:rPr>
          <w:rFonts w:cs="Arial"/>
        </w:rPr>
      </w:pPr>
      <w:r>
        <w:rPr>
          <w:rFonts w:cs="Arial"/>
        </w:rPr>
        <w:t xml:space="preserve">Only one minor change is suggested post Reg 19 consultation, to refer to “office developments” rather than “class E(g)”. </w:t>
      </w:r>
    </w:p>
    <w:p w14:paraId="1263CB21" w14:textId="4ABD32C5" w:rsidR="007A2961" w:rsidRPr="006E26E0" w:rsidRDefault="007A2961" w:rsidP="00CA0531">
      <w:pPr>
        <w:pStyle w:val="Heading1"/>
        <w:numPr>
          <w:ilvl w:val="0"/>
          <w:numId w:val="11"/>
        </w:numPr>
        <w:ind w:left="709" w:hanging="709"/>
        <w:jc w:val="both"/>
        <w:rPr>
          <w:rFonts w:ascii="Arial" w:hAnsi="Arial" w:cs="Arial"/>
          <w:b/>
          <w:bCs/>
          <w:color w:val="0073CF"/>
          <w:sz w:val="28"/>
          <w:szCs w:val="28"/>
        </w:rPr>
      </w:pPr>
      <w:bookmarkStart w:id="12" w:name="_Toc167976205"/>
      <w:r w:rsidRPr="006E26E0">
        <w:rPr>
          <w:rFonts w:ascii="Arial" w:hAnsi="Arial" w:cs="Arial"/>
          <w:b/>
          <w:bCs/>
          <w:color w:val="0073CF"/>
          <w:sz w:val="28"/>
          <w:szCs w:val="28"/>
        </w:rPr>
        <w:t>Sustainability Appraisal and reasonable alternatives</w:t>
      </w:r>
      <w:bookmarkEnd w:id="12"/>
    </w:p>
    <w:p w14:paraId="19747121" w14:textId="77777777" w:rsidR="007A2961" w:rsidRPr="00F45797" w:rsidRDefault="007A2961" w:rsidP="001B59A6">
      <w:pPr>
        <w:pStyle w:val="ListParagraph"/>
        <w:spacing w:line="276" w:lineRule="auto"/>
        <w:jc w:val="both"/>
        <w:rPr>
          <w:rFonts w:cs="Arial"/>
          <w:b/>
        </w:rPr>
      </w:pPr>
    </w:p>
    <w:p w14:paraId="0F965406" w14:textId="49196C6C" w:rsidR="00F866F3" w:rsidRDefault="006611F2" w:rsidP="001B59A6">
      <w:pPr>
        <w:pStyle w:val="ListParagraph"/>
        <w:numPr>
          <w:ilvl w:val="1"/>
          <w:numId w:val="11"/>
        </w:numPr>
        <w:spacing w:line="276" w:lineRule="auto"/>
        <w:ind w:left="709" w:hanging="709"/>
        <w:jc w:val="both"/>
        <w:rPr>
          <w:rFonts w:cs="Arial"/>
        </w:rPr>
      </w:pPr>
      <w:r w:rsidRPr="00075380">
        <w:rPr>
          <w:rFonts w:cs="Arial"/>
        </w:rPr>
        <w:t xml:space="preserve">Appendix </w:t>
      </w:r>
      <w:r w:rsidR="007B68B8">
        <w:rPr>
          <w:rFonts w:cs="Arial"/>
        </w:rPr>
        <w:t xml:space="preserve">II </w:t>
      </w:r>
      <w:r w:rsidRPr="00075380">
        <w:rPr>
          <w:rFonts w:cs="Arial"/>
        </w:rPr>
        <w:t>of the Sustainability Appraisal</w:t>
      </w:r>
      <w:r w:rsidR="00755571">
        <w:rPr>
          <w:rFonts w:cs="Arial"/>
        </w:rPr>
        <w:t xml:space="preserve"> (SA)</w:t>
      </w:r>
      <w:r w:rsidR="00273ACA">
        <w:rPr>
          <w:rFonts w:cs="Arial"/>
        </w:rPr>
        <w:t xml:space="preserve"> (SD03.01)</w:t>
      </w:r>
      <w:r w:rsidR="00D22A12">
        <w:rPr>
          <w:rFonts w:cs="Arial"/>
        </w:rPr>
        <w:t xml:space="preserve"> (which starts on page 68)</w:t>
      </w:r>
      <w:r w:rsidRPr="00075380">
        <w:rPr>
          <w:rFonts w:cs="Arial"/>
        </w:rPr>
        <w:t xml:space="preserve"> s</w:t>
      </w:r>
      <w:r w:rsidR="00FD441F">
        <w:rPr>
          <w:rFonts w:cs="Arial"/>
        </w:rPr>
        <w:t>ummarises</w:t>
      </w:r>
      <w:r w:rsidRPr="00075380">
        <w:rPr>
          <w:rFonts w:cs="Arial"/>
        </w:rPr>
        <w:t xml:space="preserve"> the alternatives</w:t>
      </w:r>
      <w:r w:rsidR="00FD441F">
        <w:rPr>
          <w:rFonts w:cs="Arial"/>
        </w:rPr>
        <w:t xml:space="preserve"> which were considered as the plan was prepared, both in terms of employment growth scenario and site selection, noting that the majority of supply will come from existing permissions and allocations.</w:t>
      </w:r>
    </w:p>
    <w:p w14:paraId="6C317F5E" w14:textId="77777777" w:rsidR="00FD441F" w:rsidRDefault="00FD441F" w:rsidP="001B59A6">
      <w:pPr>
        <w:pStyle w:val="ListParagraph"/>
        <w:spacing w:line="276" w:lineRule="auto"/>
        <w:ind w:left="792"/>
        <w:jc w:val="both"/>
        <w:rPr>
          <w:rFonts w:cs="Arial"/>
        </w:rPr>
      </w:pPr>
    </w:p>
    <w:p w14:paraId="1B1B18AB" w14:textId="4B55AB6C" w:rsidR="00FD441F" w:rsidRDefault="00FD441F" w:rsidP="001B59A6">
      <w:pPr>
        <w:pStyle w:val="ListParagraph"/>
        <w:numPr>
          <w:ilvl w:val="1"/>
          <w:numId w:val="11"/>
        </w:numPr>
        <w:spacing w:line="276" w:lineRule="auto"/>
        <w:ind w:left="709" w:hanging="709"/>
        <w:jc w:val="both"/>
        <w:rPr>
          <w:rFonts w:cs="Arial"/>
        </w:rPr>
      </w:pPr>
      <w:r>
        <w:rPr>
          <w:rFonts w:cs="Arial"/>
        </w:rPr>
        <w:t>Land South of Bognor Road performed well in the SA with other options generally either being too small or not well located in terms of the overall plan strategy of focussing employment close to the city.</w:t>
      </w:r>
      <w:r w:rsidR="000E4A29">
        <w:rPr>
          <w:rFonts w:cs="Arial"/>
        </w:rPr>
        <w:t xml:space="preserve"> The SA concludes that there are no reasonable alternatives to the proposed allocation.</w:t>
      </w:r>
      <w:r>
        <w:rPr>
          <w:rFonts w:cs="Arial"/>
        </w:rPr>
        <w:t xml:space="preserve"> </w:t>
      </w:r>
    </w:p>
    <w:p w14:paraId="058C5DC8" w14:textId="4B2A3CC0" w:rsidR="004104C3" w:rsidRPr="006E26E0" w:rsidRDefault="002839C9" w:rsidP="00CA0531">
      <w:pPr>
        <w:pStyle w:val="Heading1"/>
        <w:numPr>
          <w:ilvl w:val="0"/>
          <w:numId w:val="11"/>
        </w:numPr>
        <w:spacing w:before="0"/>
        <w:ind w:left="709" w:hanging="709"/>
        <w:jc w:val="both"/>
        <w:rPr>
          <w:rFonts w:ascii="Arial" w:hAnsi="Arial" w:cs="Arial"/>
          <w:b/>
          <w:bCs/>
          <w:color w:val="0073CF"/>
          <w:sz w:val="28"/>
          <w:szCs w:val="28"/>
        </w:rPr>
      </w:pPr>
      <w:bookmarkStart w:id="13" w:name="_Toc167976206"/>
      <w:r w:rsidRPr="006E26E0">
        <w:rPr>
          <w:rFonts w:ascii="Arial" w:hAnsi="Arial" w:cs="Arial"/>
          <w:b/>
          <w:bCs/>
          <w:color w:val="0073CF"/>
          <w:sz w:val="28"/>
          <w:szCs w:val="28"/>
        </w:rPr>
        <w:lastRenderedPageBreak/>
        <w:t>Conclusion</w:t>
      </w:r>
      <w:bookmarkEnd w:id="13"/>
      <w:r w:rsidR="001755E6" w:rsidRPr="006E26E0">
        <w:rPr>
          <w:rFonts w:ascii="Arial" w:hAnsi="Arial" w:cs="Arial"/>
          <w:b/>
          <w:bCs/>
          <w:color w:val="0073CF"/>
          <w:sz w:val="28"/>
          <w:szCs w:val="28"/>
        </w:rPr>
        <w:t xml:space="preserve"> </w:t>
      </w:r>
    </w:p>
    <w:p w14:paraId="493A89D2" w14:textId="77777777" w:rsidR="00BF3AB5" w:rsidRDefault="00BF3AB5" w:rsidP="001B59A6">
      <w:pPr>
        <w:pStyle w:val="ListParagraph"/>
        <w:spacing w:line="276" w:lineRule="auto"/>
        <w:ind w:left="360"/>
        <w:jc w:val="both"/>
        <w:rPr>
          <w:rFonts w:cs="Arial"/>
          <w:b/>
        </w:rPr>
      </w:pPr>
    </w:p>
    <w:p w14:paraId="181F05EA" w14:textId="40E6E4C5" w:rsidR="00E66C53" w:rsidRDefault="00E66C53" w:rsidP="001B59A6">
      <w:pPr>
        <w:pStyle w:val="ListParagraph"/>
        <w:numPr>
          <w:ilvl w:val="1"/>
          <w:numId w:val="11"/>
        </w:numPr>
        <w:spacing w:line="276" w:lineRule="auto"/>
        <w:ind w:left="709" w:hanging="709"/>
        <w:jc w:val="both"/>
        <w:rPr>
          <w:rFonts w:cs="Arial"/>
          <w:bCs/>
        </w:rPr>
      </w:pPr>
      <w:r w:rsidRPr="00E66C53">
        <w:rPr>
          <w:rFonts w:cs="Arial"/>
          <w:bCs/>
        </w:rPr>
        <w:t xml:space="preserve">Land South of Bognor Road is proposed as a new employment allocation </w:t>
      </w:r>
      <w:r w:rsidR="00DB5C4B">
        <w:rPr>
          <w:rFonts w:cs="Arial"/>
          <w:bCs/>
        </w:rPr>
        <w:t xml:space="preserve">(A20) </w:t>
      </w:r>
      <w:r w:rsidRPr="00E66C53">
        <w:rPr>
          <w:rFonts w:cs="Arial"/>
          <w:bCs/>
        </w:rPr>
        <w:t>to provide space for additional employment alongside existing commitments and retained allocations. This site benefits from good access to the road network</w:t>
      </w:r>
      <w:r>
        <w:rPr>
          <w:rFonts w:cs="Arial"/>
          <w:bCs/>
        </w:rPr>
        <w:t xml:space="preserve"> and proximity to Chichester. The development </w:t>
      </w:r>
      <w:r w:rsidRPr="00E66C53">
        <w:rPr>
          <w:rFonts w:cs="Arial"/>
          <w:bCs/>
        </w:rPr>
        <w:t>can</w:t>
      </w:r>
      <w:r>
        <w:rPr>
          <w:rFonts w:cs="Arial"/>
          <w:bCs/>
        </w:rPr>
        <w:t xml:space="preserve"> also</w:t>
      </w:r>
      <w:r w:rsidRPr="00E66C53">
        <w:rPr>
          <w:rFonts w:cs="Arial"/>
          <w:bCs/>
        </w:rPr>
        <w:t xml:space="preserve"> facilitate the diversion of Vinnetrow Road</w:t>
      </w:r>
      <w:r w:rsidR="000E4A29">
        <w:rPr>
          <w:rFonts w:cs="Arial"/>
          <w:bCs/>
        </w:rPr>
        <w:t>, if required,</w:t>
      </w:r>
      <w:r w:rsidRPr="00E66C53">
        <w:rPr>
          <w:rFonts w:cs="Arial"/>
          <w:bCs/>
        </w:rPr>
        <w:t xml:space="preserve"> and is in a good location to support employment development linked to the horticultural industry. </w:t>
      </w:r>
    </w:p>
    <w:p w14:paraId="7E3DDE74" w14:textId="77777777" w:rsidR="00BF3AB5" w:rsidRDefault="00BF3AB5" w:rsidP="001B59A6">
      <w:pPr>
        <w:pStyle w:val="ListParagraph"/>
        <w:spacing w:line="276" w:lineRule="auto"/>
        <w:ind w:left="792"/>
        <w:jc w:val="both"/>
        <w:rPr>
          <w:rFonts w:cs="Arial"/>
          <w:bCs/>
        </w:rPr>
      </w:pPr>
    </w:p>
    <w:p w14:paraId="06AD0CA0" w14:textId="74E31E1F" w:rsidR="00E66C53" w:rsidRDefault="00E66C53" w:rsidP="001B59A6">
      <w:pPr>
        <w:pStyle w:val="ListParagraph"/>
        <w:numPr>
          <w:ilvl w:val="1"/>
          <w:numId w:val="11"/>
        </w:numPr>
        <w:spacing w:line="276" w:lineRule="auto"/>
        <w:ind w:left="709" w:hanging="709"/>
        <w:jc w:val="both"/>
        <w:rPr>
          <w:rFonts w:cs="Arial"/>
          <w:bCs/>
        </w:rPr>
      </w:pPr>
      <w:r>
        <w:rPr>
          <w:rFonts w:cs="Arial"/>
          <w:bCs/>
        </w:rPr>
        <w:t>Land is also safeguarded to the East of Rolls Royce</w:t>
      </w:r>
      <w:r w:rsidR="00DB5C4B">
        <w:rPr>
          <w:rFonts w:cs="Arial"/>
          <w:bCs/>
        </w:rPr>
        <w:t xml:space="preserve"> (A21)</w:t>
      </w:r>
      <w:r>
        <w:rPr>
          <w:rFonts w:cs="Arial"/>
          <w:bCs/>
        </w:rPr>
        <w:t xml:space="preserve"> to allow for future expansion.</w:t>
      </w:r>
      <w:r w:rsidR="000E4A29">
        <w:rPr>
          <w:rFonts w:cs="Arial"/>
          <w:bCs/>
        </w:rPr>
        <w:t xml:space="preserve"> Whilst an application on this site has now progressed it has not yet been granted full permission and so it is considered appropriate to retain the policy. </w:t>
      </w:r>
    </w:p>
    <w:p w14:paraId="668A79E2" w14:textId="77777777" w:rsidR="00BF3AB5" w:rsidRDefault="00BF3AB5" w:rsidP="001B59A6">
      <w:pPr>
        <w:pStyle w:val="ListParagraph"/>
        <w:spacing w:line="276" w:lineRule="auto"/>
        <w:ind w:left="792"/>
        <w:jc w:val="both"/>
        <w:rPr>
          <w:rFonts w:cs="Arial"/>
          <w:bCs/>
        </w:rPr>
      </w:pPr>
    </w:p>
    <w:p w14:paraId="207C14FB" w14:textId="23D4AF1E" w:rsidR="00E66C53" w:rsidRDefault="00E66C53" w:rsidP="001B59A6">
      <w:pPr>
        <w:pStyle w:val="ListParagraph"/>
        <w:numPr>
          <w:ilvl w:val="1"/>
          <w:numId w:val="11"/>
        </w:numPr>
        <w:spacing w:line="276" w:lineRule="auto"/>
        <w:ind w:left="709" w:hanging="709"/>
        <w:jc w:val="both"/>
        <w:rPr>
          <w:rFonts w:cs="Arial"/>
          <w:bCs/>
        </w:rPr>
      </w:pPr>
      <w:r>
        <w:rPr>
          <w:rFonts w:cs="Arial"/>
          <w:bCs/>
        </w:rPr>
        <w:t>Additional employment is likely to be delivered through neighbourhood plans</w:t>
      </w:r>
      <w:r w:rsidR="00FA5705">
        <w:rPr>
          <w:rFonts w:cs="Arial"/>
          <w:bCs/>
        </w:rPr>
        <w:t xml:space="preserve"> and at the Southbourne Broad Location for Development. </w:t>
      </w:r>
      <w:r>
        <w:rPr>
          <w:rFonts w:cs="Arial"/>
          <w:bCs/>
        </w:rPr>
        <w:t xml:space="preserve"> </w:t>
      </w:r>
    </w:p>
    <w:p w14:paraId="702D820A" w14:textId="77777777" w:rsidR="00BF3AB5" w:rsidRDefault="00BF3AB5" w:rsidP="001B59A6">
      <w:pPr>
        <w:pStyle w:val="ListParagraph"/>
        <w:spacing w:line="276" w:lineRule="auto"/>
        <w:ind w:left="792"/>
        <w:jc w:val="both"/>
        <w:rPr>
          <w:rFonts w:cs="Arial"/>
          <w:bCs/>
        </w:rPr>
      </w:pPr>
    </w:p>
    <w:p w14:paraId="7B04500F" w14:textId="4807932E" w:rsidR="00E66C53" w:rsidRPr="00E66C53" w:rsidRDefault="00E66C53" w:rsidP="001B59A6">
      <w:pPr>
        <w:pStyle w:val="ListParagraph"/>
        <w:numPr>
          <w:ilvl w:val="1"/>
          <w:numId w:val="11"/>
        </w:numPr>
        <w:spacing w:line="276" w:lineRule="auto"/>
        <w:ind w:left="709" w:hanging="709"/>
        <w:jc w:val="both"/>
        <w:rPr>
          <w:rFonts w:cs="Arial"/>
          <w:bCs/>
        </w:rPr>
      </w:pPr>
      <w:r>
        <w:rPr>
          <w:rFonts w:cs="Arial"/>
          <w:bCs/>
        </w:rPr>
        <w:t>Development management polic</w:t>
      </w:r>
      <w:r w:rsidR="00DB5C4B">
        <w:rPr>
          <w:rFonts w:cs="Arial"/>
          <w:bCs/>
        </w:rPr>
        <w:t>y</w:t>
      </w:r>
      <w:r>
        <w:rPr>
          <w:rFonts w:cs="Arial"/>
          <w:bCs/>
        </w:rPr>
        <w:t xml:space="preserve"> </w:t>
      </w:r>
      <w:r w:rsidR="00DB5C4B">
        <w:rPr>
          <w:rFonts w:cs="Arial"/>
          <w:bCs/>
        </w:rPr>
        <w:t xml:space="preserve">(E2) </w:t>
      </w:r>
      <w:r>
        <w:rPr>
          <w:rFonts w:cs="Arial"/>
          <w:bCs/>
        </w:rPr>
        <w:t>continue</w:t>
      </w:r>
      <w:r w:rsidR="00DB5C4B">
        <w:rPr>
          <w:rFonts w:cs="Arial"/>
          <w:bCs/>
        </w:rPr>
        <w:t>s</w:t>
      </w:r>
      <w:r>
        <w:rPr>
          <w:rFonts w:cs="Arial"/>
          <w:bCs/>
        </w:rPr>
        <w:t xml:space="preserve"> to protect existing employment sites for employment uses unless specific criteria are met. The marketing requirements to be considered as part of that assessment have been reviewed. </w:t>
      </w:r>
    </w:p>
    <w:p w14:paraId="0C819877" w14:textId="77777777" w:rsidR="00413BD8" w:rsidRDefault="00413BD8" w:rsidP="008D66DE">
      <w:pPr>
        <w:jc w:val="both"/>
      </w:pPr>
    </w:p>
    <w:sectPr w:rsidR="00413BD8" w:rsidSect="00897A11">
      <w:headerReference w:type="default" r:id="rId10"/>
      <w:footerReference w:type="default" r:id="rId11"/>
      <w:pgSz w:w="11906" w:h="16838"/>
      <w:pgMar w:top="1134" w:right="1134" w:bottom="1134" w:left="1134"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44051" w14:textId="77777777" w:rsidR="008D66DE" w:rsidRDefault="008D66DE" w:rsidP="008D66DE">
      <w:pPr>
        <w:spacing w:after="0" w:line="240" w:lineRule="auto"/>
      </w:pPr>
      <w:r>
        <w:separator/>
      </w:r>
    </w:p>
  </w:endnote>
  <w:endnote w:type="continuationSeparator" w:id="0">
    <w:p w14:paraId="033E5B2B" w14:textId="77777777" w:rsidR="008D66DE" w:rsidRDefault="008D66DE" w:rsidP="008D6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745242"/>
      <w:docPartObj>
        <w:docPartGallery w:val="Page Numbers (Bottom of Page)"/>
        <w:docPartUnique/>
      </w:docPartObj>
    </w:sdtPr>
    <w:sdtEndPr>
      <w:rPr>
        <w:rFonts w:ascii="Arial" w:hAnsi="Arial" w:cs="Arial"/>
        <w:sz w:val="20"/>
        <w:szCs w:val="20"/>
      </w:rPr>
    </w:sdtEndPr>
    <w:sdtContent>
      <w:p w14:paraId="0AE398B3" w14:textId="31E786EF" w:rsidR="00897A11" w:rsidRPr="00F6432B" w:rsidRDefault="00897A11">
        <w:pPr>
          <w:pStyle w:val="Footer"/>
          <w:jc w:val="right"/>
          <w:rPr>
            <w:rFonts w:ascii="Arial" w:hAnsi="Arial" w:cs="Arial"/>
            <w:sz w:val="20"/>
            <w:szCs w:val="20"/>
          </w:rPr>
        </w:pPr>
        <w:r w:rsidRPr="00F6432B">
          <w:rPr>
            <w:rFonts w:ascii="Arial" w:hAnsi="Arial" w:cs="Arial"/>
            <w:sz w:val="20"/>
            <w:szCs w:val="20"/>
          </w:rPr>
          <w:fldChar w:fldCharType="begin"/>
        </w:r>
        <w:r w:rsidRPr="00F6432B">
          <w:rPr>
            <w:rFonts w:ascii="Arial" w:hAnsi="Arial" w:cs="Arial"/>
            <w:sz w:val="20"/>
            <w:szCs w:val="20"/>
          </w:rPr>
          <w:instrText>PAGE   \* MERGEFORMAT</w:instrText>
        </w:r>
        <w:r w:rsidRPr="00F6432B">
          <w:rPr>
            <w:rFonts w:ascii="Arial" w:hAnsi="Arial" w:cs="Arial"/>
            <w:sz w:val="20"/>
            <w:szCs w:val="20"/>
          </w:rPr>
          <w:fldChar w:fldCharType="separate"/>
        </w:r>
        <w:r w:rsidRPr="00F6432B">
          <w:rPr>
            <w:rFonts w:ascii="Arial" w:hAnsi="Arial" w:cs="Arial"/>
            <w:sz w:val="20"/>
            <w:szCs w:val="20"/>
          </w:rPr>
          <w:t>2</w:t>
        </w:r>
        <w:r w:rsidRPr="00F6432B">
          <w:rPr>
            <w:rFonts w:ascii="Arial" w:hAnsi="Arial" w:cs="Arial"/>
            <w:sz w:val="20"/>
            <w:szCs w:val="20"/>
          </w:rPr>
          <w:fldChar w:fldCharType="end"/>
        </w:r>
      </w:p>
    </w:sdtContent>
  </w:sdt>
  <w:p w14:paraId="0B4D015C" w14:textId="77777777" w:rsidR="00897A11" w:rsidRDefault="00897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D697B" w14:textId="77777777" w:rsidR="008D66DE" w:rsidRDefault="008D66DE" w:rsidP="008D66DE">
      <w:pPr>
        <w:spacing w:after="0" w:line="240" w:lineRule="auto"/>
      </w:pPr>
      <w:r>
        <w:separator/>
      </w:r>
    </w:p>
  </w:footnote>
  <w:footnote w:type="continuationSeparator" w:id="0">
    <w:p w14:paraId="45A15A84" w14:textId="77777777" w:rsidR="008D66DE" w:rsidRDefault="008D66DE" w:rsidP="008D6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0543" w14:textId="77777777" w:rsidR="008D66DE" w:rsidRPr="00F6432B" w:rsidRDefault="008D66DE" w:rsidP="008D66DE">
    <w:pPr>
      <w:pStyle w:val="Header"/>
      <w:tabs>
        <w:tab w:val="clear" w:pos="4513"/>
        <w:tab w:val="clear" w:pos="9026"/>
        <w:tab w:val="right" w:pos="10170"/>
      </w:tabs>
      <w:jc w:val="right"/>
      <w:rPr>
        <w:rFonts w:ascii="Arial" w:hAnsi="Arial" w:cs="Arial"/>
        <w:sz w:val="20"/>
        <w:szCs w:val="20"/>
      </w:rPr>
    </w:pPr>
    <w:bookmarkStart w:id="14" w:name="_Hlk167349515"/>
    <w:bookmarkStart w:id="15" w:name="_Hlk167349516"/>
    <w:r w:rsidRPr="00F6432B">
      <w:rPr>
        <w:rFonts w:ascii="Arial" w:hAnsi="Arial" w:cs="Arial"/>
        <w:sz w:val="20"/>
        <w:szCs w:val="20"/>
      </w:rPr>
      <w:t>Chichester Local Plan 2021 – 2039</w:t>
    </w:r>
  </w:p>
  <w:p w14:paraId="18EAD9D2" w14:textId="1B1E5B28" w:rsidR="008D66DE" w:rsidRPr="00F6432B" w:rsidRDefault="008D66DE" w:rsidP="008D66DE">
    <w:pPr>
      <w:pStyle w:val="Header"/>
      <w:pBdr>
        <w:bottom w:val="single" w:sz="6" w:space="1" w:color="auto"/>
      </w:pBdr>
      <w:tabs>
        <w:tab w:val="clear" w:pos="4513"/>
        <w:tab w:val="clear" w:pos="9026"/>
      </w:tabs>
      <w:jc w:val="right"/>
      <w:rPr>
        <w:sz w:val="20"/>
        <w:szCs w:val="20"/>
      </w:rPr>
    </w:pPr>
    <w:r w:rsidRPr="00F6432B">
      <w:rPr>
        <w:rFonts w:ascii="Arial" w:hAnsi="Arial" w:cs="Arial"/>
        <w:sz w:val="20"/>
        <w:szCs w:val="20"/>
      </w:rPr>
      <w:tab/>
      <w:t>Economic Development and Employment Background Paper</w:t>
    </w:r>
  </w:p>
  <w:bookmarkEnd w:id="14"/>
  <w:bookmarkEnd w:id="15"/>
  <w:p w14:paraId="572DC72D" w14:textId="77777777" w:rsidR="008D66DE" w:rsidRDefault="008D6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35B85"/>
    <w:multiLevelType w:val="hybridMultilevel"/>
    <w:tmpl w:val="948C3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407CE"/>
    <w:multiLevelType w:val="hybridMultilevel"/>
    <w:tmpl w:val="F8E86844"/>
    <w:lvl w:ilvl="0" w:tplc="C2F6116E">
      <w:start w:val="1"/>
      <w:numFmt w:val="decimal"/>
      <w:lvlText w:val="%1."/>
      <w:lvlJc w:val="left"/>
      <w:pPr>
        <w:ind w:left="303" w:hanging="36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2" w15:restartNumberingAfterBreak="0">
    <w:nsid w:val="1FE710DD"/>
    <w:multiLevelType w:val="hybridMultilevel"/>
    <w:tmpl w:val="5E7069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EA2250"/>
    <w:multiLevelType w:val="multilevel"/>
    <w:tmpl w:val="1D6C1A06"/>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 w15:restartNumberingAfterBreak="0">
    <w:nsid w:val="27CA3573"/>
    <w:multiLevelType w:val="multilevel"/>
    <w:tmpl w:val="5C64E57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C652EB"/>
    <w:multiLevelType w:val="multilevel"/>
    <w:tmpl w:val="BF2C6FF4"/>
    <w:lvl w:ilvl="0">
      <w:start w:val="1"/>
      <w:numFmt w:val="decimal"/>
      <w:lvlText w:val="%1"/>
      <w:lvlJc w:val="left"/>
      <w:pPr>
        <w:ind w:left="0" w:firstLine="0"/>
      </w:pPr>
      <w:rPr>
        <w:rFonts w:ascii="Arial" w:hAnsi="Arial" w:cs="Arial" w:hint="default"/>
        <w:sz w:val="24"/>
        <w:szCs w:val="24"/>
      </w:rPr>
    </w:lvl>
    <w:lvl w:ilvl="1">
      <w:start w:val="1"/>
      <w:numFmt w:val="decimal"/>
      <w:lvlText w:val="%1.%2"/>
      <w:lvlJc w:val="left"/>
      <w:pPr>
        <w:ind w:left="0" w:firstLine="0"/>
      </w:pPr>
      <w:rPr>
        <w:rFonts w:ascii="Arial" w:hAnsi="Arial" w:cs="Arial" w:hint="default"/>
        <w:b/>
        <w:i w:val="0"/>
        <w:color w:val="17365D" w:themeColor="text2" w:themeShade="BF"/>
        <w:sz w:val="24"/>
        <w:szCs w:val="24"/>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4C8A1EA5"/>
    <w:multiLevelType w:val="multilevel"/>
    <w:tmpl w:val="1D6C1A06"/>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7" w15:restartNumberingAfterBreak="0">
    <w:nsid w:val="5B7E4985"/>
    <w:multiLevelType w:val="multilevel"/>
    <w:tmpl w:val="61D8232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D2B041C"/>
    <w:multiLevelType w:val="hybridMultilevel"/>
    <w:tmpl w:val="9AFAE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911C5B"/>
    <w:multiLevelType w:val="hybridMultilevel"/>
    <w:tmpl w:val="0E728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F04A4D"/>
    <w:multiLevelType w:val="hybridMultilevel"/>
    <w:tmpl w:val="3348B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04410D"/>
    <w:multiLevelType w:val="multilevel"/>
    <w:tmpl w:val="7E5E3D5C"/>
    <w:lvl w:ilvl="0">
      <w:start w:val="1"/>
      <w:numFmt w:val="decimal"/>
      <w:lvlText w:val="%1."/>
      <w:lvlJc w:val="left"/>
      <w:pPr>
        <w:ind w:left="360" w:hanging="360"/>
      </w:pPr>
      <w:rPr>
        <w:color w:val="0073CF"/>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BD23815"/>
    <w:multiLevelType w:val="hybridMultilevel"/>
    <w:tmpl w:val="C054FF54"/>
    <w:lvl w:ilvl="0" w:tplc="BF8A8A9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78E94FA2"/>
    <w:multiLevelType w:val="hybridMultilevel"/>
    <w:tmpl w:val="3348B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9D2C23"/>
    <w:multiLevelType w:val="hybridMultilevel"/>
    <w:tmpl w:val="B7A833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9847544">
    <w:abstractNumId w:val="14"/>
  </w:num>
  <w:num w:numId="2" w16cid:durableId="1813020106">
    <w:abstractNumId w:val="2"/>
  </w:num>
  <w:num w:numId="3" w16cid:durableId="927497742">
    <w:abstractNumId w:val="10"/>
  </w:num>
  <w:num w:numId="4" w16cid:durableId="1926844277">
    <w:abstractNumId w:val="8"/>
  </w:num>
  <w:num w:numId="5" w16cid:durableId="1171065354">
    <w:abstractNumId w:val="12"/>
  </w:num>
  <w:num w:numId="6" w16cid:durableId="1906573801">
    <w:abstractNumId w:val="1"/>
  </w:num>
  <w:num w:numId="7" w16cid:durableId="1663848858">
    <w:abstractNumId w:val="0"/>
  </w:num>
  <w:num w:numId="8" w16cid:durableId="1860848149">
    <w:abstractNumId w:val="5"/>
  </w:num>
  <w:num w:numId="9" w16cid:durableId="1824546293">
    <w:abstractNumId w:val="9"/>
  </w:num>
  <w:num w:numId="10" w16cid:durableId="1833793226">
    <w:abstractNumId w:val="13"/>
  </w:num>
  <w:num w:numId="11" w16cid:durableId="2142384648">
    <w:abstractNumId w:val="11"/>
  </w:num>
  <w:num w:numId="12" w16cid:durableId="1446656345">
    <w:abstractNumId w:val="3"/>
  </w:num>
  <w:num w:numId="13" w16cid:durableId="748380714">
    <w:abstractNumId w:val="6"/>
  </w:num>
  <w:num w:numId="14" w16cid:durableId="1360617951">
    <w:abstractNumId w:val="7"/>
  </w:num>
  <w:num w:numId="15" w16cid:durableId="533344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42950FB-730F-485A-A167-8BADFCE2C780}"/>
    <w:docVar w:name="dgnword-eventsink" w:val="521198512"/>
  </w:docVars>
  <w:rsids>
    <w:rsidRoot w:val="009B426D"/>
    <w:rsid w:val="00007D11"/>
    <w:rsid w:val="000109C2"/>
    <w:rsid w:val="0001393A"/>
    <w:rsid w:val="000144AF"/>
    <w:rsid w:val="000169F0"/>
    <w:rsid w:val="00033350"/>
    <w:rsid w:val="00035E18"/>
    <w:rsid w:val="000367BB"/>
    <w:rsid w:val="00040342"/>
    <w:rsid w:val="00041467"/>
    <w:rsid w:val="000430C6"/>
    <w:rsid w:val="00064907"/>
    <w:rsid w:val="00070781"/>
    <w:rsid w:val="00075380"/>
    <w:rsid w:val="0007548C"/>
    <w:rsid w:val="00081E13"/>
    <w:rsid w:val="000849C5"/>
    <w:rsid w:val="00094137"/>
    <w:rsid w:val="000B05A8"/>
    <w:rsid w:val="000D6644"/>
    <w:rsid w:val="000E4A29"/>
    <w:rsid w:val="001102FF"/>
    <w:rsid w:val="001146A0"/>
    <w:rsid w:val="00120AFB"/>
    <w:rsid w:val="00123737"/>
    <w:rsid w:val="001747AA"/>
    <w:rsid w:val="001755E6"/>
    <w:rsid w:val="00183D1C"/>
    <w:rsid w:val="001850E1"/>
    <w:rsid w:val="001A39EA"/>
    <w:rsid w:val="001B59A6"/>
    <w:rsid w:val="001C22B8"/>
    <w:rsid w:val="001D265D"/>
    <w:rsid w:val="001E17ED"/>
    <w:rsid w:val="001E55CD"/>
    <w:rsid w:val="001F3C70"/>
    <w:rsid w:val="00200A22"/>
    <w:rsid w:val="002054D1"/>
    <w:rsid w:val="00222719"/>
    <w:rsid w:val="002332BD"/>
    <w:rsid w:val="00243567"/>
    <w:rsid w:val="0024455D"/>
    <w:rsid w:val="00247696"/>
    <w:rsid w:val="00260B89"/>
    <w:rsid w:val="00265291"/>
    <w:rsid w:val="002661CD"/>
    <w:rsid w:val="002662B5"/>
    <w:rsid w:val="00273ACA"/>
    <w:rsid w:val="002839C9"/>
    <w:rsid w:val="00287995"/>
    <w:rsid w:val="002901A0"/>
    <w:rsid w:val="00291CF0"/>
    <w:rsid w:val="00292FE6"/>
    <w:rsid w:val="0029377E"/>
    <w:rsid w:val="00296A3D"/>
    <w:rsid w:val="002B3FC9"/>
    <w:rsid w:val="002C171B"/>
    <w:rsid w:val="002D1D0E"/>
    <w:rsid w:val="002D5956"/>
    <w:rsid w:val="002E4BA9"/>
    <w:rsid w:val="002F1D55"/>
    <w:rsid w:val="00306562"/>
    <w:rsid w:val="003414E6"/>
    <w:rsid w:val="00353E6E"/>
    <w:rsid w:val="003A1945"/>
    <w:rsid w:val="003B6048"/>
    <w:rsid w:val="003C7401"/>
    <w:rsid w:val="003D0AE2"/>
    <w:rsid w:val="003D7AF4"/>
    <w:rsid w:val="003E00F6"/>
    <w:rsid w:val="003E2535"/>
    <w:rsid w:val="003E6F0E"/>
    <w:rsid w:val="00400FD4"/>
    <w:rsid w:val="00402024"/>
    <w:rsid w:val="00403D2B"/>
    <w:rsid w:val="00406738"/>
    <w:rsid w:val="004079B4"/>
    <w:rsid w:val="004104C3"/>
    <w:rsid w:val="00410DA6"/>
    <w:rsid w:val="004124DC"/>
    <w:rsid w:val="00413BD8"/>
    <w:rsid w:val="004245F7"/>
    <w:rsid w:val="004323DC"/>
    <w:rsid w:val="00435740"/>
    <w:rsid w:val="00452FE2"/>
    <w:rsid w:val="004551CB"/>
    <w:rsid w:val="004554DD"/>
    <w:rsid w:val="00472E4D"/>
    <w:rsid w:val="00477AB6"/>
    <w:rsid w:val="0048281D"/>
    <w:rsid w:val="0049486F"/>
    <w:rsid w:val="004A13A8"/>
    <w:rsid w:val="004A201E"/>
    <w:rsid w:val="004B2BCA"/>
    <w:rsid w:val="004B4707"/>
    <w:rsid w:val="004C03B3"/>
    <w:rsid w:val="004C15DF"/>
    <w:rsid w:val="004C31B3"/>
    <w:rsid w:val="004D014D"/>
    <w:rsid w:val="004E02DC"/>
    <w:rsid w:val="004F3D84"/>
    <w:rsid w:val="004F40B6"/>
    <w:rsid w:val="00504F0D"/>
    <w:rsid w:val="00516DE8"/>
    <w:rsid w:val="00531725"/>
    <w:rsid w:val="00541706"/>
    <w:rsid w:val="005438F4"/>
    <w:rsid w:val="00552038"/>
    <w:rsid w:val="00553FBB"/>
    <w:rsid w:val="00564EAD"/>
    <w:rsid w:val="005771F1"/>
    <w:rsid w:val="00585A13"/>
    <w:rsid w:val="00587221"/>
    <w:rsid w:val="00593F9A"/>
    <w:rsid w:val="0059485C"/>
    <w:rsid w:val="005A7126"/>
    <w:rsid w:val="005B67CF"/>
    <w:rsid w:val="005C770F"/>
    <w:rsid w:val="005D6562"/>
    <w:rsid w:val="005E0DE0"/>
    <w:rsid w:val="005E196E"/>
    <w:rsid w:val="005F20BC"/>
    <w:rsid w:val="0060218F"/>
    <w:rsid w:val="006033C2"/>
    <w:rsid w:val="00627B7B"/>
    <w:rsid w:val="00631B24"/>
    <w:rsid w:val="0063755D"/>
    <w:rsid w:val="00656C71"/>
    <w:rsid w:val="006611F2"/>
    <w:rsid w:val="00693867"/>
    <w:rsid w:val="006A11C3"/>
    <w:rsid w:val="006C11AC"/>
    <w:rsid w:val="006E1BC8"/>
    <w:rsid w:val="006E26E0"/>
    <w:rsid w:val="006F0270"/>
    <w:rsid w:val="006F72D5"/>
    <w:rsid w:val="007224A4"/>
    <w:rsid w:val="0072405D"/>
    <w:rsid w:val="0072499D"/>
    <w:rsid w:val="00727950"/>
    <w:rsid w:val="00732496"/>
    <w:rsid w:val="0073539D"/>
    <w:rsid w:val="00740594"/>
    <w:rsid w:val="007535AA"/>
    <w:rsid w:val="00755571"/>
    <w:rsid w:val="0075676C"/>
    <w:rsid w:val="00764130"/>
    <w:rsid w:val="00785FAE"/>
    <w:rsid w:val="007A2296"/>
    <w:rsid w:val="007A2961"/>
    <w:rsid w:val="007B24A7"/>
    <w:rsid w:val="007B68B8"/>
    <w:rsid w:val="007B7307"/>
    <w:rsid w:val="007C0DEF"/>
    <w:rsid w:val="007C50B1"/>
    <w:rsid w:val="007C7C78"/>
    <w:rsid w:val="007E18F6"/>
    <w:rsid w:val="007E3974"/>
    <w:rsid w:val="007E4AD5"/>
    <w:rsid w:val="007F0C53"/>
    <w:rsid w:val="007F31BE"/>
    <w:rsid w:val="008044A1"/>
    <w:rsid w:val="00804B09"/>
    <w:rsid w:val="008118D8"/>
    <w:rsid w:val="00814CD3"/>
    <w:rsid w:val="008172C0"/>
    <w:rsid w:val="00830F18"/>
    <w:rsid w:val="00842249"/>
    <w:rsid w:val="00842A70"/>
    <w:rsid w:val="0084697F"/>
    <w:rsid w:val="00861A4D"/>
    <w:rsid w:val="00866D21"/>
    <w:rsid w:val="008728BD"/>
    <w:rsid w:val="00874677"/>
    <w:rsid w:val="00892C63"/>
    <w:rsid w:val="008948C6"/>
    <w:rsid w:val="00895FF4"/>
    <w:rsid w:val="00897A11"/>
    <w:rsid w:val="008A3A78"/>
    <w:rsid w:val="008A3CF3"/>
    <w:rsid w:val="008D062A"/>
    <w:rsid w:val="008D66DE"/>
    <w:rsid w:val="008F1C6A"/>
    <w:rsid w:val="008F47FA"/>
    <w:rsid w:val="00902FAD"/>
    <w:rsid w:val="00906512"/>
    <w:rsid w:val="00910D4D"/>
    <w:rsid w:val="00913585"/>
    <w:rsid w:val="0094029A"/>
    <w:rsid w:val="0094789E"/>
    <w:rsid w:val="00962079"/>
    <w:rsid w:val="0097243A"/>
    <w:rsid w:val="00973D4F"/>
    <w:rsid w:val="00975554"/>
    <w:rsid w:val="00975C90"/>
    <w:rsid w:val="009824A0"/>
    <w:rsid w:val="00984ABF"/>
    <w:rsid w:val="00984CF9"/>
    <w:rsid w:val="00987540"/>
    <w:rsid w:val="00993FC4"/>
    <w:rsid w:val="0099477B"/>
    <w:rsid w:val="009A0452"/>
    <w:rsid w:val="009B426D"/>
    <w:rsid w:val="009C0E7E"/>
    <w:rsid w:val="009C4C81"/>
    <w:rsid w:val="009D2B35"/>
    <w:rsid w:val="009D3BA3"/>
    <w:rsid w:val="009E5DC6"/>
    <w:rsid w:val="009F0AC2"/>
    <w:rsid w:val="00A05577"/>
    <w:rsid w:val="00A145C2"/>
    <w:rsid w:val="00A174D6"/>
    <w:rsid w:val="00A22A6E"/>
    <w:rsid w:val="00A22F92"/>
    <w:rsid w:val="00A24338"/>
    <w:rsid w:val="00A249F5"/>
    <w:rsid w:val="00A47713"/>
    <w:rsid w:val="00A6607D"/>
    <w:rsid w:val="00A66329"/>
    <w:rsid w:val="00A66E17"/>
    <w:rsid w:val="00A7373D"/>
    <w:rsid w:val="00A7758B"/>
    <w:rsid w:val="00A92251"/>
    <w:rsid w:val="00A94A69"/>
    <w:rsid w:val="00AA2155"/>
    <w:rsid w:val="00AB5D1F"/>
    <w:rsid w:val="00AB6A40"/>
    <w:rsid w:val="00AB7CEA"/>
    <w:rsid w:val="00AC07A3"/>
    <w:rsid w:val="00AD0057"/>
    <w:rsid w:val="00AF123E"/>
    <w:rsid w:val="00AF4C33"/>
    <w:rsid w:val="00B132A8"/>
    <w:rsid w:val="00B369CD"/>
    <w:rsid w:val="00B401CA"/>
    <w:rsid w:val="00B40E6A"/>
    <w:rsid w:val="00B47671"/>
    <w:rsid w:val="00B51062"/>
    <w:rsid w:val="00B5402F"/>
    <w:rsid w:val="00B61CE1"/>
    <w:rsid w:val="00B779B7"/>
    <w:rsid w:val="00B83206"/>
    <w:rsid w:val="00B83D2B"/>
    <w:rsid w:val="00B936BF"/>
    <w:rsid w:val="00B96EF1"/>
    <w:rsid w:val="00BA12C6"/>
    <w:rsid w:val="00BA1582"/>
    <w:rsid w:val="00BA30D7"/>
    <w:rsid w:val="00BB0995"/>
    <w:rsid w:val="00BC1163"/>
    <w:rsid w:val="00BC3269"/>
    <w:rsid w:val="00BE7AFF"/>
    <w:rsid w:val="00BF3AB5"/>
    <w:rsid w:val="00BF4ED6"/>
    <w:rsid w:val="00BF5845"/>
    <w:rsid w:val="00C02FDE"/>
    <w:rsid w:val="00C13694"/>
    <w:rsid w:val="00C13CA7"/>
    <w:rsid w:val="00C207E4"/>
    <w:rsid w:val="00C26E71"/>
    <w:rsid w:val="00C44D5C"/>
    <w:rsid w:val="00C44EB7"/>
    <w:rsid w:val="00C506CF"/>
    <w:rsid w:val="00C5242F"/>
    <w:rsid w:val="00C540CB"/>
    <w:rsid w:val="00C6184A"/>
    <w:rsid w:val="00C742CA"/>
    <w:rsid w:val="00C774F4"/>
    <w:rsid w:val="00CA0531"/>
    <w:rsid w:val="00CA62FF"/>
    <w:rsid w:val="00CB3727"/>
    <w:rsid w:val="00CB5621"/>
    <w:rsid w:val="00CC1929"/>
    <w:rsid w:val="00CC30CB"/>
    <w:rsid w:val="00CE3DE0"/>
    <w:rsid w:val="00CE6224"/>
    <w:rsid w:val="00D031DC"/>
    <w:rsid w:val="00D159AE"/>
    <w:rsid w:val="00D22728"/>
    <w:rsid w:val="00D22A12"/>
    <w:rsid w:val="00D24ED8"/>
    <w:rsid w:val="00D25EB4"/>
    <w:rsid w:val="00D26B11"/>
    <w:rsid w:val="00D32ABF"/>
    <w:rsid w:val="00D40048"/>
    <w:rsid w:val="00D47AB6"/>
    <w:rsid w:val="00D505CE"/>
    <w:rsid w:val="00D6219B"/>
    <w:rsid w:val="00D677DF"/>
    <w:rsid w:val="00D70DE6"/>
    <w:rsid w:val="00D736A6"/>
    <w:rsid w:val="00DA276E"/>
    <w:rsid w:val="00DA6BB7"/>
    <w:rsid w:val="00DB5C4B"/>
    <w:rsid w:val="00DC1CAD"/>
    <w:rsid w:val="00DC7AC6"/>
    <w:rsid w:val="00DD3E51"/>
    <w:rsid w:val="00DD40AD"/>
    <w:rsid w:val="00DD6DBA"/>
    <w:rsid w:val="00DE2A15"/>
    <w:rsid w:val="00DE5D2E"/>
    <w:rsid w:val="00DF2262"/>
    <w:rsid w:val="00E00FB8"/>
    <w:rsid w:val="00E04A44"/>
    <w:rsid w:val="00E04C1C"/>
    <w:rsid w:val="00E11653"/>
    <w:rsid w:val="00E17784"/>
    <w:rsid w:val="00E242D4"/>
    <w:rsid w:val="00E30AD2"/>
    <w:rsid w:val="00E54DD3"/>
    <w:rsid w:val="00E66C53"/>
    <w:rsid w:val="00E72526"/>
    <w:rsid w:val="00E8079C"/>
    <w:rsid w:val="00E82437"/>
    <w:rsid w:val="00E82931"/>
    <w:rsid w:val="00E832F5"/>
    <w:rsid w:val="00E842FF"/>
    <w:rsid w:val="00E86954"/>
    <w:rsid w:val="00E9339E"/>
    <w:rsid w:val="00E9492C"/>
    <w:rsid w:val="00E97EAE"/>
    <w:rsid w:val="00EB178A"/>
    <w:rsid w:val="00EB4268"/>
    <w:rsid w:val="00EC3580"/>
    <w:rsid w:val="00EC7EA8"/>
    <w:rsid w:val="00ED0C74"/>
    <w:rsid w:val="00EF2334"/>
    <w:rsid w:val="00EF2BA2"/>
    <w:rsid w:val="00EF33AA"/>
    <w:rsid w:val="00F03095"/>
    <w:rsid w:val="00F03367"/>
    <w:rsid w:val="00F06323"/>
    <w:rsid w:val="00F15C55"/>
    <w:rsid w:val="00F17A62"/>
    <w:rsid w:val="00F40A9E"/>
    <w:rsid w:val="00F45797"/>
    <w:rsid w:val="00F4622F"/>
    <w:rsid w:val="00F477F6"/>
    <w:rsid w:val="00F47BE8"/>
    <w:rsid w:val="00F535CF"/>
    <w:rsid w:val="00F6432B"/>
    <w:rsid w:val="00F866F3"/>
    <w:rsid w:val="00F86E17"/>
    <w:rsid w:val="00F9795D"/>
    <w:rsid w:val="00FA323F"/>
    <w:rsid w:val="00FA5705"/>
    <w:rsid w:val="00FA5F39"/>
    <w:rsid w:val="00FB7355"/>
    <w:rsid w:val="00FC69FD"/>
    <w:rsid w:val="00FD0C31"/>
    <w:rsid w:val="00FD441F"/>
    <w:rsid w:val="00FD5888"/>
    <w:rsid w:val="00FD7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2366AD"/>
  <w15:docId w15:val="{5A2ED71B-E467-4ABE-B1FD-7863DD19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C9"/>
  </w:style>
  <w:style w:type="paragraph" w:styleId="Heading1">
    <w:name w:val="heading 1"/>
    <w:basedOn w:val="Normal"/>
    <w:next w:val="Normal"/>
    <w:link w:val="Heading1Char"/>
    <w:uiPriority w:val="9"/>
    <w:qFormat/>
    <w:rsid w:val="008D66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D66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rsid w:val="00BC3269"/>
    <w:pPr>
      <w:keepNext/>
      <w:keepLines/>
      <w:spacing w:before="100" w:after="0" w:line="240" w:lineRule="auto"/>
      <w:ind w:left="28" w:right="822"/>
      <w:jc w:val="both"/>
      <w:outlineLvl w:val="2"/>
    </w:pPr>
    <w:rPr>
      <w:rFonts w:ascii="Arial" w:eastAsia="Times New Roman" w:hAnsi="Arial" w:cstheme="majorBidi"/>
      <w:b/>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39C9"/>
    <w:pPr>
      <w:spacing w:after="0" w:line="240" w:lineRule="auto"/>
      <w:ind w:left="720"/>
      <w:contextualSpacing/>
    </w:pPr>
    <w:rPr>
      <w:rFonts w:ascii="Arial" w:eastAsia="Times New Roman" w:hAnsi="Arial" w:cs="Times New Roman"/>
      <w:sz w:val="24"/>
      <w:szCs w:val="24"/>
    </w:rPr>
  </w:style>
  <w:style w:type="character" w:styleId="Hyperlink">
    <w:name w:val="Hyperlink"/>
    <w:basedOn w:val="DefaultParagraphFont"/>
    <w:uiPriority w:val="99"/>
    <w:unhideWhenUsed/>
    <w:rsid w:val="002839C9"/>
    <w:rPr>
      <w:color w:val="0000FF" w:themeColor="hyperlink"/>
      <w:u w:val="single"/>
    </w:rPr>
  </w:style>
  <w:style w:type="table" w:styleId="TableGrid">
    <w:name w:val="Table Grid"/>
    <w:basedOn w:val="TableNormal"/>
    <w:uiPriority w:val="59"/>
    <w:rsid w:val="00455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2296"/>
    <w:rPr>
      <w:sz w:val="16"/>
      <w:szCs w:val="16"/>
    </w:rPr>
  </w:style>
  <w:style w:type="paragraph" w:styleId="CommentText">
    <w:name w:val="annotation text"/>
    <w:basedOn w:val="Normal"/>
    <w:link w:val="CommentTextChar"/>
    <w:uiPriority w:val="99"/>
    <w:unhideWhenUsed/>
    <w:rsid w:val="007A2296"/>
    <w:pPr>
      <w:spacing w:line="240" w:lineRule="auto"/>
    </w:pPr>
    <w:rPr>
      <w:sz w:val="20"/>
      <w:szCs w:val="20"/>
    </w:rPr>
  </w:style>
  <w:style w:type="character" w:customStyle="1" w:styleId="CommentTextChar">
    <w:name w:val="Comment Text Char"/>
    <w:basedOn w:val="DefaultParagraphFont"/>
    <w:link w:val="CommentText"/>
    <w:uiPriority w:val="99"/>
    <w:rsid w:val="007A2296"/>
    <w:rPr>
      <w:sz w:val="20"/>
      <w:szCs w:val="20"/>
    </w:rPr>
  </w:style>
  <w:style w:type="paragraph" w:styleId="CommentSubject">
    <w:name w:val="annotation subject"/>
    <w:basedOn w:val="CommentText"/>
    <w:next w:val="CommentText"/>
    <w:link w:val="CommentSubjectChar"/>
    <w:uiPriority w:val="99"/>
    <w:semiHidden/>
    <w:unhideWhenUsed/>
    <w:rsid w:val="007A2296"/>
    <w:rPr>
      <w:b/>
      <w:bCs/>
    </w:rPr>
  </w:style>
  <w:style w:type="character" w:customStyle="1" w:styleId="CommentSubjectChar">
    <w:name w:val="Comment Subject Char"/>
    <w:basedOn w:val="CommentTextChar"/>
    <w:link w:val="CommentSubject"/>
    <w:uiPriority w:val="99"/>
    <w:semiHidden/>
    <w:rsid w:val="007A2296"/>
    <w:rPr>
      <w:b/>
      <w:bCs/>
      <w:sz w:val="20"/>
      <w:szCs w:val="20"/>
    </w:rPr>
  </w:style>
  <w:style w:type="paragraph" w:styleId="BalloonText">
    <w:name w:val="Balloon Text"/>
    <w:basedOn w:val="Normal"/>
    <w:link w:val="BalloonTextChar"/>
    <w:uiPriority w:val="99"/>
    <w:semiHidden/>
    <w:unhideWhenUsed/>
    <w:rsid w:val="007A2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296"/>
    <w:rPr>
      <w:rFonts w:ascii="Tahoma" w:hAnsi="Tahoma" w:cs="Tahoma"/>
      <w:sz w:val="16"/>
      <w:szCs w:val="16"/>
    </w:rPr>
  </w:style>
  <w:style w:type="character" w:styleId="FollowedHyperlink">
    <w:name w:val="FollowedHyperlink"/>
    <w:basedOn w:val="DefaultParagraphFont"/>
    <w:uiPriority w:val="99"/>
    <w:semiHidden/>
    <w:unhideWhenUsed/>
    <w:rsid w:val="006F0270"/>
    <w:rPr>
      <w:color w:val="800080" w:themeColor="followedHyperlink"/>
      <w:u w:val="single"/>
    </w:rPr>
  </w:style>
  <w:style w:type="table" w:customStyle="1" w:styleId="TableGrid1">
    <w:name w:val="Table Grid1"/>
    <w:basedOn w:val="TableNormal"/>
    <w:next w:val="TableGrid"/>
    <w:uiPriority w:val="59"/>
    <w:rsid w:val="00EC3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0048"/>
    <w:pPr>
      <w:spacing w:after="0" w:line="240" w:lineRule="auto"/>
    </w:pPr>
  </w:style>
  <w:style w:type="paragraph" w:styleId="NormalWeb">
    <w:name w:val="Normal (Web)"/>
    <w:basedOn w:val="Normal"/>
    <w:uiPriority w:val="99"/>
    <w:semiHidden/>
    <w:unhideWhenUsed/>
    <w:rsid w:val="00C742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44D5C"/>
    <w:rPr>
      <w:color w:val="605E5C"/>
      <w:shd w:val="clear" w:color="auto" w:fill="E1DFDD"/>
    </w:rPr>
  </w:style>
  <w:style w:type="character" w:customStyle="1" w:styleId="Heading3Char">
    <w:name w:val="Heading 3 Char"/>
    <w:basedOn w:val="DefaultParagraphFont"/>
    <w:link w:val="Heading3"/>
    <w:uiPriority w:val="9"/>
    <w:rsid w:val="00BC3269"/>
    <w:rPr>
      <w:rFonts w:ascii="Arial" w:eastAsia="Times New Roman" w:hAnsi="Arial" w:cstheme="majorBidi"/>
      <w:b/>
      <w:color w:val="FFFFFF" w:themeColor="background1"/>
      <w:sz w:val="24"/>
      <w:szCs w:val="24"/>
    </w:rPr>
  </w:style>
  <w:style w:type="paragraph" w:customStyle="1" w:styleId="justify">
    <w:name w:val="justify"/>
    <w:basedOn w:val="Normal"/>
    <w:rsid w:val="00BC3269"/>
    <w:pPr>
      <w:spacing w:before="160" w:after="240" w:line="240" w:lineRule="auto"/>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rsid w:val="00BC3269"/>
    <w:rPr>
      <w:rFonts w:ascii="Arial" w:eastAsia="Times New Roman" w:hAnsi="Arial" w:cs="Times New Roman"/>
      <w:sz w:val="24"/>
      <w:szCs w:val="24"/>
    </w:rPr>
  </w:style>
  <w:style w:type="paragraph" w:styleId="Header">
    <w:name w:val="header"/>
    <w:basedOn w:val="Normal"/>
    <w:link w:val="HeaderChar"/>
    <w:uiPriority w:val="99"/>
    <w:unhideWhenUsed/>
    <w:rsid w:val="008D66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6DE"/>
  </w:style>
  <w:style w:type="paragraph" w:styleId="Footer">
    <w:name w:val="footer"/>
    <w:basedOn w:val="Normal"/>
    <w:link w:val="FooterChar"/>
    <w:uiPriority w:val="99"/>
    <w:unhideWhenUsed/>
    <w:rsid w:val="008D6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6DE"/>
  </w:style>
  <w:style w:type="character" w:customStyle="1" w:styleId="Heading1Char">
    <w:name w:val="Heading 1 Char"/>
    <w:basedOn w:val="DefaultParagraphFont"/>
    <w:link w:val="Heading1"/>
    <w:uiPriority w:val="9"/>
    <w:rsid w:val="008D66D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D66DE"/>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E04C1C"/>
    <w:pPr>
      <w:tabs>
        <w:tab w:val="left" w:pos="440"/>
        <w:tab w:val="right" w:leader="dot" w:pos="9628"/>
      </w:tabs>
      <w:spacing w:after="100"/>
    </w:pPr>
    <w:rPr>
      <w:rFonts w:ascii="Arial" w:hAnsi="Arial" w:cs="Arial"/>
      <w:b/>
      <w:bCs/>
      <w:color w:val="0073CF"/>
      <w:sz w:val="28"/>
      <w:szCs w:val="28"/>
    </w:rPr>
  </w:style>
  <w:style w:type="paragraph" w:styleId="TOC2">
    <w:name w:val="toc 2"/>
    <w:basedOn w:val="Normal"/>
    <w:next w:val="Normal"/>
    <w:autoRedefine/>
    <w:uiPriority w:val="39"/>
    <w:unhideWhenUsed/>
    <w:rsid w:val="008D66D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4410">
      <w:bodyDiv w:val="1"/>
      <w:marLeft w:val="0"/>
      <w:marRight w:val="0"/>
      <w:marTop w:val="0"/>
      <w:marBottom w:val="0"/>
      <w:divBdr>
        <w:top w:val="none" w:sz="0" w:space="0" w:color="auto"/>
        <w:left w:val="none" w:sz="0" w:space="0" w:color="auto"/>
        <w:bottom w:val="none" w:sz="0" w:space="0" w:color="auto"/>
        <w:right w:val="none" w:sz="0" w:space="0" w:color="auto"/>
      </w:divBdr>
    </w:div>
    <w:div w:id="652607841">
      <w:bodyDiv w:val="1"/>
      <w:marLeft w:val="0"/>
      <w:marRight w:val="0"/>
      <w:marTop w:val="0"/>
      <w:marBottom w:val="0"/>
      <w:divBdr>
        <w:top w:val="none" w:sz="0" w:space="0" w:color="auto"/>
        <w:left w:val="none" w:sz="0" w:space="0" w:color="auto"/>
        <w:bottom w:val="none" w:sz="0" w:space="0" w:color="auto"/>
        <w:right w:val="none" w:sz="0" w:space="0" w:color="auto"/>
      </w:divBdr>
    </w:div>
    <w:div w:id="736902564">
      <w:bodyDiv w:val="1"/>
      <w:marLeft w:val="0"/>
      <w:marRight w:val="0"/>
      <w:marTop w:val="0"/>
      <w:marBottom w:val="0"/>
      <w:divBdr>
        <w:top w:val="none" w:sz="0" w:space="0" w:color="auto"/>
        <w:left w:val="none" w:sz="0" w:space="0" w:color="auto"/>
        <w:bottom w:val="none" w:sz="0" w:space="0" w:color="auto"/>
        <w:right w:val="none" w:sz="0" w:space="0" w:color="auto"/>
      </w:divBdr>
    </w:div>
    <w:div w:id="1102452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ichester.gov.uk/localplanexamination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80129-D489-4319-B9F6-C3838C214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3455</Words>
  <Characters>19696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23105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Owen</dc:creator>
  <cp:keywords/>
  <dc:description/>
  <cp:lastModifiedBy>Gillian Stevens</cp:lastModifiedBy>
  <cp:revision>19</cp:revision>
  <dcterms:created xsi:type="dcterms:W3CDTF">2024-05-10T13:52:00Z</dcterms:created>
  <dcterms:modified xsi:type="dcterms:W3CDTF">2024-05-31T07:55:00Z</dcterms:modified>
</cp:coreProperties>
</file>