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931CA" w14:textId="77777777" w:rsidR="000353AF" w:rsidRDefault="000353AF" w:rsidP="0014706A">
      <w:pPr>
        <w:jc w:val="center"/>
        <w:rPr>
          <w:rFonts w:ascii="Arial" w:hAnsi="Arial" w:cs="Arial"/>
          <w:b/>
          <w:sz w:val="56"/>
          <w:szCs w:val="56"/>
        </w:rPr>
      </w:pPr>
    </w:p>
    <w:p w14:paraId="78C06710" w14:textId="77777777" w:rsidR="000353AF" w:rsidRDefault="000353AF" w:rsidP="0014706A">
      <w:pPr>
        <w:jc w:val="center"/>
        <w:rPr>
          <w:rFonts w:ascii="Arial" w:hAnsi="Arial" w:cs="Arial"/>
          <w:b/>
          <w:sz w:val="56"/>
          <w:szCs w:val="56"/>
        </w:rPr>
      </w:pPr>
    </w:p>
    <w:p w14:paraId="2D439CC4" w14:textId="73F553C9" w:rsidR="0014706A" w:rsidRDefault="0014706A" w:rsidP="0014706A">
      <w:pPr>
        <w:jc w:val="center"/>
        <w:rPr>
          <w:rFonts w:ascii="Arial" w:hAnsi="Arial" w:cs="Arial"/>
          <w:b/>
          <w:sz w:val="56"/>
          <w:szCs w:val="56"/>
        </w:rPr>
      </w:pPr>
      <w:r>
        <w:rPr>
          <w:rFonts w:ascii="Arial" w:hAnsi="Arial" w:cs="Arial"/>
          <w:b/>
          <w:sz w:val="56"/>
          <w:szCs w:val="56"/>
        </w:rPr>
        <w:t xml:space="preserve">Chichester Local Plan </w:t>
      </w:r>
      <w:r w:rsidR="00901115">
        <w:rPr>
          <w:rFonts w:ascii="Arial" w:hAnsi="Arial" w:cs="Arial"/>
          <w:b/>
          <w:sz w:val="56"/>
          <w:szCs w:val="56"/>
        </w:rPr>
        <w:t>2021 - 2039</w:t>
      </w:r>
    </w:p>
    <w:p w14:paraId="15E1D037" w14:textId="77777777" w:rsidR="0014706A" w:rsidRDefault="0014706A" w:rsidP="0014706A">
      <w:pPr>
        <w:rPr>
          <w:rFonts w:ascii="Arial" w:hAnsi="Arial" w:cs="Arial"/>
          <w:b/>
          <w:sz w:val="56"/>
          <w:szCs w:val="56"/>
        </w:rPr>
      </w:pPr>
    </w:p>
    <w:p w14:paraId="75B93471" w14:textId="6C614464" w:rsidR="0014706A" w:rsidRDefault="0014706A" w:rsidP="0014706A">
      <w:pPr>
        <w:jc w:val="center"/>
        <w:rPr>
          <w:rFonts w:ascii="Arial" w:hAnsi="Arial" w:cs="Arial"/>
          <w:b/>
          <w:sz w:val="48"/>
          <w:szCs w:val="56"/>
        </w:rPr>
      </w:pPr>
      <w:r>
        <w:rPr>
          <w:rFonts w:ascii="Arial" w:hAnsi="Arial" w:cs="Arial"/>
          <w:b/>
          <w:sz w:val="48"/>
          <w:szCs w:val="56"/>
        </w:rPr>
        <w:t xml:space="preserve">Nutrient Budget </w:t>
      </w:r>
    </w:p>
    <w:p w14:paraId="3C69240F" w14:textId="1D0C777A" w:rsidR="00901115" w:rsidRPr="0020078A" w:rsidRDefault="00901115" w:rsidP="0014706A">
      <w:pPr>
        <w:jc w:val="center"/>
        <w:rPr>
          <w:rFonts w:ascii="Arial" w:hAnsi="Arial" w:cs="Arial"/>
          <w:b/>
          <w:sz w:val="48"/>
          <w:szCs w:val="56"/>
        </w:rPr>
      </w:pPr>
      <w:r>
        <w:rPr>
          <w:rFonts w:ascii="Arial" w:hAnsi="Arial" w:cs="Arial"/>
          <w:b/>
          <w:sz w:val="48"/>
          <w:szCs w:val="56"/>
        </w:rPr>
        <w:t>Background Paper</w:t>
      </w:r>
    </w:p>
    <w:p w14:paraId="5D1DD919" w14:textId="77777777" w:rsidR="0014706A" w:rsidRPr="002C0A35" w:rsidRDefault="0014706A" w:rsidP="0014706A">
      <w:pPr>
        <w:rPr>
          <w:rFonts w:ascii="Arial" w:hAnsi="Arial" w:cs="Arial"/>
          <w:sz w:val="56"/>
          <w:szCs w:val="56"/>
        </w:rPr>
      </w:pPr>
      <w:r w:rsidRPr="0020078A">
        <w:rPr>
          <w:rFonts w:ascii="Arial" w:eastAsia="Times New Roman" w:hAnsi="Arial" w:cs="Arial"/>
          <w:noProof/>
          <w:sz w:val="16"/>
          <w:szCs w:val="24"/>
          <w:lang w:eastAsia="en-GB"/>
        </w:rPr>
        <w:drawing>
          <wp:anchor distT="0" distB="0" distL="114300" distR="114300" simplePos="0" relativeHeight="251659264" behindDoc="0" locked="0" layoutInCell="1" allowOverlap="1" wp14:anchorId="36A300D4" wp14:editId="0FA762A4">
            <wp:simplePos x="0" y="0"/>
            <wp:positionH relativeFrom="margin">
              <wp:align>center</wp:align>
            </wp:positionH>
            <wp:positionV relativeFrom="margin">
              <wp:posOffset>4745355</wp:posOffset>
            </wp:positionV>
            <wp:extent cx="1533600" cy="1540800"/>
            <wp:effectExtent l="0" t="0" r="0"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600" cy="1540800"/>
                    </a:xfrm>
                    <a:prstGeom prst="rect">
                      <a:avLst/>
                    </a:prstGeom>
                    <a:noFill/>
                  </pic:spPr>
                </pic:pic>
              </a:graphicData>
            </a:graphic>
            <wp14:sizeRelH relativeFrom="margin">
              <wp14:pctWidth>0</wp14:pctWidth>
            </wp14:sizeRelH>
            <wp14:sizeRelV relativeFrom="margin">
              <wp14:pctHeight>0</wp14:pctHeight>
            </wp14:sizeRelV>
          </wp:anchor>
        </w:drawing>
      </w:r>
    </w:p>
    <w:p w14:paraId="5D1E6C45" w14:textId="77777777" w:rsidR="0014706A" w:rsidRPr="002C0A35" w:rsidRDefault="0014706A" w:rsidP="0014706A">
      <w:pPr>
        <w:rPr>
          <w:rFonts w:ascii="Arial" w:hAnsi="Arial" w:cs="Arial"/>
          <w:sz w:val="56"/>
          <w:szCs w:val="56"/>
        </w:rPr>
      </w:pPr>
    </w:p>
    <w:p w14:paraId="732C8B40" w14:textId="77777777" w:rsidR="0014706A" w:rsidRDefault="0014706A" w:rsidP="0014706A">
      <w:pPr>
        <w:rPr>
          <w:rFonts w:ascii="Arial" w:hAnsi="Arial" w:cs="Arial"/>
          <w:sz w:val="56"/>
          <w:szCs w:val="56"/>
        </w:rPr>
      </w:pPr>
    </w:p>
    <w:p w14:paraId="0EE6FD94" w14:textId="77777777" w:rsidR="0014706A" w:rsidRDefault="0014706A" w:rsidP="0014706A">
      <w:pPr>
        <w:rPr>
          <w:rFonts w:ascii="Arial" w:hAnsi="Arial" w:cs="Arial"/>
          <w:b/>
          <w:sz w:val="32"/>
          <w:szCs w:val="32"/>
        </w:rPr>
      </w:pPr>
    </w:p>
    <w:p w14:paraId="4E9ADCD3" w14:textId="77777777" w:rsidR="0014706A" w:rsidRDefault="0014706A" w:rsidP="0014706A"/>
    <w:p w14:paraId="26165E20" w14:textId="77777777" w:rsidR="0014706A" w:rsidRDefault="0014706A" w:rsidP="0014706A"/>
    <w:p w14:paraId="4325B270" w14:textId="77777777" w:rsidR="0014706A" w:rsidRDefault="0014706A" w:rsidP="0014706A"/>
    <w:p w14:paraId="019D1A2A" w14:textId="77777777" w:rsidR="000353AF" w:rsidRDefault="000353AF" w:rsidP="0014706A"/>
    <w:p w14:paraId="5A75803A" w14:textId="77777777" w:rsidR="00901115" w:rsidRDefault="00901115" w:rsidP="0014706A"/>
    <w:p w14:paraId="6E458705" w14:textId="77777777" w:rsidR="00901115" w:rsidRDefault="00901115" w:rsidP="0014706A"/>
    <w:p w14:paraId="424F5128" w14:textId="77777777" w:rsidR="00901115" w:rsidRDefault="00901115" w:rsidP="0014706A"/>
    <w:p w14:paraId="4BC0B78E" w14:textId="77777777" w:rsidR="00901115" w:rsidRDefault="00901115" w:rsidP="0014706A"/>
    <w:p w14:paraId="183B511A" w14:textId="5CCF542D" w:rsidR="0014706A" w:rsidRDefault="00843922" w:rsidP="0014706A">
      <w:pPr>
        <w:rPr>
          <w:rFonts w:ascii="Arial" w:hAnsi="Arial" w:cs="Arial"/>
          <w:b/>
          <w:sz w:val="56"/>
          <w:szCs w:val="56"/>
        </w:rPr>
      </w:pPr>
      <w:hyperlink r:id="rId9" w:history="1">
        <w:r w:rsidR="000353AF" w:rsidRPr="009E285D">
          <w:rPr>
            <w:rStyle w:val="Hyperlink"/>
            <w:rFonts w:ascii="Arial" w:eastAsia="Times New Roman" w:hAnsi="Arial" w:cs="Arial"/>
            <w:b/>
            <w:bCs/>
            <w:sz w:val="32"/>
            <w:szCs w:val="32"/>
          </w:rPr>
          <w:t>www.chichester.gov.uk</w:t>
        </w:r>
      </w:hyperlink>
      <w:r w:rsidR="0014706A" w:rsidRPr="00CC2C28">
        <w:rPr>
          <w:rFonts w:ascii="Arial" w:eastAsia="Times New Roman" w:hAnsi="Arial" w:cs="Arial"/>
          <w:b/>
          <w:bCs/>
          <w:sz w:val="32"/>
          <w:szCs w:val="32"/>
        </w:rPr>
        <w:tab/>
      </w:r>
      <w:r w:rsidR="00901115">
        <w:rPr>
          <w:rFonts w:ascii="Arial" w:eastAsia="Times New Roman" w:hAnsi="Arial" w:cs="Arial"/>
          <w:b/>
          <w:bCs/>
          <w:sz w:val="32"/>
          <w:szCs w:val="32"/>
        </w:rPr>
        <w:tab/>
      </w:r>
      <w:r w:rsidR="00901115">
        <w:rPr>
          <w:rFonts w:ascii="Arial" w:eastAsia="Times New Roman" w:hAnsi="Arial" w:cs="Arial"/>
          <w:b/>
          <w:bCs/>
          <w:sz w:val="32"/>
          <w:szCs w:val="32"/>
        </w:rPr>
        <w:tab/>
      </w:r>
      <w:r w:rsidR="00901115">
        <w:rPr>
          <w:rFonts w:ascii="Arial" w:eastAsia="Times New Roman" w:hAnsi="Arial" w:cs="Arial"/>
          <w:b/>
          <w:bCs/>
          <w:sz w:val="32"/>
          <w:szCs w:val="32"/>
        </w:rPr>
        <w:tab/>
      </w:r>
      <w:r w:rsidR="00901115">
        <w:rPr>
          <w:rFonts w:ascii="Arial" w:eastAsia="Times New Roman" w:hAnsi="Arial" w:cs="Arial"/>
          <w:b/>
          <w:bCs/>
          <w:sz w:val="32"/>
          <w:szCs w:val="32"/>
        </w:rPr>
        <w:tab/>
      </w:r>
      <w:r w:rsidR="00901115">
        <w:rPr>
          <w:rFonts w:ascii="Arial" w:eastAsia="Times New Roman" w:hAnsi="Arial" w:cs="Arial"/>
          <w:b/>
          <w:bCs/>
          <w:sz w:val="32"/>
          <w:szCs w:val="32"/>
        </w:rPr>
        <w:tab/>
      </w:r>
      <w:r w:rsidR="00901115">
        <w:rPr>
          <w:rFonts w:ascii="Arial" w:eastAsia="Times New Roman" w:hAnsi="Arial" w:cs="Arial"/>
          <w:b/>
          <w:bCs/>
          <w:sz w:val="32"/>
          <w:szCs w:val="32"/>
        </w:rPr>
        <w:tab/>
        <w:t>May</w:t>
      </w:r>
      <w:r w:rsidR="00142E2D">
        <w:rPr>
          <w:rFonts w:ascii="Arial" w:eastAsia="Times New Roman" w:hAnsi="Arial" w:cs="Arial"/>
          <w:b/>
          <w:bCs/>
          <w:sz w:val="32"/>
          <w:szCs w:val="32"/>
        </w:rPr>
        <w:t xml:space="preserve"> </w:t>
      </w:r>
      <w:r w:rsidR="0014706A">
        <w:rPr>
          <w:rFonts w:ascii="Arial" w:hAnsi="Arial" w:cs="Arial"/>
          <w:b/>
          <w:sz w:val="32"/>
          <w:szCs w:val="32"/>
        </w:rPr>
        <w:t>202</w:t>
      </w:r>
      <w:r w:rsidR="006D136D">
        <w:rPr>
          <w:rFonts w:ascii="Arial" w:hAnsi="Arial" w:cs="Arial"/>
          <w:b/>
          <w:sz w:val="32"/>
          <w:szCs w:val="32"/>
        </w:rPr>
        <w:t>4</w:t>
      </w:r>
    </w:p>
    <w:p w14:paraId="180D647E" w14:textId="2A903325" w:rsidR="00B30455" w:rsidRDefault="0014706A">
      <w:pPr>
        <w:spacing w:after="160" w:line="259" w:lineRule="auto"/>
      </w:pPr>
      <w:r>
        <w:br w:type="page"/>
      </w:r>
    </w:p>
    <w:p w14:paraId="6C3E4FBD" w14:textId="77777777" w:rsidR="005E116B" w:rsidRPr="005E116B" w:rsidRDefault="005E116B">
      <w:pPr>
        <w:spacing w:after="160" w:line="259" w:lineRule="auto"/>
        <w:rPr>
          <w:rFonts w:ascii="Arial" w:hAnsi="Arial" w:cs="Arial"/>
          <w:b/>
          <w:bCs/>
          <w:color w:val="0073CF"/>
          <w:sz w:val="28"/>
          <w:szCs w:val="28"/>
        </w:rPr>
      </w:pPr>
      <w:r w:rsidRPr="005E116B">
        <w:rPr>
          <w:rFonts w:ascii="Arial" w:hAnsi="Arial" w:cs="Arial"/>
          <w:b/>
          <w:bCs/>
          <w:color w:val="0073CF"/>
          <w:sz w:val="28"/>
          <w:szCs w:val="28"/>
        </w:rPr>
        <w:lastRenderedPageBreak/>
        <w:t>Contents</w:t>
      </w:r>
    </w:p>
    <w:p w14:paraId="52190367" w14:textId="60C39DED" w:rsidR="00D64ECF" w:rsidRPr="00D64ECF" w:rsidRDefault="00D64ECF" w:rsidP="00D64ECF">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r>
        <w:fldChar w:fldCharType="begin"/>
      </w:r>
      <w:r>
        <w:instrText xml:space="preserve"> TOC \o "1-1" \h \z \u </w:instrText>
      </w:r>
      <w:r>
        <w:fldChar w:fldCharType="separate"/>
      </w:r>
      <w:hyperlink w:anchor="_Toc167964273" w:history="1">
        <w:r w:rsidRPr="00D64ECF">
          <w:rPr>
            <w:rStyle w:val="Hyperlink"/>
            <w:rFonts w:ascii="Arial" w:hAnsi="Arial" w:cs="Arial"/>
            <w:noProof/>
            <w:sz w:val="24"/>
            <w:szCs w:val="24"/>
          </w:rPr>
          <w:t>1.</w:t>
        </w:r>
        <w:r w:rsidRPr="00D64ECF">
          <w:rPr>
            <w:rFonts w:ascii="Arial" w:eastAsiaTheme="minorEastAsia" w:hAnsi="Arial" w:cs="Arial"/>
            <w:noProof/>
            <w:kern w:val="2"/>
            <w:sz w:val="24"/>
            <w:szCs w:val="24"/>
            <w:lang w:eastAsia="en-GB"/>
            <w14:ligatures w14:val="standardContextual"/>
          </w:rPr>
          <w:tab/>
        </w:r>
        <w:r w:rsidRPr="00D64ECF">
          <w:rPr>
            <w:rStyle w:val="Hyperlink"/>
            <w:rFonts w:ascii="Arial" w:hAnsi="Arial" w:cs="Arial"/>
            <w:noProof/>
            <w:sz w:val="24"/>
            <w:szCs w:val="24"/>
          </w:rPr>
          <w:t>Introduction</w:t>
        </w:r>
        <w:r w:rsidRPr="00D64ECF">
          <w:rPr>
            <w:rFonts w:ascii="Arial" w:hAnsi="Arial" w:cs="Arial"/>
            <w:noProof/>
            <w:webHidden/>
            <w:sz w:val="24"/>
            <w:szCs w:val="24"/>
          </w:rPr>
          <w:tab/>
        </w:r>
        <w:r w:rsidRPr="00D64ECF">
          <w:rPr>
            <w:rFonts w:ascii="Arial" w:hAnsi="Arial" w:cs="Arial"/>
            <w:noProof/>
            <w:webHidden/>
            <w:sz w:val="24"/>
            <w:szCs w:val="24"/>
          </w:rPr>
          <w:fldChar w:fldCharType="begin"/>
        </w:r>
        <w:r w:rsidRPr="00D64ECF">
          <w:rPr>
            <w:rFonts w:ascii="Arial" w:hAnsi="Arial" w:cs="Arial"/>
            <w:noProof/>
            <w:webHidden/>
            <w:sz w:val="24"/>
            <w:szCs w:val="24"/>
          </w:rPr>
          <w:instrText xml:space="preserve"> PAGEREF _Toc167964273 \h </w:instrText>
        </w:r>
        <w:r w:rsidRPr="00D64ECF">
          <w:rPr>
            <w:rFonts w:ascii="Arial" w:hAnsi="Arial" w:cs="Arial"/>
            <w:noProof/>
            <w:webHidden/>
            <w:sz w:val="24"/>
            <w:szCs w:val="24"/>
          </w:rPr>
        </w:r>
        <w:r w:rsidRPr="00D64ECF">
          <w:rPr>
            <w:rFonts w:ascii="Arial" w:hAnsi="Arial" w:cs="Arial"/>
            <w:noProof/>
            <w:webHidden/>
            <w:sz w:val="24"/>
            <w:szCs w:val="24"/>
          </w:rPr>
          <w:fldChar w:fldCharType="separate"/>
        </w:r>
        <w:r w:rsidRPr="00D64ECF">
          <w:rPr>
            <w:rFonts w:ascii="Arial" w:hAnsi="Arial" w:cs="Arial"/>
            <w:noProof/>
            <w:webHidden/>
            <w:sz w:val="24"/>
            <w:szCs w:val="24"/>
          </w:rPr>
          <w:t>3</w:t>
        </w:r>
        <w:r w:rsidRPr="00D64ECF">
          <w:rPr>
            <w:rFonts w:ascii="Arial" w:hAnsi="Arial" w:cs="Arial"/>
            <w:noProof/>
            <w:webHidden/>
            <w:sz w:val="24"/>
            <w:szCs w:val="24"/>
          </w:rPr>
          <w:fldChar w:fldCharType="end"/>
        </w:r>
      </w:hyperlink>
    </w:p>
    <w:p w14:paraId="24A472C4" w14:textId="76EC6B3B" w:rsidR="00D64ECF" w:rsidRPr="00D64ECF" w:rsidRDefault="00843922" w:rsidP="00D64ECF">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964274" w:history="1">
        <w:r w:rsidR="00D64ECF" w:rsidRPr="00D64ECF">
          <w:rPr>
            <w:rStyle w:val="Hyperlink"/>
            <w:rFonts w:ascii="Arial" w:hAnsi="Arial" w:cs="Arial"/>
            <w:noProof/>
            <w:sz w:val="24"/>
            <w:szCs w:val="24"/>
          </w:rPr>
          <w:t>2.</w:t>
        </w:r>
        <w:r w:rsidR="00D64ECF" w:rsidRPr="00D64ECF">
          <w:rPr>
            <w:rFonts w:ascii="Arial" w:eastAsiaTheme="minorEastAsia" w:hAnsi="Arial" w:cs="Arial"/>
            <w:noProof/>
            <w:kern w:val="2"/>
            <w:sz w:val="24"/>
            <w:szCs w:val="24"/>
            <w:lang w:eastAsia="en-GB"/>
            <w14:ligatures w14:val="standardContextual"/>
          </w:rPr>
          <w:tab/>
        </w:r>
        <w:r w:rsidR="00D64ECF" w:rsidRPr="00D64ECF">
          <w:rPr>
            <w:rStyle w:val="Hyperlink"/>
            <w:rFonts w:ascii="Arial" w:hAnsi="Arial" w:cs="Arial"/>
            <w:noProof/>
            <w:sz w:val="24"/>
            <w:szCs w:val="24"/>
          </w:rPr>
          <w:t>Background</w:t>
        </w:r>
        <w:r w:rsidR="00D64ECF" w:rsidRPr="00D64ECF">
          <w:rPr>
            <w:rFonts w:ascii="Arial" w:hAnsi="Arial" w:cs="Arial"/>
            <w:noProof/>
            <w:webHidden/>
            <w:sz w:val="24"/>
            <w:szCs w:val="24"/>
          </w:rPr>
          <w:tab/>
        </w:r>
        <w:r w:rsidR="00D64ECF" w:rsidRPr="00D64ECF">
          <w:rPr>
            <w:rFonts w:ascii="Arial" w:hAnsi="Arial" w:cs="Arial"/>
            <w:noProof/>
            <w:webHidden/>
            <w:sz w:val="24"/>
            <w:szCs w:val="24"/>
          </w:rPr>
          <w:fldChar w:fldCharType="begin"/>
        </w:r>
        <w:r w:rsidR="00D64ECF" w:rsidRPr="00D64ECF">
          <w:rPr>
            <w:rFonts w:ascii="Arial" w:hAnsi="Arial" w:cs="Arial"/>
            <w:noProof/>
            <w:webHidden/>
            <w:sz w:val="24"/>
            <w:szCs w:val="24"/>
          </w:rPr>
          <w:instrText xml:space="preserve"> PAGEREF _Toc167964274 \h </w:instrText>
        </w:r>
        <w:r w:rsidR="00D64ECF" w:rsidRPr="00D64ECF">
          <w:rPr>
            <w:rFonts w:ascii="Arial" w:hAnsi="Arial" w:cs="Arial"/>
            <w:noProof/>
            <w:webHidden/>
            <w:sz w:val="24"/>
            <w:szCs w:val="24"/>
          </w:rPr>
        </w:r>
        <w:r w:rsidR="00D64ECF" w:rsidRPr="00D64ECF">
          <w:rPr>
            <w:rFonts w:ascii="Arial" w:hAnsi="Arial" w:cs="Arial"/>
            <w:noProof/>
            <w:webHidden/>
            <w:sz w:val="24"/>
            <w:szCs w:val="24"/>
          </w:rPr>
          <w:fldChar w:fldCharType="separate"/>
        </w:r>
        <w:r w:rsidR="00D64ECF" w:rsidRPr="00D64ECF">
          <w:rPr>
            <w:rFonts w:ascii="Arial" w:hAnsi="Arial" w:cs="Arial"/>
            <w:noProof/>
            <w:webHidden/>
            <w:sz w:val="24"/>
            <w:szCs w:val="24"/>
          </w:rPr>
          <w:t>3</w:t>
        </w:r>
        <w:r w:rsidR="00D64ECF" w:rsidRPr="00D64ECF">
          <w:rPr>
            <w:rFonts w:ascii="Arial" w:hAnsi="Arial" w:cs="Arial"/>
            <w:noProof/>
            <w:webHidden/>
            <w:sz w:val="24"/>
            <w:szCs w:val="24"/>
          </w:rPr>
          <w:fldChar w:fldCharType="end"/>
        </w:r>
      </w:hyperlink>
    </w:p>
    <w:p w14:paraId="53D395B4" w14:textId="2A835849" w:rsidR="00D64ECF" w:rsidRPr="00D64ECF" w:rsidRDefault="00843922" w:rsidP="00D64ECF">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964275" w:history="1">
        <w:r w:rsidR="00D64ECF" w:rsidRPr="00D64ECF">
          <w:rPr>
            <w:rStyle w:val="Hyperlink"/>
            <w:rFonts w:ascii="Arial" w:hAnsi="Arial" w:cs="Arial"/>
            <w:noProof/>
            <w:sz w:val="24"/>
            <w:szCs w:val="24"/>
          </w:rPr>
          <w:t>3.</w:t>
        </w:r>
        <w:r w:rsidR="00D64ECF" w:rsidRPr="00D64ECF">
          <w:rPr>
            <w:rFonts w:ascii="Arial" w:eastAsiaTheme="minorEastAsia" w:hAnsi="Arial" w:cs="Arial"/>
            <w:noProof/>
            <w:kern w:val="2"/>
            <w:sz w:val="24"/>
            <w:szCs w:val="24"/>
            <w:lang w:eastAsia="en-GB"/>
            <w14:ligatures w14:val="standardContextual"/>
          </w:rPr>
          <w:tab/>
        </w:r>
        <w:r w:rsidR="00D64ECF" w:rsidRPr="00D64ECF">
          <w:rPr>
            <w:rStyle w:val="Hyperlink"/>
            <w:rFonts w:ascii="Arial" w:hAnsi="Arial" w:cs="Arial"/>
            <w:noProof/>
            <w:sz w:val="24"/>
            <w:szCs w:val="24"/>
          </w:rPr>
          <w:t>National Policy Context</w:t>
        </w:r>
        <w:r w:rsidR="00D64ECF" w:rsidRPr="00D64ECF">
          <w:rPr>
            <w:rFonts w:ascii="Arial" w:hAnsi="Arial" w:cs="Arial"/>
            <w:noProof/>
            <w:webHidden/>
            <w:sz w:val="24"/>
            <w:szCs w:val="24"/>
          </w:rPr>
          <w:tab/>
        </w:r>
        <w:r w:rsidR="00D64ECF" w:rsidRPr="00D64ECF">
          <w:rPr>
            <w:rFonts w:ascii="Arial" w:hAnsi="Arial" w:cs="Arial"/>
            <w:noProof/>
            <w:webHidden/>
            <w:sz w:val="24"/>
            <w:szCs w:val="24"/>
          </w:rPr>
          <w:fldChar w:fldCharType="begin"/>
        </w:r>
        <w:r w:rsidR="00D64ECF" w:rsidRPr="00D64ECF">
          <w:rPr>
            <w:rFonts w:ascii="Arial" w:hAnsi="Arial" w:cs="Arial"/>
            <w:noProof/>
            <w:webHidden/>
            <w:sz w:val="24"/>
            <w:szCs w:val="24"/>
          </w:rPr>
          <w:instrText xml:space="preserve"> PAGEREF _Toc167964275 \h </w:instrText>
        </w:r>
        <w:r w:rsidR="00D64ECF" w:rsidRPr="00D64ECF">
          <w:rPr>
            <w:rFonts w:ascii="Arial" w:hAnsi="Arial" w:cs="Arial"/>
            <w:noProof/>
            <w:webHidden/>
            <w:sz w:val="24"/>
            <w:szCs w:val="24"/>
          </w:rPr>
        </w:r>
        <w:r w:rsidR="00D64ECF" w:rsidRPr="00D64ECF">
          <w:rPr>
            <w:rFonts w:ascii="Arial" w:hAnsi="Arial" w:cs="Arial"/>
            <w:noProof/>
            <w:webHidden/>
            <w:sz w:val="24"/>
            <w:szCs w:val="24"/>
          </w:rPr>
          <w:fldChar w:fldCharType="separate"/>
        </w:r>
        <w:r w:rsidR="00D64ECF" w:rsidRPr="00D64ECF">
          <w:rPr>
            <w:rFonts w:ascii="Arial" w:hAnsi="Arial" w:cs="Arial"/>
            <w:noProof/>
            <w:webHidden/>
            <w:sz w:val="24"/>
            <w:szCs w:val="24"/>
          </w:rPr>
          <w:t>4</w:t>
        </w:r>
        <w:r w:rsidR="00D64ECF" w:rsidRPr="00D64ECF">
          <w:rPr>
            <w:rFonts w:ascii="Arial" w:hAnsi="Arial" w:cs="Arial"/>
            <w:noProof/>
            <w:webHidden/>
            <w:sz w:val="24"/>
            <w:szCs w:val="24"/>
          </w:rPr>
          <w:fldChar w:fldCharType="end"/>
        </w:r>
      </w:hyperlink>
    </w:p>
    <w:p w14:paraId="772305AF" w14:textId="24F6BAAC" w:rsidR="00D64ECF" w:rsidRPr="00D64ECF" w:rsidRDefault="00843922" w:rsidP="00D64ECF">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964276" w:history="1">
        <w:r w:rsidR="00D64ECF" w:rsidRPr="00D64ECF">
          <w:rPr>
            <w:rStyle w:val="Hyperlink"/>
            <w:rFonts w:ascii="Arial" w:hAnsi="Arial" w:cs="Arial"/>
            <w:noProof/>
            <w:sz w:val="24"/>
            <w:szCs w:val="24"/>
          </w:rPr>
          <w:t>4.</w:t>
        </w:r>
        <w:r w:rsidR="00D64ECF" w:rsidRPr="00D64ECF">
          <w:rPr>
            <w:rFonts w:ascii="Arial" w:eastAsiaTheme="minorEastAsia" w:hAnsi="Arial" w:cs="Arial"/>
            <w:noProof/>
            <w:kern w:val="2"/>
            <w:sz w:val="24"/>
            <w:szCs w:val="24"/>
            <w:lang w:eastAsia="en-GB"/>
            <w14:ligatures w14:val="standardContextual"/>
          </w:rPr>
          <w:tab/>
        </w:r>
        <w:r w:rsidR="00D64ECF" w:rsidRPr="00D64ECF">
          <w:rPr>
            <w:rStyle w:val="Hyperlink"/>
            <w:rFonts w:ascii="Arial" w:hAnsi="Arial" w:cs="Arial"/>
            <w:noProof/>
            <w:sz w:val="24"/>
            <w:szCs w:val="24"/>
          </w:rPr>
          <w:t>Local Policy Context - Chichester Local Plan 2021-2039: Proposed Submission Version Regulation 19</w:t>
        </w:r>
        <w:r w:rsidR="00D64ECF" w:rsidRPr="00D64ECF">
          <w:rPr>
            <w:rFonts w:ascii="Arial" w:hAnsi="Arial" w:cs="Arial"/>
            <w:noProof/>
            <w:webHidden/>
            <w:sz w:val="24"/>
            <w:szCs w:val="24"/>
          </w:rPr>
          <w:tab/>
        </w:r>
        <w:r w:rsidR="00D64ECF" w:rsidRPr="00D64ECF">
          <w:rPr>
            <w:rFonts w:ascii="Arial" w:hAnsi="Arial" w:cs="Arial"/>
            <w:noProof/>
            <w:webHidden/>
            <w:sz w:val="24"/>
            <w:szCs w:val="24"/>
          </w:rPr>
          <w:fldChar w:fldCharType="begin"/>
        </w:r>
        <w:r w:rsidR="00D64ECF" w:rsidRPr="00D64ECF">
          <w:rPr>
            <w:rFonts w:ascii="Arial" w:hAnsi="Arial" w:cs="Arial"/>
            <w:noProof/>
            <w:webHidden/>
            <w:sz w:val="24"/>
            <w:szCs w:val="24"/>
          </w:rPr>
          <w:instrText xml:space="preserve"> PAGEREF _Toc167964276 \h </w:instrText>
        </w:r>
        <w:r w:rsidR="00D64ECF" w:rsidRPr="00D64ECF">
          <w:rPr>
            <w:rFonts w:ascii="Arial" w:hAnsi="Arial" w:cs="Arial"/>
            <w:noProof/>
            <w:webHidden/>
            <w:sz w:val="24"/>
            <w:szCs w:val="24"/>
          </w:rPr>
        </w:r>
        <w:r w:rsidR="00D64ECF" w:rsidRPr="00D64ECF">
          <w:rPr>
            <w:rFonts w:ascii="Arial" w:hAnsi="Arial" w:cs="Arial"/>
            <w:noProof/>
            <w:webHidden/>
            <w:sz w:val="24"/>
            <w:szCs w:val="24"/>
          </w:rPr>
          <w:fldChar w:fldCharType="separate"/>
        </w:r>
        <w:r w:rsidR="00D64ECF" w:rsidRPr="00D64ECF">
          <w:rPr>
            <w:rFonts w:ascii="Arial" w:hAnsi="Arial" w:cs="Arial"/>
            <w:noProof/>
            <w:webHidden/>
            <w:sz w:val="24"/>
            <w:szCs w:val="24"/>
          </w:rPr>
          <w:t>4</w:t>
        </w:r>
        <w:r w:rsidR="00D64ECF" w:rsidRPr="00D64ECF">
          <w:rPr>
            <w:rFonts w:ascii="Arial" w:hAnsi="Arial" w:cs="Arial"/>
            <w:noProof/>
            <w:webHidden/>
            <w:sz w:val="24"/>
            <w:szCs w:val="24"/>
          </w:rPr>
          <w:fldChar w:fldCharType="end"/>
        </w:r>
      </w:hyperlink>
    </w:p>
    <w:p w14:paraId="159E0EFA" w14:textId="77B8E9B1" w:rsidR="00D64ECF" w:rsidRPr="00D64ECF" w:rsidRDefault="00843922" w:rsidP="00D64ECF">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964277" w:history="1">
        <w:r w:rsidR="00D64ECF" w:rsidRPr="00D64ECF">
          <w:rPr>
            <w:rStyle w:val="Hyperlink"/>
            <w:rFonts w:ascii="Arial" w:hAnsi="Arial" w:cs="Arial"/>
            <w:noProof/>
            <w:sz w:val="24"/>
            <w:szCs w:val="24"/>
          </w:rPr>
          <w:t>5.</w:t>
        </w:r>
        <w:r w:rsidR="00D64ECF" w:rsidRPr="00D64ECF">
          <w:rPr>
            <w:rFonts w:ascii="Arial" w:eastAsiaTheme="minorEastAsia" w:hAnsi="Arial" w:cs="Arial"/>
            <w:noProof/>
            <w:kern w:val="2"/>
            <w:sz w:val="24"/>
            <w:szCs w:val="24"/>
            <w:lang w:eastAsia="en-GB"/>
            <w14:ligatures w14:val="standardContextual"/>
          </w:rPr>
          <w:tab/>
        </w:r>
        <w:r w:rsidR="00D64ECF" w:rsidRPr="00D64ECF">
          <w:rPr>
            <w:rStyle w:val="Hyperlink"/>
            <w:rFonts w:ascii="Arial" w:hAnsi="Arial" w:cs="Arial"/>
            <w:noProof/>
            <w:sz w:val="24"/>
            <w:szCs w:val="24"/>
          </w:rPr>
          <w:t>Summary of Chichester Local Plan Proposed Submission Version Nutrient Budget for 2021-2039</w:t>
        </w:r>
        <w:r w:rsidR="00D64ECF" w:rsidRPr="00D64ECF">
          <w:rPr>
            <w:rFonts w:ascii="Arial" w:hAnsi="Arial" w:cs="Arial"/>
            <w:noProof/>
            <w:webHidden/>
            <w:sz w:val="24"/>
            <w:szCs w:val="24"/>
          </w:rPr>
          <w:tab/>
        </w:r>
        <w:r w:rsidR="00D64ECF" w:rsidRPr="00D64ECF">
          <w:rPr>
            <w:rFonts w:ascii="Arial" w:hAnsi="Arial" w:cs="Arial"/>
            <w:noProof/>
            <w:webHidden/>
            <w:sz w:val="24"/>
            <w:szCs w:val="24"/>
          </w:rPr>
          <w:fldChar w:fldCharType="begin"/>
        </w:r>
        <w:r w:rsidR="00D64ECF" w:rsidRPr="00D64ECF">
          <w:rPr>
            <w:rFonts w:ascii="Arial" w:hAnsi="Arial" w:cs="Arial"/>
            <w:noProof/>
            <w:webHidden/>
            <w:sz w:val="24"/>
            <w:szCs w:val="24"/>
          </w:rPr>
          <w:instrText xml:space="preserve"> PAGEREF _Toc167964277 \h </w:instrText>
        </w:r>
        <w:r w:rsidR="00D64ECF" w:rsidRPr="00D64ECF">
          <w:rPr>
            <w:rFonts w:ascii="Arial" w:hAnsi="Arial" w:cs="Arial"/>
            <w:noProof/>
            <w:webHidden/>
            <w:sz w:val="24"/>
            <w:szCs w:val="24"/>
          </w:rPr>
        </w:r>
        <w:r w:rsidR="00D64ECF" w:rsidRPr="00D64ECF">
          <w:rPr>
            <w:rFonts w:ascii="Arial" w:hAnsi="Arial" w:cs="Arial"/>
            <w:noProof/>
            <w:webHidden/>
            <w:sz w:val="24"/>
            <w:szCs w:val="24"/>
          </w:rPr>
          <w:fldChar w:fldCharType="separate"/>
        </w:r>
        <w:r w:rsidR="00D64ECF" w:rsidRPr="00D64ECF">
          <w:rPr>
            <w:rFonts w:ascii="Arial" w:hAnsi="Arial" w:cs="Arial"/>
            <w:noProof/>
            <w:webHidden/>
            <w:sz w:val="24"/>
            <w:szCs w:val="24"/>
          </w:rPr>
          <w:t>5</w:t>
        </w:r>
        <w:r w:rsidR="00D64ECF" w:rsidRPr="00D64ECF">
          <w:rPr>
            <w:rFonts w:ascii="Arial" w:hAnsi="Arial" w:cs="Arial"/>
            <w:noProof/>
            <w:webHidden/>
            <w:sz w:val="24"/>
            <w:szCs w:val="24"/>
          </w:rPr>
          <w:fldChar w:fldCharType="end"/>
        </w:r>
      </w:hyperlink>
    </w:p>
    <w:p w14:paraId="6BB13ECC" w14:textId="38FC3A20" w:rsidR="00D64ECF" w:rsidRPr="00D64ECF" w:rsidRDefault="00843922" w:rsidP="00D64ECF">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964278" w:history="1">
        <w:r w:rsidR="00D64ECF" w:rsidRPr="00D64ECF">
          <w:rPr>
            <w:rStyle w:val="Hyperlink"/>
            <w:rFonts w:ascii="Arial" w:hAnsi="Arial" w:cs="Arial"/>
            <w:noProof/>
            <w:sz w:val="24"/>
            <w:szCs w:val="24"/>
          </w:rPr>
          <w:t>6.</w:t>
        </w:r>
        <w:r w:rsidR="00D64ECF" w:rsidRPr="00D64ECF">
          <w:rPr>
            <w:rFonts w:ascii="Arial" w:eastAsiaTheme="minorEastAsia" w:hAnsi="Arial" w:cs="Arial"/>
            <w:noProof/>
            <w:kern w:val="2"/>
            <w:sz w:val="24"/>
            <w:szCs w:val="24"/>
            <w:lang w:eastAsia="en-GB"/>
            <w14:ligatures w14:val="standardContextual"/>
          </w:rPr>
          <w:tab/>
        </w:r>
        <w:r w:rsidR="00D64ECF" w:rsidRPr="00D64ECF">
          <w:rPr>
            <w:rStyle w:val="Hyperlink"/>
            <w:rFonts w:ascii="Arial" w:hAnsi="Arial" w:cs="Arial"/>
            <w:noProof/>
            <w:sz w:val="24"/>
            <w:szCs w:val="24"/>
          </w:rPr>
          <w:t>Nutrient Budget Methodology</w:t>
        </w:r>
        <w:r w:rsidR="00D64ECF" w:rsidRPr="00D64ECF">
          <w:rPr>
            <w:rFonts w:ascii="Arial" w:hAnsi="Arial" w:cs="Arial"/>
            <w:noProof/>
            <w:webHidden/>
            <w:sz w:val="24"/>
            <w:szCs w:val="24"/>
          </w:rPr>
          <w:tab/>
        </w:r>
        <w:r w:rsidR="00D64ECF" w:rsidRPr="00D64ECF">
          <w:rPr>
            <w:rFonts w:ascii="Arial" w:hAnsi="Arial" w:cs="Arial"/>
            <w:noProof/>
            <w:webHidden/>
            <w:sz w:val="24"/>
            <w:szCs w:val="24"/>
          </w:rPr>
          <w:fldChar w:fldCharType="begin"/>
        </w:r>
        <w:r w:rsidR="00D64ECF" w:rsidRPr="00D64ECF">
          <w:rPr>
            <w:rFonts w:ascii="Arial" w:hAnsi="Arial" w:cs="Arial"/>
            <w:noProof/>
            <w:webHidden/>
            <w:sz w:val="24"/>
            <w:szCs w:val="24"/>
          </w:rPr>
          <w:instrText xml:space="preserve"> PAGEREF _Toc167964278 \h </w:instrText>
        </w:r>
        <w:r w:rsidR="00D64ECF" w:rsidRPr="00D64ECF">
          <w:rPr>
            <w:rFonts w:ascii="Arial" w:hAnsi="Arial" w:cs="Arial"/>
            <w:noProof/>
            <w:webHidden/>
            <w:sz w:val="24"/>
            <w:szCs w:val="24"/>
          </w:rPr>
        </w:r>
        <w:r w:rsidR="00D64ECF" w:rsidRPr="00D64ECF">
          <w:rPr>
            <w:rFonts w:ascii="Arial" w:hAnsi="Arial" w:cs="Arial"/>
            <w:noProof/>
            <w:webHidden/>
            <w:sz w:val="24"/>
            <w:szCs w:val="24"/>
          </w:rPr>
          <w:fldChar w:fldCharType="separate"/>
        </w:r>
        <w:r w:rsidR="00D64ECF" w:rsidRPr="00D64ECF">
          <w:rPr>
            <w:rFonts w:ascii="Arial" w:hAnsi="Arial" w:cs="Arial"/>
            <w:noProof/>
            <w:webHidden/>
            <w:sz w:val="24"/>
            <w:szCs w:val="24"/>
          </w:rPr>
          <w:t>6</w:t>
        </w:r>
        <w:r w:rsidR="00D64ECF" w:rsidRPr="00D64ECF">
          <w:rPr>
            <w:rFonts w:ascii="Arial" w:hAnsi="Arial" w:cs="Arial"/>
            <w:noProof/>
            <w:webHidden/>
            <w:sz w:val="24"/>
            <w:szCs w:val="24"/>
          </w:rPr>
          <w:fldChar w:fldCharType="end"/>
        </w:r>
      </w:hyperlink>
    </w:p>
    <w:p w14:paraId="09C2F7DF" w14:textId="3800D874" w:rsidR="00D64ECF" w:rsidRPr="00D64ECF" w:rsidRDefault="00843922" w:rsidP="00D64ECF">
      <w:pPr>
        <w:pStyle w:val="TOC1"/>
        <w:tabs>
          <w:tab w:val="left" w:pos="440"/>
          <w:tab w:val="right" w:leader="dot" w:pos="9628"/>
        </w:tabs>
        <w:rPr>
          <w:rFonts w:ascii="Arial" w:eastAsiaTheme="minorEastAsia" w:hAnsi="Arial" w:cs="Arial"/>
          <w:noProof/>
          <w:kern w:val="2"/>
          <w:sz w:val="24"/>
          <w:szCs w:val="24"/>
          <w:lang w:eastAsia="en-GB"/>
          <w14:ligatures w14:val="standardContextual"/>
        </w:rPr>
      </w:pPr>
      <w:hyperlink w:anchor="_Toc167964279" w:history="1">
        <w:r w:rsidR="00D64ECF" w:rsidRPr="00D64ECF">
          <w:rPr>
            <w:rStyle w:val="Hyperlink"/>
            <w:rFonts w:ascii="Arial" w:hAnsi="Arial" w:cs="Arial"/>
            <w:noProof/>
            <w:sz w:val="24"/>
            <w:szCs w:val="24"/>
          </w:rPr>
          <w:t>7.</w:t>
        </w:r>
        <w:r w:rsidR="00D64ECF" w:rsidRPr="00D64ECF">
          <w:rPr>
            <w:rFonts w:ascii="Arial" w:eastAsiaTheme="minorEastAsia" w:hAnsi="Arial" w:cs="Arial"/>
            <w:noProof/>
            <w:kern w:val="2"/>
            <w:sz w:val="24"/>
            <w:szCs w:val="24"/>
            <w:lang w:eastAsia="en-GB"/>
            <w14:ligatures w14:val="standardContextual"/>
          </w:rPr>
          <w:tab/>
        </w:r>
        <w:r w:rsidR="00D64ECF" w:rsidRPr="00D64ECF">
          <w:rPr>
            <w:rStyle w:val="Hyperlink"/>
            <w:rFonts w:ascii="Arial" w:hAnsi="Arial" w:cs="Arial"/>
            <w:noProof/>
            <w:sz w:val="24"/>
            <w:szCs w:val="24"/>
          </w:rPr>
          <w:t>Review of nutrient budget and required mitigation</w:t>
        </w:r>
        <w:r w:rsidR="00D64ECF" w:rsidRPr="00D64ECF">
          <w:rPr>
            <w:rFonts w:ascii="Arial" w:hAnsi="Arial" w:cs="Arial"/>
            <w:noProof/>
            <w:webHidden/>
            <w:sz w:val="24"/>
            <w:szCs w:val="24"/>
          </w:rPr>
          <w:tab/>
        </w:r>
        <w:r w:rsidR="00D64ECF" w:rsidRPr="00D64ECF">
          <w:rPr>
            <w:rFonts w:ascii="Arial" w:hAnsi="Arial" w:cs="Arial"/>
            <w:noProof/>
            <w:webHidden/>
            <w:sz w:val="24"/>
            <w:szCs w:val="24"/>
          </w:rPr>
          <w:fldChar w:fldCharType="begin"/>
        </w:r>
        <w:r w:rsidR="00D64ECF" w:rsidRPr="00D64ECF">
          <w:rPr>
            <w:rFonts w:ascii="Arial" w:hAnsi="Arial" w:cs="Arial"/>
            <w:noProof/>
            <w:webHidden/>
            <w:sz w:val="24"/>
            <w:szCs w:val="24"/>
          </w:rPr>
          <w:instrText xml:space="preserve"> PAGEREF _Toc167964279 \h </w:instrText>
        </w:r>
        <w:r w:rsidR="00D64ECF" w:rsidRPr="00D64ECF">
          <w:rPr>
            <w:rFonts w:ascii="Arial" w:hAnsi="Arial" w:cs="Arial"/>
            <w:noProof/>
            <w:webHidden/>
            <w:sz w:val="24"/>
            <w:szCs w:val="24"/>
          </w:rPr>
        </w:r>
        <w:r w:rsidR="00D64ECF" w:rsidRPr="00D64ECF">
          <w:rPr>
            <w:rFonts w:ascii="Arial" w:hAnsi="Arial" w:cs="Arial"/>
            <w:noProof/>
            <w:webHidden/>
            <w:sz w:val="24"/>
            <w:szCs w:val="24"/>
          </w:rPr>
          <w:fldChar w:fldCharType="separate"/>
        </w:r>
        <w:r w:rsidR="00D64ECF" w:rsidRPr="00D64ECF">
          <w:rPr>
            <w:rFonts w:ascii="Arial" w:hAnsi="Arial" w:cs="Arial"/>
            <w:noProof/>
            <w:webHidden/>
            <w:sz w:val="24"/>
            <w:szCs w:val="24"/>
          </w:rPr>
          <w:t>9</w:t>
        </w:r>
        <w:r w:rsidR="00D64ECF" w:rsidRPr="00D64ECF">
          <w:rPr>
            <w:rFonts w:ascii="Arial" w:hAnsi="Arial" w:cs="Arial"/>
            <w:noProof/>
            <w:webHidden/>
            <w:sz w:val="24"/>
            <w:szCs w:val="24"/>
          </w:rPr>
          <w:fldChar w:fldCharType="end"/>
        </w:r>
      </w:hyperlink>
    </w:p>
    <w:p w14:paraId="17ABDEE3" w14:textId="0C685BAF" w:rsidR="00D64ECF" w:rsidRPr="00D64ECF" w:rsidRDefault="00843922" w:rsidP="00D64ECF">
      <w:pPr>
        <w:pStyle w:val="TOC1"/>
        <w:tabs>
          <w:tab w:val="right" w:leader="dot" w:pos="9628"/>
        </w:tabs>
        <w:rPr>
          <w:rFonts w:ascii="Arial" w:eastAsiaTheme="minorEastAsia" w:hAnsi="Arial" w:cs="Arial"/>
          <w:noProof/>
          <w:kern w:val="2"/>
          <w:sz w:val="24"/>
          <w:szCs w:val="24"/>
          <w:lang w:eastAsia="en-GB"/>
          <w14:ligatures w14:val="standardContextual"/>
        </w:rPr>
      </w:pPr>
      <w:hyperlink w:anchor="_Toc167964280" w:history="1">
        <w:r w:rsidR="00D64ECF" w:rsidRPr="00D64ECF">
          <w:rPr>
            <w:rStyle w:val="Hyperlink"/>
            <w:rFonts w:ascii="Arial" w:hAnsi="Arial" w:cs="Arial"/>
            <w:noProof/>
            <w:sz w:val="24"/>
            <w:szCs w:val="24"/>
          </w:rPr>
          <w:t>Appendix 1 - Nitrogen Budget for Local Plan Period 2021-2039</w:t>
        </w:r>
        <w:r w:rsidR="00D64ECF" w:rsidRPr="00D64ECF">
          <w:rPr>
            <w:rFonts w:ascii="Arial" w:hAnsi="Arial" w:cs="Arial"/>
            <w:noProof/>
            <w:webHidden/>
            <w:sz w:val="24"/>
            <w:szCs w:val="24"/>
          </w:rPr>
          <w:tab/>
        </w:r>
        <w:r w:rsidR="00D64ECF" w:rsidRPr="00D64ECF">
          <w:rPr>
            <w:rFonts w:ascii="Arial" w:hAnsi="Arial" w:cs="Arial"/>
            <w:noProof/>
            <w:webHidden/>
            <w:sz w:val="24"/>
            <w:szCs w:val="24"/>
          </w:rPr>
          <w:fldChar w:fldCharType="begin"/>
        </w:r>
        <w:r w:rsidR="00D64ECF" w:rsidRPr="00D64ECF">
          <w:rPr>
            <w:rFonts w:ascii="Arial" w:hAnsi="Arial" w:cs="Arial"/>
            <w:noProof/>
            <w:webHidden/>
            <w:sz w:val="24"/>
            <w:szCs w:val="24"/>
          </w:rPr>
          <w:instrText xml:space="preserve"> PAGEREF _Toc167964280 \h </w:instrText>
        </w:r>
        <w:r w:rsidR="00D64ECF" w:rsidRPr="00D64ECF">
          <w:rPr>
            <w:rFonts w:ascii="Arial" w:hAnsi="Arial" w:cs="Arial"/>
            <w:noProof/>
            <w:webHidden/>
            <w:sz w:val="24"/>
            <w:szCs w:val="24"/>
          </w:rPr>
        </w:r>
        <w:r w:rsidR="00D64ECF" w:rsidRPr="00D64ECF">
          <w:rPr>
            <w:rFonts w:ascii="Arial" w:hAnsi="Arial" w:cs="Arial"/>
            <w:noProof/>
            <w:webHidden/>
            <w:sz w:val="24"/>
            <w:szCs w:val="24"/>
          </w:rPr>
          <w:fldChar w:fldCharType="separate"/>
        </w:r>
        <w:r w:rsidR="00D64ECF" w:rsidRPr="00D64ECF">
          <w:rPr>
            <w:rFonts w:ascii="Arial" w:hAnsi="Arial" w:cs="Arial"/>
            <w:noProof/>
            <w:webHidden/>
            <w:sz w:val="24"/>
            <w:szCs w:val="24"/>
          </w:rPr>
          <w:t>11</w:t>
        </w:r>
        <w:r w:rsidR="00D64ECF" w:rsidRPr="00D64ECF">
          <w:rPr>
            <w:rFonts w:ascii="Arial" w:hAnsi="Arial" w:cs="Arial"/>
            <w:noProof/>
            <w:webHidden/>
            <w:sz w:val="24"/>
            <w:szCs w:val="24"/>
          </w:rPr>
          <w:fldChar w:fldCharType="end"/>
        </w:r>
      </w:hyperlink>
    </w:p>
    <w:p w14:paraId="379258C5" w14:textId="6007A5B3" w:rsidR="00D64ECF" w:rsidRPr="00D64ECF" w:rsidRDefault="00843922" w:rsidP="00D64ECF">
      <w:pPr>
        <w:pStyle w:val="TOC1"/>
        <w:tabs>
          <w:tab w:val="right" w:leader="dot" w:pos="9628"/>
        </w:tabs>
        <w:rPr>
          <w:rFonts w:ascii="Arial" w:eastAsiaTheme="minorEastAsia" w:hAnsi="Arial" w:cs="Arial"/>
          <w:noProof/>
          <w:kern w:val="2"/>
          <w:sz w:val="24"/>
          <w:szCs w:val="24"/>
          <w:lang w:eastAsia="en-GB"/>
          <w14:ligatures w14:val="standardContextual"/>
        </w:rPr>
      </w:pPr>
      <w:hyperlink w:anchor="_Toc167964281" w:history="1">
        <w:r w:rsidR="00D64ECF" w:rsidRPr="00D64ECF">
          <w:rPr>
            <w:rStyle w:val="Hyperlink"/>
            <w:rFonts w:ascii="Arial" w:hAnsi="Arial" w:cs="Arial"/>
            <w:noProof/>
            <w:sz w:val="24"/>
            <w:szCs w:val="24"/>
          </w:rPr>
          <w:t>Appendix 2 - Nitrogen Budget for Local Plan Period 2021-2029</w:t>
        </w:r>
        <w:r w:rsidR="00D64ECF" w:rsidRPr="00D64ECF">
          <w:rPr>
            <w:rFonts w:ascii="Arial" w:hAnsi="Arial" w:cs="Arial"/>
            <w:noProof/>
            <w:webHidden/>
            <w:sz w:val="24"/>
            <w:szCs w:val="24"/>
          </w:rPr>
          <w:tab/>
        </w:r>
        <w:r w:rsidR="00D64ECF" w:rsidRPr="00D64ECF">
          <w:rPr>
            <w:rFonts w:ascii="Arial" w:hAnsi="Arial" w:cs="Arial"/>
            <w:noProof/>
            <w:webHidden/>
            <w:sz w:val="24"/>
            <w:szCs w:val="24"/>
          </w:rPr>
          <w:fldChar w:fldCharType="begin"/>
        </w:r>
        <w:r w:rsidR="00D64ECF" w:rsidRPr="00D64ECF">
          <w:rPr>
            <w:rFonts w:ascii="Arial" w:hAnsi="Arial" w:cs="Arial"/>
            <w:noProof/>
            <w:webHidden/>
            <w:sz w:val="24"/>
            <w:szCs w:val="24"/>
          </w:rPr>
          <w:instrText xml:space="preserve"> PAGEREF _Toc167964281 \h </w:instrText>
        </w:r>
        <w:r w:rsidR="00D64ECF" w:rsidRPr="00D64ECF">
          <w:rPr>
            <w:rFonts w:ascii="Arial" w:hAnsi="Arial" w:cs="Arial"/>
            <w:noProof/>
            <w:webHidden/>
            <w:sz w:val="24"/>
            <w:szCs w:val="24"/>
          </w:rPr>
        </w:r>
        <w:r w:rsidR="00D64ECF" w:rsidRPr="00D64ECF">
          <w:rPr>
            <w:rFonts w:ascii="Arial" w:hAnsi="Arial" w:cs="Arial"/>
            <w:noProof/>
            <w:webHidden/>
            <w:sz w:val="24"/>
            <w:szCs w:val="24"/>
          </w:rPr>
          <w:fldChar w:fldCharType="separate"/>
        </w:r>
        <w:r w:rsidR="00D64ECF" w:rsidRPr="00D64ECF">
          <w:rPr>
            <w:rFonts w:ascii="Arial" w:hAnsi="Arial" w:cs="Arial"/>
            <w:noProof/>
            <w:webHidden/>
            <w:sz w:val="24"/>
            <w:szCs w:val="24"/>
          </w:rPr>
          <w:t>13</w:t>
        </w:r>
        <w:r w:rsidR="00D64ECF" w:rsidRPr="00D64ECF">
          <w:rPr>
            <w:rFonts w:ascii="Arial" w:hAnsi="Arial" w:cs="Arial"/>
            <w:noProof/>
            <w:webHidden/>
            <w:sz w:val="24"/>
            <w:szCs w:val="24"/>
          </w:rPr>
          <w:fldChar w:fldCharType="end"/>
        </w:r>
      </w:hyperlink>
    </w:p>
    <w:p w14:paraId="7906DF17" w14:textId="04646126" w:rsidR="00B30455" w:rsidRDefault="00D64ECF">
      <w:pPr>
        <w:spacing w:after="160" w:line="259" w:lineRule="auto"/>
      </w:pPr>
      <w:r>
        <w:fldChar w:fldCharType="end"/>
      </w:r>
      <w:r w:rsidR="00B30455">
        <w:br w:type="page"/>
      </w:r>
    </w:p>
    <w:p w14:paraId="6CCCB412" w14:textId="77777777" w:rsidR="0014706A" w:rsidRPr="001960ED" w:rsidRDefault="0014706A" w:rsidP="00951D7E">
      <w:pPr>
        <w:pStyle w:val="Heading1"/>
        <w:numPr>
          <w:ilvl w:val="0"/>
          <w:numId w:val="7"/>
        </w:numPr>
        <w:spacing w:after="240"/>
        <w:ind w:hanging="720"/>
        <w:rPr>
          <w:rFonts w:ascii="Arial" w:hAnsi="Arial" w:cs="Arial"/>
          <w:b/>
          <w:bCs/>
          <w:color w:val="0073CF"/>
        </w:rPr>
      </w:pPr>
      <w:bookmarkStart w:id="0" w:name="_Toc167964273"/>
      <w:r w:rsidRPr="001960ED">
        <w:rPr>
          <w:rFonts w:ascii="Arial" w:hAnsi="Arial" w:cs="Arial"/>
          <w:b/>
          <w:bCs/>
          <w:color w:val="0073CF"/>
        </w:rPr>
        <w:lastRenderedPageBreak/>
        <w:t>Introduction</w:t>
      </w:r>
      <w:bookmarkEnd w:id="0"/>
    </w:p>
    <w:p w14:paraId="2610D7D5" w14:textId="53E7F9DC" w:rsidR="00F36E94" w:rsidRDefault="0014706A" w:rsidP="00951D7E">
      <w:pPr>
        <w:pStyle w:val="ListParagraph"/>
        <w:numPr>
          <w:ilvl w:val="1"/>
          <w:numId w:val="1"/>
        </w:numPr>
        <w:spacing w:after="0"/>
        <w:ind w:left="709" w:hanging="720"/>
        <w:contextualSpacing w:val="0"/>
        <w:jc w:val="both"/>
        <w:rPr>
          <w:rFonts w:ascii="Arial" w:hAnsi="Arial" w:cs="Arial"/>
          <w:sz w:val="24"/>
          <w:szCs w:val="24"/>
        </w:rPr>
      </w:pPr>
      <w:r w:rsidRPr="00142E2D">
        <w:rPr>
          <w:rFonts w:ascii="Arial" w:hAnsi="Arial" w:cs="Arial"/>
          <w:sz w:val="24"/>
          <w:szCs w:val="24"/>
        </w:rPr>
        <w:t xml:space="preserve">This paper sets out the background to the </w:t>
      </w:r>
      <w:r w:rsidR="00EA54F7" w:rsidRPr="00142E2D">
        <w:rPr>
          <w:rFonts w:ascii="Arial" w:hAnsi="Arial" w:cs="Arial"/>
          <w:sz w:val="24"/>
          <w:szCs w:val="24"/>
        </w:rPr>
        <w:t>L</w:t>
      </w:r>
      <w:r w:rsidRPr="00142E2D">
        <w:rPr>
          <w:rFonts w:ascii="Arial" w:hAnsi="Arial" w:cs="Arial"/>
          <w:sz w:val="24"/>
          <w:szCs w:val="24"/>
        </w:rPr>
        <w:t xml:space="preserve">ocal </w:t>
      </w:r>
      <w:r w:rsidR="00EA54F7" w:rsidRPr="00142E2D">
        <w:rPr>
          <w:rFonts w:ascii="Arial" w:hAnsi="Arial" w:cs="Arial"/>
          <w:sz w:val="24"/>
          <w:szCs w:val="24"/>
        </w:rPr>
        <w:t>P</w:t>
      </w:r>
      <w:r w:rsidRPr="00142E2D">
        <w:rPr>
          <w:rFonts w:ascii="Arial" w:hAnsi="Arial" w:cs="Arial"/>
          <w:sz w:val="24"/>
          <w:szCs w:val="24"/>
        </w:rPr>
        <w:t xml:space="preserve">lan nutrient budget detailed in the Habitats Regulations Assessment </w:t>
      </w:r>
      <w:r w:rsidR="00223956" w:rsidRPr="00142E2D">
        <w:rPr>
          <w:rFonts w:ascii="Arial" w:hAnsi="Arial" w:cs="Arial"/>
          <w:sz w:val="24"/>
          <w:szCs w:val="24"/>
        </w:rPr>
        <w:t xml:space="preserve">(HRA) </w:t>
      </w:r>
      <w:r w:rsidR="00D64ECF">
        <w:rPr>
          <w:rFonts w:ascii="Arial" w:hAnsi="Arial" w:cs="Arial"/>
          <w:sz w:val="24"/>
          <w:szCs w:val="24"/>
        </w:rPr>
        <w:t xml:space="preserve">(SD04) </w:t>
      </w:r>
      <w:r w:rsidR="00223956" w:rsidRPr="00142E2D">
        <w:rPr>
          <w:rFonts w:ascii="Arial" w:hAnsi="Arial" w:cs="Arial"/>
          <w:sz w:val="24"/>
          <w:szCs w:val="24"/>
        </w:rPr>
        <w:t xml:space="preserve">which has been undertaken for the </w:t>
      </w:r>
      <w:r w:rsidR="00EA54F7" w:rsidRPr="00142E2D">
        <w:rPr>
          <w:rFonts w:ascii="Arial" w:hAnsi="Arial" w:cs="Arial"/>
          <w:sz w:val="24"/>
          <w:szCs w:val="24"/>
        </w:rPr>
        <w:t xml:space="preserve">Proposed </w:t>
      </w:r>
      <w:r w:rsidR="00223956" w:rsidRPr="00142E2D">
        <w:rPr>
          <w:rFonts w:ascii="Arial" w:hAnsi="Arial" w:cs="Arial"/>
          <w:sz w:val="24"/>
          <w:szCs w:val="24"/>
        </w:rPr>
        <w:t>Submission version of the Chichester Local Plan 2021-2039</w:t>
      </w:r>
      <w:r w:rsidR="00277FF8">
        <w:rPr>
          <w:rFonts w:ascii="Arial" w:hAnsi="Arial" w:cs="Arial"/>
          <w:sz w:val="24"/>
          <w:szCs w:val="24"/>
        </w:rPr>
        <w:t>, and the 2024 HRA update</w:t>
      </w:r>
      <w:r w:rsidR="00223956" w:rsidRPr="00142E2D">
        <w:rPr>
          <w:rFonts w:ascii="Arial" w:hAnsi="Arial" w:cs="Arial"/>
          <w:sz w:val="24"/>
          <w:szCs w:val="24"/>
        </w:rPr>
        <w:t>.</w:t>
      </w:r>
      <w:r w:rsidR="009F0124" w:rsidRPr="00142E2D">
        <w:rPr>
          <w:rFonts w:ascii="Arial" w:hAnsi="Arial" w:cs="Arial"/>
          <w:sz w:val="24"/>
          <w:szCs w:val="24"/>
        </w:rPr>
        <w:t xml:space="preserve"> The </w:t>
      </w:r>
      <w:r w:rsidR="00EA54F7" w:rsidRPr="00142E2D">
        <w:rPr>
          <w:rFonts w:ascii="Arial" w:hAnsi="Arial" w:cs="Arial"/>
          <w:sz w:val="24"/>
          <w:szCs w:val="24"/>
        </w:rPr>
        <w:t>n</w:t>
      </w:r>
      <w:r w:rsidR="009F0124" w:rsidRPr="00142E2D">
        <w:rPr>
          <w:rFonts w:ascii="Arial" w:hAnsi="Arial" w:cs="Arial"/>
          <w:sz w:val="24"/>
          <w:szCs w:val="24"/>
        </w:rPr>
        <w:t xml:space="preserve">utrient </w:t>
      </w:r>
      <w:r w:rsidR="00EA54F7" w:rsidRPr="00142E2D">
        <w:rPr>
          <w:rFonts w:ascii="Arial" w:hAnsi="Arial" w:cs="Arial"/>
          <w:sz w:val="24"/>
          <w:szCs w:val="24"/>
        </w:rPr>
        <w:t>b</w:t>
      </w:r>
      <w:r w:rsidR="009F0124" w:rsidRPr="00142E2D">
        <w:rPr>
          <w:rFonts w:ascii="Arial" w:hAnsi="Arial" w:cs="Arial"/>
          <w:sz w:val="24"/>
          <w:szCs w:val="24"/>
        </w:rPr>
        <w:t>udget has been</w:t>
      </w:r>
      <w:r w:rsidR="0087570A">
        <w:rPr>
          <w:rFonts w:ascii="Arial" w:hAnsi="Arial" w:cs="Arial"/>
          <w:sz w:val="24"/>
          <w:szCs w:val="24"/>
        </w:rPr>
        <w:t xml:space="preserve"> updated since the Reg</w:t>
      </w:r>
      <w:r w:rsidR="00B90EB6">
        <w:rPr>
          <w:rFonts w:ascii="Arial" w:hAnsi="Arial" w:cs="Arial"/>
          <w:sz w:val="24"/>
          <w:szCs w:val="24"/>
        </w:rPr>
        <w:t>ulation</w:t>
      </w:r>
      <w:r w:rsidR="0087570A">
        <w:rPr>
          <w:rFonts w:ascii="Arial" w:hAnsi="Arial" w:cs="Arial"/>
          <w:sz w:val="24"/>
          <w:szCs w:val="24"/>
        </w:rPr>
        <w:t xml:space="preserve"> 19 consultation and this latest version </w:t>
      </w:r>
      <w:r w:rsidR="00277FF8">
        <w:rPr>
          <w:rFonts w:ascii="Arial" w:hAnsi="Arial" w:cs="Arial"/>
          <w:sz w:val="24"/>
          <w:szCs w:val="24"/>
        </w:rPr>
        <w:t>h</w:t>
      </w:r>
      <w:r w:rsidR="0087570A">
        <w:rPr>
          <w:rFonts w:ascii="Arial" w:hAnsi="Arial" w:cs="Arial"/>
          <w:sz w:val="24"/>
          <w:szCs w:val="24"/>
        </w:rPr>
        <w:t>as been</w:t>
      </w:r>
      <w:r w:rsidR="009F0124" w:rsidRPr="00142E2D">
        <w:rPr>
          <w:rFonts w:ascii="Arial" w:hAnsi="Arial" w:cs="Arial"/>
          <w:sz w:val="24"/>
          <w:szCs w:val="24"/>
        </w:rPr>
        <w:t xml:space="preserve"> prepared using the </w:t>
      </w:r>
      <w:r w:rsidR="00142E2D" w:rsidRPr="00142E2D">
        <w:rPr>
          <w:rFonts w:ascii="Arial" w:hAnsi="Arial" w:cs="Arial"/>
          <w:sz w:val="24"/>
          <w:szCs w:val="24"/>
        </w:rPr>
        <w:t xml:space="preserve">latest </w:t>
      </w:r>
      <w:r w:rsidR="009F0124" w:rsidRPr="00142E2D">
        <w:rPr>
          <w:rFonts w:ascii="Arial" w:hAnsi="Arial" w:cs="Arial"/>
          <w:sz w:val="24"/>
          <w:szCs w:val="24"/>
        </w:rPr>
        <w:t>Natural England Guidance</w:t>
      </w:r>
      <w:r w:rsidR="00142E2D" w:rsidRPr="00142E2D">
        <w:rPr>
          <w:rFonts w:ascii="Arial" w:hAnsi="Arial" w:cs="Arial"/>
          <w:sz w:val="24"/>
          <w:szCs w:val="24"/>
        </w:rPr>
        <w:t xml:space="preserve">, most recently </w:t>
      </w:r>
      <w:r w:rsidR="009F0124" w:rsidRPr="00142E2D">
        <w:rPr>
          <w:rFonts w:ascii="Arial" w:hAnsi="Arial" w:cs="Arial"/>
          <w:sz w:val="24"/>
          <w:szCs w:val="24"/>
        </w:rPr>
        <w:t xml:space="preserve">updated in </w:t>
      </w:r>
      <w:r w:rsidR="00142E2D" w:rsidRPr="00142E2D">
        <w:rPr>
          <w:rFonts w:ascii="Arial" w:hAnsi="Arial" w:cs="Arial"/>
          <w:sz w:val="24"/>
          <w:szCs w:val="24"/>
        </w:rPr>
        <w:t>February 2024</w:t>
      </w:r>
      <w:r w:rsidR="00B90EB6">
        <w:rPr>
          <w:rFonts w:ascii="Arial" w:hAnsi="Arial" w:cs="Arial"/>
          <w:sz w:val="24"/>
          <w:szCs w:val="24"/>
        </w:rPr>
        <w:t>,</w:t>
      </w:r>
      <w:r w:rsidR="009F0124" w:rsidRPr="00142E2D">
        <w:rPr>
          <w:rFonts w:ascii="Arial" w:hAnsi="Arial" w:cs="Arial"/>
          <w:sz w:val="24"/>
          <w:szCs w:val="24"/>
        </w:rPr>
        <w:t xml:space="preserve"> </w:t>
      </w:r>
      <w:r w:rsidR="00FE735A" w:rsidRPr="00142E2D">
        <w:rPr>
          <w:rFonts w:ascii="Arial" w:hAnsi="Arial" w:cs="Arial"/>
          <w:sz w:val="24"/>
          <w:szCs w:val="24"/>
        </w:rPr>
        <w:t xml:space="preserve">which </w:t>
      </w:r>
      <w:r w:rsidR="009F0124" w:rsidRPr="00142E2D">
        <w:rPr>
          <w:rFonts w:ascii="Arial" w:hAnsi="Arial" w:cs="Arial"/>
          <w:sz w:val="24"/>
          <w:szCs w:val="24"/>
        </w:rPr>
        <w:t xml:space="preserve">includes the </w:t>
      </w:r>
      <w:r w:rsidR="00142E2D">
        <w:rPr>
          <w:rFonts w:ascii="Arial" w:hAnsi="Arial" w:cs="Arial"/>
          <w:sz w:val="24"/>
          <w:szCs w:val="24"/>
        </w:rPr>
        <w:t xml:space="preserve">Solent Nutrient Neutrality </w:t>
      </w:r>
      <w:r w:rsidR="009F0124" w:rsidRPr="00142E2D">
        <w:rPr>
          <w:rFonts w:ascii="Arial" w:hAnsi="Arial" w:cs="Arial"/>
          <w:sz w:val="24"/>
          <w:szCs w:val="24"/>
        </w:rPr>
        <w:t>Calculator</w:t>
      </w:r>
      <w:r w:rsidR="00142E2D" w:rsidRPr="00142E2D">
        <w:rPr>
          <w:rFonts w:ascii="Arial" w:hAnsi="Arial" w:cs="Arial"/>
          <w:sz w:val="24"/>
          <w:szCs w:val="24"/>
        </w:rPr>
        <w:t xml:space="preserve"> and Nutrient Neutrality Calculator Guidance.</w:t>
      </w:r>
    </w:p>
    <w:p w14:paraId="46800E68" w14:textId="77777777" w:rsidR="00951D7E" w:rsidRDefault="00951D7E" w:rsidP="00951D7E">
      <w:pPr>
        <w:pStyle w:val="ListParagraph"/>
        <w:spacing w:after="0"/>
        <w:ind w:left="709"/>
        <w:contextualSpacing w:val="0"/>
        <w:jc w:val="both"/>
        <w:rPr>
          <w:rFonts w:ascii="Arial" w:hAnsi="Arial" w:cs="Arial"/>
          <w:sz w:val="24"/>
          <w:szCs w:val="24"/>
        </w:rPr>
      </w:pPr>
    </w:p>
    <w:p w14:paraId="1CE8843A" w14:textId="77777777" w:rsidR="00951D7E" w:rsidRPr="00CE222F" w:rsidRDefault="00951D7E" w:rsidP="00CE222F">
      <w:pPr>
        <w:pStyle w:val="ListParagraph"/>
        <w:numPr>
          <w:ilvl w:val="1"/>
          <w:numId w:val="1"/>
        </w:numPr>
        <w:spacing w:after="0"/>
        <w:ind w:left="709" w:hanging="709"/>
        <w:jc w:val="both"/>
        <w:rPr>
          <w:rFonts w:ascii="Arial" w:hAnsi="Arial" w:cs="Arial"/>
          <w:color w:val="0563C1" w:themeColor="hyperlink"/>
          <w:sz w:val="24"/>
          <w:szCs w:val="24"/>
          <w:u w:val="single"/>
        </w:rPr>
      </w:pPr>
      <w:r w:rsidRPr="00CE222F">
        <w:rPr>
          <w:rFonts w:ascii="Arial" w:hAnsi="Arial" w:cs="Arial"/>
          <w:sz w:val="24"/>
          <w:szCs w:val="24"/>
        </w:rPr>
        <w:t xml:space="preserve">The background papers and related evidence are available on the council website at </w:t>
      </w:r>
      <w:hyperlink r:id="rId10" w:history="1">
        <w:r w:rsidRPr="00CE222F">
          <w:rPr>
            <w:rStyle w:val="Hyperlink"/>
            <w:rFonts w:ascii="Arial" w:hAnsi="Arial" w:cs="Arial"/>
            <w:sz w:val="24"/>
            <w:szCs w:val="24"/>
          </w:rPr>
          <w:t>www.chichester.gov.uk/localplanexaminationlibrary</w:t>
        </w:r>
      </w:hyperlink>
      <w:r w:rsidRPr="00CE222F">
        <w:rPr>
          <w:rFonts w:ascii="Arial" w:hAnsi="Arial" w:cs="Arial"/>
          <w:sz w:val="24"/>
          <w:szCs w:val="24"/>
        </w:rPr>
        <w:t xml:space="preserve">. This background paper may be </w:t>
      </w:r>
      <w:proofErr w:type="gramStart"/>
      <w:r w:rsidRPr="00CE222F">
        <w:rPr>
          <w:rFonts w:ascii="Arial" w:hAnsi="Arial" w:cs="Arial"/>
          <w:sz w:val="24"/>
          <w:szCs w:val="24"/>
        </w:rPr>
        <w:t>reviewed</w:t>
      </w:r>
      <w:proofErr w:type="gramEnd"/>
      <w:r w:rsidRPr="00CE222F">
        <w:rPr>
          <w:rFonts w:ascii="Arial" w:hAnsi="Arial" w:cs="Arial"/>
          <w:sz w:val="24"/>
          <w:szCs w:val="24"/>
        </w:rPr>
        <w:t xml:space="preserve"> and updates issued during the examination of the Local Plan.</w:t>
      </w:r>
    </w:p>
    <w:p w14:paraId="7E057287" w14:textId="77777777" w:rsidR="0014706A" w:rsidRPr="001960ED" w:rsidRDefault="0014706A" w:rsidP="00951D7E">
      <w:pPr>
        <w:pStyle w:val="Heading1"/>
        <w:numPr>
          <w:ilvl w:val="0"/>
          <w:numId w:val="7"/>
        </w:numPr>
        <w:ind w:hanging="720"/>
        <w:rPr>
          <w:rFonts w:ascii="Arial" w:hAnsi="Arial" w:cs="Arial"/>
          <w:b/>
          <w:bCs/>
        </w:rPr>
      </w:pPr>
      <w:bookmarkStart w:id="1" w:name="_Toc167964274"/>
      <w:r w:rsidRPr="001960ED">
        <w:rPr>
          <w:rFonts w:ascii="Arial" w:hAnsi="Arial" w:cs="Arial"/>
          <w:b/>
          <w:bCs/>
          <w:color w:val="0073CF"/>
        </w:rPr>
        <w:t>Background</w:t>
      </w:r>
      <w:bookmarkEnd w:id="1"/>
      <w:r w:rsidRPr="001960ED">
        <w:rPr>
          <w:rFonts w:ascii="Arial" w:hAnsi="Arial" w:cs="Arial"/>
          <w:b/>
          <w:bCs/>
          <w:color w:val="0073CF"/>
        </w:rPr>
        <w:t xml:space="preserve"> </w:t>
      </w:r>
    </w:p>
    <w:p w14:paraId="3207A9F8" w14:textId="77777777" w:rsidR="0014706A" w:rsidRPr="0059061B" w:rsidRDefault="0014706A" w:rsidP="00951D7E">
      <w:pPr>
        <w:spacing w:after="0"/>
        <w:jc w:val="both"/>
        <w:rPr>
          <w:rFonts w:ascii="Arial" w:hAnsi="Arial" w:cs="Arial"/>
          <w:b/>
          <w:sz w:val="24"/>
          <w:szCs w:val="24"/>
        </w:rPr>
      </w:pPr>
    </w:p>
    <w:p w14:paraId="17A9EC52" w14:textId="77777777" w:rsidR="001960ED" w:rsidRPr="001960ED" w:rsidRDefault="001960ED" w:rsidP="00951D7E">
      <w:pPr>
        <w:pStyle w:val="ListParagraph"/>
        <w:numPr>
          <w:ilvl w:val="0"/>
          <w:numId w:val="1"/>
        </w:numPr>
        <w:spacing w:after="0"/>
        <w:contextualSpacing w:val="0"/>
        <w:jc w:val="both"/>
        <w:rPr>
          <w:rFonts w:ascii="Arial" w:hAnsi="Arial" w:cs="Arial"/>
          <w:vanish/>
          <w:sz w:val="24"/>
          <w:szCs w:val="24"/>
        </w:rPr>
      </w:pPr>
    </w:p>
    <w:p w14:paraId="6AFD0EDD" w14:textId="3DE86650" w:rsidR="00B90EB6" w:rsidRDefault="00223956" w:rsidP="00951D7E">
      <w:pPr>
        <w:pStyle w:val="ListParagraph"/>
        <w:numPr>
          <w:ilvl w:val="1"/>
          <w:numId w:val="1"/>
        </w:numPr>
        <w:spacing w:after="0"/>
        <w:ind w:left="709" w:hanging="709"/>
        <w:contextualSpacing w:val="0"/>
        <w:jc w:val="both"/>
        <w:rPr>
          <w:rFonts w:ascii="Arial" w:hAnsi="Arial" w:cs="Arial"/>
          <w:sz w:val="24"/>
          <w:szCs w:val="24"/>
        </w:rPr>
      </w:pPr>
      <w:r w:rsidRPr="001763CB">
        <w:rPr>
          <w:rFonts w:ascii="Arial" w:hAnsi="Arial" w:cs="Arial"/>
          <w:sz w:val="24"/>
          <w:szCs w:val="24"/>
        </w:rPr>
        <w:t>In February 201</w:t>
      </w:r>
      <w:r w:rsidR="00FD7B3E" w:rsidRPr="001763CB">
        <w:rPr>
          <w:rFonts w:ascii="Arial" w:hAnsi="Arial" w:cs="Arial"/>
          <w:sz w:val="24"/>
          <w:szCs w:val="24"/>
        </w:rPr>
        <w:t>8, the Chichester Harbour designated Site of Special Scientific Interest (SSSI) was downgraded from ‘Unfavourable – recovering’ to ‘Unfavourable – no change’.  Further assessment during 2019/20 found that more than 3,000 h</w:t>
      </w:r>
      <w:r w:rsidR="00B90EB6">
        <w:rPr>
          <w:rFonts w:ascii="Arial" w:hAnsi="Arial" w:cs="Arial"/>
          <w:sz w:val="24"/>
          <w:szCs w:val="24"/>
        </w:rPr>
        <w:t>ect</w:t>
      </w:r>
      <w:r w:rsidR="00FD7B3E" w:rsidRPr="001763CB">
        <w:rPr>
          <w:rFonts w:ascii="Arial" w:hAnsi="Arial" w:cs="Arial"/>
          <w:sz w:val="24"/>
          <w:szCs w:val="24"/>
        </w:rPr>
        <w:t>a</w:t>
      </w:r>
      <w:r w:rsidR="00B90EB6">
        <w:rPr>
          <w:rFonts w:ascii="Arial" w:hAnsi="Arial" w:cs="Arial"/>
          <w:sz w:val="24"/>
          <w:szCs w:val="24"/>
        </w:rPr>
        <w:t>res</w:t>
      </w:r>
      <w:r w:rsidR="00FD7B3E" w:rsidRPr="001763CB">
        <w:rPr>
          <w:rFonts w:ascii="Arial" w:hAnsi="Arial" w:cs="Arial"/>
          <w:sz w:val="24"/>
          <w:szCs w:val="24"/>
        </w:rPr>
        <w:t xml:space="preserve"> of the intertidal parts of Chichester Harbour were ‘Unfavourable – declining’.  </w:t>
      </w:r>
    </w:p>
    <w:p w14:paraId="1904350A" w14:textId="77777777" w:rsidR="00B90EB6" w:rsidRDefault="00B90EB6" w:rsidP="00951D7E">
      <w:pPr>
        <w:pStyle w:val="ListParagraph"/>
        <w:spacing w:after="0"/>
        <w:ind w:left="709"/>
        <w:contextualSpacing w:val="0"/>
        <w:jc w:val="both"/>
        <w:rPr>
          <w:rFonts w:ascii="Arial" w:hAnsi="Arial" w:cs="Arial"/>
          <w:sz w:val="24"/>
          <w:szCs w:val="24"/>
        </w:rPr>
      </w:pPr>
    </w:p>
    <w:p w14:paraId="5DAE2E0A" w14:textId="18C22473" w:rsidR="00FA44DE" w:rsidRPr="00FA44DE" w:rsidRDefault="00FD7B3E" w:rsidP="00951D7E">
      <w:pPr>
        <w:pStyle w:val="ListParagraph"/>
        <w:numPr>
          <w:ilvl w:val="1"/>
          <w:numId w:val="1"/>
        </w:numPr>
        <w:spacing w:after="0"/>
        <w:ind w:left="709" w:hanging="720"/>
        <w:contextualSpacing w:val="0"/>
        <w:jc w:val="both"/>
        <w:rPr>
          <w:rFonts w:ascii="Arial" w:hAnsi="Arial" w:cs="Arial"/>
          <w:sz w:val="24"/>
          <w:szCs w:val="24"/>
        </w:rPr>
      </w:pPr>
      <w:r w:rsidRPr="001763CB">
        <w:rPr>
          <w:rFonts w:ascii="Arial" w:hAnsi="Arial" w:cs="Arial"/>
          <w:sz w:val="24"/>
          <w:szCs w:val="24"/>
          <w:shd w:val="clear" w:color="auto" w:fill="FFFFFF"/>
        </w:rPr>
        <w:t>Water quality is a contributing factor to the build-up of excess nutrients in the Harbour causing eutrophication (algal growth) which impacts on the Harbour's ecology and conservation. Sewage from new development using wastewater treatment works or an on-site package treatment plant that discharges to Chichester Harbour contributes to the excess nutrients in the Harbour (albeit in smaller amounts relative to other sources)</w:t>
      </w:r>
      <w:r w:rsidR="00486A46">
        <w:rPr>
          <w:rFonts w:ascii="Arial" w:hAnsi="Arial" w:cs="Arial"/>
          <w:sz w:val="24"/>
          <w:szCs w:val="24"/>
          <w:shd w:val="clear" w:color="auto" w:fill="FFFFFF"/>
        </w:rPr>
        <w:t>.  Surface water from the change in land use of a development site may also produce excess nutrients that discharge into the Harbour</w:t>
      </w:r>
      <w:r w:rsidR="00C42B7E">
        <w:rPr>
          <w:rFonts w:ascii="Arial" w:hAnsi="Arial" w:cs="Arial"/>
          <w:sz w:val="24"/>
          <w:szCs w:val="24"/>
          <w:shd w:val="clear" w:color="auto" w:fill="FFFFFF"/>
        </w:rPr>
        <w:t xml:space="preserve"> and</w:t>
      </w:r>
      <w:r w:rsidR="00486A46">
        <w:rPr>
          <w:rFonts w:ascii="Arial" w:hAnsi="Arial" w:cs="Arial"/>
          <w:sz w:val="24"/>
          <w:szCs w:val="24"/>
          <w:shd w:val="clear" w:color="auto" w:fill="FFFFFF"/>
        </w:rPr>
        <w:t xml:space="preserve"> </w:t>
      </w:r>
      <w:r w:rsidR="00C42B7E">
        <w:rPr>
          <w:rFonts w:ascii="Arial" w:hAnsi="Arial" w:cs="Arial"/>
          <w:sz w:val="24"/>
          <w:szCs w:val="24"/>
          <w:shd w:val="clear" w:color="auto" w:fill="FFFFFF"/>
        </w:rPr>
        <w:t>b</w:t>
      </w:r>
      <w:r w:rsidR="00486A46">
        <w:rPr>
          <w:rFonts w:ascii="Arial" w:hAnsi="Arial" w:cs="Arial"/>
          <w:sz w:val="24"/>
          <w:szCs w:val="24"/>
          <w:shd w:val="clear" w:color="auto" w:fill="FFFFFF"/>
        </w:rPr>
        <w:t xml:space="preserve">oth sources </w:t>
      </w:r>
      <w:r w:rsidRPr="001763CB">
        <w:rPr>
          <w:rFonts w:ascii="Arial" w:hAnsi="Arial" w:cs="Arial"/>
          <w:sz w:val="24"/>
          <w:szCs w:val="24"/>
          <w:shd w:val="clear" w:color="auto" w:fill="FFFFFF"/>
        </w:rPr>
        <w:t>need to be considered in line with the Habitats Regulations.</w:t>
      </w:r>
      <w:r w:rsidR="00D4345F">
        <w:rPr>
          <w:rFonts w:ascii="Arial" w:hAnsi="Arial" w:cs="Arial"/>
          <w:sz w:val="24"/>
          <w:szCs w:val="24"/>
          <w:shd w:val="clear" w:color="auto" w:fill="FFFFFF"/>
        </w:rPr>
        <w:t xml:space="preserve">  </w:t>
      </w:r>
      <w:r w:rsidRPr="001763CB">
        <w:rPr>
          <w:rFonts w:ascii="Arial" w:hAnsi="Arial" w:cs="Arial"/>
          <w:sz w:val="24"/>
          <w:szCs w:val="24"/>
          <w:shd w:val="clear" w:color="auto" w:fill="FFFFFF"/>
        </w:rPr>
        <w:t xml:space="preserve">  </w:t>
      </w:r>
    </w:p>
    <w:p w14:paraId="09EFB35D" w14:textId="77777777" w:rsidR="00FA44DE" w:rsidRPr="00FA44DE" w:rsidRDefault="00FA44DE" w:rsidP="00951D7E">
      <w:pPr>
        <w:pStyle w:val="ListParagraph"/>
        <w:spacing w:after="0"/>
        <w:ind w:left="709"/>
        <w:contextualSpacing w:val="0"/>
        <w:jc w:val="both"/>
        <w:rPr>
          <w:rFonts w:ascii="Arial" w:hAnsi="Arial" w:cs="Arial"/>
          <w:sz w:val="24"/>
          <w:szCs w:val="24"/>
        </w:rPr>
      </w:pPr>
    </w:p>
    <w:p w14:paraId="07B6EEA9" w14:textId="77777777" w:rsidR="000D1C60" w:rsidRPr="000D1C60" w:rsidRDefault="00FD7B3E" w:rsidP="00951D7E">
      <w:pPr>
        <w:pStyle w:val="ListParagraph"/>
        <w:numPr>
          <w:ilvl w:val="1"/>
          <w:numId w:val="1"/>
        </w:numPr>
        <w:spacing w:after="0"/>
        <w:ind w:left="709" w:hanging="720"/>
        <w:contextualSpacing w:val="0"/>
        <w:jc w:val="both"/>
        <w:rPr>
          <w:rFonts w:ascii="Arial" w:hAnsi="Arial" w:cs="Arial"/>
          <w:sz w:val="24"/>
          <w:szCs w:val="24"/>
        </w:rPr>
      </w:pPr>
      <w:r w:rsidRPr="00FA44DE">
        <w:rPr>
          <w:rFonts w:ascii="Arial" w:hAnsi="Arial" w:cs="Arial"/>
          <w:sz w:val="24"/>
          <w:szCs w:val="24"/>
          <w:shd w:val="clear" w:color="auto" w:fill="FFFFFF"/>
        </w:rPr>
        <w:t xml:space="preserve">Natural England introduced a requirement of nutrient neutrality for new developments in the Solent catchment which includes Chichester and Langstone Harbours SPA/Ramsar </w:t>
      </w:r>
      <w:r w:rsidR="00BB3B08" w:rsidRPr="00FA44DE">
        <w:rPr>
          <w:rFonts w:ascii="Arial" w:hAnsi="Arial" w:cs="Arial"/>
          <w:sz w:val="24"/>
          <w:szCs w:val="24"/>
          <w:shd w:val="clear" w:color="auto" w:fill="FFFFFF"/>
        </w:rPr>
        <w:t xml:space="preserve">and </w:t>
      </w:r>
      <w:r w:rsidRPr="00FA44DE">
        <w:rPr>
          <w:rFonts w:ascii="Arial" w:hAnsi="Arial" w:cs="Arial"/>
          <w:sz w:val="24"/>
          <w:szCs w:val="24"/>
          <w:shd w:val="clear" w:color="auto" w:fill="FFFFFF"/>
        </w:rPr>
        <w:t>applies to residential development, tourist attractions and other development involving an overnight stay.</w:t>
      </w:r>
      <w:r w:rsidR="00BB3B08" w:rsidRPr="00FA44DE">
        <w:rPr>
          <w:rFonts w:ascii="Arial" w:hAnsi="Arial" w:cs="Arial"/>
          <w:sz w:val="24"/>
          <w:szCs w:val="24"/>
          <w:shd w:val="clear" w:color="auto" w:fill="FFFFFF"/>
        </w:rPr>
        <w:t xml:space="preserve"> </w:t>
      </w:r>
      <w:r w:rsidR="000D1C60" w:rsidRPr="00FA44DE">
        <w:rPr>
          <w:rFonts w:ascii="Arial" w:hAnsi="Arial" w:cs="Arial"/>
          <w:sz w:val="24"/>
          <w:szCs w:val="24"/>
          <w:shd w:val="clear" w:color="auto" w:fill="FFFFFF"/>
        </w:rPr>
        <w:t>As part of the information needed to determine planning applications within the Solent catc</w:t>
      </w:r>
      <w:r w:rsidR="000D1C60">
        <w:rPr>
          <w:rFonts w:ascii="Arial" w:hAnsi="Arial" w:cs="Arial"/>
          <w:sz w:val="24"/>
          <w:szCs w:val="24"/>
          <w:shd w:val="clear" w:color="auto" w:fill="FFFFFF"/>
        </w:rPr>
        <w:t>h</w:t>
      </w:r>
      <w:r w:rsidR="000D1C60" w:rsidRPr="00FA44DE">
        <w:rPr>
          <w:rFonts w:ascii="Arial" w:hAnsi="Arial" w:cs="Arial"/>
          <w:sz w:val="24"/>
          <w:szCs w:val="24"/>
          <w:shd w:val="clear" w:color="auto" w:fill="FFFFFF"/>
        </w:rPr>
        <w:t>ment, a nitrogen budget needs to be prepared and submitted with the planning application</w:t>
      </w:r>
      <w:r w:rsidR="000D1C60">
        <w:rPr>
          <w:rFonts w:ascii="Arial" w:hAnsi="Arial" w:cs="Arial"/>
          <w:sz w:val="24"/>
          <w:szCs w:val="24"/>
          <w:shd w:val="clear" w:color="auto" w:fill="FFFFFF"/>
        </w:rPr>
        <w:t xml:space="preserve"> and where the budget shows that new development will produce nitrogen load, details of suitable mitigation must be identified to offset this nitrogen load and achieve nutrient neutrality</w:t>
      </w:r>
      <w:r w:rsidR="000D1C60" w:rsidRPr="00FA44DE">
        <w:rPr>
          <w:rFonts w:ascii="Arial" w:hAnsi="Arial" w:cs="Arial"/>
          <w:sz w:val="24"/>
          <w:szCs w:val="24"/>
          <w:shd w:val="clear" w:color="auto" w:fill="FFFFFF"/>
        </w:rPr>
        <w:t xml:space="preserve">. </w:t>
      </w:r>
    </w:p>
    <w:p w14:paraId="0FEE745F" w14:textId="77777777" w:rsidR="000D1C60" w:rsidRPr="000D1C60" w:rsidRDefault="000D1C60" w:rsidP="00951D7E">
      <w:pPr>
        <w:pStyle w:val="ListParagraph"/>
        <w:rPr>
          <w:rFonts w:ascii="Arial" w:hAnsi="Arial" w:cs="Arial"/>
          <w:sz w:val="24"/>
          <w:szCs w:val="24"/>
          <w:shd w:val="clear" w:color="auto" w:fill="FFFFFF"/>
        </w:rPr>
      </w:pPr>
    </w:p>
    <w:p w14:paraId="7832AA23" w14:textId="5B5261FE" w:rsidR="00F36E94" w:rsidRPr="00537F0F" w:rsidRDefault="00BB3B08" w:rsidP="00951D7E">
      <w:pPr>
        <w:pStyle w:val="ListParagraph"/>
        <w:numPr>
          <w:ilvl w:val="1"/>
          <w:numId w:val="1"/>
        </w:numPr>
        <w:spacing w:after="0"/>
        <w:ind w:left="709" w:hanging="720"/>
        <w:contextualSpacing w:val="0"/>
        <w:jc w:val="both"/>
        <w:rPr>
          <w:rFonts w:ascii="Arial" w:hAnsi="Arial" w:cs="Arial"/>
          <w:sz w:val="24"/>
          <w:szCs w:val="24"/>
        </w:rPr>
      </w:pPr>
      <w:r w:rsidRPr="00537F0F">
        <w:rPr>
          <w:rFonts w:ascii="Arial" w:hAnsi="Arial" w:cs="Arial"/>
          <w:sz w:val="24"/>
          <w:szCs w:val="24"/>
          <w:shd w:val="clear" w:color="auto" w:fill="FFFFFF"/>
        </w:rPr>
        <w:t xml:space="preserve">Natural England </w:t>
      </w:r>
      <w:r w:rsidR="00FA44DE" w:rsidRPr="00537F0F">
        <w:rPr>
          <w:rFonts w:ascii="Arial" w:hAnsi="Arial" w:cs="Arial"/>
          <w:sz w:val="24"/>
          <w:szCs w:val="24"/>
          <w:shd w:val="clear" w:color="auto" w:fill="FFFFFF"/>
        </w:rPr>
        <w:t xml:space="preserve">published detailed guidance on </w:t>
      </w:r>
      <w:r w:rsidR="000D1C60" w:rsidRPr="00537F0F">
        <w:rPr>
          <w:rFonts w:ascii="Arial" w:hAnsi="Arial" w:cs="Arial"/>
          <w:sz w:val="24"/>
          <w:szCs w:val="24"/>
          <w:shd w:val="clear" w:color="auto" w:fill="FFFFFF"/>
        </w:rPr>
        <w:t xml:space="preserve">preparing nutrient budgets including nutrient neutrality calculators for each specific catchment designated as nutrient sensitive. The calculators </w:t>
      </w:r>
      <w:r w:rsidR="00E806EB" w:rsidRPr="00537F0F">
        <w:rPr>
          <w:rFonts w:ascii="Arial" w:hAnsi="Arial" w:cs="Arial"/>
          <w:sz w:val="24"/>
          <w:szCs w:val="24"/>
          <w:shd w:val="clear" w:color="auto" w:fill="FFFFFF"/>
        </w:rPr>
        <w:t xml:space="preserve">include a set of worksheets which calculate nutrient load from the change in land use as well as the increase in nutrient loading that will come from the new development’s wastewater. The calculations depend on the data </w:t>
      </w:r>
      <w:r w:rsidR="00E806EB" w:rsidRPr="00537F0F">
        <w:rPr>
          <w:rFonts w:ascii="Arial" w:hAnsi="Arial" w:cs="Arial"/>
          <w:sz w:val="24"/>
          <w:szCs w:val="24"/>
          <w:shd w:val="clear" w:color="auto" w:fill="FFFFFF"/>
        </w:rPr>
        <w:lastRenderedPageBreak/>
        <w:t xml:space="preserve">supplied for the development which includes soil drainage type; </w:t>
      </w:r>
      <w:r w:rsidR="00537F0F" w:rsidRPr="00537F0F">
        <w:rPr>
          <w:rFonts w:ascii="Arial" w:hAnsi="Arial" w:cs="Arial"/>
          <w:sz w:val="24"/>
          <w:szCs w:val="24"/>
          <w:shd w:val="clear" w:color="auto" w:fill="FFFFFF"/>
        </w:rPr>
        <w:t>average annual rainfall</w:t>
      </w:r>
      <w:r w:rsidR="00537F0F">
        <w:rPr>
          <w:rFonts w:ascii="Arial" w:hAnsi="Arial" w:cs="Arial"/>
          <w:sz w:val="24"/>
          <w:szCs w:val="24"/>
          <w:shd w:val="clear" w:color="auto" w:fill="FFFFFF"/>
        </w:rPr>
        <w:t>, whether the development will be within a nitrate vulnerable zone</w:t>
      </w:r>
      <w:r w:rsidR="00537F0F" w:rsidRPr="00537F0F">
        <w:rPr>
          <w:rFonts w:ascii="Arial" w:hAnsi="Arial" w:cs="Arial"/>
          <w:sz w:val="24"/>
          <w:szCs w:val="24"/>
          <w:shd w:val="clear" w:color="auto" w:fill="FFFFFF"/>
        </w:rPr>
        <w:t xml:space="preserve"> and </w:t>
      </w:r>
      <w:r w:rsidR="00537F0F">
        <w:rPr>
          <w:rFonts w:ascii="Arial" w:hAnsi="Arial" w:cs="Arial"/>
          <w:sz w:val="24"/>
          <w:szCs w:val="24"/>
          <w:shd w:val="clear" w:color="auto" w:fill="FFFFFF"/>
        </w:rPr>
        <w:t xml:space="preserve">the development site’s </w:t>
      </w:r>
      <w:r w:rsidR="00537F0F" w:rsidRPr="00537F0F">
        <w:rPr>
          <w:rFonts w:ascii="Arial" w:hAnsi="Arial" w:cs="Arial"/>
          <w:sz w:val="24"/>
          <w:szCs w:val="24"/>
          <w:shd w:val="clear" w:color="auto" w:fill="FFFFFF"/>
        </w:rPr>
        <w:t>current land use type.</w:t>
      </w:r>
      <w:r w:rsidR="00E806EB" w:rsidRPr="00537F0F">
        <w:rPr>
          <w:rFonts w:ascii="Arial" w:hAnsi="Arial" w:cs="Arial"/>
          <w:sz w:val="24"/>
          <w:szCs w:val="24"/>
          <w:shd w:val="clear" w:color="auto" w:fill="FFFFFF"/>
        </w:rPr>
        <w:t xml:space="preserve"> </w:t>
      </w:r>
    </w:p>
    <w:p w14:paraId="2257353D" w14:textId="77777777" w:rsidR="0014706A" w:rsidRPr="001960ED" w:rsidRDefault="0014706A" w:rsidP="00951D7E">
      <w:pPr>
        <w:pStyle w:val="Heading1"/>
        <w:numPr>
          <w:ilvl w:val="0"/>
          <w:numId w:val="1"/>
        </w:numPr>
        <w:rPr>
          <w:rFonts w:ascii="Arial" w:hAnsi="Arial" w:cs="Arial"/>
          <w:b/>
          <w:bCs/>
          <w:color w:val="0073CF"/>
        </w:rPr>
      </w:pPr>
      <w:bookmarkStart w:id="2" w:name="_Toc167964275"/>
      <w:r w:rsidRPr="001960ED">
        <w:rPr>
          <w:rFonts w:ascii="Arial" w:hAnsi="Arial" w:cs="Arial"/>
          <w:b/>
          <w:bCs/>
          <w:color w:val="0073CF"/>
        </w:rPr>
        <w:t>National Policy Context</w:t>
      </w:r>
      <w:bookmarkEnd w:id="2"/>
      <w:r w:rsidRPr="001960ED">
        <w:rPr>
          <w:rFonts w:ascii="Arial" w:hAnsi="Arial" w:cs="Arial"/>
          <w:b/>
          <w:bCs/>
          <w:color w:val="0073CF"/>
        </w:rPr>
        <w:t xml:space="preserve"> </w:t>
      </w:r>
    </w:p>
    <w:p w14:paraId="06A239FC" w14:textId="77777777" w:rsidR="0014706A" w:rsidRPr="007C61B9" w:rsidRDefault="0014706A" w:rsidP="00951D7E">
      <w:pPr>
        <w:pStyle w:val="ListParagraph"/>
        <w:spacing w:after="0"/>
        <w:ind w:left="709"/>
        <w:contextualSpacing w:val="0"/>
        <w:jc w:val="both"/>
        <w:rPr>
          <w:rFonts w:ascii="Arial" w:hAnsi="Arial" w:cs="Arial"/>
          <w:sz w:val="24"/>
          <w:szCs w:val="24"/>
        </w:rPr>
      </w:pPr>
    </w:p>
    <w:p w14:paraId="7CD51C3F" w14:textId="43EDD81F" w:rsidR="00896652" w:rsidRDefault="00BF7447" w:rsidP="00951D7E">
      <w:pPr>
        <w:pStyle w:val="ListParagraph"/>
        <w:numPr>
          <w:ilvl w:val="1"/>
          <w:numId w:val="1"/>
        </w:numPr>
        <w:spacing w:after="0"/>
        <w:ind w:left="709" w:hanging="644"/>
        <w:contextualSpacing w:val="0"/>
        <w:jc w:val="both"/>
        <w:rPr>
          <w:rFonts w:ascii="Arial" w:hAnsi="Arial" w:cs="Arial"/>
          <w:sz w:val="24"/>
          <w:szCs w:val="24"/>
        </w:rPr>
      </w:pPr>
      <w:r w:rsidRPr="00896652">
        <w:rPr>
          <w:rFonts w:ascii="Arial" w:hAnsi="Arial" w:cs="Arial"/>
          <w:sz w:val="24"/>
          <w:szCs w:val="24"/>
        </w:rPr>
        <w:t xml:space="preserve">The </w:t>
      </w:r>
      <w:r w:rsidR="00B90EB6" w:rsidRPr="00896652">
        <w:rPr>
          <w:rFonts w:ascii="Arial" w:hAnsi="Arial" w:cs="Arial"/>
          <w:sz w:val="24"/>
          <w:szCs w:val="24"/>
        </w:rPr>
        <w:t>National Planning Policy Framework (NPPF)</w:t>
      </w:r>
      <w:r w:rsidRPr="00896652">
        <w:rPr>
          <w:rFonts w:ascii="Arial" w:hAnsi="Arial" w:cs="Arial"/>
          <w:sz w:val="24"/>
          <w:szCs w:val="24"/>
        </w:rPr>
        <w:t xml:space="preserve"> was updated on 19 December 2023, however, under paragraph 230, plans that reached Regulation 19 of the Town and Country Planning (Local Planning) (England) Regulations 2012 (pre-submission) stage on or before the 19 March 2024 will be examined under the relevant previous section of the Framework. All references to the NPPF are therefore related to the 2021 version which should be used as the basis for the examination of the plan. </w:t>
      </w:r>
    </w:p>
    <w:p w14:paraId="03EDEDD4" w14:textId="77777777" w:rsidR="00896652" w:rsidRDefault="00896652" w:rsidP="00951D7E">
      <w:pPr>
        <w:pStyle w:val="ListParagraph"/>
        <w:spacing w:after="0"/>
        <w:ind w:left="709"/>
        <w:contextualSpacing w:val="0"/>
        <w:jc w:val="both"/>
        <w:rPr>
          <w:rFonts w:ascii="Arial" w:hAnsi="Arial" w:cs="Arial"/>
          <w:sz w:val="24"/>
          <w:szCs w:val="24"/>
        </w:rPr>
      </w:pPr>
    </w:p>
    <w:p w14:paraId="440285F4" w14:textId="5B5ED6EA" w:rsidR="000A6883" w:rsidRPr="00896652" w:rsidRDefault="0014706A" w:rsidP="00951D7E">
      <w:pPr>
        <w:pStyle w:val="ListParagraph"/>
        <w:numPr>
          <w:ilvl w:val="1"/>
          <w:numId w:val="1"/>
        </w:numPr>
        <w:spacing w:after="0"/>
        <w:ind w:left="709" w:hanging="644"/>
        <w:contextualSpacing w:val="0"/>
        <w:jc w:val="both"/>
        <w:rPr>
          <w:rFonts w:ascii="Arial" w:hAnsi="Arial" w:cs="Arial"/>
          <w:sz w:val="24"/>
          <w:szCs w:val="24"/>
        </w:rPr>
      </w:pPr>
      <w:r w:rsidRPr="00896652">
        <w:rPr>
          <w:rFonts w:ascii="Arial" w:hAnsi="Arial" w:cs="Arial"/>
          <w:sz w:val="24"/>
          <w:szCs w:val="24"/>
        </w:rPr>
        <w:t>The</w:t>
      </w:r>
      <w:r w:rsidR="00B90EB6">
        <w:rPr>
          <w:rFonts w:ascii="Arial" w:hAnsi="Arial" w:cs="Arial"/>
          <w:sz w:val="24"/>
          <w:szCs w:val="24"/>
        </w:rPr>
        <w:t xml:space="preserve"> NPPF</w:t>
      </w:r>
      <w:r w:rsidRPr="00896652">
        <w:rPr>
          <w:rFonts w:ascii="Arial" w:hAnsi="Arial" w:cs="Arial"/>
          <w:sz w:val="24"/>
          <w:szCs w:val="24"/>
        </w:rPr>
        <w:t xml:space="preserve"> (202</w:t>
      </w:r>
      <w:r w:rsidR="00E3745B" w:rsidRPr="00896652">
        <w:rPr>
          <w:rFonts w:ascii="Arial" w:hAnsi="Arial" w:cs="Arial"/>
          <w:sz w:val="24"/>
          <w:szCs w:val="24"/>
        </w:rPr>
        <w:t>1</w:t>
      </w:r>
      <w:r w:rsidRPr="00896652">
        <w:rPr>
          <w:rFonts w:ascii="Arial" w:hAnsi="Arial" w:cs="Arial"/>
          <w:sz w:val="24"/>
          <w:szCs w:val="24"/>
        </w:rPr>
        <w:t xml:space="preserve">) </w:t>
      </w:r>
      <w:r w:rsidR="00BB3B08" w:rsidRPr="00896652">
        <w:rPr>
          <w:rFonts w:ascii="Arial" w:hAnsi="Arial" w:cs="Arial"/>
          <w:sz w:val="24"/>
          <w:szCs w:val="24"/>
        </w:rPr>
        <w:t xml:space="preserve">requires planning policies to contribute to and enhance the natural and local environment and development should wherever possible, help to improve local environmental conditions such as air and water quality (paragraph </w:t>
      </w:r>
      <w:r w:rsidR="00E3745B" w:rsidRPr="00896652">
        <w:rPr>
          <w:rFonts w:ascii="Arial" w:hAnsi="Arial" w:cs="Arial"/>
          <w:sz w:val="24"/>
          <w:szCs w:val="24"/>
        </w:rPr>
        <w:t>174</w:t>
      </w:r>
      <w:r w:rsidR="00BB3B08" w:rsidRPr="00896652">
        <w:rPr>
          <w:rFonts w:ascii="Arial" w:hAnsi="Arial" w:cs="Arial"/>
          <w:sz w:val="24"/>
          <w:szCs w:val="24"/>
        </w:rPr>
        <w:t xml:space="preserve">).  </w:t>
      </w:r>
    </w:p>
    <w:p w14:paraId="511F36A7" w14:textId="77777777" w:rsidR="000A6883" w:rsidRDefault="000A6883" w:rsidP="00951D7E">
      <w:pPr>
        <w:pStyle w:val="ListParagraph"/>
        <w:spacing w:after="0"/>
        <w:ind w:left="709"/>
        <w:contextualSpacing w:val="0"/>
        <w:jc w:val="both"/>
        <w:rPr>
          <w:rFonts w:ascii="Arial" w:hAnsi="Arial" w:cs="Arial"/>
          <w:sz w:val="24"/>
          <w:szCs w:val="24"/>
        </w:rPr>
      </w:pPr>
    </w:p>
    <w:p w14:paraId="2036D3BC" w14:textId="5AED4366" w:rsidR="000A6883" w:rsidRDefault="00C423ED" w:rsidP="00951D7E">
      <w:pPr>
        <w:pStyle w:val="ListParagraph"/>
        <w:numPr>
          <w:ilvl w:val="1"/>
          <w:numId w:val="1"/>
        </w:numPr>
        <w:spacing w:after="0"/>
        <w:ind w:left="709" w:hanging="644"/>
        <w:contextualSpacing w:val="0"/>
        <w:jc w:val="both"/>
        <w:rPr>
          <w:rFonts w:ascii="Arial" w:hAnsi="Arial" w:cs="Arial"/>
          <w:sz w:val="24"/>
          <w:szCs w:val="24"/>
        </w:rPr>
      </w:pPr>
      <w:r>
        <w:rPr>
          <w:rFonts w:ascii="Arial" w:hAnsi="Arial" w:cs="Arial"/>
          <w:sz w:val="24"/>
          <w:szCs w:val="24"/>
        </w:rPr>
        <w:t xml:space="preserve">The Water Supply, Wastewater and Water Quality Planning Practice Guidance sets out in Paragraph 16 that where water quality has the potential to be a significant planning concern, an applicant should be able to explain how the proposed development would affect a relevant water body in a river basin management plan or designated sites of importance for biodiversity, and how they propose to mitigate the impacts.  </w:t>
      </w:r>
    </w:p>
    <w:p w14:paraId="72658A97" w14:textId="77777777" w:rsidR="000A6883" w:rsidRPr="000A6883" w:rsidRDefault="000A6883" w:rsidP="00951D7E">
      <w:pPr>
        <w:pStyle w:val="ListParagraph"/>
        <w:rPr>
          <w:rFonts w:ascii="Arial" w:hAnsi="Arial" w:cs="Arial"/>
          <w:sz w:val="24"/>
          <w:szCs w:val="24"/>
        </w:rPr>
      </w:pPr>
    </w:p>
    <w:p w14:paraId="18971D57" w14:textId="00B103E5" w:rsidR="0014706A" w:rsidRDefault="00C662D5" w:rsidP="00951D7E">
      <w:pPr>
        <w:pStyle w:val="ListParagraph"/>
        <w:numPr>
          <w:ilvl w:val="1"/>
          <w:numId w:val="1"/>
        </w:numPr>
        <w:spacing w:after="0"/>
        <w:ind w:left="709" w:hanging="644"/>
        <w:contextualSpacing w:val="0"/>
        <w:jc w:val="both"/>
        <w:rPr>
          <w:rFonts w:ascii="Arial" w:hAnsi="Arial" w:cs="Arial"/>
          <w:sz w:val="24"/>
          <w:szCs w:val="24"/>
        </w:rPr>
      </w:pPr>
      <w:r>
        <w:rPr>
          <w:rFonts w:ascii="Arial" w:hAnsi="Arial" w:cs="Arial"/>
          <w:sz w:val="24"/>
          <w:szCs w:val="24"/>
        </w:rPr>
        <w:t>The South Inshore and South Offshore Marine Plan July 2018</w:t>
      </w:r>
      <w:r w:rsidR="00D64ECF">
        <w:rPr>
          <w:rFonts w:ascii="Arial" w:hAnsi="Arial" w:cs="Arial"/>
          <w:sz w:val="24"/>
          <w:szCs w:val="24"/>
        </w:rPr>
        <w:t xml:space="preserve"> (RCC34)</w:t>
      </w:r>
      <w:r>
        <w:rPr>
          <w:rFonts w:ascii="Arial" w:hAnsi="Arial" w:cs="Arial"/>
          <w:sz w:val="24"/>
          <w:szCs w:val="24"/>
        </w:rPr>
        <w:t xml:space="preserve"> which covers inshore and offshore waters between Folkestone in Kent and the River Dart in Devon provides in policy S-WQ-I that proposals that may have significant adverse impacts upon habitats and species that can be of benefit to water quality mu</w:t>
      </w:r>
      <w:r w:rsidR="00C42B7E">
        <w:rPr>
          <w:rFonts w:ascii="Arial" w:hAnsi="Arial" w:cs="Arial"/>
          <w:sz w:val="24"/>
          <w:szCs w:val="24"/>
        </w:rPr>
        <w:t>st</w:t>
      </w:r>
      <w:r>
        <w:rPr>
          <w:rFonts w:ascii="Arial" w:hAnsi="Arial" w:cs="Arial"/>
          <w:sz w:val="24"/>
          <w:szCs w:val="24"/>
        </w:rPr>
        <w:t xml:space="preserve"> demonstrate that they will avoid, </w:t>
      </w:r>
      <w:proofErr w:type="gramStart"/>
      <w:r>
        <w:rPr>
          <w:rFonts w:ascii="Arial" w:hAnsi="Arial" w:cs="Arial"/>
          <w:sz w:val="24"/>
          <w:szCs w:val="24"/>
        </w:rPr>
        <w:t>minimise</w:t>
      </w:r>
      <w:proofErr w:type="gramEnd"/>
      <w:r>
        <w:rPr>
          <w:rFonts w:ascii="Arial" w:hAnsi="Arial" w:cs="Arial"/>
          <w:sz w:val="24"/>
          <w:szCs w:val="24"/>
        </w:rPr>
        <w:t xml:space="preserve"> and mitigate significant adverse impacts.</w:t>
      </w:r>
    </w:p>
    <w:p w14:paraId="44EBF67F" w14:textId="77777777" w:rsidR="00F36E94" w:rsidRDefault="00F36E94" w:rsidP="00951D7E">
      <w:pPr>
        <w:pStyle w:val="ListParagraph"/>
        <w:spacing w:after="0"/>
        <w:ind w:left="709"/>
        <w:contextualSpacing w:val="0"/>
        <w:rPr>
          <w:rFonts w:ascii="Arial" w:hAnsi="Arial" w:cs="Arial"/>
          <w:sz w:val="24"/>
          <w:szCs w:val="24"/>
        </w:rPr>
      </w:pPr>
    </w:p>
    <w:p w14:paraId="714EB230" w14:textId="43BFDB1E" w:rsidR="001763CB" w:rsidRPr="001960ED" w:rsidRDefault="0014706A" w:rsidP="00951D7E">
      <w:pPr>
        <w:pStyle w:val="Heading1"/>
        <w:numPr>
          <w:ilvl w:val="0"/>
          <w:numId w:val="1"/>
        </w:numPr>
        <w:spacing w:before="0"/>
        <w:rPr>
          <w:rFonts w:ascii="Arial" w:hAnsi="Arial" w:cs="Arial"/>
          <w:b/>
          <w:color w:val="0073CF"/>
        </w:rPr>
      </w:pPr>
      <w:bookmarkStart w:id="3" w:name="_Toc167964276"/>
      <w:r w:rsidRPr="001960ED">
        <w:rPr>
          <w:rFonts w:ascii="Arial" w:hAnsi="Arial" w:cs="Arial"/>
          <w:b/>
          <w:color w:val="0073CF"/>
        </w:rPr>
        <w:t>Local Policy Context</w:t>
      </w:r>
      <w:r w:rsidR="000A6883" w:rsidRPr="001960ED">
        <w:rPr>
          <w:rFonts w:ascii="Arial" w:hAnsi="Arial" w:cs="Arial"/>
          <w:b/>
          <w:color w:val="0073CF"/>
        </w:rPr>
        <w:t xml:space="preserve"> - </w:t>
      </w:r>
      <w:r w:rsidR="004D004D" w:rsidRPr="001960ED">
        <w:rPr>
          <w:rFonts w:ascii="Arial" w:hAnsi="Arial" w:cs="Arial"/>
          <w:b/>
          <w:color w:val="0073CF"/>
        </w:rPr>
        <w:t xml:space="preserve">Chichester Local Plan </w:t>
      </w:r>
      <w:r w:rsidR="00EA54F7" w:rsidRPr="001960ED">
        <w:rPr>
          <w:rFonts w:ascii="Arial" w:hAnsi="Arial" w:cs="Arial"/>
          <w:b/>
          <w:color w:val="0073CF"/>
        </w:rPr>
        <w:t xml:space="preserve">2021-2039: </w:t>
      </w:r>
      <w:r w:rsidR="00D4345F" w:rsidRPr="001960ED">
        <w:rPr>
          <w:rFonts w:ascii="Arial" w:hAnsi="Arial" w:cs="Arial"/>
          <w:b/>
          <w:color w:val="0073CF"/>
        </w:rPr>
        <w:t xml:space="preserve">Proposed </w:t>
      </w:r>
      <w:r w:rsidR="004D004D" w:rsidRPr="001960ED">
        <w:rPr>
          <w:rFonts w:ascii="Arial" w:hAnsi="Arial" w:cs="Arial"/>
          <w:b/>
          <w:color w:val="0073CF"/>
        </w:rPr>
        <w:t>Submission Version</w:t>
      </w:r>
      <w:r w:rsidRPr="001960ED">
        <w:rPr>
          <w:rFonts w:ascii="Arial" w:hAnsi="Arial" w:cs="Arial"/>
          <w:b/>
          <w:color w:val="0073CF"/>
        </w:rPr>
        <w:t xml:space="preserve"> </w:t>
      </w:r>
      <w:r w:rsidR="00EA54F7" w:rsidRPr="001960ED">
        <w:rPr>
          <w:rFonts w:ascii="Arial" w:hAnsi="Arial" w:cs="Arial"/>
          <w:b/>
          <w:color w:val="0073CF"/>
        </w:rPr>
        <w:t>Regulation 19</w:t>
      </w:r>
      <w:bookmarkEnd w:id="3"/>
      <w:r w:rsidR="00EA54F7" w:rsidRPr="001960ED">
        <w:rPr>
          <w:rFonts w:ascii="Arial" w:hAnsi="Arial" w:cs="Arial"/>
          <w:b/>
          <w:color w:val="0073CF"/>
        </w:rPr>
        <w:t xml:space="preserve"> </w:t>
      </w:r>
    </w:p>
    <w:p w14:paraId="31D0E183" w14:textId="77777777" w:rsidR="001763CB" w:rsidRPr="001763CB" w:rsidRDefault="001763CB" w:rsidP="00951D7E">
      <w:pPr>
        <w:pStyle w:val="ListParagraph"/>
        <w:spacing w:after="0"/>
        <w:ind w:left="567"/>
        <w:contextualSpacing w:val="0"/>
        <w:jc w:val="both"/>
        <w:rPr>
          <w:rFonts w:ascii="Arial" w:hAnsi="Arial" w:cs="Arial"/>
          <w:sz w:val="24"/>
          <w:szCs w:val="24"/>
        </w:rPr>
      </w:pPr>
    </w:p>
    <w:p w14:paraId="36921C87" w14:textId="77777777" w:rsidR="000A6883" w:rsidRDefault="004D004D" w:rsidP="00951D7E">
      <w:pPr>
        <w:pStyle w:val="ListParagraph"/>
        <w:numPr>
          <w:ilvl w:val="1"/>
          <w:numId w:val="1"/>
        </w:numPr>
        <w:spacing w:after="0"/>
        <w:ind w:left="720" w:hanging="720"/>
        <w:contextualSpacing w:val="0"/>
        <w:jc w:val="both"/>
        <w:rPr>
          <w:rFonts w:ascii="Arial" w:hAnsi="Arial" w:cs="Arial"/>
          <w:sz w:val="24"/>
          <w:szCs w:val="24"/>
        </w:rPr>
      </w:pPr>
      <w:r w:rsidRPr="00B365B7">
        <w:rPr>
          <w:rFonts w:ascii="Arial" w:hAnsi="Arial" w:cs="Arial"/>
          <w:sz w:val="24"/>
          <w:szCs w:val="24"/>
        </w:rPr>
        <w:t>As a result of the downgrading of the Chichester Harbour SSSI, the</w:t>
      </w:r>
      <w:r w:rsidR="00FE735A" w:rsidRPr="00B365B7">
        <w:rPr>
          <w:rFonts w:ascii="Arial" w:hAnsi="Arial" w:cs="Arial"/>
          <w:sz w:val="24"/>
          <w:szCs w:val="24"/>
        </w:rPr>
        <w:t xml:space="preserve"> new Local </w:t>
      </w:r>
      <w:r w:rsidRPr="00B365B7">
        <w:rPr>
          <w:rFonts w:ascii="Arial" w:hAnsi="Arial" w:cs="Arial"/>
          <w:sz w:val="24"/>
          <w:szCs w:val="24"/>
        </w:rPr>
        <w:t xml:space="preserve">Plan includes a </w:t>
      </w:r>
      <w:r w:rsidR="006E6371" w:rsidRPr="00B365B7">
        <w:rPr>
          <w:rFonts w:ascii="Arial" w:hAnsi="Arial" w:cs="Arial"/>
          <w:sz w:val="24"/>
          <w:szCs w:val="24"/>
        </w:rPr>
        <w:t xml:space="preserve">specific </w:t>
      </w:r>
      <w:r w:rsidRPr="00B365B7">
        <w:rPr>
          <w:rFonts w:ascii="Arial" w:hAnsi="Arial" w:cs="Arial"/>
          <w:sz w:val="24"/>
          <w:szCs w:val="24"/>
        </w:rPr>
        <w:t xml:space="preserve">nutrient neutrality policy </w:t>
      </w:r>
      <w:r w:rsidR="003767B3" w:rsidRPr="00B365B7">
        <w:rPr>
          <w:rFonts w:ascii="Arial" w:hAnsi="Arial" w:cs="Arial"/>
          <w:sz w:val="24"/>
          <w:szCs w:val="24"/>
        </w:rPr>
        <w:t xml:space="preserve">(Policy NE19) </w:t>
      </w:r>
      <w:r w:rsidRPr="00B365B7">
        <w:rPr>
          <w:rFonts w:ascii="Arial" w:hAnsi="Arial" w:cs="Arial"/>
          <w:sz w:val="24"/>
          <w:szCs w:val="24"/>
        </w:rPr>
        <w:t xml:space="preserve">for any development that involves an overnight stay that will discharge either surface water or wastewater into Chichester and Langstone Harbour SPA/Ramsar. </w:t>
      </w:r>
      <w:r w:rsidR="00ED578C" w:rsidRPr="00B365B7">
        <w:rPr>
          <w:rFonts w:ascii="Arial" w:hAnsi="Arial" w:cs="Arial"/>
          <w:sz w:val="24"/>
          <w:szCs w:val="24"/>
        </w:rPr>
        <w:t xml:space="preserve"> </w:t>
      </w:r>
      <w:r w:rsidR="00B365B7" w:rsidRPr="00B365B7">
        <w:rPr>
          <w:rFonts w:ascii="Arial" w:hAnsi="Arial" w:cs="Arial"/>
          <w:sz w:val="24"/>
          <w:szCs w:val="24"/>
        </w:rPr>
        <w:t xml:space="preserve">The policy requires new development to demonstrate nutrient neutrality for its lifetime either by its own means or by means of agreed mitigation measures, such as contributing to an agreed nutrient mitigation scheme. </w:t>
      </w:r>
    </w:p>
    <w:p w14:paraId="66610BA1" w14:textId="34081ECB" w:rsidR="000A6883" w:rsidRDefault="00B365B7" w:rsidP="00951D7E">
      <w:pPr>
        <w:pStyle w:val="ListParagraph"/>
        <w:spacing w:after="0"/>
        <w:contextualSpacing w:val="0"/>
        <w:jc w:val="both"/>
        <w:rPr>
          <w:rFonts w:ascii="Arial" w:hAnsi="Arial" w:cs="Arial"/>
          <w:sz w:val="24"/>
          <w:szCs w:val="24"/>
        </w:rPr>
      </w:pPr>
      <w:r w:rsidRPr="00B365B7">
        <w:rPr>
          <w:rFonts w:ascii="Arial" w:hAnsi="Arial" w:cs="Arial"/>
          <w:sz w:val="24"/>
          <w:szCs w:val="24"/>
        </w:rPr>
        <w:t xml:space="preserve"> </w:t>
      </w:r>
    </w:p>
    <w:p w14:paraId="0B575F48" w14:textId="56C95C9A" w:rsidR="00F36E94" w:rsidRDefault="00ED578C" w:rsidP="00951D7E">
      <w:pPr>
        <w:pStyle w:val="ListParagraph"/>
        <w:numPr>
          <w:ilvl w:val="1"/>
          <w:numId w:val="1"/>
        </w:numPr>
        <w:spacing w:after="0"/>
        <w:ind w:left="720" w:hanging="720"/>
        <w:contextualSpacing w:val="0"/>
        <w:jc w:val="both"/>
        <w:rPr>
          <w:rFonts w:ascii="Arial" w:hAnsi="Arial" w:cs="Arial"/>
          <w:sz w:val="24"/>
          <w:szCs w:val="24"/>
        </w:rPr>
      </w:pPr>
      <w:r w:rsidRPr="00B365B7">
        <w:rPr>
          <w:rFonts w:ascii="Arial" w:hAnsi="Arial" w:cs="Arial"/>
          <w:sz w:val="24"/>
          <w:szCs w:val="24"/>
        </w:rPr>
        <w:t xml:space="preserve">Policy </w:t>
      </w:r>
      <w:r w:rsidR="006513DA">
        <w:rPr>
          <w:rFonts w:ascii="Arial" w:hAnsi="Arial" w:cs="Arial"/>
          <w:sz w:val="24"/>
          <w:szCs w:val="24"/>
        </w:rPr>
        <w:t>NE</w:t>
      </w:r>
      <w:r w:rsidRPr="00B365B7">
        <w:rPr>
          <w:rFonts w:ascii="Arial" w:hAnsi="Arial" w:cs="Arial"/>
          <w:sz w:val="24"/>
          <w:szCs w:val="24"/>
        </w:rPr>
        <w:t xml:space="preserve">16 Water Management and Water Quality </w:t>
      </w:r>
      <w:r w:rsidR="00B365B7" w:rsidRPr="00B365B7">
        <w:rPr>
          <w:rFonts w:ascii="Arial" w:hAnsi="Arial" w:cs="Arial"/>
          <w:sz w:val="24"/>
          <w:szCs w:val="24"/>
        </w:rPr>
        <w:t>requires more generally</w:t>
      </w:r>
      <w:r w:rsidR="00214773">
        <w:rPr>
          <w:rFonts w:ascii="Arial" w:hAnsi="Arial" w:cs="Arial"/>
          <w:sz w:val="24"/>
          <w:szCs w:val="24"/>
        </w:rPr>
        <w:t>,</w:t>
      </w:r>
      <w:r w:rsidR="00B365B7" w:rsidRPr="00B365B7">
        <w:rPr>
          <w:rFonts w:ascii="Arial" w:hAnsi="Arial" w:cs="Arial"/>
          <w:sz w:val="24"/>
          <w:szCs w:val="24"/>
        </w:rPr>
        <w:t xml:space="preserve"> that development has no adverse impact on the quality of water bodies and </w:t>
      </w:r>
      <w:proofErr w:type="gramStart"/>
      <w:r w:rsidR="00B365B7" w:rsidRPr="00B365B7">
        <w:rPr>
          <w:rFonts w:ascii="Arial" w:hAnsi="Arial" w:cs="Arial"/>
          <w:sz w:val="24"/>
          <w:szCs w:val="24"/>
        </w:rPr>
        <w:t>groundwater</w:t>
      </w:r>
      <w:proofErr w:type="gramEnd"/>
      <w:r w:rsidR="00B365B7" w:rsidRPr="00B365B7">
        <w:rPr>
          <w:rFonts w:ascii="Arial" w:hAnsi="Arial" w:cs="Arial"/>
          <w:sz w:val="24"/>
          <w:szCs w:val="24"/>
        </w:rPr>
        <w:t xml:space="preserve"> </w:t>
      </w:r>
      <w:r w:rsidR="00B365B7" w:rsidRPr="00B365B7">
        <w:rPr>
          <w:rFonts w:ascii="Arial" w:hAnsi="Arial" w:cs="Arial"/>
          <w:sz w:val="24"/>
          <w:szCs w:val="24"/>
        </w:rPr>
        <w:lastRenderedPageBreak/>
        <w:t>nor must it prevent future attainment of favourable conservation status</w:t>
      </w:r>
      <w:r w:rsidR="000A6883">
        <w:rPr>
          <w:rFonts w:ascii="Arial" w:hAnsi="Arial" w:cs="Arial"/>
          <w:sz w:val="24"/>
          <w:szCs w:val="24"/>
        </w:rPr>
        <w:t>,</w:t>
      </w:r>
      <w:r w:rsidR="00B365B7" w:rsidRPr="00B365B7">
        <w:rPr>
          <w:rFonts w:ascii="Arial" w:hAnsi="Arial" w:cs="Arial"/>
          <w:sz w:val="24"/>
          <w:szCs w:val="24"/>
        </w:rPr>
        <w:t xml:space="preserve"> taking into account agreed mitigation measures where necessary.  </w:t>
      </w:r>
    </w:p>
    <w:p w14:paraId="52C49E3D" w14:textId="755616B9" w:rsidR="0014706A" w:rsidRPr="00951D7E" w:rsidRDefault="00202647" w:rsidP="00951D7E">
      <w:pPr>
        <w:pStyle w:val="Heading1"/>
        <w:numPr>
          <w:ilvl w:val="0"/>
          <w:numId w:val="1"/>
        </w:numPr>
        <w:rPr>
          <w:rFonts w:ascii="Arial" w:hAnsi="Arial" w:cs="Arial"/>
          <w:b/>
          <w:bCs/>
          <w:color w:val="0073CF"/>
        </w:rPr>
      </w:pPr>
      <w:bookmarkStart w:id="4" w:name="_Toc167964277"/>
      <w:r w:rsidRPr="00951D7E">
        <w:rPr>
          <w:rFonts w:ascii="Arial" w:hAnsi="Arial" w:cs="Arial"/>
          <w:b/>
          <w:bCs/>
          <w:color w:val="0073CF"/>
        </w:rPr>
        <w:t>Summary</w:t>
      </w:r>
      <w:r w:rsidR="002F048F" w:rsidRPr="00951D7E">
        <w:rPr>
          <w:rFonts w:ascii="Arial" w:hAnsi="Arial" w:cs="Arial"/>
          <w:b/>
          <w:bCs/>
          <w:color w:val="0073CF"/>
        </w:rPr>
        <w:t xml:space="preserve"> of </w:t>
      </w:r>
      <w:r w:rsidR="000A6883" w:rsidRPr="00951D7E">
        <w:rPr>
          <w:rFonts w:ascii="Arial" w:hAnsi="Arial" w:cs="Arial"/>
          <w:b/>
          <w:bCs/>
          <w:color w:val="0073CF"/>
        </w:rPr>
        <w:t xml:space="preserve">Chichester </w:t>
      </w:r>
      <w:r w:rsidR="0089151C" w:rsidRPr="00951D7E">
        <w:rPr>
          <w:rFonts w:ascii="Arial" w:hAnsi="Arial" w:cs="Arial"/>
          <w:b/>
          <w:bCs/>
          <w:color w:val="0073CF"/>
        </w:rPr>
        <w:t xml:space="preserve">Local </w:t>
      </w:r>
      <w:r w:rsidR="004016F1" w:rsidRPr="00951D7E">
        <w:rPr>
          <w:rFonts w:ascii="Arial" w:hAnsi="Arial" w:cs="Arial"/>
          <w:b/>
          <w:bCs/>
          <w:color w:val="0073CF"/>
        </w:rPr>
        <w:t xml:space="preserve">Plan Proposed </w:t>
      </w:r>
      <w:r w:rsidR="000A6883" w:rsidRPr="00951D7E">
        <w:rPr>
          <w:rFonts w:ascii="Arial" w:hAnsi="Arial" w:cs="Arial"/>
          <w:b/>
          <w:bCs/>
          <w:color w:val="0073CF"/>
        </w:rPr>
        <w:t xml:space="preserve">Submission Version </w:t>
      </w:r>
      <w:r w:rsidR="004016F1" w:rsidRPr="00951D7E">
        <w:rPr>
          <w:rFonts w:ascii="Arial" w:hAnsi="Arial" w:cs="Arial"/>
          <w:b/>
          <w:bCs/>
          <w:color w:val="0073CF"/>
        </w:rPr>
        <w:t>Nutrient Budget</w:t>
      </w:r>
      <w:r w:rsidR="002F048F" w:rsidRPr="00951D7E">
        <w:rPr>
          <w:rFonts w:ascii="Arial" w:hAnsi="Arial" w:cs="Arial"/>
          <w:b/>
          <w:bCs/>
          <w:color w:val="0073CF"/>
        </w:rPr>
        <w:t xml:space="preserve"> for 2021-2039</w:t>
      </w:r>
      <w:bookmarkEnd w:id="4"/>
    </w:p>
    <w:p w14:paraId="79B81B10" w14:textId="77777777" w:rsidR="004016F1" w:rsidRPr="004016F1" w:rsidRDefault="004016F1" w:rsidP="00951D7E">
      <w:pPr>
        <w:pStyle w:val="ListParagraph"/>
        <w:spacing w:after="0"/>
        <w:contextualSpacing w:val="0"/>
        <w:jc w:val="both"/>
        <w:rPr>
          <w:rFonts w:ascii="Arial" w:hAnsi="Arial" w:cs="Arial"/>
          <w:sz w:val="24"/>
          <w:szCs w:val="24"/>
        </w:rPr>
      </w:pPr>
    </w:p>
    <w:p w14:paraId="2B38C387" w14:textId="59C98D38" w:rsidR="00340680" w:rsidRPr="000A6883" w:rsidRDefault="007F56D4" w:rsidP="00951D7E">
      <w:pPr>
        <w:pStyle w:val="ListParagraph"/>
        <w:numPr>
          <w:ilvl w:val="1"/>
          <w:numId w:val="1"/>
        </w:numPr>
        <w:spacing w:after="0"/>
        <w:ind w:left="720" w:hanging="720"/>
        <w:jc w:val="both"/>
        <w:rPr>
          <w:rFonts w:ascii="Arial" w:hAnsi="Arial" w:cs="Arial"/>
          <w:b/>
          <w:bCs/>
          <w:i/>
          <w:iCs/>
          <w:sz w:val="24"/>
          <w:szCs w:val="24"/>
        </w:rPr>
      </w:pPr>
      <w:proofErr w:type="gramStart"/>
      <w:r w:rsidRPr="000A6883">
        <w:rPr>
          <w:rFonts w:ascii="Arial" w:hAnsi="Arial" w:cs="Arial"/>
          <w:sz w:val="24"/>
          <w:szCs w:val="24"/>
        </w:rPr>
        <w:t>A number of</w:t>
      </w:r>
      <w:proofErr w:type="gramEnd"/>
      <w:r w:rsidRPr="000A6883">
        <w:rPr>
          <w:rFonts w:ascii="Arial" w:hAnsi="Arial" w:cs="Arial"/>
          <w:sz w:val="24"/>
          <w:szCs w:val="24"/>
        </w:rPr>
        <w:t xml:space="preserve"> sources for the </w:t>
      </w:r>
      <w:r w:rsidR="004016F1" w:rsidRPr="000A6883">
        <w:rPr>
          <w:rFonts w:ascii="Arial" w:hAnsi="Arial" w:cs="Arial"/>
          <w:sz w:val="24"/>
          <w:szCs w:val="24"/>
        </w:rPr>
        <w:t xml:space="preserve">supply of housing over the plan period 2021-2039, </w:t>
      </w:r>
      <w:r w:rsidRPr="000A6883">
        <w:rPr>
          <w:rFonts w:ascii="Arial" w:hAnsi="Arial" w:cs="Arial"/>
          <w:sz w:val="24"/>
          <w:szCs w:val="24"/>
        </w:rPr>
        <w:t xml:space="preserve">are located within the Solent </w:t>
      </w:r>
      <w:r w:rsidR="00E10CB5" w:rsidRPr="000A6883">
        <w:rPr>
          <w:rFonts w:ascii="Arial" w:hAnsi="Arial" w:cs="Arial"/>
          <w:sz w:val="24"/>
          <w:szCs w:val="24"/>
        </w:rPr>
        <w:t xml:space="preserve">nutrient </w:t>
      </w:r>
      <w:r w:rsidRPr="000A6883">
        <w:rPr>
          <w:rFonts w:ascii="Arial" w:hAnsi="Arial" w:cs="Arial"/>
          <w:sz w:val="24"/>
          <w:szCs w:val="24"/>
        </w:rPr>
        <w:t xml:space="preserve">catchment. </w:t>
      </w:r>
      <w:r w:rsidR="004016F1" w:rsidRPr="000A6883">
        <w:rPr>
          <w:rFonts w:ascii="Arial" w:hAnsi="Arial" w:cs="Arial"/>
          <w:sz w:val="24"/>
          <w:szCs w:val="24"/>
        </w:rPr>
        <w:t xml:space="preserve">These include </w:t>
      </w:r>
      <w:r w:rsidR="00FE735A" w:rsidRPr="000A6883">
        <w:rPr>
          <w:rFonts w:ascii="Arial" w:hAnsi="Arial" w:cs="Arial"/>
          <w:sz w:val="24"/>
          <w:szCs w:val="24"/>
        </w:rPr>
        <w:t xml:space="preserve">new </w:t>
      </w:r>
      <w:r w:rsidR="004016F1" w:rsidRPr="000A6883">
        <w:rPr>
          <w:rFonts w:ascii="Arial" w:hAnsi="Arial" w:cs="Arial"/>
          <w:sz w:val="24"/>
          <w:szCs w:val="24"/>
        </w:rPr>
        <w:t xml:space="preserve">strategic </w:t>
      </w:r>
      <w:r w:rsidR="00B365B7" w:rsidRPr="000A6883">
        <w:rPr>
          <w:rFonts w:ascii="Arial" w:hAnsi="Arial" w:cs="Arial"/>
          <w:sz w:val="24"/>
          <w:szCs w:val="24"/>
        </w:rPr>
        <w:t xml:space="preserve">or parish </w:t>
      </w:r>
      <w:r w:rsidR="004016F1" w:rsidRPr="000A6883">
        <w:rPr>
          <w:rFonts w:ascii="Arial" w:hAnsi="Arial" w:cs="Arial"/>
          <w:sz w:val="24"/>
          <w:szCs w:val="24"/>
        </w:rPr>
        <w:t>allocations</w:t>
      </w:r>
      <w:r w:rsidR="00FE735A" w:rsidRPr="000A6883">
        <w:rPr>
          <w:rFonts w:ascii="Arial" w:hAnsi="Arial" w:cs="Arial"/>
          <w:sz w:val="24"/>
          <w:szCs w:val="24"/>
        </w:rPr>
        <w:t xml:space="preserve"> in the new Local Plan</w:t>
      </w:r>
      <w:r w:rsidR="00B365B7" w:rsidRPr="000A6883">
        <w:rPr>
          <w:rFonts w:ascii="Arial" w:hAnsi="Arial" w:cs="Arial"/>
          <w:sz w:val="24"/>
          <w:szCs w:val="24"/>
        </w:rPr>
        <w:t>, anticipated windfall</w:t>
      </w:r>
      <w:r w:rsidR="00E10CB5" w:rsidRPr="000A6883">
        <w:rPr>
          <w:rFonts w:ascii="Arial" w:hAnsi="Arial" w:cs="Arial"/>
          <w:sz w:val="24"/>
          <w:szCs w:val="24"/>
        </w:rPr>
        <w:t xml:space="preserve"> housing</w:t>
      </w:r>
      <w:r w:rsidR="00FE735A" w:rsidRPr="000A6883">
        <w:rPr>
          <w:rFonts w:ascii="Arial" w:hAnsi="Arial" w:cs="Arial"/>
          <w:sz w:val="24"/>
          <w:szCs w:val="24"/>
        </w:rPr>
        <w:t xml:space="preserve"> as well as </w:t>
      </w:r>
      <w:r w:rsidR="00B365B7" w:rsidRPr="000A6883">
        <w:rPr>
          <w:rFonts w:ascii="Arial" w:hAnsi="Arial" w:cs="Arial"/>
          <w:sz w:val="24"/>
          <w:szCs w:val="24"/>
        </w:rPr>
        <w:t xml:space="preserve">strategic allocations </w:t>
      </w:r>
      <w:r w:rsidR="00FE735A" w:rsidRPr="000A6883">
        <w:rPr>
          <w:rFonts w:ascii="Arial" w:hAnsi="Arial" w:cs="Arial"/>
          <w:sz w:val="24"/>
          <w:szCs w:val="24"/>
        </w:rPr>
        <w:t xml:space="preserve">which are </w:t>
      </w:r>
      <w:r w:rsidR="004016F1" w:rsidRPr="000A6883">
        <w:rPr>
          <w:rFonts w:ascii="Arial" w:hAnsi="Arial" w:cs="Arial"/>
          <w:sz w:val="24"/>
          <w:szCs w:val="24"/>
        </w:rPr>
        <w:t>retained from the Chichester Local Plan</w:t>
      </w:r>
      <w:r w:rsidR="00FE735A" w:rsidRPr="000A6883">
        <w:rPr>
          <w:rFonts w:ascii="Arial" w:hAnsi="Arial" w:cs="Arial"/>
          <w:sz w:val="24"/>
          <w:szCs w:val="24"/>
        </w:rPr>
        <w:t>:</w:t>
      </w:r>
      <w:r w:rsidR="004016F1" w:rsidRPr="000A6883">
        <w:rPr>
          <w:rFonts w:ascii="Arial" w:hAnsi="Arial" w:cs="Arial"/>
          <w:sz w:val="24"/>
          <w:szCs w:val="24"/>
        </w:rPr>
        <w:t xml:space="preserve"> </w:t>
      </w:r>
      <w:r w:rsidR="00FE735A" w:rsidRPr="000A6883">
        <w:rPr>
          <w:rFonts w:ascii="Arial" w:hAnsi="Arial" w:cs="Arial"/>
          <w:sz w:val="24"/>
          <w:szCs w:val="24"/>
        </w:rPr>
        <w:t>Key Policies 2014-2029</w:t>
      </w:r>
      <w:r w:rsidR="00B365B7" w:rsidRPr="000A6883">
        <w:rPr>
          <w:rFonts w:ascii="Arial" w:hAnsi="Arial" w:cs="Arial"/>
          <w:sz w:val="24"/>
          <w:szCs w:val="24"/>
        </w:rPr>
        <w:t xml:space="preserve"> or allocations </w:t>
      </w:r>
      <w:r w:rsidR="00F07775">
        <w:rPr>
          <w:rFonts w:ascii="Arial" w:hAnsi="Arial" w:cs="Arial"/>
          <w:sz w:val="24"/>
          <w:szCs w:val="24"/>
        </w:rPr>
        <w:t>in</w:t>
      </w:r>
      <w:r w:rsidR="00B365B7" w:rsidRPr="000A6883">
        <w:rPr>
          <w:rFonts w:ascii="Arial" w:hAnsi="Arial" w:cs="Arial"/>
          <w:sz w:val="24"/>
          <w:szCs w:val="24"/>
        </w:rPr>
        <w:t xml:space="preserve"> the current Site Allocation DPD</w:t>
      </w:r>
      <w:r w:rsidR="004016F1" w:rsidRPr="000A6883">
        <w:rPr>
          <w:rFonts w:ascii="Arial" w:hAnsi="Arial" w:cs="Arial"/>
          <w:sz w:val="24"/>
          <w:szCs w:val="24"/>
        </w:rPr>
        <w:t xml:space="preserve">.  </w:t>
      </w:r>
    </w:p>
    <w:p w14:paraId="3015786B" w14:textId="77777777" w:rsidR="00340680" w:rsidRPr="00340680" w:rsidRDefault="00340680" w:rsidP="00951D7E">
      <w:pPr>
        <w:pStyle w:val="ListParagraph"/>
        <w:spacing w:after="0"/>
        <w:jc w:val="both"/>
        <w:rPr>
          <w:rFonts w:ascii="Arial" w:hAnsi="Arial" w:cs="Arial"/>
          <w:b/>
          <w:bCs/>
          <w:i/>
          <w:iCs/>
          <w:sz w:val="24"/>
          <w:szCs w:val="24"/>
        </w:rPr>
      </w:pPr>
    </w:p>
    <w:p w14:paraId="5E3885B9" w14:textId="0C606A86" w:rsidR="00340680" w:rsidRPr="000A6883" w:rsidRDefault="00E30A4C" w:rsidP="00951D7E">
      <w:pPr>
        <w:pStyle w:val="ListParagraph"/>
        <w:numPr>
          <w:ilvl w:val="1"/>
          <w:numId w:val="1"/>
        </w:numPr>
        <w:spacing w:after="0"/>
        <w:ind w:left="720" w:hanging="720"/>
        <w:jc w:val="both"/>
        <w:rPr>
          <w:rFonts w:ascii="Arial" w:hAnsi="Arial" w:cs="Arial"/>
          <w:b/>
          <w:bCs/>
          <w:i/>
          <w:iCs/>
          <w:sz w:val="24"/>
          <w:szCs w:val="24"/>
        </w:rPr>
      </w:pPr>
      <w:r w:rsidRPr="000A6883">
        <w:rPr>
          <w:rFonts w:ascii="Arial" w:hAnsi="Arial" w:cs="Arial"/>
          <w:sz w:val="24"/>
          <w:szCs w:val="24"/>
        </w:rPr>
        <w:t>The latest nutrient budget which was prepared prior to submission of the Local Plan and for the purposes of the Habitats Regulations Assessment update</w:t>
      </w:r>
      <w:r w:rsidR="00214773">
        <w:rPr>
          <w:rFonts w:ascii="Arial" w:hAnsi="Arial" w:cs="Arial"/>
          <w:sz w:val="24"/>
          <w:szCs w:val="24"/>
        </w:rPr>
        <w:t>,</w:t>
      </w:r>
      <w:r w:rsidRPr="000A6883">
        <w:rPr>
          <w:rFonts w:ascii="Arial" w:hAnsi="Arial" w:cs="Arial"/>
          <w:sz w:val="24"/>
          <w:szCs w:val="24"/>
        </w:rPr>
        <w:t xml:space="preserve"> appears at Appendix 1 and an explanation of the assumptions used to calculate the nutrient budget are set out below.  </w:t>
      </w:r>
    </w:p>
    <w:p w14:paraId="396EEB64" w14:textId="77777777" w:rsidR="00340680" w:rsidRPr="00340680" w:rsidRDefault="00340680" w:rsidP="00951D7E">
      <w:pPr>
        <w:pStyle w:val="ListParagraph"/>
        <w:rPr>
          <w:rFonts w:ascii="Arial" w:hAnsi="Arial" w:cs="Arial"/>
          <w:sz w:val="24"/>
          <w:szCs w:val="24"/>
        </w:rPr>
      </w:pPr>
    </w:p>
    <w:p w14:paraId="10C0F0F7" w14:textId="77777777" w:rsidR="00202647" w:rsidRDefault="00E30A4C" w:rsidP="00951D7E">
      <w:pPr>
        <w:pStyle w:val="ListParagraph"/>
        <w:numPr>
          <w:ilvl w:val="1"/>
          <w:numId w:val="1"/>
        </w:numPr>
        <w:spacing w:after="0"/>
        <w:ind w:left="720" w:hanging="720"/>
        <w:jc w:val="both"/>
        <w:rPr>
          <w:rFonts w:ascii="Arial" w:hAnsi="Arial" w:cs="Arial"/>
          <w:sz w:val="24"/>
          <w:szCs w:val="24"/>
        </w:rPr>
      </w:pPr>
      <w:r w:rsidRPr="000A6883">
        <w:rPr>
          <w:rFonts w:ascii="Arial" w:hAnsi="Arial" w:cs="Arial"/>
          <w:sz w:val="24"/>
          <w:szCs w:val="24"/>
        </w:rPr>
        <w:t>There are marked differences between the latest nutrient budget and that prepared to support the Regulation 19 version of the Local Plan</w:t>
      </w:r>
      <w:r w:rsidR="00626DBB" w:rsidRPr="000A6883">
        <w:rPr>
          <w:rFonts w:ascii="Arial" w:hAnsi="Arial" w:cs="Arial"/>
          <w:sz w:val="24"/>
          <w:szCs w:val="24"/>
        </w:rPr>
        <w:t xml:space="preserve"> </w:t>
      </w:r>
      <w:r w:rsidR="00202647">
        <w:rPr>
          <w:rFonts w:ascii="Arial" w:hAnsi="Arial" w:cs="Arial"/>
          <w:sz w:val="24"/>
          <w:szCs w:val="24"/>
        </w:rPr>
        <w:t xml:space="preserve">which are </w:t>
      </w:r>
      <w:r w:rsidR="00626DBB" w:rsidRPr="000A6883">
        <w:rPr>
          <w:rFonts w:ascii="Arial" w:hAnsi="Arial" w:cs="Arial"/>
          <w:sz w:val="24"/>
          <w:szCs w:val="24"/>
        </w:rPr>
        <w:t xml:space="preserve">largely due to the changes that have occurred in the lapse of time between the first nutrient budget and the recent update.  </w:t>
      </w:r>
    </w:p>
    <w:p w14:paraId="54E8EFBF" w14:textId="77777777" w:rsidR="00202647" w:rsidRPr="00202647" w:rsidRDefault="00202647" w:rsidP="00951D7E">
      <w:pPr>
        <w:pStyle w:val="ListParagraph"/>
        <w:rPr>
          <w:rFonts w:ascii="Arial" w:hAnsi="Arial" w:cs="Arial"/>
          <w:sz w:val="24"/>
          <w:szCs w:val="24"/>
        </w:rPr>
      </w:pPr>
    </w:p>
    <w:p w14:paraId="0FA79720" w14:textId="499496FB" w:rsidR="00202647" w:rsidRDefault="00202647" w:rsidP="00951D7E">
      <w:pPr>
        <w:pStyle w:val="ListParagraph"/>
        <w:numPr>
          <w:ilvl w:val="1"/>
          <w:numId w:val="1"/>
        </w:numPr>
        <w:spacing w:after="0"/>
        <w:ind w:left="720" w:hanging="720"/>
        <w:jc w:val="both"/>
        <w:rPr>
          <w:rFonts w:ascii="Arial" w:hAnsi="Arial" w:cs="Arial"/>
          <w:sz w:val="24"/>
          <w:szCs w:val="24"/>
        </w:rPr>
      </w:pPr>
      <w:r>
        <w:rPr>
          <w:rFonts w:ascii="Arial" w:hAnsi="Arial" w:cs="Arial"/>
          <w:sz w:val="24"/>
          <w:szCs w:val="24"/>
        </w:rPr>
        <w:t>Some of t</w:t>
      </w:r>
      <w:r w:rsidR="00626DBB" w:rsidRPr="000A6883">
        <w:rPr>
          <w:rFonts w:ascii="Arial" w:hAnsi="Arial" w:cs="Arial"/>
          <w:sz w:val="24"/>
          <w:szCs w:val="24"/>
        </w:rPr>
        <w:t>he changes</w:t>
      </w:r>
      <w:r w:rsidR="000A6883">
        <w:rPr>
          <w:rFonts w:ascii="Arial" w:hAnsi="Arial" w:cs="Arial"/>
          <w:sz w:val="24"/>
          <w:szCs w:val="24"/>
        </w:rPr>
        <w:t xml:space="preserve"> result from the use of the</w:t>
      </w:r>
      <w:r w:rsidR="00626DBB" w:rsidRPr="000A6883">
        <w:rPr>
          <w:rFonts w:ascii="Arial" w:hAnsi="Arial" w:cs="Arial"/>
          <w:sz w:val="24"/>
          <w:szCs w:val="24"/>
        </w:rPr>
        <w:t xml:space="preserve"> revised calculators </w:t>
      </w:r>
      <w:r>
        <w:rPr>
          <w:rFonts w:ascii="Arial" w:hAnsi="Arial" w:cs="Arial"/>
          <w:sz w:val="24"/>
          <w:szCs w:val="24"/>
        </w:rPr>
        <w:t>produced by</w:t>
      </w:r>
      <w:r w:rsidR="00626DBB" w:rsidRPr="000A6883">
        <w:rPr>
          <w:rFonts w:ascii="Arial" w:hAnsi="Arial" w:cs="Arial"/>
          <w:sz w:val="24"/>
          <w:szCs w:val="24"/>
        </w:rPr>
        <w:t xml:space="preserve"> Natural England as well as the fact that the position on many of the sites included within the </w:t>
      </w:r>
      <w:r w:rsidR="000A6883">
        <w:rPr>
          <w:rFonts w:ascii="Arial" w:hAnsi="Arial" w:cs="Arial"/>
          <w:sz w:val="24"/>
          <w:szCs w:val="24"/>
        </w:rPr>
        <w:t xml:space="preserve">Regulation 19 </w:t>
      </w:r>
      <w:r w:rsidR="00626DBB" w:rsidRPr="000A6883">
        <w:rPr>
          <w:rFonts w:ascii="Arial" w:hAnsi="Arial" w:cs="Arial"/>
          <w:sz w:val="24"/>
          <w:szCs w:val="24"/>
        </w:rPr>
        <w:t>budget has now changed. For instance, a</w:t>
      </w:r>
      <w:r w:rsidR="002F048F">
        <w:rPr>
          <w:rFonts w:ascii="Arial" w:hAnsi="Arial" w:cs="Arial"/>
          <w:sz w:val="24"/>
          <w:szCs w:val="24"/>
        </w:rPr>
        <w:t xml:space="preserve"> </w:t>
      </w:r>
      <w:r w:rsidR="009D4F92">
        <w:rPr>
          <w:rFonts w:ascii="Arial" w:hAnsi="Arial" w:cs="Arial"/>
          <w:sz w:val="24"/>
          <w:szCs w:val="24"/>
        </w:rPr>
        <w:t xml:space="preserve">strategic </w:t>
      </w:r>
      <w:r w:rsidR="002F048F">
        <w:rPr>
          <w:rFonts w:ascii="Arial" w:hAnsi="Arial" w:cs="Arial"/>
          <w:sz w:val="24"/>
          <w:szCs w:val="24"/>
        </w:rPr>
        <w:t>housing</w:t>
      </w:r>
      <w:r w:rsidR="00626DBB" w:rsidRPr="000A6883">
        <w:rPr>
          <w:rFonts w:ascii="Arial" w:hAnsi="Arial" w:cs="Arial"/>
          <w:sz w:val="24"/>
          <w:szCs w:val="24"/>
        </w:rPr>
        <w:t xml:space="preserve"> </w:t>
      </w:r>
      <w:r w:rsidR="00214773">
        <w:rPr>
          <w:rFonts w:ascii="Arial" w:hAnsi="Arial" w:cs="Arial"/>
          <w:sz w:val="24"/>
          <w:szCs w:val="24"/>
        </w:rPr>
        <w:t>al</w:t>
      </w:r>
      <w:r w:rsidR="009D4F92">
        <w:rPr>
          <w:rFonts w:ascii="Arial" w:hAnsi="Arial" w:cs="Arial"/>
          <w:sz w:val="24"/>
          <w:szCs w:val="24"/>
        </w:rPr>
        <w:t>location</w:t>
      </w:r>
      <w:r w:rsidR="00214773">
        <w:rPr>
          <w:rFonts w:ascii="Arial" w:hAnsi="Arial" w:cs="Arial"/>
          <w:sz w:val="24"/>
          <w:szCs w:val="24"/>
        </w:rPr>
        <w:t xml:space="preserve"> of 300 dwellings</w:t>
      </w:r>
      <w:r w:rsidR="009D4F92" w:rsidRPr="000A6883">
        <w:rPr>
          <w:rFonts w:ascii="Arial" w:hAnsi="Arial" w:cs="Arial"/>
          <w:sz w:val="24"/>
          <w:szCs w:val="24"/>
        </w:rPr>
        <w:t xml:space="preserve"> </w:t>
      </w:r>
      <w:r w:rsidR="00214773">
        <w:rPr>
          <w:rFonts w:ascii="Arial" w:hAnsi="Arial" w:cs="Arial"/>
          <w:sz w:val="24"/>
          <w:szCs w:val="24"/>
        </w:rPr>
        <w:t>within Chidham</w:t>
      </w:r>
      <w:r w:rsidR="00626DBB" w:rsidRPr="000A6883">
        <w:rPr>
          <w:rFonts w:ascii="Arial" w:hAnsi="Arial" w:cs="Arial"/>
          <w:sz w:val="24"/>
          <w:szCs w:val="24"/>
        </w:rPr>
        <w:t xml:space="preserve"> and Hambrook </w:t>
      </w:r>
      <w:r w:rsidR="00214773">
        <w:rPr>
          <w:rFonts w:ascii="Arial" w:hAnsi="Arial" w:cs="Arial"/>
          <w:sz w:val="24"/>
          <w:szCs w:val="24"/>
        </w:rPr>
        <w:t xml:space="preserve">Parish </w:t>
      </w:r>
      <w:r w:rsidR="00626DBB" w:rsidRPr="000A6883">
        <w:rPr>
          <w:rFonts w:ascii="Arial" w:hAnsi="Arial" w:cs="Arial"/>
          <w:sz w:val="24"/>
          <w:szCs w:val="24"/>
        </w:rPr>
        <w:t xml:space="preserve">which </w:t>
      </w:r>
      <w:r w:rsidR="002F048F">
        <w:rPr>
          <w:rFonts w:ascii="Arial" w:hAnsi="Arial" w:cs="Arial"/>
          <w:sz w:val="24"/>
          <w:szCs w:val="24"/>
        </w:rPr>
        <w:t xml:space="preserve">would have </w:t>
      </w:r>
      <w:r w:rsidR="00626DBB" w:rsidRPr="000A6883">
        <w:rPr>
          <w:rFonts w:ascii="Arial" w:hAnsi="Arial" w:cs="Arial"/>
          <w:sz w:val="24"/>
          <w:szCs w:val="24"/>
        </w:rPr>
        <w:t>required a nutrient load of 141 kg/</w:t>
      </w:r>
      <w:proofErr w:type="spellStart"/>
      <w:r w:rsidR="00626DBB" w:rsidRPr="000A6883">
        <w:rPr>
          <w:rFonts w:ascii="Arial" w:hAnsi="Arial" w:cs="Arial"/>
          <w:sz w:val="24"/>
          <w:szCs w:val="24"/>
        </w:rPr>
        <w:t>tn</w:t>
      </w:r>
      <w:proofErr w:type="spellEnd"/>
      <w:r w:rsidR="00626DBB" w:rsidRPr="000A6883">
        <w:rPr>
          <w:rFonts w:ascii="Arial" w:hAnsi="Arial" w:cs="Arial"/>
          <w:sz w:val="24"/>
          <w:szCs w:val="24"/>
        </w:rPr>
        <w:t>/</w:t>
      </w:r>
      <w:proofErr w:type="spellStart"/>
      <w:r w:rsidR="00626DBB" w:rsidRPr="000A6883">
        <w:rPr>
          <w:rFonts w:ascii="Arial" w:hAnsi="Arial" w:cs="Arial"/>
          <w:sz w:val="24"/>
          <w:szCs w:val="24"/>
        </w:rPr>
        <w:t>yr</w:t>
      </w:r>
      <w:proofErr w:type="spellEnd"/>
      <w:r w:rsidR="00626DBB" w:rsidRPr="000A6883">
        <w:rPr>
          <w:rFonts w:ascii="Arial" w:hAnsi="Arial" w:cs="Arial"/>
          <w:sz w:val="24"/>
          <w:szCs w:val="24"/>
        </w:rPr>
        <w:t xml:space="preserve"> </w:t>
      </w:r>
      <w:r w:rsidR="002F048F">
        <w:rPr>
          <w:rFonts w:ascii="Arial" w:hAnsi="Arial" w:cs="Arial"/>
          <w:sz w:val="24"/>
          <w:szCs w:val="24"/>
        </w:rPr>
        <w:t>to be mitigated</w:t>
      </w:r>
      <w:r>
        <w:rPr>
          <w:rFonts w:ascii="Arial" w:hAnsi="Arial" w:cs="Arial"/>
          <w:sz w:val="24"/>
          <w:szCs w:val="24"/>
        </w:rPr>
        <w:t>,</w:t>
      </w:r>
      <w:r w:rsidR="002F048F">
        <w:rPr>
          <w:rFonts w:ascii="Arial" w:hAnsi="Arial" w:cs="Arial"/>
          <w:sz w:val="24"/>
          <w:szCs w:val="24"/>
        </w:rPr>
        <w:t xml:space="preserve"> </w:t>
      </w:r>
      <w:r w:rsidR="00626DBB" w:rsidRPr="000A6883">
        <w:rPr>
          <w:rFonts w:ascii="Arial" w:hAnsi="Arial" w:cs="Arial"/>
          <w:sz w:val="24"/>
          <w:szCs w:val="24"/>
        </w:rPr>
        <w:t xml:space="preserve">has now been met through a </w:t>
      </w:r>
      <w:r w:rsidR="006745A0">
        <w:rPr>
          <w:rFonts w:ascii="Arial" w:hAnsi="Arial" w:cs="Arial"/>
          <w:sz w:val="24"/>
          <w:szCs w:val="24"/>
        </w:rPr>
        <w:t xml:space="preserve">small </w:t>
      </w:r>
      <w:r w:rsidR="00626DBB" w:rsidRPr="000A6883">
        <w:rPr>
          <w:rFonts w:ascii="Arial" w:hAnsi="Arial" w:cs="Arial"/>
          <w:sz w:val="24"/>
          <w:szCs w:val="24"/>
        </w:rPr>
        <w:t>number of permissions for major housing development</w:t>
      </w:r>
      <w:r w:rsidR="006745A0">
        <w:rPr>
          <w:rFonts w:ascii="Arial" w:hAnsi="Arial" w:cs="Arial"/>
          <w:sz w:val="24"/>
          <w:szCs w:val="24"/>
        </w:rPr>
        <w:t xml:space="preserve"> that have nutrient mitigation secured via Section 106 Agreements</w:t>
      </w:r>
      <w:r>
        <w:rPr>
          <w:rFonts w:ascii="Arial" w:hAnsi="Arial" w:cs="Arial"/>
          <w:sz w:val="24"/>
          <w:szCs w:val="24"/>
        </w:rPr>
        <w:t>,</w:t>
      </w:r>
      <w:r w:rsidR="00626DBB" w:rsidRPr="000A6883">
        <w:rPr>
          <w:rFonts w:ascii="Arial" w:hAnsi="Arial" w:cs="Arial"/>
          <w:sz w:val="24"/>
          <w:szCs w:val="24"/>
        </w:rPr>
        <w:t xml:space="preserve"> and </w:t>
      </w:r>
      <w:r w:rsidR="006745A0">
        <w:rPr>
          <w:rFonts w:ascii="Arial" w:hAnsi="Arial" w:cs="Arial"/>
          <w:sz w:val="24"/>
          <w:szCs w:val="24"/>
        </w:rPr>
        <w:t xml:space="preserve">this </w:t>
      </w:r>
      <w:r w:rsidR="009D4F92">
        <w:rPr>
          <w:rFonts w:ascii="Arial" w:hAnsi="Arial" w:cs="Arial"/>
          <w:sz w:val="24"/>
          <w:szCs w:val="24"/>
        </w:rPr>
        <w:t xml:space="preserve">strategic location </w:t>
      </w:r>
      <w:r w:rsidR="002F048F">
        <w:rPr>
          <w:rFonts w:ascii="Arial" w:hAnsi="Arial" w:cs="Arial"/>
          <w:sz w:val="24"/>
          <w:szCs w:val="24"/>
        </w:rPr>
        <w:t>ha</w:t>
      </w:r>
      <w:r w:rsidR="00626DBB" w:rsidRPr="000A6883">
        <w:rPr>
          <w:rFonts w:ascii="Arial" w:hAnsi="Arial" w:cs="Arial"/>
          <w:sz w:val="24"/>
          <w:szCs w:val="24"/>
        </w:rPr>
        <w:t xml:space="preserve">s accordingly </w:t>
      </w:r>
      <w:r w:rsidR="002F048F">
        <w:rPr>
          <w:rFonts w:ascii="Arial" w:hAnsi="Arial" w:cs="Arial"/>
          <w:sz w:val="24"/>
          <w:szCs w:val="24"/>
        </w:rPr>
        <w:t xml:space="preserve">been removed from </w:t>
      </w:r>
      <w:r w:rsidR="00626DBB" w:rsidRPr="000A6883">
        <w:rPr>
          <w:rFonts w:ascii="Arial" w:hAnsi="Arial" w:cs="Arial"/>
          <w:sz w:val="24"/>
          <w:szCs w:val="24"/>
        </w:rPr>
        <w:t xml:space="preserve">the </w:t>
      </w:r>
      <w:r w:rsidR="002F048F">
        <w:rPr>
          <w:rFonts w:ascii="Arial" w:hAnsi="Arial" w:cs="Arial"/>
          <w:sz w:val="24"/>
          <w:szCs w:val="24"/>
        </w:rPr>
        <w:t xml:space="preserve">latest </w:t>
      </w:r>
      <w:r w:rsidR="00626DBB" w:rsidRPr="000A6883">
        <w:rPr>
          <w:rFonts w:ascii="Arial" w:hAnsi="Arial" w:cs="Arial"/>
          <w:sz w:val="24"/>
          <w:szCs w:val="24"/>
        </w:rPr>
        <w:t>budget. In addition, the Southbourne Broad Location for Development has also been reduced by a permission for major housing development</w:t>
      </w:r>
      <w:r w:rsidR="00AF7C07" w:rsidRPr="000A6883">
        <w:rPr>
          <w:rFonts w:ascii="Arial" w:hAnsi="Arial" w:cs="Arial"/>
          <w:sz w:val="24"/>
          <w:szCs w:val="24"/>
        </w:rPr>
        <w:t xml:space="preserve"> </w:t>
      </w:r>
      <w:r w:rsidR="006745A0">
        <w:rPr>
          <w:rFonts w:ascii="Arial" w:hAnsi="Arial" w:cs="Arial"/>
          <w:sz w:val="24"/>
          <w:szCs w:val="24"/>
        </w:rPr>
        <w:t>with nutrient mitigation secured</w:t>
      </w:r>
      <w:r>
        <w:rPr>
          <w:rFonts w:ascii="Arial" w:hAnsi="Arial" w:cs="Arial"/>
          <w:sz w:val="24"/>
          <w:szCs w:val="24"/>
        </w:rPr>
        <w:t>,</w:t>
      </w:r>
      <w:r w:rsidR="006745A0">
        <w:rPr>
          <w:rFonts w:ascii="Arial" w:hAnsi="Arial" w:cs="Arial"/>
          <w:sz w:val="24"/>
          <w:szCs w:val="24"/>
        </w:rPr>
        <w:t xml:space="preserve"> </w:t>
      </w:r>
      <w:r w:rsidR="00AF7C07" w:rsidRPr="000A6883">
        <w:rPr>
          <w:rFonts w:ascii="Arial" w:hAnsi="Arial" w:cs="Arial"/>
          <w:sz w:val="24"/>
          <w:szCs w:val="24"/>
        </w:rPr>
        <w:t xml:space="preserve">whilst Chichester City and Westbourne </w:t>
      </w:r>
      <w:r w:rsidR="009D4F92">
        <w:rPr>
          <w:rFonts w:ascii="Arial" w:hAnsi="Arial" w:cs="Arial"/>
          <w:sz w:val="24"/>
          <w:szCs w:val="24"/>
        </w:rPr>
        <w:t xml:space="preserve">requirements </w:t>
      </w:r>
      <w:r w:rsidR="00AF7C07" w:rsidRPr="000A6883">
        <w:rPr>
          <w:rFonts w:ascii="Arial" w:hAnsi="Arial" w:cs="Arial"/>
          <w:sz w:val="24"/>
          <w:szCs w:val="24"/>
        </w:rPr>
        <w:t>have been reduced by permissions</w:t>
      </w:r>
      <w:r w:rsidR="002F048F">
        <w:rPr>
          <w:rFonts w:ascii="Arial" w:hAnsi="Arial" w:cs="Arial"/>
          <w:sz w:val="24"/>
          <w:szCs w:val="24"/>
        </w:rPr>
        <w:t xml:space="preserve"> for smaller housing developments</w:t>
      </w:r>
      <w:r w:rsidR="006745A0">
        <w:rPr>
          <w:rFonts w:ascii="Arial" w:hAnsi="Arial" w:cs="Arial"/>
          <w:sz w:val="24"/>
          <w:szCs w:val="24"/>
        </w:rPr>
        <w:t>, again, with nutrient mitigation secured via Section 106 Agreements</w:t>
      </w:r>
      <w:r w:rsidR="00626DBB" w:rsidRPr="000A6883">
        <w:rPr>
          <w:rFonts w:ascii="Arial" w:hAnsi="Arial" w:cs="Arial"/>
          <w:sz w:val="24"/>
          <w:szCs w:val="24"/>
        </w:rPr>
        <w:t>.</w:t>
      </w:r>
      <w:r w:rsidR="00AF7C07" w:rsidRPr="000A6883">
        <w:rPr>
          <w:rFonts w:ascii="Arial" w:hAnsi="Arial" w:cs="Arial"/>
          <w:sz w:val="24"/>
          <w:szCs w:val="24"/>
        </w:rPr>
        <w:t xml:space="preserve"> </w:t>
      </w:r>
    </w:p>
    <w:p w14:paraId="2B5D542F" w14:textId="77777777" w:rsidR="00202647" w:rsidRPr="00202647" w:rsidRDefault="00202647" w:rsidP="00951D7E">
      <w:pPr>
        <w:pStyle w:val="ListParagraph"/>
        <w:rPr>
          <w:rFonts w:ascii="Arial" w:hAnsi="Arial" w:cs="Arial"/>
          <w:sz w:val="24"/>
          <w:szCs w:val="24"/>
        </w:rPr>
      </w:pPr>
    </w:p>
    <w:p w14:paraId="01D9D1FA" w14:textId="00B089EA" w:rsidR="00BA5066" w:rsidRPr="000A6883" w:rsidRDefault="00AF7C07" w:rsidP="00951D7E">
      <w:pPr>
        <w:pStyle w:val="ListParagraph"/>
        <w:numPr>
          <w:ilvl w:val="1"/>
          <w:numId w:val="1"/>
        </w:numPr>
        <w:spacing w:after="0"/>
        <w:ind w:left="720" w:hanging="720"/>
        <w:jc w:val="both"/>
        <w:rPr>
          <w:rFonts w:ascii="Arial" w:hAnsi="Arial" w:cs="Arial"/>
          <w:sz w:val="24"/>
          <w:szCs w:val="24"/>
        </w:rPr>
      </w:pPr>
      <w:r w:rsidRPr="000A6883">
        <w:rPr>
          <w:rFonts w:ascii="Arial" w:hAnsi="Arial" w:cs="Arial"/>
          <w:sz w:val="24"/>
          <w:szCs w:val="24"/>
        </w:rPr>
        <w:t xml:space="preserve">Finally, the anticipated windfall for gypsy and traveller and travelling </w:t>
      </w:r>
      <w:proofErr w:type="spellStart"/>
      <w:r w:rsidRPr="000A6883">
        <w:rPr>
          <w:rFonts w:ascii="Arial" w:hAnsi="Arial" w:cs="Arial"/>
          <w:sz w:val="24"/>
          <w:szCs w:val="24"/>
        </w:rPr>
        <w:t>showpeople</w:t>
      </w:r>
      <w:proofErr w:type="spellEnd"/>
      <w:r w:rsidRPr="000A6883">
        <w:rPr>
          <w:rFonts w:ascii="Arial" w:hAnsi="Arial" w:cs="Arial"/>
          <w:sz w:val="24"/>
          <w:szCs w:val="24"/>
        </w:rPr>
        <w:t xml:space="preserve"> accommodation </w:t>
      </w:r>
      <w:r w:rsidR="002F048F">
        <w:rPr>
          <w:rFonts w:ascii="Arial" w:hAnsi="Arial" w:cs="Arial"/>
          <w:sz w:val="24"/>
          <w:szCs w:val="24"/>
        </w:rPr>
        <w:t>has fallen</w:t>
      </w:r>
      <w:r w:rsidR="006745A0">
        <w:rPr>
          <w:rFonts w:ascii="Arial" w:hAnsi="Arial" w:cs="Arial"/>
          <w:sz w:val="24"/>
          <w:szCs w:val="24"/>
        </w:rPr>
        <w:t xml:space="preserve"> since the Regulation 19 nutrient budget</w:t>
      </w:r>
      <w:r w:rsidRPr="000A6883">
        <w:rPr>
          <w:rFonts w:ascii="Arial" w:hAnsi="Arial" w:cs="Arial"/>
          <w:sz w:val="24"/>
          <w:szCs w:val="24"/>
        </w:rPr>
        <w:t>.</w:t>
      </w:r>
      <w:r w:rsidR="00626DBB" w:rsidRPr="000A6883">
        <w:rPr>
          <w:rFonts w:ascii="Arial" w:hAnsi="Arial" w:cs="Arial"/>
          <w:sz w:val="24"/>
          <w:szCs w:val="24"/>
        </w:rPr>
        <w:t xml:space="preserve"> </w:t>
      </w:r>
      <w:r w:rsidRPr="000A6883">
        <w:rPr>
          <w:rFonts w:ascii="Arial" w:hAnsi="Arial" w:cs="Arial"/>
          <w:sz w:val="24"/>
          <w:szCs w:val="24"/>
        </w:rPr>
        <w:t xml:space="preserve">Nonetheless, whilst the overall nutrient budget </w:t>
      </w:r>
      <w:r w:rsidR="002F048F">
        <w:rPr>
          <w:rFonts w:ascii="Arial" w:hAnsi="Arial" w:cs="Arial"/>
          <w:sz w:val="24"/>
          <w:szCs w:val="24"/>
        </w:rPr>
        <w:t xml:space="preserve">for the plan period </w:t>
      </w:r>
      <w:r w:rsidRPr="000A6883">
        <w:rPr>
          <w:rFonts w:ascii="Arial" w:hAnsi="Arial" w:cs="Arial"/>
          <w:sz w:val="24"/>
          <w:szCs w:val="24"/>
        </w:rPr>
        <w:t>is reduced, there has been a slight increase of around 20 kg/</w:t>
      </w:r>
      <w:proofErr w:type="spellStart"/>
      <w:r w:rsidRPr="000A6883">
        <w:rPr>
          <w:rFonts w:ascii="Arial" w:hAnsi="Arial" w:cs="Arial"/>
          <w:sz w:val="24"/>
          <w:szCs w:val="24"/>
        </w:rPr>
        <w:t>tn</w:t>
      </w:r>
      <w:proofErr w:type="spellEnd"/>
      <w:r w:rsidRPr="000A6883">
        <w:rPr>
          <w:rFonts w:ascii="Arial" w:hAnsi="Arial" w:cs="Arial"/>
          <w:sz w:val="24"/>
          <w:szCs w:val="24"/>
        </w:rPr>
        <w:t>/</w:t>
      </w:r>
      <w:proofErr w:type="spellStart"/>
      <w:r w:rsidRPr="000A6883">
        <w:rPr>
          <w:rFonts w:ascii="Arial" w:hAnsi="Arial" w:cs="Arial"/>
          <w:sz w:val="24"/>
          <w:szCs w:val="24"/>
        </w:rPr>
        <w:t>yr</w:t>
      </w:r>
      <w:proofErr w:type="spellEnd"/>
      <w:r w:rsidRPr="000A6883">
        <w:rPr>
          <w:rFonts w:ascii="Arial" w:hAnsi="Arial" w:cs="Arial"/>
          <w:sz w:val="24"/>
          <w:szCs w:val="24"/>
        </w:rPr>
        <w:t xml:space="preserve"> within the first part of the local plan period </w:t>
      </w:r>
      <w:r w:rsidR="00571B1F" w:rsidRPr="000A6883">
        <w:rPr>
          <w:rFonts w:ascii="Arial" w:hAnsi="Arial" w:cs="Arial"/>
          <w:sz w:val="24"/>
          <w:szCs w:val="24"/>
        </w:rPr>
        <w:t>largely due to the increase in</w:t>
      </w:r>
      <w:r w:rsidR="00851748" w:rsidRPr="000A6883">
        <w:rPr>
          <w:rFonts w:ascii="Arial" w:hAnsi="Arial" w:cs="Arial"/>
          <w:sz w:val="24"/>
          <w:szCs w:val="24"/>
        </w:rPr>
        <w:t xml:space="preserve"> the anticipated windfall for</w:t>
      </w:r>
      <w:r w:rsidR="00571B1F" w:rsidRPr="000A6883">
        <w:rPr>
          <w:rFonts w:ascii="Arial" w:hAnsi="Arial" w:cs="Arial"/>
          <w:sz w:val="24"/>
          <w:szCs w:val="24"/>
        </w:rPr>
        <w:t xml:space="preserve"> general housing.</w:t>
      </w:r>
      <w:r w:rsidR="00340680" w:rsidRPr="000A6883">
        <w:rPr>
          <w:rFonts w:ascii="Arial" w:hAnsi="Arial" w:cs="Arial"/>
          <w:sz w:val="24"/>
          <w:szCs w:val="24"/>
        </w:rPr>
        <w:t xml:space="preserve"> </w:t>
      </w:r>
    </w:p>
    <w:p w14:paraId="2C9681D2" w14:textId="1C7BDFB9" w:rsidR="00157E9E" w:rsidRPr="00951D7E" w:rsidRDefault="002F048F" w:rsidP="00951D7E">
      <w:pPr>
        <w:pStyle w:val="Heading1"/>
        <w:numPr>
          <w:ilvl w:val="0"/>
          <w:numId w:val="1"/>
        </w:numPr>
        <w:spacing w:after="240"/>
        <w:rPr>
          <w:rFonts w:ascii="Arial" w:hAnsi="Arial" w:cs="Arial"/>
          <w:b/>
          <w:bCs/>
          <w:color w:val="0073CF"/>
        </w:rPr>
      </w:pPr>
      <w:bookmarkStart w:id="5" w:name="_Toc167964278"/>
      <w:r w:rsidRPr="00951D7E">
        <w:rPr>
          <w:rFonts w:ascii="Arial" w:hAnsi="Arial" w:cs="Arial"/>
          <w:b/>
          <w:bCs/>
          <w:color w:val="0073CF"/>
        </w:rPr>
        <w:lastRenderedPageBreak/>
        <w:t>N</w:t>
      </w:r>
      <w:r w:rsidR="00BA5066" w:rsidRPr="00951D7E">
        <w:rPr>
          <w:rFonts w:ascii="Arial" w:hAnsi="Arial" w:cs="Arial"/>
          <w:b/>
          <w:bCs/>
          <w:color w:val="0073CF"/>
        </w:rPr>
        <w:t>utrient</w:t>
      </w:r>
      <w:r w:rsidRPr="00951D7E">
        <w:rPr>
          <w:rFonts w:ascii="Arial" w:hAnsi="Arial" w:cs="Arial"/>
          <w:b/>
          <w:bCs/>
          <w:color w:val="0073CF"/>
        </w:rPr>
        <w:t xml:space="preserve"> Budget Methodology</w:t>
      </w:r>
      <w:bookmarkEnd w:id="5"/>
    </w:p>
    <w:p w14:paraId="3531E6C1" w14:textId="44741649" w:rsidR="002F048F" w:rsidRPr="00951D7E" w:rsidRDefault="002F048F" w:rsidP="00951D7E">
      <w:pPr>
        <w:pStyle w:val="Heading2"/>
        <w:rPr>
          <w:rFonts w:ascii="Arial" w:hAnsi="Arial" w:cs="Arial"/>
          <w:b/>
          <w:bCs/>
          <w:color w:val="0073CF"/>
          <w:sz w:val="24"/>
          <w:szCs w:val="24"/>
        </w:rPr>
      </w:pPr>
      <w:r w:rsidRPr="002F048F">
        <w:t xml:space="preserve"> </w:t>
      </w:r>
      <w:r w:rsidRPr="002F048F">
        <w:tab/>
      </w:r>
      <w:r w:rsidRPr="00951D7E">
        <w:rPr>
          <w:rFonts w:ascii="Arial" w:hAnsi="Arial" w:cs="Arial"/>
          <w:b/>
          <w:bCs/>
          <w:color w:val="0073CF"/>
          <w:sz w:val="24"/>
          <w:szCs w:val="24"/>
        </w:rPr>
        <w:t>Strategic</w:t>
      </w:r>
      <w:r w:rsidR="007B077C" w:rsidRPr="00951D7E">
        <w:rPr>
          <w:rFonts w:ascii="Arial" w:hAnsi="Arial" w:cs="Arial"/>
          <w:b/>
          <w:bCs/>
          <w:color w:val="0073CF"/>
          <w:sz w:val="24"/>
          <w:szCs w:val="24"/>
        </w:rPr>
        <w:t xml:space="preserve"> and Parish</w:t>
      </w:r>
      <w:r w:rsidRPr="00951D7E">
        <w:rPr>
          <w:rFonts w:ascii="Arial" w:hAnsi="Arial" w:cs="Arial"/>
          <w:b/>
          <w:bCs/>
          <w:color w:val="0073CF"/>
          <w:sz w:val="24"/>
          <w:szCs w:val="24"/>
        </w:rPr>
        <w:t xml:space="preserve"> Allocations</w:t>
      </w:r>
    </w:p>
    <w:p w14:paraId="600ADB28" w14:textId="77777777" w:rsidR="002F048F" w:rsidRPr="002F048F" w:rsidRDefault="002F048F" w:rsidP="00951D7E">
      <w:pPr>
        <w:pStyle w:val="ListParagraph"/>
        <w:spacing w:after="0"/>
        <w:ind w:left="360"/>
        <w:contextualSpacing w:val="0"/>
        <w:jc w:val="both"/>
        <w:rPr>
          <w:rFonts w:ascii="Arial" w:hAnsi="Arial" w:cs="Arial"/>
          <w:sz w:val="24"/>
          <w:szCs w:val="24"/>
        </w:rPr>
      </w:pPr>
    </w:p>
    <w:p w14:paraId="71DA3573" w14:textId="6CA515CE" w:rsidR="00BD63BC" w:rsidRPr="00951D7E" w:rsidRDefault="00BD63BC" w:rsidP="00951D7E">
      <w:pPr>
        <w:spacing w:after="0"/>
        <w:ind w:left="709"/>
        <w:jc w:val="both"/>
        <w:rPr>
          <w:rFonts w:ascii="Arial" w:hAnsi="Arial" w:cs="Arial"/>
          <w:b/>
          <w:bCs/>
          <w:i/>
          <w:iCs/>
          <w:sz w:val="24"/>
          <w:szCs w:val="24"/>
        </w:rPr>
      </w:pPr>
      <w:r w:rsidRPr="00951D7E">
        <w:rPr>
          <w:rFonts w:ascii="Arial" w:hAnsi="Arial" w:cs="Arial"/>
          <w:b/>
          <w:bCs/>
          <w:i/>
          <w:iCs/>
          <w:sz w:val="24"/>
          <w:szCs w:val="24"/>
        </w:rPr>
        <w:t xml:space="preserve">Overview of </w:t>
      </w:r>
      <w:r w:rsidR="00B31B4A" w:rsidRPr="00951D7E">
        <w:rPr>
          <w:rFonts w:ascii="Arial" w:hAnsi="Arial" w:cs="Arial"/>
          <w:b/>
          <w:bCs/>
          <w:i/>
          <w:iCs/>
          <w:sz w:val="24"/>
          <w:szCs w:val="24"/>
        </w:rPr>
        <w:t xml:space="preserve">strategic and parish </w:t>
      </w:r>
      <w:r w:rsidRPr="00951D7E">
        <w:rPr>
          <w:rFonts w:ascii="Arial" w:hAnsi="Arial" w:cs="Arial"/>
          <w:b/>
          <w:bCs/>
          <w:i/>
          <w:iCs/>
          <w:sz w:val="24"/>
          <w:szCs w:val="24"/>
        </w:rPr>
        <w:t xml:space="preserve">sites included in nutrient </w:t>
      </w:r>
      <w:proofErr w:type="gramStart"/>
      <w:r w:rsidRPr="00951D7E">
        <w:rPr>
          <w:rFonts w:ascii="Arial" w:hAnsi="Arial" w:cs="Arial"/>
          <w:b/>
          <w:bCs/>
          <w:i/>
          <w:iCs/>
          <w:sz w:val="24"/>
          <w:szCs w:val="24"/>
        </w:rPr>
        <w:t>budget</w:t>
      </w:r>
      <w:proofErr w:type="gramEnd"/>
    </w:p>
    <w:p w14:paraId="766AE8B5" w14:textId="77777777" w:rsidR="00BD63BC" w:rsidRDefault="00BD63BC" w:rsidP="00951D7E">
      <w:pPr>
        <w:pStyle w:val="ListParagraph"/>
        <w:spacing w:after="0"/>
        <w:contextualSpacing w:val="0"/>
        <w:jc w:val="both"/>
        <w:rPr>
          <w:rFonts w:ascii="Arial" w:hAnsi="Arial" w:cs="Arial"/>
          <w:sz w:val="24"/>
          <w:szCs w:val="24"/>
        </w:rPr>
      </w:pPr>
    </w:p>
    <w:p w14:paraId="7E72A680" w14:textId="7E0A1958" w:rsidR="00642F5C" w:rsidRDefault="00163FEB" w:rsidP="00951D7E">
      <w:pPr>
        <w:pStyle w:val="ListParagraph"/>
        <w:numPr>
          <w:ilvl w:val="1"/>
          <w:numId w:val="1"/>
        </w:numPr>
        <w:spacing w:after="0"/>
        <w:ind w:left="720" w:hanging="720"/>
        <w:jc w:val="both"/>
        <w:rPr>
          <w:rFonts w:ascii="Arial" w:hAnsi="Arial" w:cs="Arial"/>
          <w:sz w:val="24"/>
          <w:szCs w:val="24"/>
        </w:rPr>
      </w:pPr>
      <w:r w:rsidRPr="002F048F">
        <w:rPr>
          <w:rFonts w:ascii="Arial" w:hAnsi="Arial" w:cs="Arial"/>
          <w:sz w:val="24"/>
          <w:szCs w:val="24"/>
        </w:rPr>
        <w:t xml:space="preserve">The </w:t>
      </w:r>
      <w:r w:rsidR="0050513C" w:rsidRPr="002F048F">
        <w:rPr>
          <w:rFonts w:ascii="Arial" w:hAnsi="Arial" w:cs="Arial"/>
          <w:sz w:val="24"/>
          <w:szCs w:val="24"/>
        </w:rPr>
        <w:t xml:space="preserve">joint Environment Agency and Southern Water Services </w:t>
      </w:r>
      <w:proofErr w:type="spellStart"/>
      <w:r w:rsidRPr="002F048F">
        <w:rPr>
          <w:rFonts w:ascii="Arial" w:hAnsi="Arial" w:cs="Arial"/>
          <w:sz w:val="24"/>
          <w:szCs w:val="24"/>
        </w:rPr>
        <w:t>Apuld</w:t>
      </w:r>
      <w:r w:rsidR="0050513C" w:rsidRPr="002F048F">
        <w:rPr>
          <w:rFonts w:ascii="Arial" w:hAnsi="Arial" w:cs="Arial"/>
          <w:sz w:val="24"/>
          <w:szCs w:val="24"/>
        </w:rPr>
        <w:t>ram</w:t>
      </w:r>
      <w:proofErr w:type="spellEnd"/>
      <w:r w:rsidR="0050513C" w:rsidRPr="002F048F">
        <w:rPr>
          <w:rFonts w:ascii="Arial" w:hAnsi="Arial" w:cs="Arial"/>
          <w:sz w:val="24"/>
          <w:szCs w:val="24"/>
        </w:rPr>
        <w:t xml:space="preserve"> Position Statement</w:t>
      </w:r>
      <w:r w:rsidR="002F0D9F" w:rsidRPr="002F048F">
        <w:rPr>
          <w:rFonts w:ascii="Arial" w:hAnsi="Arial" w:cs="Arial"/>
          <w:sz w:val="24"/>
          <w:szCs w:val="24"/>
        </w:rPr>
        <w:t xml:space="preserve"> </w:t>
      </w:r>
      <w:r w:rsidR="00D64ECF">
        <w:rPr>
          <w:rFonts w:ascii="Arial" w:hAnsi="Arial" w:cs="Arial"/>
          <w:sz w:val="24"/>
          <w:szCs w:val="24"/>
        </w:rPr>
        <w:t xml:space="preserve">(CC15) </w:t>
      </w:r>
      <w:r w:rsidR="0050513C" w:rsidRPr="002F048F">
        <w:rPr>
          <w:rFonts w:ascii="Arial" w:hAnsi="Arial" w:cs="Arial"/>
          <w:sz w:val="24"/>
          <w:szCs w:val="24"/>
        </w:rPr>
        <w:t xml:space="preserve">provides that new development outside of </w:t>
      </w:r>
      <w:r w:rsidR="000353AF" w:rsidRPr="002F048F">
        <w:rPr>
          <w:rFonts w:ascii="Arial" w:hAnsi="Arial" w:cs="Arial"/>
          <w:sz w:val="24"/>
          <w:szCs w:val="24"/>
        </w:rPr>
        <w:t xml:space="preserve">the </w:t>
      </w:r>
      <w:r w:rsidR="0050513C" w:rsidRPr="002F048F">
        <w:rPr>
          <w:rFonts w:ascii="Arial" w:hAnsi="Arial" w:cs="Arial"/>
          <w:sz w:val="24"/>
          <w:szCs w:val="24"/>
        </w:rPr>
        <w:t>settlement boundar</w:t>
      </w:r>
      <w:r w:rsidR="000353AF" w:rsidRPr="002F048F">
        <w:rPr>
          <w:rFonts w:ascii="Arial" w:hAnsi="Arial" w:cs="Arial"/>
          <w:sz w:val="24"/>
          <w:szCs w:val="24"/>
        </w:rPr>
        <w:t xml:space="preserve">ies of Chichester, Fishbourne and Stockbridge </w:t>
      </w:r>
      <w:r w:rsidR="0050513C" w:rsidRPr="002F048F">
        <w:rPr>
          <w:rFonts w:ascii="Arial" w:hAnsi="Arial" w:cs="Arial"/>
          <w:sz w:val="24"/>
          <w:szCs w:val="24"/>
        </w:rPr>
        <w:t xml:space="preserve">will not drain to the </w:t>
      </w:r>
      <w:proofErr w:type="spellStart"/>
      <w:r w:rsidR="0050513C" w:rsidRPr="002F048F">
        <w:rPr>
          <w:rFonts w:ascii="Arial" w:hAnsi="Arial" w:cs="Arial"/>
          <w:sz w:val="24"/>
          <w:szCs w:val="24"/>
        </w:rPr>
        <w:t>Apuldram</w:t>
      </w:r>
      <w:proofErr w:type="spellEnd"/>
      <w:r w:rsidR="0050513C" w:rsidRPr="002F048F">
        <w:rPr>
          <w:rFonts w:ascii="Arial" w:hAnsi="Arial" w:cs="Arial"/>
          <w:sz w:val="24"/>
          <w:szCs w:val="24"/>
        </w:rPr>
        <w:t xml:space="preserve"> Wastewater Treatment Works</w:t>
      </w:r>
      <w:r w:rsidR="009D6DEB" w:rsidRPr="002F048F">
        <w:rPr>
          <w:rFonts w:ascii="Arial" w:hAnsi="Arial" w:cs="Arial"/>
          <w:sz w:val="24"/>
          <w:szCs w:val="24"/>
        </w:rPr>
        <w:t>.</w:t>
      </w:r>
      <w:r w:rsidR="00E10CB5" w:rsidRPr="002F048F">
        <w:rPr>
          <w:rFonts w:ascii="Arial" w:hAnsi="Arial" w:cs="Arial"/>
          <w:sz w:val="24"/>
          <w:szCs w:val="24"/>
        </w:rPr>
        <w:t xml:space="preserve"> The provisions of the Position Statement are repeated within Policy NE16 Water Management and Water Quality of the new Local Plan.</w:t>
      </w:r>
      <w:r w:rsidR="009D6DEB" w:rsidRPr="002F048F">
        <w:rPr>
          <w:rFonts w:ascii="Arial" w:hAnsi="Arial" w:cs="Arial"/>
          <w:sz w:val="24"/>
          <w:szCs w:val="24"/>
        </w:rPr>
        <w:t xml:space="preserve"> </w:t>
      </w:r>
    </w:p>
    <w:p w14:paraId="02C4ACAD" w14:textId="77777777" w:rsidR="00642F5C" w:rsidRDefault="00642F5C" w:rsidP="00951D7E">
      <w:pPr>
        <w:pStyle w:val="ListParagraph"/>
        <w:spacing w:after="0"/>
        <w:ind w:left="1080"/>
        <w:contextualSpacing w:val="0"/>
        <w:jc w:val="both"/>
        <w:rPr>
          <w:rFonts w:ascii="Arial" w:hAnsi="Arial" w:cs="Arial"/>
          <w:sz w:val="24"/>
          <w:szCs w:val="24"/>
        </w:rPr>
      </w:pPr>
    </w:p>
    <w:p w14:paraId="1AE69220" w14:textId="4BD999BC" w:rsidR="00157E9E" w:rsidRDefault="0050513C" w:rsidP="00951D7E">
      <w:pPr>
        <w:pStyle w:val="ListParagraph"/>
        <w:numPr>
          <w:ilvl w:val="1"/>
          <w:numId w:val="1"/>
        </w:numPr>
        <w:spacing w:after="0"/>
        <w:ind w:left="720" w:hanging="720"/>
        <w:jc w:val="both"/>
        <w:rPr>
          <w:rFonts w:ascii="Arial" w:hAnsi="Arial" w:cs="Arial"/>
          <w:sz w:val="24"/>
          <w:szCs w:val="24"/>
        </w:rPr>
      </w:pPr>
      <w:r w:rsidRPr="002F048F">
        <w:rPr>
          <w:rFonts w:ascii="Arial" w:hAnsi="Arial" w:cs="Arial"/>
          <w:sz w:val="24"/>
          <w:szCs w:val="24"/>
        </w:rPr>
        <w:t xml:space="preserve">It is expected that larger scale development will be directed to alternative </w:t>
      </w:r>
      <w:r w:rsidR="00BB580D" w:rsidRPr="002F048F">
        <w:rPr>
          <w:rFonts w:ascii="Arial" w:hAnsi="Arial" w:cs="Arial"/>
          <w:sz w:val="24"/>
          <w:szCs w:val="24"/>
        </w:rPr>
        <w:t>w</w:t>
      </w:r>
      <w:r w:rsidRPr="002F048F">
        <w:rPr>
          <w:rFonts w:ascii="Arial" w:hAnsi="Arial" w:cs="Arial"/>
          <w:sz w:val="24"/>
          <w:szCs w:val="24"/>
        </w:rPr>
        <w:t xml:space="preserve">astewater </w:t>
      </w:r>
      <w:r w:rsidR="00BB580D" w:rsidRPr="002F048F">
        <w:rPr>
          <w:rFonts w:ascii="Arial" w:hAnsi="Arial" w:cs="Arial"/>
          <w:sz w:val="24"/>
          <w:szCs w:val="24"/>
        </w:rPr>
        <w:t>t</w:t>
      </w:r>
      <w:r w:rsidRPr="002F048F">
        <w:rPr>
          <w:rFonts w:ascii="Arial" w:hAnsi="Arial" w:cs="Arial"/>
          <w:sz w:val="24"/>
          <w:szCs w:val="24"/>
        </w:rPr>
        <w:t xml:space="preserve">reatment </w:t>
      </w:r>
      <w:r w:rsidR="00BB580D" w:rsidRPr="002F048F">
        <w:rPr>
          <w:rFonts w:ascii="Arial" w:hAnsi="Arial" w:cs="Arial"/>
          <w:sz w:val="24"/>
          <w:szCs w:val="24"/>
        </w:rPr>
        <w:t>w</w:t>
      </w:r>
      <w:r w:rsidRPr="002F048F">
        <w:rPr>
          <w:rFonts w:ascii="Arial" w:hAnsi="Arial" w:cs="Arial"/>
          <w:sz w:val="24"/>
          <w:szCs w:val="24"/>
        </w:rPr>
        <w:t xml:space="preserve">orks, notably Tangmere Wastewater Treatment Works via the new sewer pipeline connection. </w:t>
      </w:r>
      <w:r w:rsidR="00E10CB5" w:rsidRPr="002F048F">
        <w:rPr>
          <w:rFonts w:ascii="Arial" w:hAnsi="Arial" w:cs="Arial"/>
          <w:sz w:val="24"/>
          <w:szCs w:val="24"/>
        </w:rPr>
        <w:t xml:space="preserve">As such, </w:t>
      </w:r>
      <w:r w:rsidR="008022F9">
        <w:rPr>
          <w:rFonts w:ascii="Arial" w:hAnsi="Arial" w:cs="Arial"/>
          <w:sz w:val="24"/>
          <w:szCs w:val="24"/>
        </w:rPr>
        <w:t xml:space="preserve">the </w:t>
      </w:r>
      <w:r w:rsidRPr="002F048F">
        <w:rPr>
          <w:rFonts w:ascii="Arial" w:hAnsi="Arial" w:cs="Arial"/>
          <w:sz w:val="24"/>
          <w:szCs w:val="24"/>
        </w:rPr>
        <w:t>West of Chichester</w:t>
      </w:r>
      <w:r w:rsidR="00E10CB5" w:rsidRPr="002F048F">
        <w:rPr>
          <w:rFonts w:ascii="Arial" w:hAnsi="Arial" w:cs="Arial"/>
          <w:sz w:val="24"/>
          <w:szCs w:val="24"/>
        </w:rPr>
        <w:t xml:space="preserve"> </w:t>
      </w:r>
      <w:r w:rsidR="008022F9">
        <w:rPr>
          <w:rFonts w:ascii="Arial" w:hAnsi="Arial" w:cs="Arial"/>
          <w:sz w:val="24"/>
          <w:szCs w:val="24"/>
        </w:rPr>
        <w:t xml:space="preserve">strategic allocation </w:t>
      </w:r>
      <w:r w:rsidR="00E10CB5" w:rsidRPr="002F048F">
        <w:rPr>
          <w:rFonts w:ascii="Arial" w:hAnsi="Arial" w:cs="Arial"/>
          <w:sz w:val="24"/>
          <w:szCs w:val="24"/>
        </w:rPr>
        <w:t xml:space="preserve">(Policy A6) </w:t>
      </w:r>
      <w:r w:rsidR="002F048F">
        <w:rPr>
          <w:rFonts w:ascii="Arial" w:hAnsi="Arial" w:cs="Arial"/>
          <w:sz w:val="24"/>
          <w:szCs w:val="24"/>
        </w:rPr>
        <w:t xml:space="preserve">which </w:t>
      </w:r>
      <w:r w:rsidR="008022F9">
        <w:rPr>
          <w:rFonts w:ascii="Arial" w:hAnsi="Arial" w:cs="Arial"/>
          <w:sz w:val="24"/>
          <w:szCs w:val="24"/>
        </w:rPr>
        <w:t>will flow to Tangmere Wastewater Treatment Works</w:t>
      </w:r>
      <w:r w:rsidR="006745A0">
        <w:rPr>
          <w:rFonts w:ascii="Arial" w:hAnsi="Arial" w:cs="Arial"/>
          <w:sz w:val="24"/>
          <w:szCs w:val="24"/>
        </w:rPr>
        <w:t>,</w:t>
      </w:r>
      <w:r w:rsidR="008022F9">
        <w:rPr>
          <w:rFonts w:ascii="Arial" w:hAnsi="Arial" w:cs="Arial"/>
          <w:sz w:val="24"/>
          <w:szCs w:val="24"/>
        </w:rPr>
        <w:t xml:space="preserve"> </w:t>
      </w:r>
      <w:r w:rsidR="00E10CB5" w:rsidRPr="002F048F">
        <w:rPr>
          <w:rFonts w:ascii="Arial" w:hAnsi="Arial" w:cs="Arial"/>
          <w:sz w:val="24"/>
          <w:szCs w:val="24"/>
        </w:rPr>
        <w:t xml:space="preserve">only has a nutrient budget prepared in respect of </w:t>
      </w:r>
      <w:r w:rsidR="008022F9">
        <w:rPr>
          <w:rFonts w:ascii="Arial" w:hAnsi="Arial" w:cs="Arial"/>
          <w:sz w:val="24"/>
          <w:szCs w:val="24"/>
        </w:rPr>
        <w:t xml:space="preserve">the nitrogen load generation from </w:t>
      </w:r>
      <w:r w:rsidR="00E10CB5" w:rsidRPr="002F048F">
        <w:rPr>
          <w:rFonts w:ascii="Arial" w:hAnsi="Arial" w:cs="Arial"/>
          <w:sz w:val="24"/>
          <w:szCs w:val="24"/>
        </w:rPr>
        <w:t xml:space="preserve">its surface water which as identified by the </w:t>
      </w:r>
      <w:hyperlink r:id="rId11" w:history="1">
        <w:r w:rsidRPr="002F048F">
          <w:rPr>
            <w:rStyle w:val="Hyperlink"/>
            <w:rFonts w:ascii="Arial" w:hAnsi="Arial" w:cs="Arial"/>
            <w:sz w:val="24"/>
            <w:szCs w:val="24"/>
          </w:rPr>
          <w:t>Environment Agency Catchment Explorer</w:t>
        </w:r>
      </w:hyperlink>
      <w:r w:rsidR="002F048F">
        <w:rPr>
          <w:rStyle w:val="Hyperlink"/>
          <w:rFonts w:ascii="Arial" w:hAnsi="Arial" w:cs="Arial"/>
          <w:sz w:val="24"/>
          <w:szCs w:val="24"/>
        </w:rPr>
        <w:t>,</w:t>
      </w:r>
      <w:r w:rsidRPr="002F048F">
        <w:rPr>
          <w:rFonts w:ascii="Arial" w:hAnsi="Arial" w:cs="Arial"/>
          <w:sz w:val="24"/>
          <w:szCs w:val="24"/>
        </w:rPr>
        <w:t xml:space="preserve"> </w:t>
      </w:r>
      <w:r w:rsidR="00E10CB5" w:rsidRPr="002F048F">
        <w:rPr>
          <w:rFonts w:ascii="Arial" w:hAnsi="Arial" w:cs="Arial"/>
          <w:sz w:val="24"/>
          <w:szCs w:val="24"/>
        </w:rPr>
        <w:t xml:space="preserve">will </w:t>
      </w:r>
      <w:r w:rsidRPr="002F048F">
        <w:rPr>
          <w:rFonts w:ascii="Arial" w:hAnsi="Arial" w:cs="Arial"/>
          <w:sz w:val="24"/>
          <w:szCs w:val="24"/>
        </w:rPr>
        <w:t>still flow into Chichester Harbour.</w:t>
      </w:r>
      <w:r w:rsidR="007F709D">
        <w:rPr>
          <w:rFonts w:ascii="Arial" w:hAnsi="Arial" w:cs="Arial"/>
          <w:sz w:val="24"/>
          <w:szCs w:val="24"/>
        </w:rPr>
        <w:t xml:space="preserve"> In contrast, the Southern Gateway police field site (Policy A5) will only discharge its wastewater to Chichester Harbour as its surface water will drain to </w:t>
      </w:r>
      <w:proofErr w:type="spellStart"/>
      <w:r w:rsidR="007F709D">
        <w:rPr>
          <w:rFonts w:ascii="Arial" w:hAnsi="Arial" w:cs="Arial"/>
          <w:sz w:val="24"/>
          <w:szCs w:val="24"/>
        </w:rPr>
        <w:t>Pagham</w:t>
      </w:r>
      <w:proofErr w:type="spellEnd"/>
      <w:r w:rsidR="007F709D">
        <w:rPr>
          <w:rFonts w:ascii="Arial" w:hAnsi="Arial" w:cs="Arial"/>
          <w:sz w:val="24"/>
          <w:szCs w:val="24"/>
        </w:rPr>
        <w:t xml:space="preserve"> Harbour and its budget is therefore limited to the wastewater element of the planned development.</w:t>
      </w:r>
      <w:r w:rsidRPr="002F048F">
        <w:rPr>
          <w:rFonts w:ascii="Arial" w:hAnsi="Arial" w:cs="Arial"/>
          <w:sz w:val="24"/>
          <w:szCs w:val="24"/>
        </w:rPr>
        <w:t xml:space="preserve">  </w:t>
      </w:r>
    </w:p>
    <w:p w14:paraId="510E0CE5" w14:textId="77777777" w:rsidR="00EB617D" w:rsidRDefault="00EB617D" w:rsidP="00951D7E">
      <w:pPr>
        <w:pStyle w:val="ListParagraph"/>
        <w:spacing w:after="0"/>
        <w:contextualSpacing w:val="0"/>
        <w:jc w:val="both"/>
        <w:rPr>
          <w:rFonts w:ascii="Arial" w:hAnsi="Arial" w:cs="Arial"/>
          <w:sz w:val="24"/>
          <w:szCs w:val="24"/>
        </w:rPr>
      </w:pPr>
    </w:p>
    <w:p w14:paraId="23D42FF3" w14:textId="0FFE7138" w:rsidR="00FE735A" w:rsidRPr="00BD63BC" w:rsidRDefault="00EB617D" w:rsidP="00951D7E">
      <w:pPr>
        <w:pStyle w:val="ListParagraph"/>
        <w:numPr>
          <w:ilvl w:val="1"/>
          <w:numId w:val="1"/>
        </w:numPr>
        <w:spacing w:after="0"/>
        <w:ind w:left="720" w:hanging="720"/>
        <w:jc w:val="both"/>
        <w:rPr>
          <w:rFonts w:ascii="Arial" w:hAnsi="Arial" w:cs="Arial"/>
          <w:sz w:val="24"/>
          <w:szCs w:val="24"/>
        </w:rPr>
      </w:pPr>
      <w:r w:rsidRPr="00BD63BC">
        <w:rPr>
          <w:rFonts w:ascii="Arial" w:hAnsi="Arial" w:cs="Arial"/>
          <w:sz w:val="24"/>
          <w:szCs w:val="24"/>
        </w:rPr>
        <w:t>As explained at 5</w:t>
      </w:r>
      <w:r w:rsidR="00202647">
        <w:rPr>
          <w:rFonts w:ascii="Arial" w:hAnsi="Arial" w:cs="Arial"/>
          <w:sz w:val="24"/>
          <w:szCs w:val="24"/>
        </w:rPr>
        <w:t>.4 above</w:t>
      </w:r>
      <w:r w:rsidRPr="00BD63BC">
        <w:rPr>
          <w:rFonts w:ascii="Arial" w:hAnsi="Arial" w:cs="Arial"/>
          <w:sz w:val="24"/>
          <w:szCs w:val="24"/>
        </w:rPr>
        <w:t xml:space="preserve">, the number of dwellings that require nutrient mitigation in respect of the </w:t>
      </w:r>
      <w:r w:rsidR="009D4F92">
        <w:rPr>
          <w:rFonts w:ascii="Arial" w:hAnsi="Arial" w:cs="Arial"/>
          <w:sz w:val="24"/>
          <w:szCs w:val="24"/>
        </w:rPr>
        <w:t>strategic locations</w:t>
      </w:r>
      <w:r w:rsidR="00B26F4D">
        <w:rPr>
          <w:rFonts w:ascii="Arial" w:hAnsi="Arial" w:cs="Arial"/>
          <w:sz w:val="24"/>
          <w:szCs w:val="24"/>
        </w:rPr>
        <w:t>/allocations and non-strategic parish housing requirements</w:t>
      </w:r>
      <w:r w:rsidRPr="00BD63BC">
        <w:rPr>
          <w:rFonts w:ascii="Arial" w:hAnsi="Arial" w:cs="Arial"/>
          <w:sz w:val="24"/>
          <w:szCs w:val="24"/>
        </w:rPr>
        <w:t xml:space="preserve"> ha</w:t>
      </w:r>
      <w:r w:rsidR="0004671B">
        <w:rPr>
          <w:rFonts w:ascii="Arial" w:hAnsi="Arial" w:cs="Arial"/>
          <w:sz w:val="24"/>
          <w:szCs w:val="24"/>
        </w:rPr>
        <w:t>s</w:t>
      </w:r>
      <w:r w:rsidRPr="00BD63BC">
        <w:rPr>
          <w:rFonts w:ascii="Arial" w:hAnsi="Arial" w:cs="Arial"/>
          <w:sz w:val="24"/>
          <w:szCs w:val="24"/>
        </w:rPr>
        <w:t xml:space="preserve"> been reduced due to </w:t>
      </w:r>
      <w:r w:rsidR="0004671B">
        <w:rPr>
          <w:rFonts w:ascii="Arial" w:hAnsi="Arial" w:cs="Arial"/>
          <w:sz w:val="24"/>
          <w:szCs w:val="24"/>
        </w:rPr>
        <w:t xml:space="preserve">housing developments </w:t>
      </w:r>
      <w:r w:rsidRPr="00BD63BC">
        <w:rPr>
          <w:rFonts w:ascii="Arial" w:hAnsi="Arial" w:cs="Arial"/>
          <w:sz w:val="24"/>
          <w:szCs w:val="24"/>
        </w:rPr>
        <w:t xml:space="preserve">that have </w:t>
      </w:r>
      <w:r w:rsidR="0004671B">
        <w:rPr>
          <w:rFonts w:ascii="Arial" w:hAnsi="Arial" w:cs="Arial"/>
          <w:sz w:val="24"/>
          <w:szCs w:val="24"/>
        </w:rPr>
        <w:t xml:space="preserve">since been </w:t>
      </w:r>
      <w:r w:rsidRPr="00BD63BC">
        <w:rPr>
          <w:rFonts w:ascii="Arial" w:hAnsi="Arial" w:cs="Arial"/>
          <w:sz w:val="24"/>
          <w:szCs w:val="24"/>
        </w:rPr>
        <w:t>permitted</w:t>
      </w:r>
      <w:r w:rsidR="0004671B">
        <w:rPr>
          <w:rFonts w:ascii="Arial" w:hAnsi="Arial" w:cs="Arial"/>
          <w:sz w:val="24"/>
          <w:szCs w:val="24"/>
        </w:rPr>
        <w:t>/completed</w:t>
      </w:r>
      <w:r w:rsidRPr="00BD63BC">
        <w:rPr>
          <w:rFonts w:ascii="Arial" w:hAnsi="Arial" w:cs="Arial"/>
          <w:sz w:val="24"/>
          <w:szCs w:val="24"/>
        </w:rPr>
        <w:t xml:space="preserve"> and nutrient mitigation has been secured via section 106 agreements.  However, </w:t>
      </w:r>
      <w:r w:rsidR="0004671B">
        <w:rPr>
          <w:rFonts w:ascii="Arial" w:hAnsi="Arial" w:cs="Arial"/>
          <w:sz w:val="24"/>
          <w:szCs w:val="24"/>
        </w:rPr>
        <w:t>in the case of the Bosham Highgrove Farm allocation (Policy A11)</w:t>
      </w:r>
      <w:r w:rsidR="00202647">
        <w:rPr>
          <w:rFonts w:ascii="Arial" w:hAnsi="Arial" w:cs="Arial"/>
          <w:sz w:val="24"/>
          <w:szCs w:val="24"/>
        </w:rPr>
        <w:t>,</w:t>
      </w:r>
      <w:r w:rsidR="0004671B">
        <w:rPr>
          <w:rFonts w:ascii="Arial" w:hAnsi="Arial" w:cs="Arial"/>
          <w:sz w:val="24"/>
          <w:szCs w:val="24"/>
        </w:rPr>
        <w:t xml:space="preserve"> </w:t>
      </w:r>
      <w:r w:rsidRPr="00BD63BC">
        <w:rPr>
          <w:rFonts w:ascii="Arial" w:hAnsi="Arial" w:cs="Arial"/>
          <w:sz w:val="24"/>
          <w:szCs w:val="24"/>
        </w:rPr>
        <w:t xml:space="preserve">despite an appeal allowed in respect of 300 dwellings, the nutrient </w:t>
      </w:r>
      <w:r w:rsidR="002A3171" w:rsidRPr="00BD63BC">
        <w:rPr>
          <w:rFonts w:ascii="Arial" w:hAnsi="Arial" w:cs="Arial"/>
          <w:sz w:val="24"/>
          <w:szCs w:val="24"/>
        </w:rPr>
        <w:t>mitigation requirement is</w:t>
      </w:r>
      <w:r w:rsidR="00642F5C">
        <w:rPr>
          <w:rFonts w:ascii="Arial" w:hAnsi="Arial" w:cs="Arial"/>
          <w:sz w:val="24"/>
          <w:szCs w:val="24"/>
        </w:rPr>
        <w:t xml:space="preserve"> still</w:t>
      </w:r>
      <w:r w:rsidR="002A3171" w:rsidRPr="00BD63BC">
        <w:rPr>
          <w:rFonts w:ascii="Arial" w:hAnsi="Arial" w:cs="Arial"/>
          <w:sz w:val="24"/>
          <w:szCs w:val="24"/>
        </w:rPr>
        <w:t xml:space="preserve"> included in the </w:t>
      </w:r>
      <w:r w:rsidR="00642F5C">
        <w:rPr>
          <w:rFonts w:ascii="Arial" w:hAnsi="Arial" w:cs="Arial"/>
          <w:sz w:val="24"/>
          <w:szCs w:val="24"/>
        </w:rPr>
        <w:t>L</w:t>
      </w:r>
      <w:r w:rsidR="002A3171" w:rsidRPr="00BD63BC">
        <w:rPr>
          <w:rFonts w:ascii="Arial" w:hAnsi="Arial" w:cs="Arial"/>
          <w:sz w:val="24"/>
          <w:szCs w:val="24"/>
        </w:rPr>
        <w:t xml:space="preserve">ocal </w:t>
      </w:r>
      <w:r w:rsidR="00642F5C">
        <w:rPr>
          <w:rFonts w:ascii="Arial" w:hAnsi="Arial" w:cs="Arial"/>
          <w:sz w:val="24"/>
          <w:szCs w:val="24"/>
        </w:rPr>
        <w:t>P</w:t>
      </w:r>
      <w:r w:rsidR="002A3171" w:rsidRPr="00BD63BC">
        <w:rPr>
          <w:rFonts w:ascii="Arial" w:hAnsi="Arial" w:cs="Arial"/>
          <w:sz w:val="24"/>
          <w:szCs w:val="24"/>
        </w:rPr>
        <w:t xml:space="preserve">lan budget as nutrient neutrality is </w:t>
      </w:r>
      <w:r w:rsidR="00642F5C">
        <w:rPr>
          <w:rFonts w:ascii="Arial" w:hAnsi="Arial" w:cs="Arial"/>
          <w:sz w:val="24"/>
          <w:szCs w:val="24"/>
        </w:rPr>
        <w:t>confined to</w:t>
      </w:r>
      <w:r w:rsidR="002A3171" w:rsidRPr="00BD63BC">
        <w:rPr>
          <w:rFonts w:ascii="Arial" w:hAnsi="Arial" w:cs="Arial"/>
          <w:sz w:val="24"/>
          <w:szCs w:val="24"/>
        </w:rPr>
        <w:t xml:space="preserve"> a Grampian condition</w:t>
      </w:r>
      <w:r w:rsidR="00BD63BC" w:rsidRPr="00BD63BC">
        <w:rPr>
          <w:rFonts w:ascii="Arial" w:hAnsi="Arial" w:cs="Arial"/>
          <w:sz w:val="24"/>
          <w:szCs w:val="24"/>
        </w:rPr>
        <w:t xml:space="preserve"> on the </w:t>
      </w:r>
      <w:r w:rsidR="00B26F4D">
        <w:rPr>
          <w:rFonts w:ascii="Arial" w:hAnsi="Arial" w:cs="Arial"/>
          <w:sz w:val="24"/>
          <w:szCs w:val="24"/>
        </w:rPr>
        <w:t>a</w:t>
      </w:r>
      <w:r w:rsidR="00BD63BC" w:rsidRPr="00BD63BC">
        <w:rPr>
          <w:rFonts w:ascii="Arial" w:hAnsi="Arial" w:cs="Arial"/>
          <w:sz w:val="24"/>
          <w:szCs w:val="24"/>
        </w:rPr>
        <w:t>ppeal decision</w:t>
      </w:r>
      <w:r w:rsidR="002A3171" w:rsidRPr="00BD63BC">
        <w:rPr>
          <w:rFonts w:ascii="Arial" w:hAnsi="Arial" w:cs="Arial"/>
          <w:sz w:val="24"/>
          <w:szCs w:val="24"/>
        </w:rPr>
        <w:t>.</w:t>
      </w:r>
    </w:p>
    <w:p w14:paraId="17577DB4" w14:textId="77777777" w:rsidR="00EB617D" w:rsidRPr="00FE735A" w:rsidRDefault="00EB617D" w:rsidP="00951D7E">
      <w:pPr>
        <w:pStyle w:val="ListParagraph"/>
        <w:spacing w:after="0"/>
        <w:contextualSpacing w:val="0"/>
        <w:jc w:val="both"/>
        <w:rPr>
          <w:rFonts w:ascii="Arial" w:hAnsi="Arial" w:cs="Arial"/>
          <w:sz w:val="24"/>
          <w:szCs w:val="24"/>
        </w:rPr>
      </w:pPr>
    </w:p>
    <w:p w14:paraId="24CD957E" w14:textId="1442794C" w:rsidR="00BD63BC" w:rsidRPr="00BD63BC" w:rsidRDefault="00BD63BC" w:rsidP="0021152A">
      <w:pPr>
        <w:pStyle w:val="ListParagraph"/>
        <w:spacing w:after="0"/>
        <w:ind w:left="708"/>
        <w:contextualSpacing w:val="0"/>
        <w:jc w:val="both"/>
        <w:rPr>
          <w:rFonts w:ascii="Arial" w:hAnsi="Arial" w:cs="Arial"/>
          <w:b/>
          <w:bCs/>
          <w:i/>
          <w:iCs/>
          <w:sz w:val="24"/>
          <w:szCs w:val="24"/>
        </w:rPr>
      </w:pPr>
      <w:r>
        <w:rPr>
          <w:rFonts w:ascii="Arial" w:hAnsi="Arial" w:cs="Arial"/>
          <w:b/>
          <w:bCs/>
          <w:i/>
          <w:iCs/>
          <w:sz w:val="24"/>
          <w:szCs w:val="24"/>
        </w:rPr>
        <w:t xml:space="preserve">Determination of Land Use </w:t>
      </w:r>
      <w:r w:rsidR="00D015DF">
        <w:rPr>
          <w:rFonts w:ascii="Arial" w:hAnsi="Arial" w:cs="Arial"/>
          <w:b/>
          <w:bCs/>
          <w:i/>
          <w:iCs/>
          <w:sz w:val="24"/>
          <w:szCs w:val="24"/>
        </w:rPr>
        <w:t>Type and Area</w:t>
      </w:r>
      <w:r>
        <w:rPr>
          <w:rFonts w:ascii="Arial" w:hAnsi="Arial" w:cs="Arial"/>
          <w:b/>
          <w:bCs/>
          <w:i/>
          <w:iCs/>
          <w:sz w:val="24"/>
          <w:szCs w:val="24"/>
        </w:rPr>
        <w:t xml:space="preserve"> </w:t>
      </w:r>
    </w:p>
    <w:p w14:paraId="7F51AD50" w14:textId="77777777" w:rsidR="00BD63BC" w:rsidRDefault="00BD63BC" w:rsidP="00951D7E">
      <w:pPr>
        <w:pStyle w:val="ListParagraph"/>
        <w:spacing w:after="0"/>
        <w:ind w:left="708"/>
        <w:contextualSpacing w:val="0"/>
        <w:jc w:val="both"/>
        <w:rPr>
          <w:rFonts w:ascii="Arial" w:hAnsi="Arial" w:cs="Arial"/>
          <w:sz w:val="24"/>
          <w:szCs w:val="24"/>
        </w:rPr>
      </w:pPr>
    </w:p>
    <w:p w14:paraId="4A3BE494" w14:textId="2F4A286B" w:rsidR="0025322F" w:rsidRDefault="00D015DF" w:rsidP="00951D7E">
      <w:pPr>
        <w:pStyle w:val="ListParagraph"/>
        <w:numPr>
          <w:ilvl w:val="1"/>
          <w:numId w:val="1"/>
        </w:numPr>
        <w:spacing w:after="0"/>
        <w:ind w:left="720" w:hanging="720"/>
        <w:jc w:val="both"/>
        <w:rPr>
          <w:rFonts w:ascii="Arial" w:hAnsi="Arial" w:cs="Arial"/>
          <w:sz w:val="24"/>
          <w:szCs w:val="24"/>
        </w:rPr>
      </w:pPr>
      <w:r>
        <w:rPr>
          <w:rFonts w:ascii="Arial" w:hAnsi="Arial" w:cs="Arial"/>
          <w:sz w:val="24"/>
          <w:szCs w:val="24"/>
        </w:rPr>
        <w:t xml:space="preserve">In some cases, development site areas for housing allocations are already specified in policy such as Southern Gateway or are detailed in the planning permission granted for the housing allocation as in the case of the West of Chichester and Bosham allocations. </w:t>
      </w:r>
      <w:r w:rsidRPr="00D22A95">
        <w:rPr>
          <w:rFonts w:ascii="Arial" w:hAnsi="Arial" w:cs="Arial"/>
          <w:sz w:val="24"/>
          <w:szCs w:val="24"/>
        </w:rPr>
        <w:t xml:space="preserve">Where only the </w:t>
      </w:r>
      <w:r>
        <w:rPr>
          <w:rFonts w:ascii="Arial" w:hAnsi="Arial" w:cs="Arial"/>
          <w:sz w:val="24"/>
          <w:szCs w:val="24"/>
        </w:rPr>
        <w:t>general area for future</w:t>
      </w:r>
      <w:r w:rsidRPr="00D22A95">
        <w:rPr>
          <w:rFonts w:ascii="Arial" w:hAnsi="Arial" w:cs="Arial"/>
          <w:sz w:val="24"/>
          <w:szCs w:val="24"/>
        </w:rPr>
        <w:t xml:space="preserve"> development is known in respect of a strategic </w:t>
      </w:r>
      <w:r>
        <w:rPr>
          <w:rFonts w:ascii="Arial" w:hAnsi="Arial" w:cs="Arial"/>
          <w:sz w:val="24"/>
          <w:szCs w:val="24"/>
        </w:rPr>
        <w:t>or parish location</w:t>
      </w:r>
      <w:r w:rsidRPr="00D22A95">
        <w:rPr>
          <w:rFonts w:ascii="Arial" w:hAnsi="Arial" w:cs="Arial"/>
          <w:sz w:val="24"/>
          <w:szCs w:val="24"/>
        </w:rPr>
        <w:t xml:space="preserve"> such as </w:t>
      </w:r>
      <w:r>
        <w:rPr>
          <w:rFonts w:ascii="Arial" w:hAnsi="Arial" w:cs="Arial"/>
          <w:sz w:val="24"/>
          <w:szCs w:val="24"/>
        </w:rPr>
        <w:t xml:space="preserve">Chichester City; </w:t>
      </w:r>
      <w:r w:rsidRPr="00D22A95">
        <w:rPr>
          <w:rFonts w:ascii="Arial" w:hAnsi="Arial" w:cs="Arial"/>
          <w:sz w:val="24"/>
          <w:szCs w:val="24"/>
        </w:rPr>
        <w:t>Southbourne Broad Location for Development</w:t>
      </w:r>
      <w:r>
        <w:rPr>
          <w:rFonts w:ascii="Arial" w:hAnsi="Arial" w:cs="Arial"/>
          <w:sz w:val="24"/>
          <w:szCs w:val="24"/>
        </w:rPr>
        <w:t xml:space="preserve">; Fishbourne and Westbourne parishes, </w:t>
      </w:r>
      <w:r w:rsidRPr="00D22A95">
        <w:rPr>
          <w:rFonts w:ascii="Arial" w:hAnsi="Arial" w:cs="Arial"/>
          <w:sz w:val="24"/>
          <w:szCs w:val="24"/>
        </w:rPr>
        <w:t xml:space="preserve">the residential land required for the </w:t>
      </w:r>
      <w:r>
        <w:rPr>
          <w:rFonts w:ascii="Arial" w:hAnsi="Arial" w:cs="Arial"/>
          <w:sz w:val="24"/>
          <w:szCs w:val="24"/>
        </w:rPr>
        <w:t xml:space="preserve">number of </w:t>
      </w:r>
      <w:r w:rsidRPr="00D22A95">
        <w:rPr>
          <w:rFonts w:ascii="Arial" w:hAnsi="Arial" w:cs="Arial"/>
          <w:sz w:val="24"/>
          <w:szCs w:val="24"/>
        </w:rPr>
        <w:t xml:space="preserve">dwellings is based on </w:t>
      </w:r>
      <w:r>
        <w:rPr>
          <w:rFonts w:ascii="Arial" w:hAnsi="Arial" w:cs="Arial"/>
          <w:sz w:val="24"/>
          <w:szCs w:val="24"/>
        </w:rPr>
        <w:t xml:space="preserve">a density of </w:t>
      </w:r>
      <w:r w:rsidRPr="00D22A95">
        <w:rPr>
          <w:rFonts w:ascii="Arial" w:hAnsi="Arial" w:cs="Arial"/>
          <w:sz w:val="24"/>
          <w:szCs w:val="24"/>
        </w:rPr>
        <w:t>35 dwellings per hectare as referred to in the Policy P3 Density pre-text in the new Local Plan</w:t>
      </w:r>
      <w:r>
        <w:rPr>
          <w:rFonts w:ascii="Arial" w:hAnsi="Arial" w:cs="Arial"/>
          <w:sz w:val="24"/>
          <w:szCs w:val="24"/>
        </w:rPr>
        <w:t>. T</w:t>
      </w:r>
      <w:r w:rsidRPr="003767B3">
        <w:rPr>
          <w:rFonts w:ascii="Arial" w:hAnsi="Arial" w:cs="Arial"/>
          <w:sz w:val="24"/>
          <w:szCs w:val="24"/>
        </w:rPr>
        <w:t>he housing number is divided by the minimum housing density requirement to achieve the potential area of land to be covered by residential housing.</w:t>
      </w:r>
      <w:r>
        <w:rPr>
          <w:rFonts w:ascii="Arial" w:hAnsi="Arial" w:cs="Arial"/>
          <w:sz w:val="24"/>
          <w:szCs w:val="24"/>
        </w:rPr>
        <w:t xml:space="preserve"> </w:t>
      </w:r>
    </w:p>
    <w:p w14:paraId="452227EA" w14:textId="77777777" w:rsidR="0025322F" w:rsidRDefault="0025322F" w:rsidP="00951D7E">
      <w:pPr>
        <w:pStyle w:val="ListParagraph"/>
        <w:spacing w:after="0"/>
        <w:ind w:left="1080"/>
        <w:contextualSpacing w:val="0"/>
        <w:jc w:val="both"/>
        <w:rPr>
          <w:rFonts w:ascii="Arial" w:hAnsi="Arial" w:cs="Arial"/>
          <w:sz w:val="24"/>
          <w:szCs w:val="24"/>
        </w:rPr>
      </w:pPr>
    </w:p>
    <w:p w14:paraId="0113E90B" w14:textId="0DE89F52" w:rsidR="00D015DF" w:rsidRDefault="00D015DF" w:rsidP="00951D7E">
      <w:pPr>
        <w:pStyle w:val="ListParagraph"/>
        <w:numPr>
          <w:ilvl w:val="1"/>
          <w:numId w:val="1"/>
        </w:numPr>
        <w:spacing w:after="0"/>
        <w:ind w:left="720" w:hanging="720"/>
        <w:jc w:val="both"/>
        <w:rPr>
          <w:rFonts w:ascii="Arial" w:hAnsi="Arial" w:cs="Arial"/>
          <w:sz w:val="24"/>
          <w:szCs w:val="24"/>
        </w:rPr>
      </w:pPr>
      <w:r>
        <w:rPr>
          <w:rFonts w:ascii="Arial" w:hAnsi="Arial" w:cs="Arial"/>
          <w:sz w:val="24"/>
          <w:szCs w:val="24"/>
        </w:rPr>
        <w:t xml:space="preserve">A greenspace allowance is </w:t>
      </w:r>
      <w:r w:rsidRPr="00157E9E">
        <w:rPr>
          <w:rFonts w:ascii="Arial" w:hAnsi="Arial" w:cs="Arial"/>
          <w:sz w:val="24"/>
          <w:szCs w:val="24"/>
        </w:rPr>
        <w:t xml:space="preserve">calculated using </w:t>
      </w:r>
      <w:r w:rsidR="00642F5C">
        <w:rPr>
          <w:rFonts w:ascii="Arial" w:hAnsi="Arial" w:cs="Arial"/>
          <w:sz w:val="24"/>
          <w:szCs w:val="24"/>
        </w:rPr>
        <w:t xml:space="preserve">a </w:t>
      </w:r>
      <w:r w:rsidRPr="00157E9E">
        <w:rPr>
          <w:rFonts w:ascii="Arial" w:hAnsi="Arial" w:cs="Arial"/>
          <w:sz w:val="24"/>
          <w:szCs w:val="24"/>
        </w:rPr>
        <w:t xml:space="preserve">minimum open space </w:t>
      </w:r>
      <w:r>
        <w:rPr>
          <w:rFonts w:ascii="Arial" w:hAnsi="Arial" w:cs="Arial"/>
          <w:sz w:val="24"/>
          <w:szCs w:val="24"/>
        </w:rPr>
        <w:t xml:space="preserve">standards </w:t>
      </w:r>
      <w:r w:rsidRPr="00157E9E">
        <w:rPr>
          <w:rFonts w:ascii="Arial" w:hAnsi="Arial" w:cs="Arial"/>
          <w:sz w:val="24"/>
          <w:szCs w:val="24"/>
        </w:rPr>
        <w:t xml:space="preserve">requirement of </w:t>
      </w:r>
      <w:r>
        <w:rPr>
          <w:rFonts w:ascii="Arial" w:hAnsi="Arial" w:cs="Arial"/>
          <w:sz w:val="24"/>
          <w:szCs w:val="24"/>
        </w:rPr>
        <w:t>3.5</w:t>
      </w:r>
      <w:r w:rsidRPr="00157E9E">
        <w:rPr>
          <w:rFonts w:ascii="Arial" w:hAnsi="Arial" w:cs="Arial"/>
          <w:sz w:val="24"/>
          <w:szCs w:val="24"/>
        </w:rPr>
        <w:t xml:space="preserve"> ha per 1000 population as detailed in the </w:t>
      </w:r>
      <w:r>
        <w:rPr>
          <w:rFonts w:ascii="Arial" w:hAnsi="Arial" w:cs="Arial"/>
          <w:sz w:val="24"/>
          <w:szCs w:val="24"/>
        </w:rPr>
        <w:t>lat</w:t>
      </w:r>
      <w:r w:rsidR="00642F5C">
        <w:rPr>
          <w:rFonts w:ascii="Arial" w:hAnsi="Arial" w:cs="Arial"/>
          <w:sz w:val="24"/>
          <w:szCs w:val="24"/>
        </w:rPr>
        <w:t>est</w:t>
      </w:r>
      <w:r>
        <w:rPr>
          <w:rFonts w:ascii="Arial" w:hAnsi="Arial" w:cs="Arial"/>
          <w:sz w:val="24"/>
          <w:szCs w:val="24"/>
        </w:rPr>
        <w:t xml:space="preserve"> Open Space Study</w:t>
      </w:r>
      <w:r w:rsidR="00242183">
        <w:rPr>
          <w:rFonts w:ascii="Arial" w:hAnsi="Arial" w:cs="Arial"/>
          <w:sz w:val="24"/>
          <w:szCs w:val="24"/>
        </w:rPr>
        <w:t xml:space="preserve"> (2024)</w:t>
      </w:r>
      <w:r w:rsidR="00642F5C">
        <w:rPr>
          <w:rFonts w:ascii="Arial" w:hAnsi="Arial" w:cs="Arial"/>
          <w:sz w:val="24"/>
          <w:szCs w:val="24"/>
        </w:rPr>
        <w:t>. H</w:t>
      </w:r>
      <w:r w:rsidR="0004432F">
        <w:rPr>
          <w:rFonts w:ascii="Arial" w:hAnsi="Arial" w:cs="Arial"/>
          <w:sz w:val="24"/>
          <w:szCs w:val="24"/>
        </w:rPr>
        <w:t>owever, with the smaller parish</w:t>
      </w:r>
      <w:r w:rsidR="00E3745B">
        <w:rPr>
          <w:rFonts w:ascii="Arial" w:hAnsi="Arial" w:cs="Arial"/>
          <w:sz w:val="24"/>
          <w:szCs w:val="24"/>
        </w:rPr>
        <w:t xml:space="preserve"> </w:t>
      </w:r>
      <w:r w:rsidR="00242183">
        <w:rPr>
          <w:rFonts w:ascii="Arial" w:hAnsi="Arial" w:cs="Arial"/>
          <w:sz w:val="24"/>
          <w:szCs w:val="24"/>
        </w:rPr>
        <w:t>requirements</w:t>
      </w:r>
      <w:r w:rsidR="0004432F">
        <w:rPr>
          <w:rFonts w:ascii="Arial" w:hAnsi="Arial" w:cs="Arial"/>
          <w:sz w:val="24"/>
          <w:szCs w:val="24"/>
        </w:rPr>
        <w:t>, a lower or no open space requirement is used where the number of dwellings is either less than 50 or less than 20 dwellings</w:t>
      </w:r>
      <w:r w:rsidR="00642F5C">
        <w:rPr>
          <w:rFonts w:ascii="Arial" w:hAnsi="Arial" w:cs="Arial"/>
          <w:sz w:val="24"/>
          <w:szCs w:val="24"/>
        </w:rPr>
        <w:t>. This is</w:t>
      </w:r>
      <w:r w:rsidR="009B3AF8">
        <w:rPr>
          <w:rFonts w:ascii="Arial" w:hAnsi="Arial" w:cs="Arial"/>
          <w:sz w:val="24"/>
          <w:szCs w:val="24"/>
        </w:rPr>
        <w:t xml:space="preserve"> in accordance with the threshold requirements for providing on-site open space as detailed in the Open Space section of the </w:t>
      </w:r>
      <w:r w:rsidR="00642F5C">
        <w:rPr>
          <w:rFonts w:ascii="Arial" w:hAnsi="Arial" w:cs="Arial"/>
          <w:sz w:val="24"/>
          <w:szCs w:val="24"/>
        </w:rPr>
        <w:t xml:space="preserve">new </w:t>
      </w:r>
      <w:r w:rsidR="009B3AF8">
        <w:rPr>
          <w:rFonts w:ascii="Arial" w:hAnsi="Arial" w:cs="Arial"/>
          <w:sz w:val="24"/>
          <w:szCs w:val="24"/>
        </w:rPr>
        <w:t>Local Plan</w:t>
      </w:r>
      <w:r w:rsidR="0004432F">
        <w:rPr>
          <w:rFonts w:ascii="Arial" w:hAnsi="Arial" w:cs="Arial"/>
          <w:sz w:val="24"/>
          <w:szCs w:val="24"/>
        </w:rPr>
        <w:t xml:space="preserve">. </w:t>
      </w:r>
      <w:r w:rsidRPr="00157E9E">
        <w:rPr>
          <w:rFonts w:ascii="Arial" w:hAnsi="Arial" w:cs="Arial"/>
          <w:sz w:val="24"/>
          <w:szCs w:val="24"/>
        </w:rPr>
        <w:t xml:space="preserve">Populations per household are assumed at 2.4 persons per dwelling </w:t>
      </w:r>
      <w:r w:rsidR="009B3AF8">
        <w:rPr>
          <w:rFonts w:ascii="Arial" w:hAnsi="Arial" w:cs="Arial"/>
          <w:sz w:val="24"/>
          <w:szCs w:val="24"/>
        </w:rPr>
        <w:t xml:space="preserve">in line with </w:t>
      </w:r>
      <w:r w:rsidRPr="00157E9E">
        <w:rPr>
          <w:rFonts w:ascii="Arial" w:hAnsi="Arial" w:cs="Arial"/>
          <w:sz w:val="24"/>
          <w:szCs w:val="24"/>
        </w:rPr>
        <w:t>the Office for National Statistics average household size</w:t>
      </w:r>
      <w:r w:rsidR="009B3AF8">
        <w:rPr>
          <w:rFonts w:ascii="Arial" w:hAnsi="Arial" w:cs="Arial"/>
          <w:sz w:val="24"/>
          <w:szCs w:val="24"/>
        </w:rPr>
        <w:t xml:space="preserve"> for the purposes of these calculations</w:t>
      </w:r>
      <w:r w:rsidRPr="00157E9E">
        <w:rPr>
          <w:rFonts w:ascii="Arial" w:hAnsi="Arial" w:cs="Arial"/>
          <w:sz w:val="24"/>
          <w:szCs w:val="24"/>
        </w:rPr>
        <w:t xml:space="preserve">.   </w:t>
      </w:r>
    </w:p>
    <w:p w14:paraId="751DC383" w14:textId="77777777" w:rsidR="00D015DF" w:rsidRDefault="00D015DF" w:rsidP="00951D7E">
      <w:pPr>
        <w:pStyle w:val="ListParagraph"/>
        <w:spacing w:after="0"/>
        <w:ind w:left="1080"/>
        <w:contextualSpacing w:val="0"/>
        <w:jc w:val="both"/>
        <w:rPr>
          <w:rFonts w:ascii="Arial" w:hAnsi="Arial" w:cs="Arial"/>
          <w:sz w:val="24"/>
          <w:szCs w:val="24"/>
        </w:rPr>
      </w:pPr>
    </w:p>
    <w:p w14:paraId="5C105AE2" w14:textId="0DDC17F7" w:rsidR="0025322F" w:rsidRDefault="001708EA" w:rsidP="00951D7E">
      <w:pPr>
        <w:pStyle w:val="ListParagraph"/>
        <w:numPr>
          <w:ilvl w:val="1"/>
          <w:numId w:val="1"/>
        </w:numPr>
        <w:spacing w:after="0"/>
        <w:ind w:left="720" w:hanging="720"/>
        <w:jc w:val="both"/>
        <w:rPr>
          <w:rFonts w:ascii="Arial" w:hAnsi="Arial" w:cs="Arial"/>
          <w:sz w:val="24"/>
          <w:szCs w:val="24"/>
        </w:rPr>
      </w:pPr>
      <w:r w:rsidRPr="00BD63BC">
        <w:rPr>
          <w:rFonts w:ascii="Arial" w:hAnsi="Arial" w:cs="Arial"/>
          <w:sz w:val="24"/>
          <w:szCs w:val="24"/>
        </w:rPr>
        <w:t xml:space="preserve">In June 2020, it was agreed with Natural England that the Government Crop Map of England (CROME) would be used to determine current land use for sites requiring a nutrient budget. </w:t>
      </w:r>
      <w:r w:rsidR="00195C3D" w:rsidRPr="00BD63BC">
        <w:rPr>
          <w:rFonts w:ascii="Arial" w:hAnsi="Arial" w:cs="Arial"/>
          <w:sz w:val="24"/>
          <w:szCs w:val="24"/>
        </w:rPr>
        <w:t xml:space="preserve">The </w:t>
      </w:r>
      <w:r w:rsidR="009B6EB6" w:rsidRPr="00BD63BC">
        <w:rPr>
          <w:rFonts w:ascii="Arial" w:hAnsi="Arial" w:cs="Arial"/>
          <w:sz w:val="24"/>
          <w:szCs w:val="24"/>
        </w:rPr>
        <w:t xml:space="preserve">land use </w:t>
      </w:r>
      <w:r w:rsidR="00642F5C">
        <w:rPr>
          <w:rFonts w:ascii="Arial" w:hAnsi="Arial" w:cs="Arial"/>
          <w:sz w:val="24"/>
          <w:szCs w:val="24"/>
        </w:rPr>
        <w:t xml:space="preserve">information </w:t>
      </w:r>
      <w:r w:rsidR="00195C3D" w:rsidRPr="00BD63BC">
        <w:rPr>
          <w:rFonts w:ascii="Arial" w:hAnsi="Arial" w:cs="Arial"/>
          <w:sz w:val="24"/>
          <w:szCs w:val="24"/>
        </w:rPr>
        <w:t xml:space="preserve">provided by the </w:t>
      </w:r>
      <w:r w:rsidR="00F36E94" w:rsidRPr="00BD63BC">
        <w:rPr>
          <w:rFonts w:ascii="Arial" w:hAnsi="Arial" w:cs="Arial"/>
          <w:sz w:val="24"/>
          <w:szCs w:val="24"/>
        </w:rPr>
        <w:t xml:space="preserve">CROME </w:t>
      </w:r>
      <w:r w:rsidR="00195C3D" w:rsidRPr="00BD63BC">
        <w:rPr>
          <w:rFonts w:ascii="Arial" w:hAnsi="Arial" w:cs="Arial"/>
          <w:sz w:val="24"/>
          <w:szCs w:val="24"/>
        </w:rPr>
        <w:t xml:space="preserve">dataset </w:t>
      </w:r>
      <w:r w:rsidR="00BD63BC" w:rsidRPr="00BD63BC">
        <w:rPr>
          <w:rFonts w:ascii="Arial" w:hAnsi="Arial" w:cs="Arial"/>
          <w:sz w:val="24"/>
          <w:szCs w:val="24"/>
        </w:rPr>
        <w:t xml:space="preserve">can be </w:t>
      </w:r>
      <w:r w:rsidR="00195C3D" w:rsidRPr="00BD63BC">
        <w:rPr>
          <w:rFonts w:ascii="Arial" w:hAnsi="Arial" w:cs="Arial"/>
          <w:sz w:val="24"/>
          <w:szCs w:val="24"/>
        </w:rPr>
        <w:t xml:space="preserve">matched </w:t>
      </w:r>
      <w:r w:rsidR="00BD63BC" w:rsidRPr="00BD63BC">
        <w:rPr>
          <w:rFonts w:ascii="Arial" w:hAnsi="Arial" w:cs="Arial"/>
          <w:sz w:val="24"/>
          <w:szCs w:val="24"/>
        </w:rPr>
        <w:t xml:space="preserve">as closely as possible </w:t>
      </w:r>
      <w:r w:rsidR="00195C3D" w:rsidRPr="00BD63BC">
        <w:rPr>
          <w:rFonts w:ascii="Arial" w:hAnsi="Arial" w:cs="Arial"/>
          <w:sz w:val="24"/>
          <w:szCs w:val="24"/>
        </w:rPr>
        <w:t xml:space="preserve">with the categories in Natural England’s nutrient budget calculator to generate </w:t>
      </w:r>
      <w:r w:rsidR="008B11C0">
        <w:rPr>
          <w:rFonts w:ascii="Arial" w:hAnsi="Arial" w:cs="Arial"/>
          <w:sz w:val="24"/>
          <w:szCs w:val="24"/>
        </w:rPr>
        <w:t xml:space="preserve">the level of </w:t>
      </w:r>
      <w:r w:rsidR="00195C3D" w:rsidRPr="00BD63BC">
        <w:rPr>
          <w:rFonts w:ascii="Arial" w:hAnsi="Arial" w:cs="Arial"/>
          <w:sz w:val="24"/>
          <w:szCs w:val="24"/>
        </w:rPr>
        <w:t xml:space="preserve">nitrogen load </w:t>
      </w:r>
      <w:r w:rsidR="00F36E94" w:rsidRPr="00BD63BC">
        <w:rPr>
          <w:rFonts w:ascii="Arial" w:hAnsi="Arial" w:cs="Arial"/>
          <w:sz w:val="24"/>
          <w:szCs w:val="24"/>
        </w:rPr>
        <w:t xml:space="preserve">for the </w:t>
      </w:r>
      <w:r w:rsidR="00BD63BC" w:rsidRPr="00BD63BC">
        <w:rPr>
          <w:rFonts w:ascii="Arial" w:hAnsi="Arial" w:cs="Arial"/>
          <w:sz w:val="24"/>
          <w:szCs w:val="24"/>
        </w:rPr>
        <w:t xml:space="preserve">existing </w:t>
      </w:r>
      <w:r w:rsidR="00F36E94" w:rsidRPr="00BD63BC">
        <w:rPr>
          <w:rFonts w:ascii="Arial" w:hAnsi="Arial" w:cs="Arial"/>
          <w:sz w:val="24"/>
          <w:szCs w:val="24"/>
        </w:rPr>
        <w:t>land area within the development site</w:t>
      </w:r>
      <w:r w:rsidR="00195C3D" w:rsidRPr="00BD63BC">
        <w:rPr>
          <w:rFonts w:ascii="Arial" w:hAnsi="Arial" w:cs="Arial"/>
          <w:sz w:val="24"/>
          <w:szCs w:val="24"/>
        </w:rPr>
        <w:t>.</w:t>
      </w:r>
      <w:r w:rsidR="00BD63BC">
        <w:rPr>
          <w:rFonts w:ascii="Arial" w:hAnsi="Arial" w:cs="Arial"/>
          <w:sz w:val="24"/>
          <w:szCs w:val="24"/>
        </w:rPr>
        <w:t xml:space="preserve"> </w:t>
      </w:r>
      <w:r w:rsidR="00BD63BC" w:rsidRPr="00BD63BC">
        <w:rPr>
          <w:rFonts w:ascii="Arial" w:hAnsi="Arial" w:cs="Arial"/>
          <w:sz w:val="24"/>
          <w:szCs w:val="24"/>
        </w:rPr>
        <w:t xml:space="preserve">For instance, the latest CROME dataset (Crop Map of England 2021) produced by DEFRA for West Sussex reveals that </w:t>
      </w:r>
      <w:r w:rsidR="00BD63BC">
        <w:rPr>
          <w:rFonts w:ascii="Arial" w:hAnsi="Arial" w:cs="Arial"/>
          <w:sz w:val="24"/>
          <w:szCs w:val="24"/>
        </w:rPr>
        <w:t xml:space="preserve">Chichester City is mostly non-vegetated land and hence, </w:t>
      </w:r>
      <w:r w:rsidR="00220895">
        <w:rPr>
          <w:rFonts w:ascii="Arial" w:hAnsi="Arial" w:cs="Arial"/>
          <w:sz w:val="24"/>
          <w:szCs w:val="24"/>
        </w:rPr>
        <w:t>th</w:t>
      </w:r>
      <w:r w:rsidR="006452DC">
        <w:rPr>
          <w:rFonts w:ascii="Arial" w:hAnsi="Arial" w:cs="Arial"/>
          <w:sz w:val="24"/>
          <w:szCs w:val="24"/>
        </w:rPr>
        <w:t xml:space="preserve">e </w:t>
      </w:r>
      <w:r w:rsidR="008B11C0">
        <w:rPr>
          <w:rFonts w:ascii="Arial" w:hAnsi="Arial" w:cs="Arial"/>
          <w:sz w:val="24"/>
          <w:szCs w:val="24"/>
        </w:rPr>
        <w:t xml:space="preserve">classification used for the </w:t>
      </w:r>
      <w:r w:rsidR="006452DC">
        <w:rPr>
          <w:rFonts w:ascii="Arial" w:hAnsi="Arial" w:cs="Arial"/>
          <w:sz w:val="24"/>
          <w:szCs w:val="24"/>
        </w:rPr>
        <w:t>existing land for this</w:t>
      </w:r>
      <w:r w:rsidR="00220895">
        <w:rPr>
          <w:rFonts w:ascii="Arial" w:hAnsi="Arial" w:cs="Arial"/>
          <w:sz w:val="24"/>
          <w:szCs w:val="24"/>
        </w:rPr>
        <w:t xml:space="preserve"> allocation </w:t>
      </w:r>
      <w:r w:rsidR="008B11C0">
        <w:rPr>
          <w:rFonts w:ascii="Arial" w:hAnsi="Arial" w:cs="Arial"/>
          <w:sz w:val="24"/>
          <w:szCs w:val="24"/>
        </w:rPr>
        <w:t xml:space="preserve">is </w:t>
      </w:r>
      <w:r w:rsidR="00220895">
        <w:rPr>
          <w:rFonts w:ascii="Arial" w:hAnsi="Arial" w:cs="Arial"/>
          <w:sz w:val="24"/>
          <w:szCs w:val="24"/>
        </w:rPr>
        <w:t>“</w:t>
      </w:r>
      <w:r w:rsidR="00BD63BC">
        <w:rPr>
          <w:rFonts w:ascii="Arial" w:hAnsi="Arial" w:cs="Arial"/>
          <w:sz w:val="24"/>
          <w:szCs w:val="24"/>
        </w:rPr>
        <w:t>open urban land</w:t>
      </w:r>
      <w:r w:rsidR="00220895">
        <w:rPr>
          <w:rFonts w:ascii="Arial" w:hAnsi="Arial" w:cs="Arial"/>
          <w:sz w:val="24"/>
          <w:szCs w:val="24"/>
        </w:rPr>
        <w:t>”</w:t>
      </w:r>
      <w:r w:rsidR="003F339E">
        <w:rPr>
          <w:rFonts w:ascii="Arial" w:hAnsi="Arial" w:cs="Arial"/>
          <w:sz w:val="24"/>
          <w:szCs w:val="24"/>
        </w:rPr>
        <w:t xml:space="preserve"> whilst the Bus Station at Southern Gateway </w:t>
      </w:r>
      <w:r w:rsidR="008B11C0">
        <w:rPr>
          <w:rFonts w:ascii="Arial" w:hAnsi="Arial" w:cs="Arial"/>
          <w:sz w:val="24"/>
          <w:szCs w:val="24"/>
        </w:rPr>
        <w:t xml:space="preserve">has been </w:t>
      </w:r>
      <w:r w:rsidR="003F339E">
        <w:rPr>
          <w:rFonts w:ascii="Arial" w:hAnsi="Arial" w:cs="Arial"/>
          <w:sz w:val="24"/>
          <w:szCs w:val="24"/>
        </w:rPr>
        <w:t>categorised as “commercial/industrial urban land”.</w:t>
      </w:r>
    </w:p>
    <w:p w14:paraId="7A7B6BF6" w14:textId="77777777" w:rsidR="0025322F" w:rsidRPr="0025322F" w:rsidRDefault="0025322F" w:rsidP="00951D7E">
      <w:pPr>
        <w:pStyle w:val="ListParagraph"/>
        <w:rPr>
          <w:rFonts w:ascii="Arial" w:hAnsi="Arial" w:cs="Arial"/>
          <w:sz w:val="24"/>
          <w:szCs w:val="24"/>
        </w:rPr>
      </w:pPr>
    </w:p>
    <w:p w14:paraId="4D1E2CCD" w14:textId="7A33BA49" w:rsidR="00BD63BC" w:rsidRDefault="00D015DF" w:rsidP="00951D7E">
      <w:pPr>
        <w:pStyle w:val="ListParagraph"/>
        <w:numPr>
          <w:ilvl w:val="1"/>
          <w:numId w:val="1"/>
        </w:numPr>
        <w:ind w:left="720" w:hanging="720"/>
        <w:jc w:val="both"/>
        <w:rPr>
          <w:rFonts w:ascii="Arial" w:hAnsi="Arial" w:cs="Arial"/>
          <w:sz w:val="24"/>
          <w:szCs w:val="24"/>
        </w:rPr>
      </w:pPr>
      <w:r w:rsidRPr="003767B3">
        <w:rPr>
          <w:rFonts w:ascii="Arial" w:hAnsi="Arial" w:cs="Arial"/>
          <w:sz w:val="24"/>
          <w:szCs w:val="24"/>
        </w:rPr>
        <w:t xml:space="preserve">Current land use </w:t>
      </w:r>
      <w:r w:rsidR="00B93A70">
        <w:rPr>
          <w:rFonts w:ascii="Arial" w:hAnsi="Arial" w:cs="Arial"/>
          <w:sz w:val="24"/>
          <w:szCs w:val="24"/>
        </w:rPr>
        <w:t xml:space="preserve">for </w:t>
      </w:r>
      <w:r w:rsidR="0004432F">
        <w:rPr>
          <w:rFonts w:ascii="Arial" w:hAnsi="Arial" w:cs="Arial"/>
          <w:sz w:val="24"/>
          <w:szCs w:val="24"/>
        </w:rPr>
        <w:t xml:space="preserve">Southbourne BLD and the parish </w:t>
      </w:r>
      <w:r w:rsidR="00C57AFC">
        <w:rPr>
          <w:rFonts w:ascii="Arial" w:hAnsi="Arial" w:cs="Arial"/>
          <w:sz w:val="24"/>
          <w:szCs w:val="24"/>
        </w:rPr>
        <w:t xml:space="preserve">strategic locations and non-strategic housing requirements </w:t>
      </w:r>
      <w:r w:rsidRPr="003767B3">
        <w:rPr>
          <w:rFonts w:ascii="Arial" w:hAnsi="Arial" w:cs="Arial"/>
          <w:sz w:val="24"/>
          <w:szCs w:val="24"/>
        </w:rPr>
        <w:t>is presumed to be agricultural</w:t>
      </w:r>
      <w:r w:rsidR="0004432F">
        <w:rPr>
          <w:rFonts w:ascii="Arial" w:hAnsi="Arial" w:cs="Arial"/>
          <w:sz w:val="24"/>
          <w:szCs w:val="24"/>
        </w:rPr>
        <w:t xml:space="preserve"> due to the CROME dataset revealing an assortment of crop categories covering the allocation areas. The </w:t>
      </w:r>
      <w:r w:rsidRPr="003767B3">
        <w:rPr>
          <w:rFonts w:ascii="Arial" w:hAnsi="Arial" w:cs="Arial"/>
          <w:sz w:val="24"/>
          <w:szCs w:val="24"/>
        </w:rPr>
        <w:t xml:space="preserve">“mixed” land use category is </w:t>
      </w:r>
      <w:r w:rsidR="008B11C0">
        <w:rPr>
          <w:rFonts w:ascii="Arial" w:hAnsi="Arial" w:cs="Arial"/>
          <w:sz w:val="24"/>
          <w:szCs w:val="24"/>
        </w:rPr>
        <w:t xml:space="preserve">therefore </w:t>
      </w:r>
      <w:r w:rsidRPr="003767B3">
        <w:rPr>
          <w:rFonts w:ascii="Arial" w:hAnsi="Arial" w:cs="Arial"/>
          <w:sz w:val="24"/>
          <w:szCs w:val="24"/>
        </w:rPr>
        <w:t>applied</w:t>
      </w:r>
      <w:r w:rsidR="00B93A70">
        <w:rPr>
          <w:rFonts w:ascii="Arial" w:hAnsi="Arial" w:cs="Arial"/>
          <w:sz w:val="24"/>
          <w:szCs w:val="24"/>
        </w:rPr>
        <w:t xml:space="preserve"> </w:t>
      </w:r>
      <w:proofErr w:type="gramStart"/>
      <w:r w:rsidR="00B93A70">
        <w:rPr>
          <w:rFonts w:ascii="Arial" w:hAnsi="Arial" w:cs="Arial"/>
          <w:sz w:val="24"/>
          <w:szCs w:val="24"/>
        </w:rPr>
        <w:t>due to the fact that</w:t>
      </w:r>
      <w:proofErr w:type="gramEnd"/>
      <w:r w:rsidR="00B93A70">
        <w:rPr>
          <w:rFonts w:ascii="Arial" w:hAnsi="Arial" w:cs="Arial"/>
          <w:sz w:val="24"/>
          <w:szCs w:val="24"/>
        </w:rPr>
        <w:t xml:space="preserve"> </w:t>
      </w:r>
      <w:r w:rsidRPr="003767B3">
        <w:rPr>
          <w:rFonts w:ascii="Arial" w:hAnsi="Arial" w:cs="Arial"/>
          <w:sz w:val="24"/>
          <w:szCs w:val="24"/>
        </w:rPr>
        <w:t xml:space="preserve">the </w:t>
      </w:r>
      <w:r>
        <w:rPr>
          <w:rFonts w:ascii="Arial" w:hAnsi="Arial" w:cs="Arial"/>
          <w:sz w:val="24"/>
          <w:szCs w:val="24"/>
        </w:rPr>
        <w:t xml:space="preserve">actual </w:t>
      </w:r>
      <w:r w:rsidRPr="003767B3">
        <w:rPr>
          <w:rFonts w:ascii="Arial" w:hAnsi="Arial" w:cs="Arial"/>
          <w:sz w:val="24"/>
          <w:szCs w:val="24"/>
        </w:rPr>
        <w:t xml:space="preserve">sites have not </w:t>
      </w:r>
      <w:r w:rsidR="00B93A70">
        <w:rPr>
          <w:rFonts w:ascii="Arial" w:hAnsi="Arial" w:cs="Arial"/>
          <w:sz w:val="24"/>
          <w:szCs w:val="24"/>
        </w:rPr>
        <w:t xml:space="preserve">yet </w:t>
      </w:r>
      <w:r w:rsidRPr="003767B3">
        <w:rPr>
          <w:rFonts w:ascii="Arial" w:hAnsi="Arial" w:cs="Arial"/>
          <w:sz w:val="24"/>
          <w:szCs w:val="24"/>
        </w:rPr>
        <w:t>been allocated and</w:t>
      </w:r>
      <w:r>
        <w:rPr>
          <w:rFonts w:ascii="Arial" w:hAnsi="Arial" w:cs="Arial"/>
          <w:sz w:val="24"/>
          <w:szCs w:val="24"/>
        </w:rPr>
        <w:t xml:space="preserve"> </w:t>
      </w:r>
      <w:r w:rsidRPr="003767B3">
        <w:rPr>
          <w:rFonts w:ascii="Arial" w:hAnsi="Arial" w:cs="Arial"/>
          <w:sz w:val="24"/>
          <w:szCs w:val="24"/>
        </w:rPr>
        <w:t xml:space="preserve">the </w:t>
      </w:r>
      <w:r w:rsidR="00B93A70">
        <w:rPr>
          <w:rFonts w:ascii="Arial" w:hAnsi="Arial" w:cs="Arial"/>
          <w:sz w:val="24"/>
          <w:szCs w:val="24"/>
        </w:rPr>
        <w:t xml:space="preserve">specific </w:t>
      </w:r>
      <w:r w:rsidRPr="003767B3">
        <w:rPr>
          <w:rFonts w:ascii="Arial" w:hAnsi="Arial" w:cs="Arial"/>
          <w:sz w:val="24"/>
          <w:szCs w:val="24"/>
        </w:rPr>
        <w:t xml:space="preserve">land use </w:t>
      </w:r>
      <w:r>
        <w:rPr>
          <w:rFonts w:ascii="Arial" w:hAnsi="Arial" w:cs="Arial"/>
          <w:sz w:val="24"/>
          <w:szCs w:val="24"/>
        </w:rPr>
        <w:t xml:space="preserve">types are </w:t>
      </w:r>
      <w:r w:rsidRPr="003767B3">
        <w:rPr>
          <w:rFonts w:ascii="Arial" w:hAnsi="Arial" w:cs="Arial"/>
          <w:sz w:val="24"/>
          <w:szCs w:val="24"/>
        </w:rPr>
        <w:t>therefore unknown.</w:t>
      </w:r>
      <w:r w:rsidR="008B11C0">
        <w:rPr>
          <w:rFonts w:ascii="Arial" w:hAnsi="Arial" w:cs="Arial"/>
          <w:sz w:val="24"/>
          <w:szCs w:val="24"/>
        </w:rPr>
        <w:t xml:space="preserve"> </w:t>
      </w:r>
      <w:r w:rsidR="00B93A70">
        <w:rPr>
          <w:rFonts w:ascii="Arial" w:hAnsi="Arial" w:cs="Arial"/>
          <w:sz w:val="24"/>
          <w:szCs w:val="24"/>
        </w:rPr>
        <w:t xml:space="preserve">The “mixed” </w:t>
      </w:r>
      <w:r w:rsidR="0004432F">
        <w:rPr>
          <w:rFonts w:ascii="Arial" w:hAnsi="Arial" w:cs="Arial"/>
          <w:sz w:val="24"/>
          <w:szCs w:val="24"/>
        </w:rPr>
        <w:t xml:space="preserve">land use </w:t>
      </w:r>
      <w:r w:rsidR="00B93A70">
        <w:rPr>
          <w:rFonts w:ascii="Arial" w:hAnsi="Arial" w:cs="Arial"/>
          <w:sz w:val="24"/>
          <w:szCs w:val="24"/>
        </w:rPr>
        <w:t xml:space="preserve">category is defined by the </w:t>
      </w:r>
      <w:r w:rsidR="00B93A70" w:rsidRPr="00B93A70">
        <w:rPr>
          <w:rFonts w:ascii="Arial" w:hAnsi="Arial" w:cs="Arial"/>
          <w:sz w:val="24"/>
          <w:szCs w:val="24"/>
        </w:rPr>
        <w:t xml:space="preserve">Natural England/DEFRA Calculator Guidance </w:t>
      </w:r>
      <w:r w:rsidR="00B93A70">
        <w:rPr>
          <w:rFonts w:ascii="Arial" w:hAnsi="Arial" w:cs="Arial"/>
          <w:sz w:val="24"/>
          <w:szCs w:val="24"/>
        </w:rPr>
        <w:t xml:space="preserve">as </w:t>
      </w:r>
      <w:r w:rsidR="00B93A70" w:rsidRPr="00B93A70">
        <w:rPr>
          <w:rFonts w:ascii="Arial" w:hAnsi="Arial" w:cs="Arial"/>
          <w:sz w:val="24"/>
          <w:szCs w:val="24"/>
        </w:rPr>
        <w:t>"Agricultural areas.... where it is too difficult to select a single category to describe the farm type"</w:t>
      </w:r>
      <w:r w:rsidR="007F13E4">
        <w:rPr>
          <w:rFonts w:ascii="Arial" w:hAnsi="Arial" w:cs="Arial"/>
          <w:sz w:val="24"/>
          <w:szCs w:val="24"/>
        </w:rPr>
        <w:t xml:space="preserve">. Rainfall and soil types </w:t>
      </w:r>
      <w:r w:rsidR="00B31B4A">
        <w:rPr>
          <w:rFonts w:ascii="Arial" w:hAnsi="Arial" w:cs="Arial"/>
          <w:sz w:val="24"/>
          <w:szCs w:val="24"/>
        </w:rPr>
        <w:t xml:space="preserve">for an allocation </w:t>
      </w:r>
      <w:r w:rsidR="007F13E4">
        <w:rPr>
          <w:rFonts w:ascii="Arial" w:hAnsi="Arial" w:cs="Arial"/>
          <w:sz w:val="24"/>
          <w:szCs w:val="24"/>
        </w:rPr>
        <w:t>which are required by the nutrient budget calculator</w:t>
      </w:r>
      <w:r w:rsidR="008B11C0">
        <w:rPr>
          <w:rFonts w:ascii="Arial" w:hAnsi="Arial" w:cs="Arial"/>
          <w:sz w:val="24"/>
          <w:szCs w:val="24"/>
        </w:rPr>
        <w:t xml:space="preserve"> to calculate the nitrogen load from the current land use</w:t>
      </w:r>
      <w:r w:rsidR="007F13E4">
        <w:rPr>
          <w:rFonts w:ascii="Arial" w:hAnsi="Arial" w:cs="Arial"/>
          <w:sz w:val="24"/>
          <w:szCs w:val="24"/>
        </w:rPr>
        <w:t xml:space="preserve"> are taken from the relevant </w:t>
      </w:r>
      <w:r w:rsidR="0004671B">
        <w:rPr>
          <w:rFonts w:ascii="Arial" w:hAnsi="Arial" w:cs="Arial"/>
          <w:sz w:val="24"/>
          <w:szCs w:val="24"/>
        </w:rPr>
        <w:t xml:space="preserve">website </w:t>
      </w:r>
      <w:r w:rsidR="007F13E4">
        <w:rPr>
          <w:rFonts w:ascii="Arial" w:hAnsi="Arial" w:cs="Arial"/>
          <w:sz w:val="24"/>
          <w:szCs w:val="24"/>
        </w:rPr>
        <w:t>link</w:t>
      </w:r>
      <w:r w:rsidR="0004671B">
        <w:rPr>
          <w:rFonts w:ascii="Arial" w:hAnsi="Arial" w:cs="Arial"/>
          <w:sz w:val="24"/>
          <w:szCs w:val="24"/>
        </w:rPr>
        <w:t>s</w:t>
      </w:r>
      <w:r w:rsidR="007F13E4">
        <w:rPr>
          <w:rFonts w:ascii="Arial" w:hAnsi="Arial" w:cs="Arial"/>
          <w:sz w:val="24"/>
          <w:szCs w:val="24"/>
        </w:rPr>
        <w:t xml:space="preserve"> </w:t>
      </w:r>
      <w:r w:rsidR="0004671B">
        <w:rPr>
          <w:rFonts w:ascii="Arial" w:hAnsi="Arial" w:cs="Arial"/>
          <w:sz w:val="24"/>
          <w:szCs w:val="24"/>
        </w:rPr>
        <w:t xml:space="preserve">within the </w:t>
      </w:r>
      <w:r w:rsidR="008B11C0">
        <w:rPr>
          <w:rFonts w:ascii="Arial" w:hAnsi="Arial" w:cs="Arial"/>
          <w:sz w:val="24"/>
          <w:szCs w:val="24"/>
        </w:rPr>
        <w:t>S</w:t>
      </w:r>
      <w:r w:rsidR="0004671B">
        <w:rPr>
          <w:rFonts w:ascii="Arial" w:hAnsi="Arial" w:cs="Arial"/>
          <w:sz w:val="24"/>
          <w:szCs w:val="24"/>
        </w:rPr>
        <w:t>olent nutrient calculator</w:t>
      </w:r>
      <w:r w:rsidR="007F13E4">
        <w:rPr>
          <w:rFonts w:ascii="Arial" w:hAnsi="Arial" w:cs="Arial"/>
          <w:sz w:val="24"/>
          <w:szCs w:val="24"/>
        </w:rPr>
        <w:t xml:space="preserve"> at </w:t>
      </w:r>
      <w:hyperlink r:id="rId12" w:history="1">
        <w:proofErr w:type="spellStart"/>
        <w:r w:rsidR="007F13E4" w:rsidRPr="007F13E4">
          <w:rPr>
            <w:rStyle w:val="Hyperlink"/>
            <w:rFonts w:ascii="Arial" w:hAnsi="Arial" w:cs="Arial"/>
            <w:sz w:val="24"/>
            <w:szCs w:val="24"/>
          </w:rPr>
          <w:t>LandIS</w:t>
        </w:r>
        <w:proofErr w:type="spellEnd"/>
        <w:r w:rsidR="007F13E4" w:rsidRPr="007F13E4">
          <w:rPr>
            <w:rStyle w:val="Hyperlink"/>
            <w:rFonts w:ascii="Arial" w:hAnsi="Arial" w:cs="Arial"/>
            <w:sz w:val="24"/>
            <w:szCs w:val="24"/>
          </w:rPr>
          <w:t xml:space="preserve"> - Land Information System - </w:t>
        </w:r>
        <w:proofErr w:type="spellStart"/>
        <w:r w:rsidR="007F13E4" w:rsidRPr="007F13E4">
          <w:rPr>
            <w:rStyle w:val="Hyperlink"/>
            <w:rFonts w:ascii="Arial" w:hAnsi="Arial" w:cs="Arial"/>
            <w:sz w:val="24"/>
            <w:szCs w:val="24"/>
          </w:rPr>
          <w:t>Soilscapes</w:t>
        </w:r>
        <w:proofErr w:type="spellEnd"/>
        <w:r w:rsidR="007F13E4" w:rsidRPr="007F13E4">
          <w:rPr>
            <w:rStyle w:val="Hyperlink"/>
            <w:rFonts w:ascii="Arial" w:hAnsi="Arial" w:cs="Arial"/>
            <w:sz w:val="24"/>
            <w:szCs w:val="24"/>
          </w:rPr>
          <w:t xml:space="preserve"> soil types viewer</w:t>
        </w:r>
      </w:hyperlink>
      <w:r w:rsidR="007F13E4" w:rsidRPr="007F13E4">
        <w:rPr>
          <w:rFonts w:ascii="Arial" w:hAnsi="Arial" w:cs="Arial"/>
          <w:sz w:val="24"/>
          <w:szCs w:val="24"/>
        </w:rPr>
        <w:t xml:space="preserve"> and the Nationa</w:t>
      </w:r>
      <w:r w:rsidR="007F13E4">
        <w:rPr>
          <w:rFonts w:ascii="Arial" w:hAnsi="Arial" w:cs="Arial"/>
          <w:sz w:val="24"/>
          <w:szCs w:val="24"/>
        </w:rPr>
        <w:t xml:space="preserve">l River Flow Archive rainfall data link provided by Natural England at </w:t>
      </w:r>
      <w:hyperlink r:id="rId13" w:history="1">
        <w:r w:rsidR="007F13E4" w:rsidRPr="007F13E4">
          <w:rPr>
            <w:rStyle w:val="Hyperlink"/>
            <w:rFonts w:ascii="Arial" w:hAnsi="Arial" w:cs="Arial"/>
            <w:sz w:val="24"/>
            <w:szCs w:val="24"/>
          </w:rPr>
          <w:t>Catchment Info for 42019 - Tanners Brook at Millbrook (ceh.ac.uk)</w:t>
        </w:r>
      </w:hyperlink>
      <w:r w:rsidR="007F13E4">
        <w:rPr>
          <w:rFonts w:ascii="Arial" w:hAnsi="Arial" w:cs="Arial"/>
          <w:sz w:val="24"/>
          <w:szCs w:val="24"/>
        </w:rPr>
        <w:t>.</w:t>
      </w:r>
    </w:p>
    <w:p w14:paraId="0C1A6C05" w14:textId="30208FC8" w:rsidR="00D24526" w:rsidRPr="00951D7E" w:rsidRDefault="00070384" w:rsidP="00951D7E">
      <w:pPr>
        <w:pStyle w:val="Heading2"/>
        <w:ind w:left="709"/>
        <w:rPr>
          <w:rFonts w:ascii="Arial" w:hAnsi="Arial" w:cs="Arial"/>
          <w:b/>
          <w:bCs/>
          <w:color w:val="0073CF"/>
          <w:sz w:val="24"/>
          <w:szCs w:val="24"/>
        </w:rPr>
      </w:pPr>
      <w:r w:rsidRPr="00951D7E">
        <w:rPr>
          <w:rFonts w:ascii="Arial" w:hAnsi="Arial" w:cs="Arial"/>
          <w:b/>
          <w:bCs/>
          <w:color w:val="0073CF"/>
          <w:sz w:val="24"/>
          <w:szCs w:val="24"/>
        </w:rPr>
        <w:t xml:space="preserve">Anticipated </w:t>
      </w:r>
      <w:r w:rsidR="00D24526" w:rsidRPr="00951D7E">
        <w:rPr>
          <w:rFonts w:ascii="Arial" w:hAnsi="Arial" w:cs="Arial"/>
          <w:b/>
          <w:bCs/>
          <w:color w:val="0073CF"/>
          <w:sz w:val="24"/>
          <w:szCs w:val="24"/>
        </w:rPr>
        <w:t>Windfall</w:t>
      </w:r>
      <w:r w:rsidR="00FC5AAE" w:rsidRPr="00951D7E">
        <w:rPr>
          <w:rFonts w:ascii="Arial" w:hAnsi="Arial" w:cs="Arial"/>
          <w:b/>
          <w:bCs/>
          <w:color w:val="0073CF"/>
          <w:sz w:val="24"/>
          <w:szCs w:val="24"/>
        </w:rPr>
        <w:t xml:space="preserve"> </w:t>
      </w:r>
      <w:r w:rsidRPr="00951D7E">
        <w:rPr>
          <w:rFonts w:ascii="Arial" w:hAnsi="Arial" w:cs="Arial"/>
          <w:b/>
          <w:bCs/>
          <w:color w:val="0073CF"/>
          <w:sz w:val="24"/>
          <w:szCs w:val="24"/>
        </w:rPr>
        <w:t>Housing</w:t>
      </w:r>
    </w:p>
    <w:p w14:paraId="4624C44A" w14:textId="77777777" w:rsidR="00D24526" w:rsidRPr="00D22A95" w:rsidRDefault="00D24526" w:rsidP="00951D7E">
      <w:pPr>
        <w:pStyle w:val="ListParagraph"/>
        <w:spacing w:after="0"/>
        <w:contextualSpacing w:val="0"/>
        <w:jc w:val="both"/>
        <w:rPr>
          <w:rFonts w:ascii="Arial" w:hAnsi="Arial" w:cs="Arial"/>
          <w:sz w:val="24"/>
          <w:szCs w:val="24"/>
        </w:rPr>
      </w:pPr>
    </w:p>
    <w:p w14:paraId="0100CA63" w14:textId="5285C4B6" w:rsidR="00EF0D9E" w:rsidRPr="00005616" w:rsidRDefault="008009E4" w:rsidP="00951D7E">
      <w:pPr>
        <w:pStyle w:val="ListParagraph"/>
        <w:spacing w:after="0"/>
        <w:contextualSpacing w:val="0"/>
        <w:jc w:val="both"/>
        <w:rPr>
          <w:rFonts w:ascii="Arial" w:hAnsi="Arial" w:cs="Arial"/>
          <w:b/>
          <w:bCs/>
          <w:i/>
          <w:iCs/>
          <w:sz w:val="24"/>
          <w:szCs w:val="24"/>
        </w:rPr>
      </w:pPr>
      <w:r>
        <w:rPr>
          <w:rFonts w:ascii="Arial" w:hAnsi="Arial" w:cs="Arial"/>
          <w:b/>
          <w:bCs/>
          <w:i/>
          <w:iCs/>
          <w:sz w:val="24"/>
          <w:szCs w:val="24"/>
        </w:rPr>
        <w:t xml:space="preserve">Brief </w:t>
      </w:r>
      <w:r w:rsidR="003A298D">
        <w:rPr>
          <w:rFonts w:ascii="Arial" w:hAnsi="Arial" w:cs="Arial"/>
          <w:b/>
          <w:bCs/>
          <w:i/>
          <w:iCs/>
          <w:sz w:val="24"/>
          <w:szCs w:val="24"/>
        </w:rPr>
        <w:t>Overview</w:t>
      </w:r>
    </w:p>
    <w:p w14:paraId="1E240C03" w14:textId="77777777" w:rsidR="00EF0D9E" w:rsidRDefault="00EF0D9E" w:rsidP="00951D7E">
      <w:pPr>
        <w:pStyle w:val="ListParagraph"/>
        <w:spacing w:after="0"/>
        <w:ind w:left="1080"/>
        <w:contextualSpacing w:val="0"/>
        <w:jc w:val="both"/>
        <w:rPr>
          <w:rFonts w:ascii="Arial" w:hAnsi="Arial" w:cs="Arial"/>
          <w:sz w:val="24"/>
          <w:szCs w:val="24"/>
        </w:rPr>
      </w:pPr>
    </w:p>
    <w:p w14:paraId="208C95B2" w14:textId="77777777" w:rsidR="00EF0D9E" w:rsidRDefault="00026815" w:rsidP="00951D7E">
      <w:pPr>
        <w:pStyle w:val="ListParagraph"/>
        <w:numPr>
          <w:ilvl w:val="1"/>
          <w:numId w:val="1"/>
        </w:numPr>
        <w:spacing w:after="0"/>
        <w:ind w:left="720" w:hanging="720"/>
        <w:jc w:val="both"/>
        <w:rPr>
          <w:rFonts w:ascii="Arial" w:hAnsi="Arial" w:cs="Arial"/>
          <w:sz w:val="24"/>
          <w:szCs w:val="24"/>
        </w:rPr>
      </w:pPr>
      <w:r>
        <w:rPr>
          <w:rFonts w:ascii="Arial" w:hAnsi="Arial" w:cs="Arial"/>
          <w:sz w:val="24"/>
          <w:szCs w:val="24"/>
        </w:rPr>
        <w:t>The nutrient budget</w:t>
      </w:r>
      <w:r w:rsidR="00022799">
        <w:rPr>
          <w:rFonts w:ascii="Arial" w:hAnsi="Arial" w:cs="Arial"/>
          <w:sz w:val="24"/>
          <w:szCs w:val="24"/>
        </w:rPr>
        <w:t xml:space="preserve"> </w:t>
      </w:r>
      <w:r>
        <w:rPr>
          <w:rFonts w:ascii="Arial" w:hAnsi="Arial" w:cs="Arial"/>
          <w:sz w:val="24"/>
          <w:szCs w:val="24"/>
        </w:rPr>
        <w:t xml:space="preserve">for </w:t>
      </w:r>
      <w:proofErr w:type="gramStart"/>
      <w:r w:rsidR="00070384">
        <w:rPr>
          <w:rFonts w:ascii="Arial" w:hAnsi="Arial" w:cs="Arial"/>
          <w:sz w:val="24"/>
          <w:szCs w:val="24"/>
        </w:rPr>
        <w:t>the overall plan</w:t>
      </w:r>
      <w:proofErr w:type="gramEnd"/>
      <w:r w:rsidR="00070384">
        <w:rPr>
          <w:rFonts w:ascii="Arial" w:hAnsi="Arial" w:cs="Arial"/>
          <w:sz w:val="24"/>
          <w:szCs w:val="24"/>
        </w:rPr>
        <w:t xml:space="preserve"> period for </w:t>
      </w:r>
      <w:r>
        <w:rPr>
          <w:rFonts w:ascii="Arial" w:hAnsi="Arial" w:cs="Arial"/>
          <w:sz w:val="24"/>
          <w:szCs w:val="24"/>
        </w:rPr>
        <w:t>anticipated windfall from parishes within the Solent catchment</w:t>
      </w:r>
      <w:r w:rsidR="00022799">
        <w:rPr>
          <w:rFonts w:ascii="Arial" w:hAnsi="Arial" w:cs="Arial"/>
          <w:sz w:val="24"/>
          <w:szCs w:val="24"/>
        </w:rPr>
        <w:t xml:space="preserve"> </w:t>
      </w:r>
      <w:r w:rsidR="00070384">
        <w:rPr>
          <w:rFonts w:ascii="Arial" w:hAnsi="Arial" w:cs="Arial"/>
          <w:sz w:val="24"/>
          <w:szCs w:val="24"/>
        </w:rPr>
        <w:t>assumes a first occupancy of 1</w:t>
      </w:r>
      <w:r w:rsidR="00070384" w:rsidRPr="00070384">
        <w:rPr>
          <w:rFonts w:ascii="Arial" w:hAnsi="Arial" w:cs="Arial"/>
          <w:sz w:val="24"/>
          <w:szCs w:val="24"/>
          <w:vertAlign w:val="superscript"/>
        </w:rPr>
        <w:t>st</w:t>
      </w:r>
      <w:r w:rsidR="00070384">
        <w:rPr>
          <w:rFonts w:ascii="Arial" w:hAnsi="Arial" w:cs="Arial"/>
          <w:sz w:val="24"/>
          <w:szCs w:val="24"/>
        </w:rPr>
        <w:t xml:space="preserve"> April 2025, an average occupancy rate of 2.4 people per dwelling and 120 litres of water usage per person per day in relation to wastewater calculations. </w:t>
      </w:r>
      <w:proofErr w:type="gramStart"/>
      <w:r w:rsidR="00070384">
        <w:rPr>
          <w:rFonts w:ascii="Arial" w:hAnsi="Arial" w:cs="Arial"/>
          <w:sz w:val="24"/>
          <w:szCs w:val="24"/>
        </w:rPr>
        <w:t>With the exception of</w:t>
      </w:r>
      <w:proofErr w:type="gramEnd"/>
      <w:r w:rsidR="00070384">
        <w:rPr>
          <w:rFonts w:ascii="Arial" w:hAnsi="Arial" w:cs="Arial"/>
          <w:sz w:val="24"/>
          <w:szCs w:val="24"/>
        </w:rPr>
        <w:t xml:space="preserve"> Birdham and West Wittering parishes which discharge wastewater to </w:t>
      </w:r>
      <w:proofErr w:type="spellStart"/>
      <w:r w:rsidR="00070384">
        <w:rPr>
          <w:rFonts w:ascii="Arial" w:hAnsi="Arial" w:cs="Arial"/>
          <w:sz w:val="24"/>
          <w:szCs w:val="24"/>
        </w:rPr>
        <w:t>Sidlesham</w:t>
      </w:r>
      <w:proofErr w:type="spellEnd"/>
      <w:r w:rsidR="00070384">
        <w:rPr>
          <w:rFonts w:ascii="Arial" w:hAnsi="Arial" w:cs="Arial"/>
          <w:sz w:val="24"/>
          <w:szCs w:val="24"/>
        </w:rPr>
        <w:t xml:space="preserve"> Wastewater </w:t>
      </w:r>
      <w:r w:rsidR="00070384">
        <w:rPr>
          <w:rFonts w:ascii="Arial" w:hAnsi="Arial" w:cs="Arial"/>
          <w:sz w:val="24"/>
          <w:szCs w:val="24"/>
        </w:rPr>
        <w:lastRenderedPageBreak/>
        <w:t xml:space="preserve">Treatment Works, the remaining parishes within the Solent catchment have a nutrient budget based on nutrient load from wastewater and land use change.  </w:t>
      </w:r>
    </w:p>
    <w:p w14:paraId="561B9B91" w14:textId="77777777" w:rsidR="00EF0D9E" w:rsidRDefault="00EF0D9E" w:rsidP="00951D7E">
      <w:pPr>
        <w:pStyle w:val="ListParagraph"/>
        <w:spacing w:after="0"/>
        <w:ind w:left="1080"/>
        <w:contextualSpacing w:val="0"/>
        <w:jc w:val="both"/>
        <w:rPr>
          <w:rFonts w:ascii="Arial" w:hAnsi="Arial" w:cs="Arial"/>
          <w:sz w:val="24"/>
          <w:szCs w:val="24"/>
        </w:rPr>
      </w:pPr>
    </w:p>
    <w:p w14:paraId="7D4B0000" w14:textId="6A8577EB" w:rsidR="00EF0D9E" w:rsidRPr="00005616" w:rsidRDefault="00EF0D9E" w:rsidP="00951D7E">
      <w:pPr>
        <w:pStyle w:val="ListParagraph"/>
        <w:spacing w:after="0"/>
        <w:contextualSpacing w:val="0"/>
        <w:jc w:val="both"/>
        <w:rPr>
          <w:rFonts w:ascii="Arial" w:hAnsi="Arial" w:cs="Arial"/>
          <w:b/>
          <w:bCs/>
          <w:i/>
          <w:iCs/>
          <w:sz w:val="24"/>
          <w:szCs w:val="24"/>
        </w:rPr>
      </w:pPr>
      <w:r w:rsidRPr="00005616">
        <w:rPr>
          <w:rFonts w:ascii="Arial" w:hAnsi="Arial" w:cs="Arial"/>
          <w:b/>
          <w:bCs/>
          <w:i/>
          <w:iCs/>
          <w:sz w:val="24"/>
          <w:szCs w:val="24"/>
        </w:rPr>
        <w:t xml:space="preserve">Land Use </w:t>
      </w:r>
      <w:r w:rsidR="0025322F" w:rsidRPr="00005616">
        <w:rPr>
          <w:rFonts w:ascii="Arial" w:hAnsi="Arial" w:cs="Arial"/>
          <w:b/>
          <w:bCs/>
          <w:i/>
          <w:iCs/>
          <w:sz w:val="24"/>
          <w:szCs w:val="24"/>
        </w:rPr>
        <w:t xml:space="preserve">Area </w:t>
      </w:r>
      <w:r w:rsidRPr="00005616">
        <w:rPr>
          <w:rFonts w:ascii="Arial" w:hAnsi="Arial" w:cs="Arial"/>
          <w:b/>
          <w:bCs/>
          <w:i/>
          <w:iCs/>
          <w:sz w:val="24"/>
          <w:szCs w:val="24"/>
        </w:rPr>
        <w:t>and Type</w:t>
      </w:r>
    </w:p>
    <w:p w14:paraId="1A774AD0" w14:textId="77777777" w:rsidR="00EF0D9E" w:rsidRDefault="00EF0D9E" w:rsidP="00951D7E">
      <w:pPr>
        <w:pStyle w:val="ListParagraph"/>
        <w:spacing w:after="0"/>
        <w:ind w:left="1080"/>
        <w:contextualSpacing w:val="0"/>
        <w:jc w:val="both"/>
        <w:rPr>
          <w:rFonts w:ascii="Arial" w:hAnsi="Arial" w:cs="Arial"/>
          <w:sz w:val="24"/>
          <w:szCs w:val="24"/>
        </w:rPr>
      </w:pPr>
    </w:p>
    <w:p w14:paraId="1A611071" w14:textId="4510B924" w:rsidR="00A0000D" w:rsidRDefault="00A0000D" w:rsidP="00951D7E">
      <w:pPr>
        <w:pStyle w:val="ListParagraph"/>
        <w:numPr>
          <w:ilvl w:val="1"/>
          <w:numId w:val="1"/>
        </w:numPr>
        <w:spacing w:after="0"/>
        <w:ind w:left="720" w:hanging="720"/>
        <w:jc w:val="both"/>
        <w:rPr>
          <w:rFonts w:ascii="Arial" w:hAnsi="Arial" w:cs="Arial"/>
          <w:sz w:val="24"/>
          <w:szCs w:val="24"/>
        </w:rPr>
      </w:pPr>
      <w:r>
        <w:rPr>
          <w:rFonts w:ascii="Arial" w:hAnsi="Arial" w:cs="Arial"/>
          <w:sz w:val="24"/>
          <w:szCs w:val="24"/>
        </w:rPr>
        <w:t xml:space="preserve">Since </w:t>
      </w:r>
      <w:r w:rsidR="0025322F">
        <w:rPr>
          <w:rFonts w:ascii="Arial" w:hAnsi="Arial" w:cs="Arial"/>
          <w:sz w:val="24"/>
          <w:szCs w:val="24"/>
        </w:rPr>
        <w:t xml:space="preserve">windfall is predominantly small sites and the threshold requirements for providing on-site open space detailed in the Open Space section of the Local Plan </w:t>
      </w:r>
      <w:r>
        <w:rPr>
          <w:rFonts w:ascii="Arial" w:hAnsi="Arial" w:cs="Arial"/>
          <w:sz w:val="24"/>
          <w:szCs w:val="24"/>
        </w:rPr>
        <w:t>reveal that on-site</w:t>
      </w:r>
      <w:r w:rsidR="008009E4">
        <w:rPr>
          <w:rFonts w:ascii="Arial" w:hAnsi="Arial" w:cs="Arial"/>
          <w:sz w:val="24"/>
          <w:szCs w:val="24"/>
        </w:rPr>
        <w:t xml:space="preserve"> open space</w:t>
      </w:r>
      <w:r>
        <w:rPr>
          <w:rFonts w:ascii="Arial" w:hAnsi="Arial" w:cs="Arial"/>
          <w:sz w:val="24"/>
          <w:szCs w:val="24"/>
        </w:rPr>
        <w:t xml:space="preserve"> is not usually required for less than 20 dwellings, residential land area is based solely on </w:t>
      </w:r>
      <w:r w:rsidR="008009E4">
        <w:rPr>
          <w:rFonts w:ascii="Arial" w:hAnsi="Arial" w:cs="Arial"/>
          <w:sz w:val="24"/>
          <w:szCs w:val="24"/>
        </w:rPr>
        <w:t xml:space="preserve">a density of </w:t>
      </w:r>
      <w:r>
        <w:rPr>
          <w:rFonts w:ascii="Arial" w:hAnsi="Arial" w:cs="Arial"/>
          <w:sz w:val="24"/>
          <w:szCs w:val="24"/>
        </w:rPr>
        <w:t xml:space="preserve">35 dwellings per hectare (see Density section of </w:t>
      </w:r>
      <w:r w:rsidR="008009E4">
        <w:rPr>
          <w:rFonts w:ascii="Arial" w:hAnsi="Arial" w:cs="Arial"/>
          <w:sz w:val="24"/>
          <w:szCs w:val="24"/>
        </w:rPr>
        <w:t xml:space="preserve">new </w:t>
      </w:r>
      <w:r>
        <w:rPr>
          <w:rFonts w:ascii="Arial" w:hAnsi="Arial" w:cs="Arial"/>
          <w:sz w:val="24"/>
          <w:szCs w:val="24"/>
        </w:rPr>
        <w:t>Local Plan)</w:t>
      </w:r>
      <w:r w:rsidR="0025322F">
        <w:rPr>
          <w:rFonts w:ascii="Arial" w:hAnsi="Arial" w:cs="Arial"/>
          <w:sz w:val="24"/>
          <w:szCs w:val="24"/>
        </w:rPr>
        <w:t xml:space="preserve">. </w:t>
      </w:r>
    </w:p>
    <w:p w14:paraId="2DA54C4C" w14:textId="77777777" w:rsidR="00A0000D" w:rsidRDefault="00A0000D" w:rsidP="00951D7E">
      <w:pPr>
        <w:pStyle w:val="ListParagraph"/>
        <w:spacing w:after="0"/>
        <w:ind w:left="1080"/>
        <w:contextualSpacing w:val="0"/>
        <w:jc w:val="both"/>
        <w:rPr>
          <w:rFonts w:ascii="Arial" w:hAnsi="Arial" w:cs="Arial"/>
          <w:sz w:val="24"/>
          <w:szCs w:val="24"/>
        </w:rPr>
      </w:pPr>
    </w:p>
    <w:p w14:paraId="1E74B2BF" w14:textId="7CA8B131" w:rsidR="00A0000D" w:rsidRDefault="00EF0D9E" w:rsidP="00951D7E">
      <w:pPr>
        <w:pStyle w:val="ListParagraph"/>
        <w:numPr>
          <w:ilvl w:val="1"/>
          <w:numId w:val="1"/>
        </w:numPr>
        <w:spacing w:after="0"/>
        <w:ind w:left="720" w:hanging="720"/>
        <w:jc w:val="both"/>
        <w:rPr>
          <w:rFonts w:ascii="Arial" w:hAnsi="Arial" w:cs="Arial"/>
          <w:sz w:val="24"/>
          <w:szCs w:val="24"/>
        </w:rPr>
      </w:pPr>
      <w:proofErr w:type="gramStart"/>
      <w:r>
        <w:rPr>
          <w:rFonts w:ascii="Arial" w:hAnsi="Arial" w:cs="Arial"/>
          <w:sz w:val="24"/>
          <w:szCs w:val="24"/>
        </w:rPr>
        <w:t>With the exception of</w:t>
      </w:r>
      <w:proofErr w:type="gramEnd"/>
      <w:r>
        <w:rPr>
          <w:rFonts w:ascii="Arial" w:hAnsi="Arial" w:cs="Arial"/>
          <w:sz w:val="24"/>
          <w:szCs w:val="24"/>
        </w:rPr>
        <w:t xml:space="preserve"> Chichester, as </w:t>
      </w:r>
      <w:r w:rsidR="0025322F">
        <w:rPr>
          <w:rFonts w:ascii="Arial" w:hAnsi="Arial" w:cs="Arial"/>
          <w:sz w:val="24"/>
          <w:szCs w:val="24"/>
        </w:rPr>
        <w:t xml:space="preserve">the current type of </w:t>
      </w:r>
      <w:r>
        <w:rPr>
          <w:rFonts w:ascii="Arial" w:hAnsi="Arial" w:cs="Arial"/>
          <w:sz w:val="24"/>
          <w:szCs w:val="24"/>
        </w:rPr>
        <w:t xml:space="preserve">land use for a windfall site cannot be known at this stage, current land use for the windfall parishes </w:t>
      </w:r>
      <w:r w:rsidRPr="003767B3">
        <w:rPr>
          <w:rFonts w:ascii="Arial" w:hAnsi="Arial" w:cs="Arial"/>
          <w:sz w:val="24"/>
          <w:szCs w:val="24"/>
        </w:rPr>
        <w:t>is presumed to be agricultural</w:t>
      </w:r>
      <w:r>
        <w:rPr>
          <w:rFonts w:ascii="Arial" w:hAnsi="Arial" w:cs="Arial"/>
          <w:sz w:val="24"/>
          <w:szCs w:val="24"/>
        </w:rPr>
        <w:t xml:space="preserve"> due to the CROME dataset revealing an assortment of crop categories covering the parish areas. The </w:t>
      </w:r>
      <w:r w:rsidRPr="003767B3">
        <w:rPr>
          <w:rFonts w:ascii="Arial" w:hAnsi="Arial" w:cs="Arial"/>
          <w:sz w:val="24"/>
          <w:szCs w:val="24"/>
        </w:rPr>
        <w:t xml:space="preserve">“mixed” land use category is </w:t>
      </w:r>
      <w:r w:rsidR="008009E4">
        <w:rPr>
          <w:rFonts w:ascii="Arial" w:hAnsi="Arial" w:cs="Arial"/>
          <w:sz w:val="24"/>
          <w:szCs w:val="24"/>
        </w:rPr>
        <w:t xml:space="preserve">therefore </w:t>
      </w:r>
      <w:r w:rsidRPr="003767B3">
        <w:rPr>
          <w:rFonts w:ascii="Arial" w:hAnsi="Arial" w:cs="Arial"/>
          <w:sz w:val="24"/>
          <w:szCs w:val="24"/>
        </w:rPr>
        <w:t>applied</w:t>
      </w:r>
      <w:r>
        <w:rPr>
          <w:rFonts w:ascii="Arial" w:hAnsi="Arial" w:cs="Arial"/>
          <w:sz w:val="24"/>
          <w:szCs w:val="24"/>
        </w:rPr>
        <w:t xml:space="preserve"> </w:t>
      </w:r>
      <w:r w:rsidR="00AB088E">
        <w:rPr>
          <w:rFonts w:ascii="Arial" w:hAnsi="Arial" w:cs="Arial"/>
          <w:sz w:val="24"/>
          <w:szCs w:val="24"/>
        </w:rPr>
        <w:t>which is</w:t>
      </w:r>
      <w:r>
        <w:rPr>
          <w:rFonts w:ascii="Arial" w:hAnsi="Arial" w:cs="Arial"/>
          <w:sz w:val="24"/>
          <w:szCs w:val="24"/>
        </w:rPr>
        <w:t xml:space="preserve"> </w:t>
      </w:r>
      <w:r w:rsidR="00F2788B">
        <w:rPr>
          <w:rFonts w:ascii="Arial" w:hAnsi="Arial" w:cs="Arial"/>
          <w:sz w:val="24"/>
          <w:szCs w:val="24"/>
        </w:rPr>
        <w:t xml:space="preserve">as referred to above, </w:t>
      </w:r>
      <w:r>
        <w:rPr>
          <w:rFonts w:ascii="Arial" w:hAnsi="Arial" w:cs="Arial"/>
          <w:sz w:val="24"/>
          <w:szCs w:val="24"/>
        </w:rPr>
        <w:t xml:space="preserve">defined by the </w:t>
      </w:r>
      <w:r w:rsidRPr="00B93A70">
        <w:rPr>
          <w:rFonts w:ascii="Arial" w:hAnsi="Arial" w:cs="Arial"/>
          <w:sz w:val="24"/>
          <w:szCs w:val="24"/>
        </w:rPr>
        <w:t xml:space="preserve">Natural England/DEFRA Calculator Guidance </w:t>
      </w:r>
      <w:r>
        <w:rPr>
          <w:rFonts w:ascii="Arial" w:hAnsi="Arial" w:cs="Arial"/>
          <w:sz w:val="24"/>
          <w:szCs w:val="24"/>
        </w:rPr>
        <w:t xml:space="preserve">as </w:t>
      </w:r>
      <w:r w:rsidRPr="00B93A70">
        <w:rPr>
          <w:rFonts w:ascii="Arial" w:hAnsi="Arial" w:cs="Arial"/>
          <w:sz w:val="24"/>
          <w:szCs w:val="24"/>
        </w:rPr>
        <w:t>"Agricultural areas.... where it is too difficult to select a single category to describe the farm type"</w:t>
      </w:r>
      <w:r>
        <w:rPr>
          <w:rFonts w:ascii="Arial" w:hAnsi="Arial" w:cs="Arial"/>
          <w:sz w:val="24"/>
          <w:szCs w:val="24"/>
        </w:rPr>
        <w:t xml:space="preserve">. </w:t>
      </w:r>
    </w:p>
    <w:p w14:paraId="7D68D94B" w14:textId="77777777" w:rsidR="00A0000D" w:rsidRDefault="00A0000D" w:rsidP="00951D7E">
      <w:pPr>
        <w:pStyle w:val="ListParagraph"/>
        <w:spacing w:after="0"/>
        <w:ind w:left="1080"/>
        <w:contextualSpacing w:val="0"/>
        <w:jc w:val="both"/>
        <w:rPr>
          <w:rFonts w:ascii="Arial" w:hAnsi="Arial" w:cs="Arial"/>
          <w:sz w:val="24"/>
          <w:szCs w:val="24"/>
        </w:rPr>
      </w:pPr>
    </w:p>
    <w:p w14:paraId="10A56D93" w14:textId="1475C1AB" w:rsidR="003A298D" w:rsidRPr="003A298D" w:rsidRDefault="00A0000D" w:rsidP="00951D7E">
      <w:pPr>
        <w:pStyle w:val="ListParagraph"/>
        <w:numPr>
          <w:ilvl w:val="1"/>
          <w:numId w:val="1"/>
        </w:numPr>
        <w:ind w:left="720" w:hanging="720"/>
        <w:jc w:val="both"/>
        <w:rPr>
          <w:rFonts w:ascii="Arial" w:hAnsi="Arial" w:cs="Arial"/>
          <w:i/>
          <w:iCs/>
          <w:sz w:val="24"/>
          <w:szCs w:val="24"/>
        </w:rPr>
      </w:pPr>
      <w:r w:rsidRPr="00005616">
        <w:rPr>
          <w:rFonts w:ascii="Arial" w:hAnsi="Arial" w:cs="Arial"/>
          <w:sz w:val="24"/>
          <w:szCs w:val="24"/>
        </w:rPr>
        <w:t>Average r</w:t>
      </w:r>
      <w:r w:rsidR="00EF0D9E" w:rsidRPr="00005616">
        <w:rPr>
          <w:rFonts w:ascii="Arial" w:hAnsi="Arial" w:cs="Arial"/>
          <w:sz w:val="24"/>
          <w:szCs w:val="24"/>
        </w:rPr>
        <w:t>ainfall and soil types for a</w:t>
      </w:r>
      <w:r w:rsidRPr="00005616">
        <w:rPr>
          <w:rFonts w:ascii="Arial" w:hAnsi="Arial" w:cs="Arial"/>
          <w:sz w:val="24"/>
          <w:szCs w:val="24"/>
        </w:rPr>
        <w:t xml:space="preserve"> windfall parish </w:t>
      </w:r>
      <w:r w:rsidR="00005616" w:rsidRPr="00005616">
        <w:rPr>
          <w:rFonts w:ascii="Arial" w:hAnsi="Arial" w:cs="Arial"/>
          <w:sz w:val="24"/>
          <w:szCs w:val="24"/>
        </w:rPr>
        <w:t xml:space="preserve">have been </w:t>
      </w:r>
      <w:r w:rsidRPr="00005616">
        <w:rPr>
          <w:rFonts w:ascii="Arial" w:hAnsi="Arial" w:cs="Arial"/>
          <w:sz w:val="24"/>
          <w:szCs w:val="24"/>
        </w:rPr>
        <w:t>determined by</w:t>
      </w:r>
      <w:r w:rsidR="00C41E82" w:rsidRPr="00005616">
        <w:rPr>
          <w:rFonts w:ascii="Arial" w:hAnsi="Arial" w:cs="Arial"/>
          <w:sz w:val="24"/>
          <w:szCs w:val="24"/>
        </w:rPr>
        <w:t xml:space="preserve"> whichever average rainfall and soil type covers the majority of the parish as appearing on </w:t>
      </w:r>
      <w:r w:rsidR="00EF0D9E" w:rsidRPr="00005616">
        <w:rPr>
          <w:rFonts w:ascii="Arial" w:hAnsi="Arial" w:cs="Arial"/>
          <w:sz w:val="24"/>
          <w:szCs w:val="24"/>
        </w:rPr>
        <w:t xml:space="preserve">the relevant website links within the </w:t>
      </w:r>
      <w:r w:rsidR="00AB088E" w:rsidRPr="00005616">
        <w:rPr>
          <w:rFonts w:ascii="Arial" w:hAnsi="Arial" w:cs="Arial"/>
          <w:sz w:val="24"/>
          <w:szCs w:val="24"/>
        </w:rPr>
        <w:t>Solent</w:t>
      </w:r>
      <w:r w:rsidR="00EF0D9E" w:rsidRPr="00005616">
        <w:rPr>
          <w:rFonts w:ascii="Arial" w:hAnsi="Arial" w:cs="Arial"/>
          <w:sz w:val="24"/>
          <w:szCs w:val="24"/>
        </w:rPr>
        <w:t xml:space="preserve"> nutrient calculator at </w:t>
      </w:r>
      <w:hyperlink r:id="rId14" w:history="1">
        <w:proofErr w:type="spellStart"/>
        <w:r w:rsidR="00EF0D9E" w:rsidRPr="00005616">
          <w:rPr>
            <w:rStyle w:val="Hyperlink"/>
            <w:rFonts w:ascii="Arial" w:hAnsi="Arial" w:cs="Arial"/>
            <w:sz w:val="24"/>
            <w:szCs w:val="24"/>
          </w:rPr>
          <w:t>LandIS</w:t>
        </w:r>
        <w:proofErr w:type="spellEnd"/>
        <w:r w:rsidR="00EF0D9E" w:rsidRPr="00005616">
          <w:rPr>
            <w:rStyle w:val="Hyperlink"/>
            <w:rFonts w:ascii="Arial" w:hAnsi="Arial" w:cs="Arial"/>
            <w:sz w:val="24"/>
            <w:szCs w:val="24"/>
          </w:rPr>
          <w:t xml:space="preserve"> - Land Information System - </w:t>
        </w:r>
        <w:proofErr w:type="spellStart"/>
        <w:r w:rsidR="00EF0D9E" w:rsidRPr="00005616">
          <w:rPr>
            <w:rStyle w:val="Hyperlink"/>
            <w:rFonts w:ascii="Arial" w:hAnsi="Arial" w:cs="Arial"/>
            <w:sz w:val="24"/>
            <w:szCs w:val="24"/>
          </w:rPr>
          <w:t>Soilscapes</w:t>
        </w:r>
        <w:proofErr w:type="spellEnd"/>
        <w:r w:rsidR="00EF0D9E" w:rsidRPr="00005616">
          <w:rPr>
            <w:rStyle w:val="Hyperlink"/>
            <w:rFonts w:ascii="Arial" w:hAnsi="Arial" w:cs="Arial"/>
            <w:sz w:val="24"/>
            <w:szCs w:val="24"/>
          </w:rPr>
          <w:t xml:space="preserve"> soil types viewer</w:t>
        </w:r>
      </w:hyperlink>
      <w:r w:rsidR="00EF0D9E" w:rsidRPr="00005616">
        <w:rPr>
          <w:rFonts w:ascii="Arial" w:hAnsi="Arial" w:cs="Arial"/>
          <w:sz w:val="24"/>
          <w:szCs w:val="24"/>
        </w:rPr>
        <w:t xml:space="preserve"> and the National River Flow Archive rainfall data link provided by Natural England at </w:t>
      </w:r>
      <w:hyperlink r:id="rId15" w:history="1">
        <w:r w:rsidR="00EF0D9E" w:rsidRPr="00005616">
          <w:rPr>
            <w:rStyle w:val="Hyperlink"/>
            <w:rFonts w:ascii="Arial" w:hAnsi="Arial" w:cs="Arial"/>
            <w:sz w:val="24"/>
            <w:szCs w:val="24"/>
          </w:rPr>
          <w:t>Catchment Info for 42019 - Tanners Brook at Millbrook (ceh.ac.uk)</w:t>
        </w:r>
      </w:hyperlink>
      <w:r w:rsidR="00EF0D9E" w:rsidRPr="00005616">
        <w:rPr>
          <w:rFonts w:ascii="Arial" w:hAnsi="Arial" w:cs="Arial"/>
          <w:sz w:val="24"/>
          <w:szCs w:val="24"/>
        </w:rPr>
        <w:t>.</w:t>
      </w:r>
      <w:r w:rsidRPr="00005616">
        <w:rPr>
          <w:rFonts w:ascii="Arial" w:hAnsi="Arial" w:cs="Arial"/>
          <w:sz w:val="24"/>
          <w:szCs w:val="24"/>
        </w:rPr>
        <w:t xml:space="preserve"> </w:t>
      </w:r>
    </w:p>
    <w:p w14:paraId="1EFEA231" w14:textId="3782840F" w:rsidR="00B0223D" w:rsidRPr="00951D7E" w:rsidRDefault="00B0223D" w:rsidP="00951D7E">
      <w:pPr>
        <w:pStyle w:val="Heading2"/>
        <w:ind w:left="709"/>
        <w:rPr>
          <w:rFonts w:ascii="Arial" w:hAnsi="Arial" w:cs="Arial"/>
          <w:b/>
          <w:bCs/>
          <w:color w:val="0073CF"/>
          <w:sz w:val="24"/>
          <w:szCs w:val="24"/>
        </w:rPr>
      </w:pPr>
      <w:r w:rsidRPr="00951D7E">
        <w:rPr>
          <w:rFonts w:ascii="Arial" w:hAnsi="Arial" w:cs="Arial"/>
          <w:b/>
          <w:bCs/>
          <w:color w:val="0073CF"/>
          <w:sz w:val="24"/>
          <w:szCs w:val="24"/>
        </w:rPr>
        <w:t>Gypsy</w:t>
      </w:r>
      <w:r w:rsidR="009F0CF3" w:rsidRPr="00951D7E">
        <w:rPr>
          <w:rFonts w:ascii="Arial" w:hAnsi="Arial" w:cs="Arial"/>
          <w:b/>
          <w:bCs/>
          <w:color w:val="0073CF"/>
          <w:sz w:val="24"/>
          <w:szCs w:val="24"/>
        </w:rPr>
        <w:t xml:space="preserve"> and Traveller and Travelling </w:t>
      </w:r>
      <w:proofErr w:type="spellStart"/>
      <w:r w:rsidR="009F0CF3" w:rsidRPr="00951D7E">
        <w:rPr>
          <w:rFonts w:ascii="Arial" w:hAnsi="Arial" w:cs="Arial"/>
          <w:b/>
          <w:bCs/>
          <w:color w:val="0073CF"/>
          <w:sz w:val="24"/>
          <w:szCs w:val="24"/>
        </w:rPr>
        <w:t>Showpeople</w:t>
      </w:r>
      <w:proofErr w:type="spellEnd"/>
      <w:r w:rsidR="009F0CF3" w:rsidRPr="00951D7E">
        <w:rPr>
          <w:rFonts w:ascii="Arial" w:hAnsi="Arial" w:cs="Arial"/>
          <w:b/>
          <w:bCs/>
          <w:color w:val="0073CF"/>
          <w:sz w:val="24"/>
          <w:szCs w:val="24"/>
        </w:rPr>
        <w:t xml:space="preserve"> - Strategic Sites, </w:t>
      </w:r>
      <w:r w:rsidRPr="00951D7E">
        <w:rPr>
          <w:rFonts w:ascii="Arial" w:hAnsi="Arial" w:cs="Arial"/>
          <w:b/>
          <w:bCs/>
          <w:color w:val="0073CF"/>
          <w:sz w:val="24"/>
          <w:szCs w:val="24"/>
        </w:rPr>
        <w:t>Intensification Sites</w:t>
      </w:r>
      <w:r w:rsidR="009F0CF3" w:rsidRPr="00951D7E">
        <w:rPr>
          <w:rFonts w:ascii="Arial" w:hAnsi="Arial" w:cs="Arial"/>
          <w:b/>
          <w:bCs/>
          <w:color w:val="0073CF"/>
          <w:sz w:val="24"/>
          <w:szCs w:val="24"/>
        </w:rPr>
        <w:t xml:space="preserve"> and Windfal</w:t>
      </w:r>
      <w:r w:rsidR="00FC5AAE" w:rsidRPr="00951D7E">
        <w:rPr>
          <w:rFonts w:ascii="Arial" w:hAnsi="Arial" w:cs="Arial"/>
          <w:b/>
          <w:bCs/>
          <w:color w:val="0073CF"/>
          <w:sz w:val="24"/>
          <w:szCs w:val="24"/>
        </w:rPr>
        <w:t xml:space="preserve">l </w:t>
      </w:r>
    </w:p>
    <w:p w14:paraId="5961B978" w14:textId="77777777" w:rsidR="009F0CF3" w:rsidRPr="001763CB" w:rsidRDefault="009F0CF3" w:rsidP="00951D7E">
      <w:pPr>
        <w:pStyle w:val="ListParagraph"/>
        <w:spacing w:after="0"/>
        <w:ind w:left="708"/>
        <w:contextualSpacing w:val="0"/>
        <w:jc w:val="both"/>
        <w:rPr>
          <w:rFonts w:ascii="Arial" w:hAnsi="Arial" w:cs="Arial"/>
          <w:sz w:val="24"/>
          <w:szCs w:val="24"/>
        </w:rPr>
      </w:pPr>
    </w:p>
    <w:p w14:paraId="085987B9" w14:textId="77777777" w:rsidR="003A298D" w:rsidRPr="00E964CB" w:rsidRDefault="003A298D" w:rsidP="00951D7E">
      <w:pPr>
        <w:pStyle w:val="ListParagraph"/>
        <w:spacing w:after="0"/>
        <w:contextualSpacing w:val="0"/>
        <w:jc w:val="both"/>
        <w:rPr>
          <w:rFonts w:ascii="Arial" w:hAnsi="Arial" w:cs="Arial"/>
          <w:b/>
          <w:bCs/>
          <w:i/>
          <w:iCs/>
          <w:sz w:val="24"/>
          <w:szCs w:val="24"/>
        </w:rPr>
      </w:pPr>
      <w:r w:rsidRPr="00E964CB">
        <w:rPr>
          <w:rFonts w:ascii="Arial" w:hAnsi="Arial" w:cs="Arial"/>
          <w:b/>
          <w:bCs/>
          <w:i/>
          <w:iCs/>
          <w:sz w:val="24"/>
          <w:szCs w:val="24"/>
        </w:rPr>
        <w:t>Overview</w:t>
      </w:r>
    </w:p>
    <w:p w14:paraId="756D350E" w14:textId="77777777" w:rsidR="00123B28" w:rsidRPr="00123B28" w:rsidRDefault="00123B28" w:rsidP="00951D7E">
      <w:pPr>
        <w:pStyle w:val="ListParagraph"/>
        <w:spacing w:after="0"/>
        <w:contextualSpacing w:val="0"/>
        <w:jc w:val="both"/>
        <w:rPr>
          <w:rFonts w:ascii="Arial" w:hAnsi="Arial" w:cs="Arial"/>
          <w:b/>
          <w:bCs/>
          <w:sz w:val="24"/>
          <w:szCs w:val="24"/>
        </w:rPr>
      </w:pPr>
    </w:p>
    <w:p w14:paraId="252408B0" w14:textId="0BC2F862" w:rsidR="00280782" w:rsidRDefault="003A298D" w:rsidP="00951D7E">
      <w:pPr>
        <w:pStyle w:val="ListParagraph"/>
        <w:numPr>
          <w:ilvl w:val="1"/>
          <w:numId w:val="1"/>
        </w:numPr>
        <w:spacing w:after="0"/>
        <w:ind w:left="720" w:hanging="720"/>
        <w:jc w:val="both"/>
        <w:rPr>
          <w:rFonts w:ascii="Arial" w:hAnsi="Arial" w:cs="Arial"/>
          <w:sz w:val="24"/>
          <w:szCs w:val="24"/>
        </w:rPr>
      </w:pPr>
      <w:r>
        <w:rPr>
          <w:rFonts w:ascii="Arial" w:hAnsi="Arial" w:cs="Arial"/>
          <w:sz w:val="24"/>
          <w:szCs w:val="24"/>
        </w:rPr>
        <w:t xml:space="preserve">On the basis that </w:t>
      </w:r>
      <w:r w:rsidR="00023315">
        <w:rPr>
          <w:rFonts w:ascii="Arial" w:hAnsi="Arial" w:cs="Arial"/>
          <w:sz w:val="24"/>
          <w:szCs w:val="24"/>
        </w:rPr>
        <w:t xml:space="preserve">the gypsy and traveller and travelling </w:t>
      </w:r>
      <w:proofErr w:type="spellStart"/>
      <w:r w:rsidR="00023315">
        <w:rPr>
          <w:rFonts w:ascii="Arial" w:hAnsi="Arial" w:cs="Arial"/>
          <w:sz w:val="24"/>
          <w:szCs w:val="24"/>
        </w:rPr>
        <w:t>showpeople</w:t>
      </w:r>
      <w:proofErr w:type="spellEnd"/>
      <w:r w:rsidR="00023315">
        <w:rPr>
          <w:rFonts w:ascii="Arial" w:hAnsi="Arial" w:cs="Arial"/>
          <w:sz w:val="24"/>
          <w:szCs w:val="24"/>
        </w:rPr>
        <w:t xml:space="preserve"> allocations on </w:t>
      </w:r>
      <w:r w:rsidR="005735C1">
        <w:rPr>
          <w:rFonts w:ascii="Arial" w:hAnsi="Arial" w:cs="Arial"/>
          <w:sz w:val="24"/>
          <w:szCs w:val="24"/>
        </w:rPr>
        <w:t xml:space="preserve">the </w:t>
      </w:r>
      <w:r w:rsidR="00023315">
        <w:rPr>
          <w:rFonts w:ascii="Arial" w:hAnsi="Arial" w:cs="Arial"/>
          <w:sz w:val="24"/>
          <w:szCs w:val="24"/>
        </w:rPr>
        <w:t xml:space="preserve">Southbourne Broad Location for Development </w:t>
      </w:r>
      <w:r w:rsidR="00881CAC">
        <w:rPr>
          <w:rFonts w:ascii="Arial" w:hAnsi="Arial" w:cs="Arial"/>
          <w:sz w:val="24"/>
          <w:szCs w:val="24"/>
        </w:rPr>
        <w:t xml:space="preserve">will </w:t>
      </w:r>
      <w:r>
        <w:rPr>
          <w:rFonts w:ascii="Arial" w:hAnsi="Arial" w:cs="Arial"/>
          <w:sz w:val="24"/>
          <w:szCs w:val="24"/>
        </w:rPr>
        <w:t xml:space="preserve">form part of a strategic allocation, it </w:t>
      </w:r>
      <w:r w:rsidR="00023315">
        <w:rPr>
          <w:rFonts w:ascii="Arial" w:hAnsi="Arial" w:cs="Arial"/>
          <w:sz w:val="24"/>
          <w:szCs w:val="24"/>
        </w:rPr>
        <w:t xml:space="preserve">is assumed </w:t>
      </w:r>
      <w:r w:rsidR="004C6C40">
        <w:rPr>
          <w:rFonts w:ascii="Arial" w:hAnsi="Arial" w:cs="Arial"/>
          <w:sz w:val="24"/>
          <w:szCs w:val="24"/>
        </w:rPr>
        <w:t xml:space="preserve">that </w:t>
      </w:r>
      <w:r>
        <w:rPr>
          <w:rFonts w:ascii="Arial" w:hAnsi="Arial" w:cs="Arial"/>
          <w:sz w:val="24"/>
          <w:szCs w:val="24"/>
        </w:rPr>
        <w:t xml:space="preserve">the new plots and pitches will </w:t>
      </w:r>
      <w:r w:rsidR="00023315">
        <w:rPr>
          <w:rFonts w:ascii="Arial" w:hAnsi="Arial" w:cs="Arial"/>
          <w:sz w:val="24"/>
          <w:szCs w:val="24"/>
        </w:rPr>
        <w:t xml:space="preserve">connect to </w:t>
      </w:r>
      <w:r>
        <w:rPr>
          <w:rFonts w:ascii="Arial" w:hAnsi="Arial" w:cs="Arial"/>
          <w:sz w:val="24"/>
          <w:szCs w:val="24"/>
        </w:rPr>
        <w:t xml:space="preserve">the same </w:t>
      </w:r>
      <w:r w:rsidR="00023315">
        <w:rPr>
          <w:rFonts w:ascii="Arial" w:hAnsi="Arial" w:cs="Arial"/>
          <w:sz w:val="24"/>
          <w:szCs w:val="24"/>
        </w:rPr>
        <w:t xml:space="preserve">mains sewerage </w:t>
      </w:r>
      <w:r>
        <w:rPr>
          <w:rFonts w:ascii="Arial" w:hAnsi="Arial" w:cs="Arial"/>
          <w:sz w:val="24"/>
          <w:szCs w:val="24"/>
        </w:rPr>
        <w:t xml:space="preserve">as the </w:t>
      </w:r>
      <w:r w:rsidR="00023315">
        <w:rPr>
          <w:rFonts w:ascii="Arial" w:hAnsi="Arial" w:cs="Arial"/>
          <w:sz w:val="24"/>
          <w:szCs w:val="24"/>
        </w:rPr>
        <w:t xml:space="preserve">strategic residential housing allocation.  </w:t>
      </w:r>
    </w:p>
    <w:p w14:paraId="24089AFE" w14:textId="77777777" w:rsidR="00D73BF3" w:rsidRDefault="00D73BF3" w:rsidP="00951D7E">
      <w:pPr>
        <w:pStyle w:val="ListParagraph"/>
        <w:spacing w:after="0"/>
        <w:contextualSpacing w:val="0"/>
        <w:jc w:val="both"/>
        <w:rPr>
          <w:rFonts w:ascii="Arial" w:hAnsi="Arial" w:cs="Arial"/>
          <w:sz w:val="24"/>
          <w:szCs w:val="24"/>
        </w:rPr>
      </w:pPr>
    </w:p>
    <w:p w14:paraId="58412AAB" w14:textId="30D90604" w:rsidR="004A3CCC" w:rsidRDefault="00D73BF3" w:rsidP="00951D7E">
      <w:pPr>
        <w:pStyle w:val="ListParagraph"/>
        <w:numPr>
          <w:ilvl w:val="1"/>
          <w:numId w:val="1"/>
        </w:numPr>
        <w:spacing w:after="0"/>
        <w:ind w:left="720" w:hanging="720"/>
        <w:jc w:val="both"/>
        <w:rPr>
          <w:rFonts w:ascii="Arial" w:hAnsi="Arial" w:cs="Arial"/>
          <w:sz w:val="24"/>
          <w:szCs w:val="24"/>
        </w:rPr>
      </w:pPr>
      <w:r>
        <w:rPr>
          <w:rFonts w:ascii="Arial" w:hAnsi="Arial" w:cs="Arial"/>
          <w:sz w:val="24"/>
          <w:szCs w:val="24"/>
        </w:rPr>
        <w:t>In relation to w</w:t>
      </w:r>
      <w:r w:rsidRPr="009F0CF3">
        <w:rPr>
          <w:rFonts w:ascii="Arial" w:hAnsi="Arial" w:cs="Arial"/>
          <w:sz w:val="24"/>
          <w:szCs w:val="24"/>
        </w:rPr>
        <w:t xml:space="preserve">astewater from gypsy and traveller and travelling </w:t>
      </w:r>
      <w:proofErr w:type="spellStart"/>
      <w:r w:rsidRPr="009F0CF3">
        <w:rPr>
          <w:rFonts w:ascii="Arial" w:hAnsi="Arial" w:cs="Arial"/>
          <w:sz w:val="24"/>
          <w:szCs w:val="24"/>
        </w:rPr>
        <w:t>showpeople</w:t>
      </w:r>
      <w:proofErr w:type="spellEnd"/>
      <w:r w:rsidRPr="009F0CF3">
        <w:rPr>
          <w:rFonts w:ascii="Arial" w:hAnsi="Arial" w:cs="Arial"/>
          <w:sz w:val="24"/>
          <w:szCs w:val="24"/>
        </w:rPr>
        <w:t xml:space="preserve"> </w:t>
      </w:r>
      <w:r>
        <w:rPr>
          <w:rFonts w:ascii="Arial" w:hAnsi="Arial" w:cs="Arial"/>
          <w:sz w:val="24"/>
          <w:szCs w:val="24"/>
        </w:rPr>
        <w:t xml:space="preserve">intensification and windfall </w:t>
      </w:r>
      <w:r w:rsidRPr="009F0CF3">
        <w:rPr>
          <w:rFonts w:ascii="Arial" w:hAnsi="Arial" w:cs="Arial"/>
          <w:sz w:val="24"/>
          <w:szCs w:val="24"/>
        </w:rPr>
        <w:t>sites</w:t>
      </w:r>
      <w:r>
        <w:rPr>
          <w:rFonts w:ascii="Arial" w:hAnsi="Arial" w:cs="Arial"/>
          <w:sz w:val="24"/>
          <w:szCs w:val="24"/>
        </w:rPr>
        <w:t xml:space="preserve">, </w:t>
      </w:r>
      <w:r w:rsidR="002A45DA">
        <w:rPr>
          <w:rFonts w:ascii="Arial" w:hAnsi="Arial" w:cs="Arial"/>
          <w:sz w:val="24"/>
          <w:szCs w:val="24"/>
        </w:rPr>
        <w:t xml:space="preserve">whilst gypsy and traveller and travelling </w:t>
      </w:r>
      <w:proofErr w:type="spellStart"/>
      <w:r w:rsidR="002A45DA">
        <w:rPr>
          <w:rFonts w:ascii="Arial" w:hAnsi="Arial" w:cs="Arial"/>
          <w:sz w:val="24"/>
          <w:szCs w:val="24"/>
        </w:rPr>
        <w:t>showpeople</w:t>
      </w:r>
      <w:proofErr w:type="spellEnd"/>
      <w:r w:rsidR="002A45DA">
        <w:rPr>
          <w:rFonts w:ascii="Arial" w:hAnsi="Arial" w:cs="Arial"/>
          <w:sz w:val="24"/>
          <w:szCs w:val="24"/>
        </w:rPr>
        <w:t xml:space="preserve"> </w:t>
      </w:r>
      <w:r>
        <w:rPr>
          <w:rFonts w:ascii="Arial" w:hAnsi="Arial" w:cs="Arial"/>
          <w:sz w:val="24"/>
          <w:szCs w:val="24"/>
        </w:rPr>
        <w:t>sites</w:t>
      </w:r>
      <w:r w:rsidR="005735C1">
        <w:rPr>
          <w:rFonts w:ascii="Arial" w:hAnsi="Arial" w:cs="Arial"/>
          <w:sz w:val="24"/>
          <w:szCs w:val="24"/>
        </w:rPr>
        <w:t xml:space="preserve"> can</w:t>
      </w:r>
      <w:r w:rsidR="002A45DA">
        <w:rPr>
          <w:rFonts w:ascii="Arial" w:hAnsi="Arial" w:cs="Arial"/>
          <w:sz w:val="24"/>
          <w:szCs w:val="24"/>
        </w:rPr>
        <w:t xml:space="preserve"> </w:t>
      </w:r>
      <w:r w:rsidR="00500540">
        <w:rPr>
          <w:rFonts w:ascii="Arial" w:hAnsi="Arial" w:cs="Arial"/>
          <w:sz w:val="24"/>
          <w:szCs w:val="24"/>
        </w:rPr>
        <w:t xml:space="preserve">where available, </w:t>
      </w:r>
      <w:r w:rsidR="002A45DA">
        <w:rPr>
          <w:rFonts w:ascii="Arial" w:hAnsi="Arial" w:cs="Arial"/>
          <w:sz w:val="24"/>
          <w:szCs w:val="24"/>
        </w:rPr>
        <w:t xml:space="preserve">connect to mains sewerage, they also frequently use </w:t>
      </w:r>
      <w:r w:rsidRPr="009F0CF3">
        <w:rPr>
          <w:rFonts w:ascii="Arial" w:hAnsi="Arial" w:cs="Arial"/>
          <w:sz w:val="24"/>
          <w:szCs w:val="24"/>
        </w:rPr>
        <w:t>septic tank and package treatment plant</w:t>
      </w:r>
      <w:r w:rsidR="002A45DA">
        <w:rPr>
          <w:rFonts w:ascii="Arial" w:hAnsi="Arial" w:cs="Arial"/>
          <w:sz w:val="24"/>
          <w:szCs w:val="24"/>
        </w:rPr>
        <w:t>s</w:t>
      </w:r>
      <w:r w:rsidR="003F1C0E">
        <w:rPr>
          <w:rFonts w:ascii="Arial" w:hAnsi="Arial" w:cs="Arial"/>
          <w:sz w:val="24"/>
          <w:szCs w:val="24"/>
        </w:rPr>
        <w:t xml:space="preserve"> (PTP)</w:t>
      </w:r>
      <w:r w:rsidR="002A45DA">
        <w:rPr>
          <w:rFonts w:ascii="Arial" w:hAnsi="Arial" w:cs="Arial"/>
          <w:sz w:val="24"/>
          <w:szCs w:val="24"/>
        </w:rPr>
        <w:t xml:space="preserve">. </w:t>
      </w:r>
      <w:r w:rsidR="005735C1">
        <w:rPr>
          <w:rFonts w:ascii="Arial" w:hAnsi="Arial" w:cs="Arial"/>
          <w:sz w:val="24"/>
          <w:szCs w:val="24"/>
        </w:rPr>
        <w:t xml:space="preserve">Therefore, </w:t>
      </w:r>
      <w:proofErr w:type="gramStart"/>
      <w:r w:rsidR="005735C1">
        <w:rPr>
          <w:rFonts w:ascii="Arial" w:hAnsi="Arial" w:cs="Arial"/>
          <w:sz w:val="24"/>
          <w:szCs w:val="24"/>
        </w:rPr>
        <w:t>i</w:t>
      </w:r>
      <w:r w:rsidR="002A45DA">
        <w:rPr>
          <w:rFonts w:ascii="Arial" w:hAnsi="Arial" w:cs="Arial"/>
          <w:sz w:val="24"/>
          <w:szCs w:val="24"/>
        </w:rPr>
        <w:t>n order to</w:t>
      </w:r>
      <w:proofErr w:type="gramEnd"/>
      <w:r w:rsidR="002A45DA">
        <w:rPr>
          <w:rFonts w:ascii="Arial" w:hAnsi="Arial" w:cs="Arial"/>
          <w:sz w:val="24"/>
          <w:szCs w:val="24"/>
        </w:rPr>
        <w:t xml:space="preserve"> </w:t>
      </w:r>
      <w:r w:rsidR="005735C1">
        <w:rPr>
          <w:rFonts w:ascii="Arial" w:hAnsi="Arial" w:cs="Arial"/>
          <w:sz w:val="24"/>
          <w:szCs w:val="24"/>
        </w:rPr>
        <w:t xml:space="preserve">exercise </w:t>
      </w:r>
      <w:r w:rsidR="002A45DA">
        <w:rPr>
          <w:rFonts w:ascii="Arial" w:hAnsi="Arial" w:cs="Arial"/>
          <w:sz w:val="24"/>
          <w:szCs w:val="24"/>
        </w:rPr>
        <w:t>a precautionary approach</w:t>
      </w:r>
      <w:r w:rsidR="007056A5">
        <w:rPr>
          <w:rFonts w:ascii="Arial" w:hAnsi="Arial" w:cs="Arial"/>
          <w:sz w:val="24"/>
          <w:szCs w:val="24"/>
        </w:rPr>
        <w:t xml:space="preserve"> to </w:t>
      </w:r>
      <w:r w:rsidRPr="009F0CF3">
        <w:rPr>
          <w:rFonts w:ascii="Arial" w:hAnsi="Arial" w:cs="Arial"/>
          <w:sz w:val="24"/>
          <w:szCs w:val="24"/>
        </w:rPr>
        <w:t xml:space="preserve">the nutrient budget, a package treatment plant </w:t>
      </w:r>
      <w:r w:rsidR="00500540">
        <w:rPr>
          <w:rFonts w:ascii="Arial" w:hAnsi="Arial" w:cs="Arial"/>
          <w:sz w:val="24"/>
          <w:szCs w:val="24"/>
        </w:rPr>
        <w:t>ha</w:t>
      </w:r>
      <w:r w:rsidRPr="009F0CF3">
        <w:rPr>
          <w:rFonts w:ascii="Arial" w:hAnsi="Arial" w:cs="Arial"/>
          <w:sz w:val="24"/>
          <w:szCs w:val="24"/>
        </w:rPr>
        <w:t xml:space="preserve">s </w:t>
      </w:r>
      <w:r w:rsidR="00500540">
        <w:rPr>
          <w:rFonts w:ascii="Arial" w:hAnsi="Arial" w:cs="Arial"/>
          <w:sz w:val="24"/>
          <w:szCs w:val="24"/>
        </w:rPr>
        <w:t xml:space="preserve">been </w:t>
      </w:r>
      <w:r>
        <w:rPr>
          <w:rFonts w:ascii="Arial" w:hAnsi="Arial" w:cs="Arial"/>
          <w:sz w:val="24"/>
          <w:szCs w:val="24"/>
        </w:rPr>
        <w:t xml:space="preserve">assumed </w:t>
      </w:r>
      <w:r w:rsidR="007056A5">
        <w:rPr>
          <w:rFonts w:ascii="Arial" w:hAnsi="Arial" w:cs="Arial"/>
          <w:sz w:val="24"/>
          <w:szCs w:val="24"/>
        </w:rPr>
        <w:t>for intensification and windfall sites</w:t>
      </w:r>
      <w:r w:rsidRPr="009F0CF3">
        <w:rPr>
          <w:rFonts w:ascii="Arial" w:hAnsi="Arial" w:cs="Arial"/>
          <w:sz w:val="24"/>
          <w:szCs w:val="24"/>
        </w:rPr>
        <w:t xml:space="preserve">.  </w:t>
      </w:r>
      <w:r>
        <w:rPr>
          <w:rFonts w:ascii="Arial" w:hAnsi="Arial" w:cs="Arial"/>
          <w:sz w:val="24"/>
          <w:szCs w:val="24"/>
        </w:rPr>
        <w:t xml:space="preserve">Since </w:t>
      </w:r>
      <w:r w:rsidRPr="009F0CF3">
        <w:rPr>
          <w:rFonts w:ascii="Arial" w:hAnsi="Arial" w:cs="Arial"/>
          <w:sz w:val="24"/>
          <w:szCs w:val="24"/>
        </w:rPr>
        <w:t xml:space="preserve">common septic tanks and PTPs can vary substantially, </w:t>
      </w:r>
      <w:proofErr w:type="spellStart"/>
      <w:r w:rsidRPr="009F0CF3">
        <w:rPr>
          <w:rFonts w:ascii="Arial" w:hAnsi="Arial" w:cs="Arial"/>
          <w:sz w:val="24"/>
          <w:szCs w:val="24"/>
        </w:rPr>
        <w:t>ie</w:t>
      </w:r>
      <w:proofErr w:type="spellEnd"/>
      <w:r w:rsidRPr="009F0CF3">
        <w:rPr>
          <w:rFonts w:ascii="Arial" w:hAnsi="Arial" w:cs="Arial"/>
          <w:sz w:val="24"/>
          <w:szCs w:val="24"/>
        </w:rPr>
        <w:t xml:space="preserve">; past </w:t>
      </w:r>
      <w:r w:rsidR="005735C1">
        <w:rPr>
          <w:rFonts w:ascii="Arial" w:hAnsi="Arial" w:cs="Arial"/>
          <w:sz w:val="24"/>
          <w:szCs w:val="24"/>
        </w:rPr>
        <w:t xml:space="preserve">planning </w:t>
      </w:r>
      <w:r w:rsidRPr="009F0CF3">
        <w:rPr>
          <w:rFonts w:ascii="Arial" w:hAnsi="Arial" w:cs="Arial"/>
          <w:sz w:val="24"/>
          <w:szCs w:val="24"/>
        </w:rPr>
        <w:t xml:space="preserve">applications have included for instance, Kingspan </w:t>
      </w:r>
      <w:proofErr w:type="spellStart"/>
      <w:r w:rsidRPr="009F0CF3">
        <w:rPr>
          <w:rFonts w:ascii="Arial" w:hAnsi="Arial" w:cs="Arial"/>
          <w:sz w:val="24"/>
          <w:szCs w:val="24"/>
        </w:rPr>
        <w:t>Klargester</w:t>
      </w:r>
      <w:proofErr w:type="spellEnd"/>
      <w:r w:rsidRPr="009F0CF3">
        <w:rPr>
          <w:rFonts w:ascii="Arial" w:hAnsi="Arial" w:cs="Arial"/>
          <w:sz w:val="24"/>
          <w:szCs w:val="24"/>
        </w:rPr>
        <w:t xml:space="preserve"> 23mg/Biodigester T6 20 mg/Marsh Ensign PTP 8.4 mg, </w:t>
      </w:r>
      <w:r w:rsidRPr="009F0CF3">
        <w:rPr>
          <w:rFonts w:ascii="Arial" w:hAnsi="Arial" w:cs="Arial"/>
          <w:sz w:val="24"/>
          <w:szCs w:val="24"/>
        </w:rPr>
        <w:lastRenderedPageBreak/>
        <w:t xml:space="preserve">calculations have assumed a PTP with </w:t>
      </w:r>
      <w:r w:rsidR="00625A04">
        <w:rPr>
          <w:rFonts w:ascii="Arial" w:hAnsi="Arial" w:cs="Arial"/>
          <w:sz w:val="24"/>
          <w:szCs w:val="24"/>
        </w:rPr>
        <w:t xml:space="preserve">a precautionary </w:t>
      </w:r>
      <w:r w:rsidR="00500540">
        <w:rPr>
          <w:rFonts w:ascii="Arial" w:hAnsi="Arial" w:cs="Arial"/>
          <w:sz w:val="24"/>
          <w:szCs w:val="24"/>
        </w:rPr>
        <w:t xml:space="preserve">22 mg/l or </w:t>
      </w:r>
      <w:r w:rsidRPr="009F0CF3">
        <w:rPr>
          <w:rFonts w:ascii="Arial" w:hAnsi="Arial" w:cs="Arial"/>
          <w:sz w:val="24"/>
          <w:szCs w:val="24"/>
        </w:rPr>
        <w:t>20 mg/l TN concentration in final effluent (after accept</w:t>
      </w:r>
      <w:r w:rsidR="00625A04">
        <w:rPr>
          <w:rFonts w:ascii="Arial" w:hAnsi="Arial" w:cs="Arial"/>
          <w:sz w:val="24"/>
          <w:szCs w:val="24"/>
        </w:rPr>
        <w:t>a</w:t>
      </w:r>
      <w:r w:rsidRPr="009F0CF3">
        <w:rPr>
          <w:rFonts w:ascii="Arial" w:hAnsi="Arial" w:cs="Arial"/>
          <w:sz w:val="24"/>
          <w:szCs w:val="24"/>
        </w:rPr>
        <w:t>ble loading of 2 mg/l</w:t>
      </w:r>
      <w:r>
        <w:rPr>
          <w:rFonts w:ascii="Arial" w:hAnsi="Arial" w:cs="Arial"/>
          <w:sz w:val="24"/>
          <w:szCs w:val="24"/>
        </w:rPr>
        <w:t xml:space="preserve"> </w:t>
      </w:r>
      <w:r w:rsidRPr="009F0CF3">
        <w:rPr>
          <w:rFonts w:ascii="Arial" w:hAnsi="Arial" w:cs="Arial"/>
          <w:sz w:val="24"/>
          <w:szCs w:val="24"/>
        </w:rPr>
        <w:t>is deducted).</w:t>
      </w:r>
      <w:r w:rsidR="00625A04">
        <w:rPr>
          <w:rFonts w:ascii="Arial" w:hAnsi="Arial" w:cs="Arial"/>
          <w:sz w:val="24"/>
          <w:szCs w:val="24"/>
        </w:rPr>
        <w:t xml:space="preserve">  </w:t>
      </w:r>
    </w:p>
    <w:p w14:paraId="570ED848" w14:textId="77777777" w:rsidR="004A3CCC" w:rsidRPr="004A3CCC" w:rsidRDefault="004A3CCC" w:rsidP="00951D7E">
      <w:pPr>
        <w:pStyle w:val="ListParagraph"/>
        <w:rPr>
          <w:rFonts w:ascii="Arial" w:hAnsi="Arial" w:cs="Arial"/>
          <w:sz w:val="24"/>
          <w:szCs w:val="24"/>
        </w:rPr>
      </w:pPr>
    </w:p>
    <w:p w14:paraId="10719C52" w14:textId="1AF0D6E1" w:rsidR="003F05B1" w:rsidRDefault="004A3CCC" w:rsidP="00951D7E">
      <w:pPr>
        <w:pStyle w:val="ListParagraph"/>
        <w:numPr>
          <w:ilvl w:val="1"/>
          <w:numId w:val="1"/>
        </w:numPr>
        <w:spacing w:after="0"/>
        <w:ind w:left="720" w:hanging="720"/>
        <w:jc w:val="both"/>
        <w:rPr>
          <w:rFonts w:ascii="Arial" w:hAnsi="Arial" w:cs="Arial"/>
          <w:sz w:val="24"/>
          <w:szCs w:val="24"/>
        </w:rPr>
      </w:pPr>
      <w:r>
        <w:rPr>
          <w:rFonts w:ascii="Arial" w:hAnsi="Arial" w:cs="Arial"/>
          <w:sz w:val="24"/>
          <w:szCs w:val="24"/>
        </w:rPr>
        <w:t>For windfall calculations</w:t>
      </w:r>
      <w:r w:rsidR="004C6C40">
        <w:rPr>
          <w:rFonts w:ascii="Arial" w:hAnsi="Arial" w:cs="Arial"/>
          <w:sz w:val="24"/>
          <w:szCs w:val="24"/>
        </w:rPr>
        <w:t xml:space="preserve"> for gypsy and traveller and travelling </w:t>
      </w:r>
      <w:proofErr w:type="spellStart"/>
      <w:r w:rsidR="004C6C40">
        <w:rPr>
          <w:rFonts w:ascii="Arial" w:hAnsi="Arial" w:cs="Arial"/>
          <w:sz w:val="24"/>
          <w:szCs w:val="24"/>
        </w:rPr>
        <w:t>showpeople</w:t>
      </w:r>
      <w:proofErr w:type="spellEnd"/>
      <w:r>
        <w:rPr>
          <w:rFonts w:ascii="Arial" w:hAnsi="Arial" w:cs="Arial"/>
          <w:sz w:val="24"/>
          <w:szCs w:val="24"/>
        </w:rPr>
        <w:t>,</w:t>
      </w:r>
      <w:r w:rsidR="003F05B1">
        <w:rPr>
          <w:rFonts w:ascii="Arial" w:hAnsi="Arial" w:cs="Arial"/>
          <w:sz w:val="24"/>
          <w:szCs w:val="24"/>
        </w:rPr>
        <w:t xml:space="preserve"> to exercise a precautionary approach, all windfall is presumed to come forward within a parish within the Solent catchment.</w:t>
      </w:r>
    </w:p>
    <w:p w14:paraId="2546C6E0" w14:textId="77777777" w:rsidR="003F05B1" w:rsidRPr="003F05B1" w:rsidRDefault="003F05B1" w:rsidP="00951D7E">
      <w:pPr>
        <w:pStyle w:val="ListParagraph"/>
        <w:rPr>
          <w:rFonts w:ascii="Arial" w:hAnsi="Arial" w:cs="Arial"/>
          <w:sz w:val="24"/>
          <w:szCs w:val="24"/>
        </w:rPr>
      </w:pPr>
    </w:p>
    <w:p w14:paraId="1640B2F1" w14:textId="77777777" w:rsidR="00937850" w:rsidRPr="00E964CB" w:rsidRDefault="00937850" w:rsidP="00951D7E">
      <w:pPr>
        <w:pStyle w:val="ListParagraph"/>
        <w:spacing w:after="0"/>
        <w:contextualSpacing w:val="0"/>
        <w:jc w:val="both"/>
        <w:rPr>
          <w:rFonts w:ascii="Arial" w:hAnsi="Arial" w:cs="Arial"/>
          <w:b/>
          <w:bCs/>
          <w:i/>
          <w:iCs/>
          <w:sz w:val="24"/>
          <w:szCs w:val="24"/>
        </w:rPr>
      </w:pPr>
      <w:r w:rsidRPr="00E964CB">
        <w:rPr>
          <w:rFonts w:ascii="Arial" w:hAnsi="Arial" w:cs="Arial"/>
          <w:b/>
          <w:bCs/>
          <w:i/>
          <w:iCs/>
          <w:sz w:val="24"/>
          <w:szCs w:val="24"/>
        </w:rPr>
        <w:t>Land Use Area and Type</w:t>
      </w:r>
    </w:p>
    <w:p w14:paraId="4B1D8524" w14:textId="77777777" w:rsidR="00937850" w:rsidRPr="00937850" w:rsidRDefault="00937850" w:rsidP="00951D7E">
      <w:pPr>
        <w:pStyle w:val="ListParagraph"/>
        <w:rPr>
          <w:rFonts w:ascii="Arial" w:hAnsi="Arial" w:cs="Arial"/>
          <w:sz w:val="24"/>
          <w:szCs w:val="24"/>
        </w:rPr>
      </w:pPr>
    </w:p>
    <w:p w14:paraId="5C561369" w14:textId="5093D01E" w:rsidR="00EF27D1" w:rsidRDefault="004A3CCC" w:rsidP="00951D7E">
      <w:pPr>
        <w:pStyle w:val="ListParagraph"/>
        <w:numPr>
          <w:ilvl w:val="1"/>
          <w:numId w:val="1"/>
        </w:numPr>
        <w:spacing w:after="0"/>
        <w:ind w:left="720" w:hanging="720"/>
        <w:jc w:val="both"/>
        <w:rPr>
          <w:rFonts w:ascii="Arial" w:hAnsi="Arial" w:cs="Arial"/>
          <w:sz w:val="24"/>
          <w:szCs w:val="24"/>
        </w:rPr>
      </w:pPr>
      <w:r w:rsidRPr="002D1581">
        <w:rPr>
          <w:rFonts w:ascii="Arial" w:hAnsi="Arial" w:cs="Arial"/>
          <w:sz w:val="24"/>
          <w:szCs w:val="24"/>
        </w:rPr>
        <w:t>In respect of the l</w:t>
      </w:r>
      <w:r w:rsidR="00023315" w:rsidRPr="002D1581">
        <w:rPr>
          <w:rFonts w:ascii="Arial" w:hAnsi="Arial" w:cs="Arial"/>
          <w:sz w:val="24"/>
          <w:szCs w:val="24"/>
        </w:rPr>
        <w:t>and requirement</w:t>
      </w:r>
      <w:r w:rsidRPr="002D1581">
        <w:rPr>
          <w:rFonts w:ascii="Arial" w:hAnsi="Arial" w:cs="Arial"/>
          <w:sz w:val="24"/>
          <w:szCs w:val="24"/>
        </w:rPr>
        <w:t xml:space="preserve"> for each plot/pitch, this</w:t>
      </w:r>
      <w:r w:rsidR="00023315" w:rsidRPr="002D1581">
        <w:rPr>
          <w:rFonts w:ascii="Arial" w:hAnsi="Arial" w:cs="Arial"/>
          <w:sz w:val="24"/>
          <w:szCs w:val="24"/>
        </w:rPr>
        <w:t xml:space="preserve"> is based </w:t>
      </w:r>
      <w:r w:rsidR="00280782" w:rsidRPr="002D1581">
        <w:rPr>
          <w:rFonts w:ascii="Arial" w:hAnsi="Arial" w:cs="Arial"/>
          <w:sz w:val="24"/>
          <w:szCs w:val="24"/>
        </w:rPr>
        <w:t xml:space="preserve">on the 320 square metres mentioned in the Gypsy and Traveller and Travelling </w:t>
      </w:r>
      <w:proofErr w:type="spellStart"/>
      <w:r w:rsidR="00280782" w:rsidRPr="002D1581">
        <w:rPr>
          <w:rFonts w:ascii="Arial" w:hAnsi="Arial" w:cs="Arial"/>
          <w:sz w:val="24"/>
          <w:szCs w:val="24"/>
        </w:rPr>
        <w:t>Showpeople</w:t>
      </w:r>
      <w:proofErr w:type="spellEnd"/>
      <w:r w:rsidR="00280782" w:rsidRPr="002D1581">
        <w:rPr>
          <w:rFonts w:ascii="Arial" w:hAnsi="Arial" w:cs="Arial"/>
          <w:sz w:val="24"/>
          <w:szCs w:val="24"/>
        </w:rPr>
        <w:t xml:space="preserve"> Background Paper. Whilst a larger size plot for travelling </w:t>
      </w:r>
      <w:proofErr w:type="spellStart"/>
      <w:r w:rsidR="00280782" w:rsidRPr="002D1581">
        <w:rPr>
          <w:rFonts w:ascii="Arial" w:hAnsi="Arial" w:cs="Arial"/>
          <w:sz w:val="24"/>
          <w:szCs w:val="24"/>
        </w:rPr>
        <w:t>showpeople</w:t>
      </w:r>
      <w:proofErr w:type="spellEnd"/>
      <w:r w:rsidR="00500540" w:rsidRPr="002D1581">
        <w:rPr>
          <w:rFonts w:ascii="Arial" w:hAnsi="Arial" w:cs="Arial"/>
          <w:sz w:val="24"/>
          <w:szCs w:val="24"/>
        </w:rPr>
        <w:t xml:space="preserve"> might be sought</w:t>
      </w:r>
      <w:r w:rsidR="00280782" w:rsidRPr="002D1581">
        <w:rPr>
          <w:rFonts w:ascii="Arial" w:hAnsi="Arial" w:cs="Arial"/>
          <w:sz w:val="24"/>
          <w:szCs w:val="24"/>
        </w:rPr>
        <w:t>, this is not</w:t>
      </w:r>
      <w:r w:rsidRPr="002D1581">
        <w:rPr>
          <w:rFonts w:ascii="Arial" w:hAnsi="Arial" w:cs="Arial"/>
          <w:sz w:val="24"/>
          <w:szCs w:val="24"/>
        </w:rPr>
        <w:t xml:space="preserve"> </w:t>
      </w:r>
      <w:r w:rsidR="00500540" w:rsidRPr="002D1581">
        <w:rPr>
          <w:rFonts w:ascii="Arial" w:hAnsi="Arial" w:cs="Arial"/>
          <w:sz w:val="24"/>
          <w:szCs w:val="24"/>
        </w:rPr>
        <w:t xml:space="preserve">usually </w:t>
      </w:r>
      <w:r w:rsidRPr="002D1581">
        <w:rPr>
          <w:rFonts w:ascii="Arial" w:hAnsi="Arial" w:cs="Arial"/>
          <w:sz w:val="24"/>
          <w:szCs w:val="24"/>
        </w:rPr>
        <w:t>intended</w:t>
      </w:r>
      <w:r w:rsidR="00280782" w:rsidRPr="002D1581">
        <w:rPr>
          <w:rFonts w:ascii="Arial" w:hAnsi="Arial" w:cs="Arial"/>
          <w:sz w:val="24"/>
          <w:szCs w:val="24"/>
        </w:rPr>
        <w:t xml:space="preserve"> for the entire residential component but </w:t>
      </w:r>
      <w:r w:rsidR="00500540" w:rsidRPr="002D1581">
        <w:rPr>
          <w:rFonts w:ascii="Arial" w:hAnsi="Arial" w:cs="Arial"/>
          <w:sz w:val="24"/>
          <w:szCs w:val="24"/>
        </w:rPr>
        <w:t xml:space="preserve">is typically sought </w:t>
      </w:r>
      <w:r w:rsidR="00280782" w:rsidRPr="002D1581">
        <w:rPr>
          <w:rFonts w:ascii="Arial" w:hAnsi="Arial" w:cs="Arial"/>
          <w:sz w:val="24"/>
          <w:szCs w:val="24"/>
        </w:rPr>
        <w:t xml:space="preserve">to provide an allowance for the large storage </w:t>
      </w:r>
      <w:r w:rsidR="00881CAC">
        <w:rPr>
          <w:rFonts w:ascii="Arial" w:hAnsi="Arial" w:cs="Arial"/>
          <w:sz w:val="24"/>
          <w:szCs w:val="24"/>
        </w:rPr>
        <w:t xml:space="preserve">areas usually required by travelling </w:t>
      </w:r>
      <w:proofErr w:type="spellStart"/>
      <w:r w:rsidR="00881CAC">
        <w:rPr>
          <w:rFonts w:ascii="Arial" w:hAnsi="Arial" w:cs="Arial"/>
          <w:sz w:val="24"/>
          <w:szCs w:val="24"/>
        </w:rPr>
        <w:t>showpeople</w:t>
      </w:r>
      <w:proofErr w:type="spellEnd"/>
      <w:r w:rsidR="00881CAC">
        <w:rPr>
          <w:rFonts w:ascii="Arial" w:hAnsi="Arial" w:cs="Arial"/>
          <w:sz w:val="24"/>
          <w:szCs w:val="24"/>
        </w:rPr>
        <w:t xml:space="preserve"> sites.  </w:t>
      </w:r>
      <w:r w:rsidR="002D1581">
        <w:rPr>
          <w:rFonts w:ascii="Arial" w:hAnsi="Arial" w:cs="Arial"/>
          <w:sz w:val="24"/>
          <w:szCs w:val="24"/>
        </w:rPr>
        <w:t xml:space="preserve"> </w:t>
      </w:r>
    </w:p>
    <w:p w14:paraId="6EC11983" w14:textId="77777777" w:rsidR="00EF27D1" w:rsidRDefault="00EF27D1" w:rsidP="00951D7E">
      <w:pPr>
        <w:pStyle w:val="ListParagraph"/>
        <w:spacing w:after="0"/>
        <w:ind w:left="1080"/>
        <w:contextualSpacing w:val="0"/>
        <w:jc w:val="both"/>
        <w:rPr>
          <w:rFonts w:ascii="Arial" w:hAnsi="Arial" w:cs="Arial"/>
          <w:sz w:val="24"/>
          <w:szCs w:val="24"/>
        </w:rPr>
      </w:pPr>
    </w:p>
    <w:p w14:paraId="5D280771" w14:textId="7D63C37B" w:rsidR="003F05B1" w:rsidRDefault="00EF27D1" w:rsidP="00951D7E">
      <w:pPr>
        <w:pStyle w:val="ListParagraph"/>
        <w:numPr>
          <w:ilvl w:val="1"/>
          <w:numId w:val="1"/>
        </w:numPr>
        <w:spacing w:after="0"/>
        <w:ind w:left="720" w:hanging="720"/>
        <w:jc w:val="both"/>
        <w:rPr>
          <w:rFonts w:ascii="Arial" w:hAnsi="Arial" w:cs="Arial"/>
          <w:sz w:val="24"/>
          <w:szCs w:val="24"/>
        </w:rPr>
      </w:pPr>
      <w:r w:rsidRPr="00DD50B3">
        <w:rPr>
          <w:rFonts w:ascii="Arial" w:hAnsi="Arial" w:cs="Arial"/>
          <w:sz w:val="24"/>
          <w:szCs w:val="24"/>
        </w:rPr>
        <w:t>T</w:t>
      </w:r>
      <w:r w:rsidR="00023315" w:rsidRPr="00DD50B3">
        <w:rPr>
          <w:rFonts w:ascii="Arial" w:hAnsi="Arial" w:cs="Arial"/>
          <w:sz w:val="24"/>
          <w:szCs w:val="24"/>
        </w:rPr>
        <w:t xml:space="preserve">he </w:t>
      </w:r>
      <w:r w:rsidR="001763CB" w:rsidRPr="00DD50B3">
        <w:rPr>
          <w:rFonts w:ascii="Arial" w:hAnsi="Arial" w:cs="Arial"/>
          <w:sz w:val="24"/>
          <w:szCs w:val="24"/>
        </w:rPr>
        <w:t xml:space="preserve">nutrient budget for </w:t>
      </w:r>
      <w:r w:rsidR="009F0CF3" w:rsidRPr="00DD50B3">
        <w:rPr>
          <w:rFonts w:ascii="Arial" w:hAnsi="Arial" w:cs="Arial"/>
          <w:sz w:val="24"/>
          <w:szCs w:val="24"/>
        </w:rPr>
        <w:t xml:space="preserve">gypsy and traveller intensification </w:t>
      </w:r>
      <w:r w:rsidR="001763CB" w:rsidRPr="00DD50B3">
        <w:rPr>
          <w:rFonts w:ascii="Arial" w:hAnsi="Arial" w:cs="Arial"/>
          <w:sz w:val="24"/>
          <w:szCs w:val="24"/>
        </w:rPr>
        <w:t xml:space="preserve">sites assumes that there is no change in land use on the basis that the plot allocations are to sites which are already residential </w:t>
      </w:r>
      <w:r w:rsidR="004A3CCC" w:rsidRPr="00DD50B3">
        <w:rPr>
          <w:rFonts w:ascii="Arial" w:hAnsi="Arial" w:cs="Arial"/>
          <w:sz w:val="24"/>
          <w:szCs w:val="24"/>
        </w:rPr>
        <w:t xml:space="preserve">gypsy and traveller </w:t>
      </w:r>
      <w:r w:rsidR="001763CB" w:rsidRPr="00DD50B3">
        <w:rPr>
          <w:rFonts w:ascii="Arial" w:hAnsi="Arial" w:cs="Arial"/>
          <w:sz w:val="24"/>
          <w:szCs w:val="24"/>
        </w:rPr>
        <w:t>land.</w:t>
      </w:r>
      <w:r w:rsidRPr="00DD50B3">
        <w:rPr>
          <w:rFonts w:ascii="Arial" w:hAnsi="Arial" w:cs="Arial"/>
          <w:sz w:val="24"/>
          <w:szCs w:val="24"/>
        </w:rPr>
        <w:t xml:space="preserve">  However, both the Southbourne BLD and anticipated windfall for gypsy and travellers and travelling </w:t>
      </w:r>
      <w:proofErr w:type="spellStart"/>
      <w:r w:rsidRPr="00DD50B3">
        <w:rPr>
          <w:rFonts w:ascii="Arial" w:hAnsi="Arial" w:cs="Arial"/>
          <w:sz w:val="24"/>
          <w:szCs w:val="24"/>
        </w:rPr>
        <w:t>showpeople</w:t>
      </w:r>
      <w:proofErr w:type="spellEnd"/>
      <w:r w:rsidRPr="00DD50B3">
        <w:rPr>
          <w:rFonts w:ascii="Arial" w:hAnsi="Arial" w:cs="Arial"/>
          <w:sz w:val="24"/>
          <w:szCs w:val="24"/>
        </w:rPr>
        <w:t xml:space="preserve"> assumes a land classification of “mixed” on the basis that the current land use cannot be known at this stage. </w:t>
      </w:r>
    </w:p>
    <w:p w14:paraId="3736076B" w14:textId="77777777" w:rsidR="00DD50B3" w:rsidRPr="00DD50B3" w:rsidRDefault="00DD50B3" w:rsidP="00951D7E">
      <w:pPr>
        <w:pStyle w:val="ListParagraph"/>
        <w:spacing w:after="0"/>
        <w:ind w:left="1080"/>
        <w:contextualSpacing w:val="0"/>
        <w:jc w:val="both"/>
        <w:rPr>
          <w:rFonts w:ascii="Arial" w:hAnsi="Arial" w:cs="Arial"/>
          <w:sz w:val="24"/>
          <w:szCs w:val="24"/>
        </w:rPr>
      </w:pPr>
    </w:p>
    <w:p w14:paraId="59D1DF42" w14:textId="5D8B8A7D" w:rsidR="004016F1" w:rsidRPr="00951D7E" w:rsidRDefault="00123B28" w:rsidP="00951D7E">
      <w:pPr>
        <w:pStyle w:val="ListParagraph"/>
        <w:numPr>
          <w:ilvl w:val="1"/>
          <w:numId w:val="1"/>
        </w:numPr>
        <w:spacing w:after="0"/>
        <w:ind w:left="720" w:hanging="720"/>
        <w:jc w:val="both"/>
        <w:rPr>
          <w:rFonts w:ascii="Arial" w:hAnsi="Arial" w:cs="Arial"/>
          <w:sz w:val="24"/>
          <w:szCs w:val="24"/>
        </w:rPr>
      </w:pPr>
      <w:r w:rsidRPr="00951D7E">
        <w:rPr>
          <w:rFonts w:ascii="Arial" w:hAnsi="Arial" w:cs="Arial"/>
          <w:sz w:val="24"/>
          <w:szCs w:val="24"/>
        </w:rPr>
        <w:t xml:space="preserve">Average rainfall and soil types have been determined by whichever average rainfall and soil type covers </w:t>
      </w:r>
      <w:proofErr w:type="gramStart"/>
      <w:r w:rsidRPr="00951D7E">
        <w:rPr>
          <w:rFonts w:ascii="Arial" w:hAnsi="Arial" w:cs="Arial"/>
          <w:sz w:val="24"/>
          <w:szCs w:val="24"/>
        </w:rPr>
        <w:t>the majority of</w:t>
      </w:r>
      <w:proofErr w:type="gramEnd"/>
      <w:r w:rsidRPr="00951D7E">
        <w:rPr>
          <w:rFonts w:ascii="Arial" w:hAnsi="Arial" w:cs="Arial"/>
          <w:sz w:val="24"/>
          <w:szCs w:val="24"/>
        </w:rPr>
        <w:t xml:space="preserve"> the Southbourne BLD, gypsy intensification sites or in the case of </w:t>
      </w:r>
      <w:r w:rsidR="008D6FD8" w:rsidRPr="00951D7E">
        <w:rPr>
          <w:rFonts w:ascii="Arial" w:hAnsi="Arial" w:cs="Arial"/>
          <w:sz w:val="24"/>
          <w:szCs w:val="24"/>
        </w:rPr>
        <w:t xml:space="preserve">gypsy and traveller/travelling </w:t>
      </w:r>
      <w:proofErr w:type="spellStart"/>
      <w:r w:rsidR="008D6FD8" w:rsidRPr="00951D7E">
        <w:rPr>
          <w:rFonts w:ascii="Arial" w:hAnsi="Arial" w:cs="Arial"/>
          <w:sz w:val="24"/>
          <w:szCs w:val="24"/>
        </w:rPr>
        <w:t>showpeople</w:t>
      </w:r>
      <w:proofErr w:type="spellEnd"/>
      <w:r w:rsidR="008D6FD8" w:rsidRPr="00951D7E">
        <w:rPr>
          <w:rFonts w:ascii="Arial" w:hAnsi="Arial" w:cs="Arial"/>
          <w:sz w:val="24"/>
          <w:szCs w:val="24"/>
        </w:rPr>
        <w:t xml:space="preserve"> </w:t>
      </w:r>
      <w:r w:rsidRPr="00951D7E">
        <w:rPr>
          <w:rFonts w:ascii="Arial" w:hAnsi="Arial" w:cs="Arial"/>
          <w:sz w:val="24"/>
          <w:szCs w:val="24"/>
        </w:rPr>
        <w:t xml:space="preserve">windfall, the </w:t>
      </w:r>
      <w:r w:rsidR="008D6FD8" w:rsidRPr="00951D7E">
        <w:rPr>
          <w:rFonts w:ascii="Arial" w:hAnsi="Arial" w:cs="Arial"/>
          <w:sz w:val="24"/>
          <w:szCs w:val="24"/>
        </w:rPr>
        <w:t xml:space="preserve">majority of the </w:t>
      </w:r>
      <w:r w:rsidRPr="00951D7E">
        <w:rPr>
          <w:rFonts w:ascii="Arial" w:hAnsi="Arial" w:cs="Arial"/>
          <w:sz w:val="24"/>
          <w:szCs w:val="24"/>
        </w:rPr>
        <w:t>Chichester nutrient catchment.</w:t>
      </w:r>
      <w:r w:rsidR="003F05B1" w:rsidRPr="00951D7E">
        <w:rPr>
          <w:rFonts w:ascii="Arial" w:hAnsi="Arial" w:cs="Arial"/>
          <w:sz w:val="24"/>
          <w:szCs w:val="24"/>
        </w:rPr>
        <w:t xml:space="preserve"> </w:t>
      </w:r>
    </w:p>
    <w:p w14:paraId="040F90F6" w14:textId="3858EFF3" w:rsidR="00123B28" w:rsidRPr="00951D7E" w:rsidRDefault="0020492B" w:rsidP="00951D7E">
      <w:pPr>
        <w:pStyle w:val="Heading1"/>
        <w:numPr>
          <w:ilvl w:val="0"/>
          <w:numId w:val="1"/>
        </w:numPr>
        <w:rPr>
          <w:rFonts w:ascii="Arial" w:hAnsi="Arial" w:cs="Arial"/>
          <w:b/>
          <w:bCs/>
          <w:color w:val="0073CF"/>
        </w:rPr>
      </w:pPr>
      <w:bookmarkStart w:id="6" w:name="_Toc167964279"/>
      <w:r w:rsidRPr="00951D7E">
        <w:rPr>
          <w:rFonts w:ascii="Arial" w:hAnsi="Arial" w:cs="Arial"/>
          <w:b/>
          <w:bCs/>
          <w:color w:val="0073CF"/>
        </w:rPr>
        <w:t>Review</w:t>
      </w:r>
      <w:r w:rsidR="00FC5AAE" w:rsidRPr="00951D7E">
        <w:rPr>
          <w:rFonts w:ascii="Arial" w:hAnsi="Arial" w:cs="Arial"/>
          <w:b/>
          <w:bCs/>
          <w:color w:val="0073CF"/>
        </w:rPr>
        <w:t xml:space="preserve"> of nutrient budget </w:t>
      </w:r>
      <w:r w:rsidR="00FC5AAE" w:rsidRPr="00D64ECF">
        <w:rPr>
          <w:rFonts w:ascii="Arial" w:hAnsi="Arial" w:cs="Arial"/>
          <w:b/>
          <w:bCs/>
          <w:color w:val="0073CF"/>
        </w:rPr>
        <w:t>and</w:t>
      </w:r>
      <w:r w:rsidR="00FC5AAE" w:rsidRPr="00951D7E">
        <w:rPr>
          <w:rFonts w:ascii="Arial" w:hAnsi="Arial" w:cs="Arial"/>
          <w:b/>
          <w:bCs/>
          <w:color w:val="0073CF"/>
        </w:rPr>
        <w:t xml:space="preserve"> required </w:t>
      </w:r>
      <w:proofErr w:type="gramStart"/>
      <w:r w:rsidR="00FC5AAE" w:rsidRPr="00951D7E">
        <w:rPr>
          <w:rFonts w:ascii="Arial" w:hAnsi="Arial" w:cs="Arial"/>
          <w:b/>
          <w:bCs/>
          <w:color w:val="0073CF"/>
        </w:rPr>
        <w:t>mitigation</w:t>
      </w:r>
      <w:bookmarkEnd w:id="6"/>
      <w:proofErr w:type="gramEnd"/>
    </w:p>
    <w:p w14:paraId="0D4FB5C6" w14:textId="77777777" w:rsidR="00123B28" w:rsidRDefault="00123B28" w:rsidP="00951D7E">
      <w:pPr>
        <w:pStyle w:val="ListParagraph"/>
        <w:spacing w:after="0"/>
        <w:jc w:val="both"/>
        <w:rPr>
          <w:rFonts w:ascii="Arial" w:hAnsi="Arial" w:cs="Arial"/>
          <w:b/>
          <w:sz w:val="24"/>
          <w:szCs w:val="24"/>
        </w:rPr>
      </w:pPr>
    </w:p>
    <w:p w14:paraId="3BB1307E" w14:textId="4E11CAFB" w:rsidR="00B33FE2" w:rsidRPr="00B33FE2" w:rsidRDefault="0020492B" w:rsidP="00951D7E">
      <w:pPr>
        <w:pStyle w:val="ListParagraph"/>
        <w:numPr>
          <w:ilvl w:val="1"/>
          <w:numId w:val="1"/>
        </w:numPr>
        <w:tabs>
          <w:tab w:val="left" w:pos="709"/>
        </w:tabs>
        <w:spacing w:after="0"/>
        <w:ind w:left="709" w:hanging="709"/>
        <w:jc w:val="both"/>
        <w:rPr>
          <w:rFonts w:ascii="Arial" w:hAnsi="Arial" w:cs="Arial"/>
          <w:sz w:val="24"/>
          <w:szCs w:val="24"/>
        </w:rPr>
      </w:pPr>
      <w:r>
        <w:rPr>
          <w:rFonts w:ascii="Arial" w:eastAsia="ArialMT" w:hAnsi="Arial" w:cs="Arial"/>
          <w:sz w:val="24"/>
          <w:szCs w:val="24"/>
        </w:rPr>
        <w:t>As outlined above, t</w:t>
      </w:r>
      <w:r w:rsidR="00710251" w:rsidRPr="00B33FE2">
        <w:rPr>
          <w:rFonts w:ascii="Arial" w:eastAsia="ArialMT" w:hAnsi="Arial" w:cs="Arial"/>
          <w:sz w:val="24"/>
          <w:szCs w:val="24"/>
        </w:rPr>
        <w:t>he nutrient budget has been prepared with a precautionary approach</w:t>
      </w:r>
      <w:r w:rsidR="005735C1" w:rsidRPr="00B33FE2">
        <w:rPr>
          <w:rFonts w:ascii="Arial" w:eastAsia="ArialMT" w:hAnsi="Arial" w:cs="Arial"/>
          <w:sz w:val="24"/>
          <w:szCs w:val="24"/>
        </w:rPr>
        <w:t xml:space="preserve"> and </w:t>
      </w:r>
      <w:r>
        <w:rPr>
          <w:rFonts w:ascii="Arial" w:eastAsia="ArialMT" w:hAnsi="Arial" w:cs="Arial"/>
          <w:sz w:val="24"/>
          <w:szCs w:val="24"/>
        </w:rPr>
        <w:t xml:space="preserve">as such, the assumptions </w:t>
      </w:r>
      <w:r w:rsidR="005735C1" w:rsidRPr="00B33FE2">
        <w:rPr>
          <w:rFonts w:ascii="Arial" w:eastAsia="ArialMT" w:hAnsi="Arial" w:cs="Arial"/>
          <w:sz w:val="24"/>
          <w:szCs w:val="24"/>
        </w:rPr>
        <w:t>adopted</w:t>
      </w:r>
      <w:r w:rsidR="00022799" w:rsidRPr="00B33FE2">
        <w:rPr>
          <w:rFonts w:ascii="Arial" w:eastAsia="ArialMT" w:hAnsi="Arial" w:cs="Arial"/>
          <w:sz w:val="24"/>
          <w:szCs w:val="24"/>
        </w:rPr>
        <w:t xml:space="preserve"> </w:t>
      </w:r>
      <w:r w:rsidR="005735C1" w:rsidRPr="00B33FE2">
        <w:rPr>
          <w:rFonts w:ascii="Arial" w:eastAsia="ArialMT" w:hAnsi="Arial" w:cs="Arial"/>
          <w:sz w:val="24"/>
          <w:szCs w:val="24"/>
        </w:rPr>
        <w:t xml:space="preserve">for </w:t>
      </w:r>
      <w:r w:rsidR="00881CAC">
        <w:rPr>
          <w:rFonts w:ascii="Arial" w:eastAsia="ArialMT" w:hAnsi="Arial" w:cs="Arial"/>
          <w:sz w:val="24"/>
          <w:szCs w:val="24"/>
        </w:rPr>
        <w:t>strategic locations or non-strategic parish housing requirements</w:t>
      </w:r>
      <w:r w:rsidR="00881CAC" w:rsidRPr="00B33FE2">
        <w:rPr>
          <w:rFonts w:ascii="Arial" w:eastAsia="ArialMT" w:hAnsi="Arial" w:cs="Arial"/>
          <w:sz w:val="24"/>
          <w:szCs w:val="24"/>
        </w:rPr>
        <w:t xml:space="preserve"> </w:t>
      </w:r>
      <w:r w:rsidR="00710251" w:rsidRPr="00B33FE2">
        <w:rPr>
          <w:rFonts w:ascii="Arial" w:eastAsia="ArialMT" w:hAnsi="Arial" w:cs="Arial"/>
          <w:sz w:val="24"/>
          <w:szCs w:val="24"/>
        </w:rPr>
        <w:t>where the sites are unknown at this stage</w:t>
      </w:r>
      <w:r w:rsidR="00022799" w:rsidRPr="00B33FE2">
        <w:rPr>
          <w:rFonts w:ascii="Arial" w:eastAsia="ArialMT" w:hAnsi="Arial" w:cs="Arial"/>
          <w:sz w:val="24"/>
          <w:szCs w:val="24"/>
        </w:rPr>
        <w:t xml:space="preserve"> may </w:t>
      </w:r>
      <w:r w:rsidR="00C15CF9">
        <w:rPr>
          <w:rFonts w:ascii="Arial" w:eastAsia="ArialMT" w:hAnsi="Arial" w:cs="Arial"/>
          <w:sz w:val="24"/>
          <w:szCs w:val="24"/>
        </w:rPr>
        <w:t xml:space="preserve">provide </w:t>
      </w:r>
      <w:r w:rsidR="00022799" w:rsidRPr="00B33FE2">
        <w:rPr>
          <w:rFonts w:ascii="Arial" w:eastAsia="ArialMT" w:hAnsi="Arial" w:cs="Arial"/>
          <w:sz w:val="24"/>
          <w:szCs w:val="24"/>
        </w:rPr>
        <w:t>exaggerated results</w:t>
      </w:r>
      <w:r w:rsidR="005735C1" w:rsidRPr="00B33FE2">
        <w:rPr>
          <w:rFonts w:ascii="Arial" w:eastAsia="ArialMT" w:hAnsi="Arial" w:cs="Arial"/>
          <w:sz w:val="24"/>
          <w:szCs w:val="24"/>
        </w:rPr>
        <w:t xml:space="preserve">. </w:t>
      </w:r>
      <w:r w:rsidR="00022799" w:rsidRPr="00B33FE2">
        <w:rPr>
          <w:rFonts w:ascii="Arial" w:eastAsia="ArialMT" w:hAnsi="Arial" w:cs="Arial"/>
          <w:sz w:val="24"/>
          <w:szCs w:val="24"/>
        </w:rPr>
        <w:t xml:space="preserve">For instance, some sites </w:t>
      </w:r>
      <w:r w:rsidR="00123B28" w:rsidRPr="00B33FE2">
        <w:rPr>
          <w:rFonts w:ascii="Arial" w:eastAsia="ArialMT" w:hAnsi="Arial" w:cs="Arial"/>
          <w:sz w:val="24"/>
          <w:szCs w:val="24"/>
        </w:rPr>
        <w:t xml:space="preserve">within the Southbourne BLD </w:t>
      </w:r>
      <w:r w:rsidR="00022799" w:rsidRPr="00B33FE2">
        <w:rPr>
          <w:rFonts w:ascii="Arial" w:eastAsia="ArialMT" w:hAnsi="Arial" w:cs="Arial"/>
          <w:sz w:val="24"/>
          <w:szCs w:val="24"/>
        </w:rPr>
        <w:t xml:space="preserve">that come forward </w:t>
      </w:r>
      <w:r w:rsidR="005735C1" w:rsidRPr="00B33FE2">
        <w:rPr>
          <w:rFonts w:ascii="Arial" w:eastAsia="ArialMT" w:hAnsi="Arial" w:cs="Arial"/>
          <w:sz w:val="24"/>
          <w:szCs w:val="24"/>
        </w:rPr>
        <w:t>may</w:t>
      </w:r>
      <w:r w:rsidR="00C15CF9">
        <w:rPr>
          <w:rFonts w:ascii="Arial" w:eastAsia="ArialMT" w:hAnsi="Arial" w:cs="Arial"/>
          <w:sz w:val="24"/>
          <w:szCs w:val="24"/>
        </w:rPr>
        <w:t xml:space="preserve">, in due course, </w:t>
      </w:r>
      <w:r w:rsidR="00710251" w:rsidRPr="00B33FE2">
        <w:rPr>
          <w:rFonts w:ascii="Arial" w:eastAsia="ArialMT" w:hAnsi="Arial" w:cs="Arial"/>
          <w:sz w:val="24"/>
          <w:szCs w:val="24"/>
        </w:rPr>
        <w:t>include</w:t>
      </w:r>
      <w:r w:rsidR="005735C1" w:rsidRPr="00B33FE2">
        <w:rPr>
          <w:rFonts w:ascii="Arial" w:eastAsia="ArialMT" w:hAnsi="Arial" w:cs="Arial"/>
          <w:sz w:val="24"/>
          <w:szCs w:val="24"/>
        </w:rPr>
        <w:t xml:space="preserve"> open space which is far greater than the minimum requirement</w:t>
      </w:r>
      <w:r w:rsidR="00221E85" w:rsidRPr="00B33FE2">
        <w:rPr>
          <w:rFonts w:ascii="Arial" w:eastAsia="ArialMT" w:hAnsi="Arial" w:cs="Arial"/>
          <w:sz w:val="24"/>
          <w:szCs w:val="24"/>
        </w:rPr>
        <w:t xml:space="preserve"> applied in the budget</w:t>
      </w:r>
      <w:r w:rsidR="005735C1" w:rsidRPr="00B33FE2">
        <w:rPr>
          <w:rFonts w:ascii="Arial" w:eastAsia="ArialMT" w:hAnsi="Arial" w:cs="Arial"/>
          <w:sz w:val="24"/>
          <w:szCs w:val="24"/>
        </w:rPr>
        <w:t>.  In this event, a significant reduction could result in the nitrogen load</w:t>
      </w:r>
      <w:r w:rsidR="00710251" w:rsidRPr="00B33FE2">
        <w:rPr>
          <w:rFonts w:ascii="Arial" w:eastAsia="ArialMT" w:hAnsi="Arial" w:cs="Arial"/>
          <w:sz w:val="24"/>
          <w:szCs w:val="24"/>
        </w:rPr>
        <w:t xml:space="preserve"> </w:t>
      </w:r>
      <w:r w:rsidR="005735C1" w:rsidRPr="00B33FE2">
        <w:rPr>
          <w:rFonts w:ascii="Arial" w:eastAsia="ArialMT" w:hAnsi="Arial" w:cs="Arial"/>
          <w:sz w:val="24"/>
          <w:szCs w:val="24"/>
        </w:rPr>
        <w:t xml:space="preserve">to be offset. In addition, it is assumed that all </w:t>
      </w:r>
      <w:proofErr w:type="gramStart"/>
      <w:r w:rsidR="005735C1" w:rsidRPr="00B33FE2">
        <w:rPr>
          <w:rFonts w:ascii="Arial" w:eastAsia="ArialMT" w:hAnsi="Arial" w:cs="Arial"/>
          <w:sz w:val="24"/>
          <w:szCs w:val="24"/>
        </w:rPr>
        <w:t>windfall</w:t>
      </w:r>
      <w:proofErr w:type="gramEnd"/>
      <w:r w:rsidR="005735C1" w:rsidRPr="00B33FE2">
        <w:rPr>
          <w:rFonts w:ascii="Arial" w:eastAsia="ArialMT" w:hAnsi="Arial" w:cs="Arial"/>
          <w:sz w:val="24"/>
          <w:szCs w:val="24"/>
        </w:rPr>
        <w:t xml:space="preserve"> forecast for gypsy and traveller and travelling </w:t>
      </w:r>
      <w:proofErr w:type="spellStart"/>
      <w:r w:rsidR="005735C1" w:rsidRPr="00B33FE2">
        <w:rPr>
          <w:rFonts w:ascii="Arial" w:eastAsia="ArialMT" w:hAnsi="Arial" w:cs="Arial"/>
          <w:sz w:val="24"/>
          <w:szCs w:val="24"/>
        </w:rPr>
        <w:t>showpeople</w:t>
      </w:r>
      <w:proofErr w:type="spellEnd"/>
      <w:r w:rsidR="005735C1" w:rsidRPr="00B33FE2">
        <w:rPr>
          <w:rFonts w:ascii="Arial" w:eastAsia="ArialMT" w:hAnsi="Arial" w:cs="Arial"/>
          <w:sz w:val="24"/>
          <w:szCs w:val="24"/>
        </w:rPr>
        <w:t xml:space="preserve"> is to come forward on sites within </w:t>
      </w:r>
      <w:r w:rsidR="00123B28" w:rsidRPr="00B33FE2">
        <w:rPr>
          <w:rFonts w:ascii="Arial" w:eastAsia="ArialMT" w:hAnsi="Arial" w:cs="Arial"/>
          <w:sz w:val="24"/>
          <w:szCs w:val="24"/>
        </w:rPr>
        <w:t xml:space="preserve">the Chichester nutrient </w:t>
      </w:r>
      <w:r w:rsidR="005735C1" w:rsidRPr="00B33FE2">
        <w:rPr>
          <w:rFonts w:ascii="Arial" w:eastAsia="ArialMT" w:hAnsi="Arial" w:cs="Arial"/>
          <w:sz w:val="24"/>
          <w:szCs w:val="24"/>
        </w:rPr>
        <w:t>catchment</w:t>
      </w:r>
      <w:r w:rsidR="00123B28" w:rsidRPr="00B33FE2">
        <w:rPr>
          <w:rFonts w:ascii="Arial" w:eastAsia="ArialMT" w:hAnsi="Arial" w:cs="Arial"/>
          <w:sz w:val="24"/>
          <w:szCs w:val="24"/>
        </w:rPr>
        <w:t xml:space="preserve"> and </w:t>
      </w:r>
      <w:r w:rsidR="00C15CF9">
        <w:rPr>
          <w:rFonts w:ascii="Arial" w:eastAsia="ArialMT" w:hAnsi="Arial" w:cs="Arial"/>
          <w:sz w:val="24"/>
          <w:szCs w:val="24"/>
        </w:rPr>
        <w:t xml:space="preserve">that </w:t>
      </w:r>
      <w:r w:rsidR="00123B28" w:rsidRPr="00B33FE2">
        <w:rPr>
          <w:rFonts w:ascii="Arial" w:eastAsia="ArialMT" w:hAnsi="Arial" w:cs="Arial"/>
          <w:sz w:val="24"/>
          <w:szCs w:val="24"/>
        </w:rPr>
        <w:t>plots/pitches</w:t>
      </w:r>
      <w:r w:rsidR="00C15CF9">
        <w:rPr>
          <w:rFonts w:ascii="Arial" w:eastAsia="ArialMT" w:hAnsi="Arial" w:cs="Arial"/>
          <w:sz w:val="24"/>
          <w:szCs w:val="24"/>
        </w:rPr>
        <w:t xml:space="preserve"> will </w:t>
      </w:r>
      <w:r w:rsidR="00123B28" w:rsidRPr="00B33FE2">
        <w:rPr>
          <w:rFonts w:ascii="Arial" w:eastAsia="ArialMT" w:hAnsi="Arial" w:cs="Arial"/>
          <w:sz w:val="24"/>
          <w:szCs w:val="24"/>
        </w:rPr>
        <w:t xml:space="preserve">use </w:t>
      </w:r>
      <w:r w:rsidR="008F7323" w:rsidRPr="00B33FE2">
        <w:rPr>
          <w:rFonts w:ascii="Arial" w:eastAsia="ArialMT" w:hAnsi="Arial" w:cs="Arial"/>
          <w:sz w:val="24"/>
          <w:szCs w:val="24"/>
        </w:rPr>
        <w:t>a package treatment plan</w:t>
      </w:r>
      <w:r w:rsidR="00123B28" w:rsidRPr="00B33FE2">
        <w:rPr>
          <w:rFonts w:ascii="Arial" w:eastAsia="ArialMT" w:hAnsi="Arial" w:cs="Arial"/>
          <w:sz w:val="24"/>
          <w:szCs w:val="24"/>
        </w:rPr>
        <w:t>t</w:t>
      </w:r>
      <w:r w:rsidR="008F7323" w:rsidRPr="00B33FE2">
        <w:rPr>
          <w:rFonts w:ascii="Arial" w:eastAsia="ArialMT" w:hAnsi="Arial" w:cs="Arial"/>
          <w:sz w:val="24"/>
          <w:szCs w:val="24"/>
        </w:rPr>
        <w:t xml:space="preserve">.  </w:t>
      </w:r>
      <w:r w:rsidR="00C15CF9">
        <w:rPr>
          <w:rFonts w:ascii="Arial" w:eastAsia="ArialMT" w:hAnsi="Arial" w:cs="Arial"/>
          <w:sz w:val="24"/>
          <w:szCs w:val="24"/>
        </w:rPr>
        <w:t xml:space="preserve">Potentially, however, </w:t>
      </w:r>
      <w:r w:rsidR="008F7323" w:rsidRPr="00B33FE2">
        <w:rPr>
          <w:rFonts w:ascii="Arial" w:eastAsia="ArialMT" w:hAnsi="Arial" w:cs="Arial"/>
          <w:sz w:val="24"/>
          <w:szCs w:val="24"/>
        </w:rPr>
        <w:t xml:space="preserve">some of the windfall will not fall within the Solent catchment and/or may discharge to mains sewerage and </w:t>
      </w:r>
      <w:r w:rsidR="00C15CF9">
        <w:rPr>
          <w:rFonts w:ascii="Arial" w:eastAsia="ArialMT" w:hAnsi="Arial" w:cs="Arial"/>
          <w:sz w:val="24"/>
          <w:szCs w:val="24"/>
        </w:rPr>
        <w:t>thus</w:t>
      </w:r>
      <w:r w:rsidR="008F7323" w:rsidRPr="00B33FE2">
        <w:rPr>
          <w:rFonts w:ascii="Arial" w:eastAsia="ArialMT" w:hAnsi="Arial" w:cs="Arial"/>
          <w:sz w:val="24"/>
          <w:szCs w:val="24"/>
        </w:rPr>
        <w:t xml:space="preserve">, the actual windfall nutrient budget </w:t>
      </w:r>
      <w:r w:rsidR="00221E85" w:rsidRPr="00B33FE2">
        <w:rPr>
          <w:rFonts w:ascii="Arial" w:eastAsia="ArialMT" w:hAnsi="Arial" w:cs="Arial"/>
          <w:sz w:val="24"/>
          <w:szCs w:val="24"/>
        </w:rPr>
        <w:t>may</w:t>
      </w:r>
      <w:r w:rsidR="00C15CF9">
        <w:rPr>
          <w:rFonts w:ascii="Arial" w:eastAsia="ArialMT" w:hAnsi="Arial" w:cs="Arial"/>
          <w:sz w:val="24"/>
          <w:szCs w:val="24"/>
        </w:rPr>
        <w:t xml:space="preserve"> transpire to</w:t>
      </w:r>
      <w:r w:rsidR="00221E85" w:rsidRPr="00B33FE2">
        <w:rPr>
          <w:rFonts w:ascii="Arial" w:eastAsia="ArialMT" w:hAnsi="Arial" w:cs="Arial"/>
          <w:sz w:val="24"/>
          <w:szCs w:val="24"/>
        </w:rPr>
        <w:t xml:space="preserve"> be </w:t>
      </w:r>
      <w:r w:rsidR="008F7323" w:rsidRPr="00B33FE2">
        <w:rPr>
          <w:rFonts w:ascii="Arial" w:eastAsia="ArialMT" w:hAnsi="Arial" w:cs="Arial"/>
          <w:sz w:val="24"/>
          <w:szCs w:val="24"/>
        </w:rPr>
        <w:t xml:space="preserve">significantly lower. </w:t>
      </w:r>
    </w:p>
    <w:p w14:paraId="2971FDEB" w14:textId="77777777" w:rsidR="00B33FE2" w:rsidRPr="00B33FE2" w:rsidRDefault="00B33FE2" w:rsidP="00951D7E">
      <w:pPr>
        <w:pStyle w:val="ListParagraph"/>
        <w:tabs>
          <w:tab w:val="left" w:pos="567"/>
        </w:tabs>
        <w:spacing w:after="0"/>
        <w:ind w:left="567"/>
        <w:jc w:val="both"/>
        <w:rPr>
          <w:rFonts w:ascii="Arial" w:hAnsi="Arial" w:cs="Arial"/>
          <w:sz w:val="24"/>
          <w:szCs w:val="24"/>
        </w:rPr>
      </w:pPr>
    </w:p>
    <w:p w14:paraId="75FCB775" w14:textId="33F22BAE" w:rsidR="00C15CF9" w:rsidRPr="00C15CF9" w:rsidRDefault="00635A44" w:rsidP="00951D7E">
      <w:pPr>
        <w:pStyle w:val="ListParagraph"/>
        <w:numPr>
          <w:ilvl w:val="1"/>
          <w:numId w:val="1"/>
        </w:numPr>
        <w:spacing w:after="0"/>
        <w:ind w:left="709" w:hanging="709"/>
        <w:jc w:val="both"/>
        <w:rPr>
          <w:rFonts w:ascii="Arial" w:hAnsi="Arial" w:cs="Arial"/>
          <w:sz w:val="24"/>
          <w:szCs w:val="24"/>
        </w:rPr>
      </w:pPr>
      <w:r w:rsidRPr="00B33FE2">
        <w:rPr>
          <w:rFonts w:ascii="Arial" w:eastAsia="ArialMT" w:hAnsi="Arial" w:cs="Arial"/>
          <w:sz w:val="24"/>
          <w:szCs w:val="24"/>
        </w:rPr>
        <w:lastRenderedPageBreak/>
        <w:t xml:space="preserve">The plan period nutrient budget (including a summary budget </w:t>
      </w:r>
      <w:r w:rsidR="00DD50B3">
        <w:rPr>
          <w:rFonts w:ascii="Arial" w:eastAsia="ArialMT" w:hAnsi="Arial" w:cs="Arial"/>
          <w:sz w:val="24"/>
          <w:szCs w:val="24"/>
        </w:rPr>
        <w:t>up</w:t>
      </w:r>
      <w:r w:rsidR="003041C6">
        <w:rPr>
          <w:rFonts w:ascii="Arial" w:eastAsia="ArialMT" w:hAnsi="Arial" w:cs="Arial"/>
          <w:sz w:val="24"/>
          <w:szCs w:val="24"/>
        </w:rPr>
        <w:t xml:space="preserve"> to 2029</w:t>
      </w:r>
      <w:r w:rsidRPr="00B33FE2">
        <w:rPr>
          <w:rFonts w:ascii="Arial" w:eastAsia="ArialMT" w:hAnsi="Arial" w:cs="Arial"/>
          <w:sz w:val="24"/>
          <w:szCs w:val="24"/>
        </w:rPr>
        <w:t xml:space="preserve">) appears </w:t>
      </w:r>
      <w:r w:rsidR="00B7305E" w:rsidRPr="00B33FE2">
        <w:rPr>
          <w:rFonts w:ascii="Arial" w:eastAsia="ArialMT" w:hAnsi="Arial" w:cs="Arial"/>
          <w:sz w:val="24"/>
          <w:szCs w:val="24"/>
        </w:rPr>
        <w:t>at Appendix 1</w:t>
      </w:r>
      <w:r w:rsidRPr="00B33FE2">
        <w:rPr>
          <w:rFonts w:ascii="Arial" w:eastAsia="ArialMT" w:hAnsi="Arial" w:cs="Arial"/>
          <w:sz w:val="24"/>
          <w:szCs w:val="24"/>
        </w:rPr>
        <w:t xml:space="preserve">. </w:t>
      </w:r>
      <w:r w:rsidR="00FC5AAE" w:rsidRPr="00B33FE2">
        <w:rPr>
          <w:rFonts w:ascii="Arial" w:eastAsia="ArialMT" w:hAnsi="Arial" w:cs="Arial"/>
          <w:sz w:val="24"/>
          <w:szCs w:val="24"/>
        </w:rPr>
        <w:t xml:space="preserve">Whilst the </w:t>
      </w:r>
      <w:r w:rsidR="003041C6">
        <w:rPr>
          <w:rFonts w:ascii="Arial" w:eastAsia="ArialMT" w:hAnsi="Arial" w:cs="Arial"/>
          <w:sz w:val="24"/>
          <w:szCs w:val="24"/>
        </w:rPr>
        <w:t xml:space="preserve">mitigation </w:t>
      </w:r>
      <w:r w:rsidR="00FC5AAE" w:rsidRPr="00B33FE2">
        <w:rPr>
          <w:rFonts w:ascii="Arial" w:eastAsia="ArialMT" w:hAnsi="Arial" w:cs="Arial"/>
          <w:sz w:val="24"/>
          <w:szCs w:val="24"/>
        </w:rPr>
        <w:t>requirement for the</w:t>
      </w:r>
      <w:r w:rsidR="003041C6">
        <w:rPr>
          <w:rFonts w:ascii="Arial" w:eastAsia="ArialMT" w:hAnsi="Arial" w:cs="Arial"/>
          <w:sz w:val="24"/>
          <w:szCs w:val="24"/>
        </w:rPr>
        <w:t xml:space="preserve"> whole Local Plan period to 2039 is</w:t>
      </w:r>
      <w:r w:rsidR="00FC5AAE" w:rsidRPr="00B33FE2">
        <w:rPr>
          <w:rFonts w:ascii="Arial" w:eastAsia="ArialMT" w:hAnsi="Arial" w:cs="Arial"/>
          <w:sz w:val="24"/>
          <w:szCs w:val="24"/>
        </w:rPr>
        <w:t xml:space="preserve"> 1</w:t>
      </w:r>
      <w:r w:rsidR="00123B28" w:rsidRPr="00B33FE2">
        <w:rPr>
          <w:rFonts w:ascii="Arial" w:eastAsia="ArialMT" w:hAnsi="Arial" w:cs="Arial"/>
          <w:sz w:val="24"/>
          <w:szCs w:val="24"/>
        </w:rPr>
        <w:t>470.90</w:t>
      </w:r>
      <w:r w:rsidR="00FC5AAE" w:rsidRPr="00B33FE2">
        <w:rPr>
          <w:rFonts w:ascii="Arial" w:eastAsia="ArialMT" w:hAnsi="Arial" w:cs="Arial"/>
          <w:sz w:val="24"/>
          <w:szCs w:val="24"/>
        </w:rPr>
        <w:t xml:space="preserve"> kg of nitrogen </w:t>
      </w:r>
      <w:r w:rsidR="00123B28" w:rsidRPr="00B33FE2">
        <w:rPr>
          <w:rFonts w:ascii="Arial" w:eastAsia="ArialMT" w:hAnsi="Arial" w:cs="Arial"/>
          <w:sz w:val="24"/>
          <w:szCs w:val="24"/>
        </w:rPr>
        <w:t>per year</w:t>
      </w:r>
      <w:r w:rsidR="00C15CF9">
        <w:rPr>
          <w:rFonts w:ascii="Arial" w:eastAsia="ArialMT" w:hAnsi="Arial" w:cs="Arial"/>
          <w:sz w:val="24"/>
          <w:szCs w:val="24"/>
        </w:rPr>
        <w:t xml:space="preserve"> (including a 20% buffer)</w:t>
      </w:r>
      <w:r w:rsidR="00FC5AAE" w:rsidRPr="00B33FE2">
        <w:rPr>
          <w:rFonts w:ascii="Arial" w:eastAsia="ArialMT" w:hAnsi="Arial" w:cs="Arial"/>
          <w:sz w:val="24"/>
          <w:szCs w:val="24"/>
        </w:rPr>
        <w:t xml:space="preserve">, </w:t>
      </w:r>
      <w:r w:rsidR="00305DE9" w:rsidRPr="00B33FE2">
        <w:rPr>
          <w:rFonts w:ascii="Arial" w:eastAsia="ArialMT" w:hAnsi="Arial" w:cs="Arial"/>
          <w:sz w:val="24"/>
          <w:szCs w:val="24"/>
        </w:rPr>
        <w:t xml:space="preserve">the nutrient budget for the first </w:t>
      </w:r>
      <w:r w:rsidR="00210BA7">
        <w:rPr>
          <w:rFonts w:ascii="Arial" w:eastAsia="ArialMT" w:hAnsi="Arial" w:cs="Arial"/>
          <w:sz w:val="24"/>
          <w:szCs w:val="24"/>
        </w:rPr>
        <w:t xml:space="preserve">part of the </w:t>
      </w:r>
      <w:r w:rsidRPr="00B33FE2">
        <w:rPr>
          <w:rFonts w:ascii="Arial" w:eastAsia="ArialMT" w:hAnsi="Arial" w:cs="Arial"/>
          <w:sz w:val="24"/>
          <w:szCs w:val="24"/>
        </w:rPr>
        <w:t xml:space="preserve">Local Plan </w:t>
      </w:r>
      <w:r w:rsidR="00210BA7">
        <w:rPr>
          <w:rFonts w:ascii="Arial" w:eastAsia="ArialMT" w:hAnsi="Arial" w:cs="Arial"/>
          <w:sz w:val="24"/>
          <w:szCs w:val="24"/>
        </w:rPr>
        <w:t>period</w:t>
      </w:r>
      <w:r w:rsidR="00C15CF9">
        <w:rPr>
          <w:rFonts w:ascii="Arial" w:eastAsia="ArialMT" w:hAnsi="Arial" w:cs="Arial"/>
          <w:sz w:val="24"/>
          <w:szCs w:val="24"/>
        </w:rPr>
        <w:t xml:space="preserve"> up to 2029 </w:t>
      </w:r>
      <w:r w:rsidRPr="00B33FE2">
        <w:rPr>
          <w:rFonts w:ascii="Arial" w:eastAsia="ArialMT" w:hAnsi="Arial" w:cs="Arial"/>
          <w:sz w:val="24"/>
          <w:szCs w:val="24"/>
        </w:rPr>
        <w:t xml:space="preserve">indicates </w:t>
      </w:r>
      <w:r w:rsidR="00305DE9" w:rsidRPr="00B33FE2">
        <w:rPr>
          <w:rFonts w:ascii="Arial" w:eastAsia="ArialMT" w:hAnsi="Arial" w:cs="Arial"/>
          <w:sz w:val="24"/>
          <w:szCs w:val="24"/>
        </w:rPr>
        <w:t>that</w:t>
      </w:r>
      <w:r w:rsidR="003041C6">
        <w:rPr>
          <w:rFonts w:ascii="Arial" w:eastAsia="ArialMT" w:hAnsi="Arial" w:cs="Arial"/>
          <w:sz w:val="24"/>
          <w:szCs w:val="24"/>
        </w:rPr>
        <w:t xml:space="preserve"> a much lower figure of </w:t>
      </w:r>
      <w:r w:rsidR="003041C6" w:rsidRPr="00B33FE2">
        <w:rPr>
          <w:rFonts w:ascii="Arial" w:eastAsia="ArialMT" w:hAnsi="Arial" w:cs="Arial"/>
          <w:sz w:val="24"/>
          <w:szCs w:val="24"/>
        </w:rPr>
        <w:t>250.48 kg/n/</w:t>
      </w:r>
      <w:proofErr w:type="spellStart"/>
      <w:r w:rsidR="003041C6" w:rsidRPr="00B33FE2">
        <w:rPr>
          <w:rFonts w:ascii="Arial" w:eastAsia="ArialMT" w:hAnsi="Arial" w:cs="Arial"/>
          <w:sz w:val="24"/>
          <w:szCs w:val="24"/>
        </w:rPr>
        <w:t>yr</w:t>
      </w:r>
      <w:proofErr w:type="spellEnd"/>
      <w:r w:rsidR="003041C6" w:rsidRPr="00B33FE2">
        <w:rPr>
          <w:rFonts w:ascii="Arial" w:eastAsia="ArialMT" w:hAnsi="Arial" w:cs="Arial"/>
          <w:sz w:val="24"/>
          <w:szCs w:val="24"/>
        </w:rPr>
        <w:t xml:space="preserve"> </w:t>
      </w:r>
      <w:r w:rsidR="00C15CF9">
        <w:rPr>
          <w:rFonts w:ascii="Arial" w:eastAsia="ArialMT" w:hAnsi="Arial" w:cs="Arial"/>
          <w:sz w:val="24"/>
          <w:szCs w:val="24"/>
        </w:rPr>
        <w:t xml:space="preserve">(including a 20% buffer) </w:t>
      </w:r>
      <w:r w:rsidR="003041C6">
        <w:rPr>
          <w:rFonts w:ascii="Arial" w:eastAsia="ArialMT" w:hAnsi="Arial" w:cs="Arial"/>
          <w:sz w:val="24"/>
          <w:szCs w:val="24"/>
        </w:rPr>
        <w:t xml:space="preserve">of </w:t>
      </w:r>
      <w:r w:rsidR="003041C6" w:rsidRPr="00B33FE2">
        <w:rPr>
          <w:rFonts w:ascii="Arial" w:eastAsia="ArialMT" w:hAnsi="Arial" w:cs="Arial"/>
          <w:sz w:val="24"/>
          <w:szCs w:val="24"/>
        </w:rPr>
        <w:t>mitigation</w:t>
      </w:r>
      <w:r w:rsidR="003041C6">
        <w:rPr>
          <w:rFonts w:ascii="Arial" w:eastAsia="ArialMT" w:hAnsi="Arial" w:cs="Arial"/>
          <w:sz w:val="24"/>
          <w:szCs w:val="24"/>
        </w:rPr>
        <w:t xml:space="preserve"> will be needed. </w:t>
      </w:r>
      <w:r w:rsidR="00E3745B">
        <w:rPr>
          <w:rFonts w:ascii="Arial" w:eastAsia="ArialMT" w:hAnsi="Arial" w:cs="Arial"/>
          <w:sz w:val="24"/>
          <w:szCs w:val="24"/>
        </w:rPr>
        <w:t xml:space="preserve">This is </w:t>
      </w:r>
      <w:r w:rsidR="002E3C92">
        <w:rPr>
          <w:rFonts w:ascii="Arial" w:eastAsia="ArialMT" w:hAnsi="Arial" w:cs="Arial"/>
          <w:sz w:val="24"/>
          <w:szCs w:val="24"/>
        </w:rPr>
        <w:t xml:space="preserve">largely due to </w:t>
      </w:r>
      <w:proofErr w:type="gramStart"/>
      <w:r w:rsidR="005D0FA8">
        <w:rPr>
          <w:rFonts w:ascii="Arial" w:eastAsia="ArialMT" w:hAnsi="Arial" w:cs="Arial"/>
          <w:sz w:val="24"/>
          <w:szCs w:val="24"/>
        </w:rPr>
        <w:t>the majority of</w:t>
      </w:r>
      <w:proofErr w:type="gramEnd"/>
      <w:r w:rsidR="005D0FA8">
        <w:rPr>
          <w:rFonts w:ascii="Arial" w:eastAsia="ArialMT" w:hAnsi="Arial" w:cs="Arial"/>
          <w:sz w:val="24"/>
          <w:szCs w:val="24"/>
        </w:rPr>
        <w:t xml:space="preserve"> the planned housing coming forward in the latter part of the plan period.  </w:t>
      </w:r>
    </w:p>
    <w:p w14:paraId="7B16EDF9" w14:textId="77777777" w:rsidR="00C15CF9" w:rsidRPr="00C15CF9" w:rsidRDefault="00C15CF9" w:rsidP="00951D7E">
      <w:pPr>
        <w:pStyle w:val="ListParagraph"/>
        <w:rPr>
          <w:rFonts w:ascii="Arial" w:eastAsia="ArialMT" w:hAnsi="Arial" w:cs="Arial"/>
          <w:sz w:val="24"/>
          <w:szCs w:val="24"/>
        </w:rPr>
      </w:pPr>
    </w:p>
    <w:p w14:paraId="04DB4094" w14:textId="0AA3B746" w:rsidR="00A6045D" w:rsidRPr="00B33FE2" w:rsidRDefault="00B33FE2" w:rsidP="00951D7E">
      <w:pPr>
        <w:pStyle w:val="ListParagraph"/>
        <w:numPr>
          <w:ilvl w:val="1"/>
          <w:numId w:val="1"/>
        </w:numPr>
        <w:tabs>
          <w:tab w:val="left" w:pos="851"/>
        </w:tabs>
        <w:spacing w:after="0"/>
        <w:ind w:left="709" w:hanging="709"/>
        <w:jc w:val="both"/>
        <w:rPr>
          <w:rFonts w:ascii="Arial" w:hAnsi="Arial" w:cs="Arial"/>
          <w:sz w:val="24"/>
          <w:szCs w:val="24"/>
        </w:rPr>
      </w:pPr>
      <w:r>
        <w:rPr>
          <w:rFonts w:ascii="Arial" w:eastAsia="ArialMT" w:hAnsi="Arial" w:cs="Arial"/>
          <w:sz w:val="24"/>
          <w:szCs w:val="24"/>
        </w:rPr>
        <w:t>S</w:t>
      </w:r>
      <w:r w:rsidR="00305DE9" w:rsidRPr="00B33FE2">
        <w:rPr>
          <w:rFonts w:ascii="Arial" w:eastAsia="ArialMT" w:hAnsi="Arial" w:cs="Arial"/>
          <w:sz w:val="24"/>
          <w:szCs w:val="24"/>
        </w:rPr>
        <w:t>ufficient mitigation will need</w:t>
      </w:r>
      <w:r w:rsidR="00635A44" w:rsidRPr="00B33FE2">
        <w:rPr>
          <w:rFonts w:ascii="Arial" w:eastAsia="ArialMT" w:hAnsi="Arial" w:cs="Arial"/>
          <w:sz w:val="24"/>
          <w:szCs w:val="24"/>
        </w:rPr>
        <w:t xml:space="preserve"> </w:t>
      </w:r>
      <w:r w:rsidR="00305DE9" w:rsidRPr="00B33FE2">
        <w:rPr>
          <w:rFonts w:ascii="Arial" w:eastAsia="ArialMT" w:hAnsi="Arial" w:cs="Arial"/>
          <w:sz w:val="24"/>
          <w:szCs w:val="24"/>
        </w:rPr>
        <w:t xml:space="preserve">to be provided to offset the </w:t>
      </w:r>
      <w:r w:rsidR="005D0FA8">
        <w:rPr>
          <w:rFonts w:ascii="Arial" w:eastAsia="ArialMT" w:hAnsi="Arial" w:cs="Arial"/>
          <w:sz w:val="24"/>
          <w:szCs w:val="24"/>
        </w:rPr>
        <w:t xml:space="preserve">initial </w:t>
      </w:r>
      <w:r w:rsidR="00305DE9" w:rsidRPr="00B33FE2">
        <w:rPr>
          <w:rFonts w:ascii="Arial" w:eastAsia="ArialMT" w:hAnsi="Arial" w:cs="Arial"/>
          <w:sz w:val="24"/>
          <w:szCs w:val="24"/>
        </w:rPr>
        <w:t>2</w:t>
      </w:r>
      <w:r>
        <w:rPr>
          <w:rFonts w:ascii="Arial" w:eastAsia="ArialMT" w:hAnsi="Arial" w:cs="Arial"/>
          <w:sz w:val="24"/>
          <w:szCs w:val="24"/>
        </w:rPr>
        <w:t>5</w:t>
      </w:r>
      <w:r w:rsidR="00305DE9" w:rsidRPr="00B33FE2">
        <w:rPr>
          <w:rFonts w:ascii="Arial" w:eastAsia="ArialMT" w:hAnsi="Arial" w:cs="Arial"/>
          <w:sz w:val="24"/>
          <w:szCs w:val="24"/>
        </w:rPr>
        <w:t>0.</w:t>
      </w:r>
      <w:r>
        <w:rPr>
          <w:rFonts w:ascii="Arial" w:eastAsia="ArialMT" w:hAnsi="Arial" w:cs="Arial"/>
          <w:sz w:val="24"/>
          <w:szCs w:val="24"/>
        </w:rPr>
        <w:t>48</w:t>
      </w:r>
      <w:r w:rsidR="00305DE9" w:rsidRPr="00B33FE2">
        <w:rPr>
          <w:rFonts w:ascii="Arial" w:eastAsia="ArialMT" w:hAnsi="Arial" w:cs="Arial"/>
          <w:sz w:val="24"/>
          <w:szCs w:val="24"/>
        </w:rPr>
        <w:t xml:space="preserve"> kg/n/</w:t>
      </w:r>
      <w:proofErr w:type="spellStart"/>
      <w:r w:rsidR="00305DE9" w:rsidRPr="00B33FE2">
        <w:rPr>
          <w:rFonts w:ascii="Arial" w:eastAsia="ArialMT" w:hAnsi="Arial" w:cs="Arial"/>
          <w:sz w:val="24"/>
          <w:szCs w:val="24"/>
        </w:rPr>
        <w:t>yr</w:t>
      </w:r>
      <w:proofErr w:type="spellEnd"/>
      <w:r w:rsidR="00A6045D" w:rsidRPr="00B33FE2">
        <w:rPr>
          <w:rFonts w:ascii="Arial" w:eastAsia="ArialMT" w:hAnsi="Arial" w:cs="Arial"/>
          <w:sz w:val="24"/>
          <w:szCs w:val="24"/>
        </w:rPr>
        <w:t xml:space="preserve"> although this should be achievable without </w:t>
      </w:r>
      <w:proofErr w:type="gramStart"/>
      <w:r w:rsidR="00A6045D" w:rsidRPr="00B33FE2">
        <w:rPr>
          <w:rFonts w:ascii="Arial" w:eastAsia="ArialMT" w:hAnsi="Arial" w:cs="Arial"/>
          <w:sz w:val="24"/>
          <w:szCs w:val="24"/>
        </w:rPr>
        <w:t>particular diff</w:t>
      </w:r>
      <w:r w:rsidR="00635A44" w:rsidRPr="00B33FE2">
        <w:rPr>
          <w:rFonts w:ascii="Arial" w:eastAsia="ArialMT" w:hAnsi="Arial" w:cs="Arial"/>
          <w:sz w:val="24"/>
          <w:szCs w:val="24"/>
        </w:rPr>
        <w:t>i</w:t>
      </w:r>
      <w:r w:rsidR="00A6045D" w:rsidRPr="00B33FE2">
        <w:rPr>
          <w:rFonts w:ascii="Arial" w:eastAsia="ArialMT" w:hAnsi="Arial" w:cs="Arial"/>
          <w:sz w:val="24"/>
          <w:szCs w:val="24"/>
        </w:rPr>
        <w:t>culty</w:t>
      </w:r>
      <w:proofErr w:type="gramEnd"/>
      <w:r w:rsidR="00305DE9" w:rsidRPr="00B33FE2">
        <w:rPr>
          <w:rFonts w:ascii="Arial" w:eastAsia="ArialMT" w:hAnsi="Arial" w:cs="Arial"/>
          <w:sz w:val="24"/>
          <w:szCs w:val="24"/>
        </w:rPr>
        <w:t>.</w:t>
      </w:r>
      <w:r w:rsidR="00A6045D" w:rsidRPr="00B33FE2">
        <w:rPr>
          <w:rFonts w:ascii="Arial" w:hAnsi="Arial" w:cs="Arial"/>
          <w:sz w:val="24"/>
          <w:szCs w:val="24"/>
        </w:rPr>
        <w:t xml:space="preserve"> Privately led mitigation schemes at </w:t>
      </w:r>
      <w:proofErr w:type="spellStart"/>
      <w:r w:rsidR="00A6045D" w:rsidRPr="00B33FE2">
        <w:rPr>
          <w:rFonts w:ascii="Arial" w:hAnsi="Arial" w:cs="Arial"/>
          <w:sz w:val="24"/>
          <w:szCs w:val="24"/>
        </w:rPr>
        <w:t>Chilgrove</w:t>
      </w:r>
      <w:proofErr w:type="spellEnd"/>
      <w:r w:rsidR="00A6045D" w:rsidRPr="00B33FE2">
        <w:rPr>
          <w:rFonts w:ascii="Arial" w:hAnsi="Arial" w:cs="Arial"/>
          <w:sz w:val="24"/>
          <w:szCs w:val="24"/>
        </w:rPr>
        <w:t xml:space="preserve"> Farm and East Dean are already being used for mitigation purposes </w:t>
      </w:r>
      <w:r w:rsidR="00A6010C" w:rsidRPr="00B33FE2">
        <w:rPr>
          <w:rFonts w:ascii="Arial" w:hAnsi="Arial" w:cs="Arial"/>
          <w:sz w:val="24"/>
          <w:szCs w:val="24"/>
        </w:rPr>
        <w:t xml:space="preserve">with </w:t>
      </w:r>
      <w:r w:rsidR="00A6045D" w:rsidRPr="00B33FE2">
        <w:rPr>
          <w:rFonts w:ascii="Arial" w:hAnsi="Arial" w:cs="Arial"/>
          <w:sz w:val="24"/>
          <w:szCs w:val="24"/>
        </w:rPr>
        <w:t xml:space="preserve">overarching legal agreements </w:t>
      </w:r>
      <w:r w:rsidR="00A6010C" w:rsidRPr="00B33FE2">
        <w:rPr>
          <w:rFonts w:ascii="Arial" w:hAnsi="Arial" w:cs="Arial"/>
          <w:sz w:val="24"/>
          <w:szCs w:val="24"/>
        </w:rPr>
        <w:t xml:space="preserve">already </w:t>
      </w:r>
      <w:r w:rsidR="00A6045D" w:rsidRPr="00B33FE2">
        <w:rPr>
          <w:rFonts w:ascii="Arial" w:hAnsi="Arial" w:cs="Arial"/>
          <w:sz w:val="24"/>
          <w:szCs w:val="24"/>
        </w:rPr>
        <w:t>in place to manage the sale of credits</w:t>
      </w:r>
      <w:r w:rsidR="00A6010C" w:rsidRPr="00B33FE2">
        <w:rPr>
          <w:rFonts w:ascii="Arial" w:hAnsi="Arial" w:cs="Arial"/>
          <w:sz w:val="24"/>
          <w:szCs w:val="24"/>
        </w:rPr>
        <w:t xml:space="preserve"> or </w:t>
      </w:r>
      <w:r w:rsidR="00C15CF9">
        <w:rPr>
          <w:rFonts w:ascii="Arial" w:hAnsi="Arial" w:cs="Arial"/>
          <w:sz w:val="24"/>
          <w:szCs w:val="24"/>
        </w:rPr>
        <w:t xml:space="preserve">are </w:t>
      </w:r>
      <w:r w:rsidR="00A6010C" w:rsidRPr="00B33FE2">
        <w:rPr>
          <w:rFonts w:ascii="Arial" w:hAnsi="Arial" w:cs="Arial"/>
          <w:sz w:val="24"/>
          <w:szCs w:val="24"/>
        </w:rPr>
        <w:t>currently being finalised</w:t>
      </w:r>
      <w:r w:rsidR="00A6045D" w:rsidRPr="00B33FE2">
        <w:rPr>
          <w:rFonts w:ascii="Arial" w:hAnsi="Arial" w:cs="Arial"/>
          <w:sz w:val="24"/>
          <w:szCs w:val="24"/>
        </w:rPr>
        <w:t>. Additional strategic mitigation sites are also in the process of coming forward, subject to planning permission</w:t>
      </w:r>
      <w:r w:rsidR="009D6DEB" w:rsidRPr="00B33FE2">
        <w:rPr>
          <w:rFonts w:ascii="Arial" w:hAnsi="Arial" w:cs="Arial"/>
          <w:sz w:val="24"/>
          <w:szCs w:val="24"/>
        </w:rPr>
        <w:t>,</w:t>
      </w:r>
      <w:r w:rsidR="00A6045D" w:rsidRPr="00B33FE2">
        <w:rPr>
          <w:rFonts w:ascii="Arial" w:hAnsi="Arial" w:cs="Arial"/>
          <w:sz w:val="24"/>
          <w:szCs w:val="24"/>
        </w:rPr>
        <w:t xml:space="preserve"> and these schemes together with the wider Natural England Nutrient Mitigation Scheme</w:t>
      </w:r>
      <w:r w:rsidR="007655B8">
        <w:rPr>
          <w:rFonts w:ascii="Arial" w:hAnsi="Arial" w:cs="Arial"/>
          <w:sz w:val="24"/>
          <w:szCs w:val="24"/>
        </w:rPr>
        <w:t>, and schemes supported through the Local Nutrient Mitigation Fund</w:t>
      </w:r>
      <w:r w:rsidR="00A6045D" w:rsidRPr="00B33FE2">
        <w:rPr>
          <w:rFonts w:ascii="Arial" w:hAnsi="Arial" w:cs="Arial"/>
          <w:sz w:val="24"/>
          <w:szCs w:val="24"/>
        </w:rPr>
        <w:t xml:space="preserve"> are expected to provide sufficient mitigation as required in the future.  </w:t>
      </w:r>
    </w:p>
    <w:p w14:paraId="6A491DB8" w14:textId="4712874C" w:rsidR="001E53C4" w:rsidRDefault="001E53C4">
      <w:pPr>
        <w:spacing w:after="160" w:line="259" w:lineRule="auto"/>
        <w:rPr>
          <w:rFonts w:ascii="Arial" w:hAnsi="Arial" w:cs="Arial"/>
          <w:sz w:val="24"/>
          <w:szCs w:val="24"/>
        </w:rPr>
      </w:pPr>
      <w:r>
        <w:rPr>
          <w:rFonts w:ascii="Arial" w:hAnsi="Arial" w:cs="Arial"/>
          <w:sz w:val="24"/>
          <w:szCs w:val="24"/>
        </w:rPr>
        <w:br w:type="page"/>
      </w:r>
    </w:p>
    <w:p w14:paraId="4C19C6CE" w14:textId="77777777" w:rsidR="001E53C4" w:rsidRDefault="001E53C4" w:rsidP="00A6045D">
      <w:pPr>
        <w:ind w:left="720" w:hanging="720"/>
        <w:jc w:val="both"/>
        <w:rPr>
          <w:rFonts w:ascii="Arial" w:hAnsi="Arial" w:cs="Arial"/>
          <w:sz w:val="24"/>
          <w:szCs w:val="24"/>
        </w:rPr>
        <w:sectPr w:rsidR="001E53C4" w:rsidSect="00D64ECF">
          <w:headerReference w:type="default" r:id="rId16"/>
          <w:footerReference w:type="default" r:id="rId17"/>
          <w:footerReference w:type="first" r:id="rId18"/>
          <w:pgSz w:w="11906" w:h="16838"/>
          <w:pgMar w:top="1134" w:right="1134" w:bottom="1134" w:left="1134" w:header="709" w:footer="454" w:gutter="0"/>
          <w:cols w:space="708"/>
          <w:titlePg/>
          <w:docGrid w:linePitch="360"/>
        </w:sectPr>
      </w:pPr>
    </w:p>
    <w:p w14:paraId="5BFF1A23" w14:textId="3A796915" w:rsidR="00CB435E" w:rsidRPr="00D64ECF" w:rsidRDefault="009D6DEB" w:rsidP="00D64ECF">
      <w:pPr>
        <w:pStyle w:val="Heading1"/>
        <w:spacing w:before="0" w:after="240"/>
        <w:rPr>
          <w:rFonts w:ascii="Arial" w:hAnsi="Arial" w:cs="Arial"/>
          <w:b/>
          <w:bCs/>
          <w:color w:val="0073CF"/>
          <w:sz w:val="28"/>
          <w:szCs w:val="28"/>
        </w:rPr>
      </w:pPr>
      <w:bookmarkStart w:id="7" w:name="_Toc167964280"/>
      <w:r w:rsidRPr="00D64ECF">
        <w:rPr>
          <w:rFonts w:ascii="Arial" w:hAnsi="Arial" w:cs="Arial"/>
          <w:b/>
          <w:bCs/>
          <w:color w:val="0073CF"/>
          <w:sz w:val="28"/>
          <w:szCs w:val="28"/>
        </w:rPr>
        <w:lastRenderedPageBreak/>
        <w:t>Appendi</w:t>
      </w:r>
      <w:r w:rsidR="00B7305E" w:rsidRPr="00D64ECF">
        <w:rPr>
          <w:rFonts w:ascii="Arial" w:hAnsi="Arial" w:cs="Arial"/>
          <w:b/>
          <w:bCs/>
          <w:color w:val="0073CF"/>
          <w:sz w:val="28"/>
          <w:szCs w:val="28"/>
        </w:rPr>
        <w:t>x 1</w:t>
      </w:r>
      <w:r w:rsidR="00D64ECF" w:rsidRPr="00D64ECF">
        <w:rPr>
          <w:rFonts w:ascii="Arial" w:hAnsi="Arial" w:cs="Arial"/>
          <w:b/>
          <w:bCs/>
          <w:color w:val="0073CF"/>
          <w:sz w:val="28"/>
          <w:szCs w:val="28"/>
        </w:rPr>
        <w:t xml:space="preserve"> - </w:t>
      </w:r>
      <w:r w:rsidR="00CB435E" w:rsidRPr="00D64ECF">
        <w:rPr>
          <w:rFonts w:ascii="Arial" w:hAnsi="Arial" w:cs="Arial"/>
          <w:b/>
          <w:bCs/>
          <w:color w:val="0073CF"/>
          <w:sz w:val="28"/>
          <w:szCs w:val="28"/>
        </w:rPr>
        <w:t>Nitrogen Budget for Local Plan Period 2021-2039</w:t>
      </w:r>
      <w:bookmarkEnd w:id="7"/>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2551"/>
        <w:gridCol w:w="1276"/>
        <w:gridCol w:w="1417"/>
        <w:gridCol w:w="1701"/>
        <w:gridCol w:w="1134"/>
        <w:gridCol w:w="993"/>
        <w:gridCol w:w="992"/>
        <w:gridCol w:w="992"/>
        <w:gridCol w:w="1134"/>
      </w:tblGrid>
      <w:tr w:rsidR="007F35A9" w:rsidRPr="00092550" w14:paraId="4E5C619F" w14:textId="77777777" w:rsidTr="00F4228B">
        <w:trPr>
          <w:trHeight w:val="288"/>
        </w:trPr>
        <w:tc>
          <w:tcPr>
            <w:tcW w:w="13178" w:type="dxa"/>
            <w:gridSpan w:val="9"/>
            <w:tcBorders>
              <w:top w:val="single" w:sz="12" w:space="0" w:color="auto"/>
              <w:left w:val="single" w:sz="12" w:space="0" w:color="auto"/>
              <w:right w:val="single" w:sz="12" w:space="0" w:color="auto"/>
            </w:tcBorders>
            <w:shd w:val="clear" w:color="auto" w:fill="auto"/>
            <w:noWrap/>
            <w:hideMark/>
          </w:tcPr>
          <w:p w14:paraId="328EEC35" w14:textId="77777777" w:rsidR="007F35A9" w:rsidRPr="00F4228B" w:rsidRDefault="007F35A9" w:rsidP="00F4228B">
            <w:pPr>
              <w:spacing w:after="0" w:line="240" w:lineRule="auto"/>
              <w:rPr>
                <w:rFonts w:ascii="Arial" w:eastAsia="Times New Roman" w:hAnsi="Arial" w:cs="Arial"/>
                <w:sz w:val="16"/>
                <w:szCs w:val="16"/>
                <w:lang w:eastAsia="en-GB"/>
              </w:rPr>
            </w:pPr>
            <w:r w:rsidRPr="00F4228B">
              <w:rPr>
                <w:rFonts w:ascii="Arial" w:eastAsia="Times New Roman" w:hAnsi="Arial" w:cs="Arial"/>
                <w:b/>
                <w:bCs/>
                <w:color w:val="000000"/>
                <w:sz w:val="16"/>
                <w:szCs w:val="16"/>
                <w:lang w:eastAsia="en-GB"/>
              </w:rPr>
              <w:t>STRATEGIC AND PARISH ALLOCATIONS - LOCAL PLAN REVIEW PUBLICATION VERSION 2021-2039</w:t>
            </w:r>
          </w:p>
        </w:tc>
        <w:tc>
          <w:tcPr>
            <w:tcW w:w="1134" w:type="dxa"/>
            <w:tcBorders>
              <w:top w:val="single" w:sz="12" w:space="0" w:color="auto"/>
              <w:left w:val="single" w:sz="12" w:space="0" w:color="auto"/>
              <w:right w:val="single" w:sz="12" w:space="0" w:color="auto"/>
            </w:tcBorders>
            <w:shd w:val="clear" w:color="000000" w:fill="FFFF00"/>
            <w:noWrap/>
            <w:hideMark/>
          </w:tcPr>
          <w:p w14:paraId="30086D78" w14:textId="77777777" w:rsidR="007F35A9" w:rsidRPr="00092550" w:rsidRDefault="007F35A9" w:rsidP="00F4228B">
            <w:pPr>
              <w:spacing w:after="0" w:line="240" w:lineRule="auto"/>
              <w:rPr>
                <w:rFonts w:ascii="Arial" w:eastAsia="Times New Roman" w:hAnsi="Arial" w:cs="Arial"/>
                <w:b/>
                <w:bCs/>
                <w:color w:val="000000"/>
                <w:sz w:val="16"/>
                <w:szCs w:val="16"/>
                <w:u w:val="single"/>
                <w:lang w:eastAsia="en-GB"/>
              </w:rPr>
            </w:pPr>
            <w:r w:rsidRPr="00092550">
              <w:rPr>
                <w:rFonts w:ascii="Arial" w:eastAsia="Times New Roman" w:hAnsi="Arial" w:cs="Arial"/>
                <w:b/>
                <w:bCs/>
                <w:color w:val="000000"/>
                <w:sz w:val="16"/>
                <w:szCs w:val="16"/>
                <w:u w:val="single"/>
                <w:lang w:eastAsia="en-GB"/>
              </w:rPr>
              <w:t> </w:t>
            </w:r>
          </w:p>
        </w:tc>
      </w:tr>
      <w:tr w:rsidR="007F35A9" w:rsidRPr="00092550" w14:paraId="19C58919" w14:textId="77777777" w:rsidTr="00F4228B">
        <w:trPr>
          <w:trHeight w:val="288"/>
        </w:trPr>
        <w:tc>
          <w:tcPr>
            <w:tcW w:w="13178" w:type="dxa"/>
            <w:gridSpan w:val="9"/>
            <w:tcBorders>
              <w:left w:val="single" w:sz="12" w:space="0" w:color="auto"/>
              <w:bottom w:val="single" w:sz="12" w:space="0" w:color="auto"/>
              <w:right w:val="single" w:sz="12" w:space="0" w:color="auto"/>
            </w:tcBorders>
            <w:shd w:val="clear" w:color="auto" w:fill="auto"/>
            <w:noWrap/>
            <w:hideMark/>
          </w:tcPr>
          <w:p w14:paraId="4919E01C" w14:textId="77777777" w:rsidR="007F35A9" w:rsidRPr="00F4228B" w:rsidRDefault="007F35A9" w:rsidP="00F4228B">
            <w:pPr>
              <w:spacing w:after="0" w:line="240" w:lineRule="auto"/>
              <w:rPr>
                <w:rFonts w:ascii="Arial" w:eastAsia="Times New Roman" w:hAnsi="Arial" w:cs="Arial"/>
                <w:sz w:val="16"/>
                <w:szCs w:val="16"/>
                <w:lang w:eastAsia="en-GB"/>
              </w:rPr>
            </w:pPr>
            <w:r w:rsidRPr="00F4228B">
              <w:rPr>
                <w:rFonts w:ascii="Arial" w:eastAsia="Times New Roman" w:hAnsi="Arial" w:cs="Arial"/>
                <w:b/>
                <w:bCs/>
                <w:color w:val="000000"/>
                <w:sz w:val="16"/>
                <w:szCs w:val="16"/>
                <w:lang w:eastAsia="en-GB"/>
              </w:rPr>
              <w:t xml:space="preserve">NUTRIENT BUDGET FOR PROPOSED DEVELOPMENT DISCHARGING INTO CHICHESTER HARBOUR (CALCULATIONS BASED ON NE ADVICE (FEBRUARY 2024)  </w:t>
            </w:r>
          </w:p>
        </w:tc>
        <w:tc>
          <w:tcPr>
            <w:tcW w:w="1134" w:type="dxa"/>
            <w:tcBorders>
              <w:left w:val="single" w:sz="12" w:space="0" w:color="auto"/>
              <w:bottom w:val="single" w:sz="12" w:space="0" w:color="auto"/>
              <w:right w:val="single" w:sz="12" w:space="0" w:color="auto"/>
            </w:tcBorders>
            <w:shd w:val="clear" w:color="000000" w:fill="FFFF00"/>
            <w:noWrap/>
            <w:hideMark/>
          </w:tcPr>
          <w:p w14:paraId="00B779BA" w14:textId="77777777" w:rsidR="007F35A9" w:rsidRPr="00092550" w:rsidRDefault="007F35A9" w:rsidP="00F4228B">
            <w:pPr>
              <w:spacing w:after="0" w:line="240" w:lineRule="auto"/>
              <w:rPr>
                <w:rFonts w:ascii="Arial" w:eastAsia="Times New Roman" w:hAnsi="Arial" w:cs="Arial"/>
                <w:b/>
                <w:bCs/>
                <w:color w:val="000000"/>
                <w:sz w:val="16"/>
                <w:szCs w:val="16"/>
                <w:u w:val="single"/>
                <w:lang w:eastAsia="en-GB"/>
              </w:rPr>
            </w:pPr>
            <w:r w:rsidRPr="00092550">
              <w:rPr>
                <w:rFonts w:ascii="Arial" w:eastAsia="Times New Roman" w:hAnsi="Arial" w:cs="Arial"/>
                <w:b/>
                <w:bCs/>
                <w:color w:val="000000"/>
                <w:sz w:val="16"/>
                <w:szCs w:val="16"/>
                <w:u w:val="single"/>
                <w:lang w:eastAsia="en-GB"/>
              </w:rPr>
              <w:t> </w:t>
            </w:r>
          </w:p>
        </w:tc>
      </w:tr>
      <w:tr w:rsidR="00F4228B" w:rsidRPr="00092550" w14:paraId="0F52A0F8" w14:textId="77777777" w:rsidTr="00F4228B">
        <w:tc>
          <w:tcPr>
            <w:tcW w:w="2122" w:type="dxa"/>
            <w:tcBorders>
              <w:top w:val="single" w:sz="12" w:space="0" w:color="auto"/>
              <w:left w:val="single" w:sz="12" w:space="0" w:color="auto"/>
              <w:bottom w:val="single" w:sz="12" w:space="0" w:color="auto"/>
            </w:tcBorders>
            <w:shd w:val="clear" w:color="auto" w:fill="auto"/>
            <w:hideMark/>
          </w:tcPr>
          <w:p w14:paraId="4A294439" w14:textId="77777777" w:rsidR="007F35A9" w:rsidRPr="000131E5" w:rsidRDefault="007F35A9" w:rsidP="00F4228B">
            <w:pPr>
              <w:spacing w:after="0" w:line="240" w:lineRule="auto"/>
              <w:rPr>
                <w:rFonts w:ascii="Arial" w:eastAsia="Times New Roman" w:hAnsi="Arial" w:cs="Arial"/>
                <w:b/>
                <w:bCs/>
                <w:color w:val="000000"/>
                <w:sz w:val="16"/>
                <w:szCs w:val="16"/>
                <w:lang w:eastAsia="en-GB"/>
              </w:rPr>
            </w:pPr>
            <w:r w:rsidRPr="000131E5">
              <w:rPr>
                <w:rFonts w:ascii="Arial" w:eastAsia="Times New Roman" w:hAnsi="Arial" w:cs="Arial"/>
                <w:b/>
                <w:bCs/>
                <w:color w:val="000000"/>
                <w:sz w:val="16"/>
                <w:szCs w:val="16"/>
                <w:lang w:eastAsia="en-GB"/>
              </w:rPr>
              <w:t>Strategic Site:</w:t>
            </w:r>
          </w:p>
        </w:tc>
        <w:tc>
          <w:tcPr>
            <w:tcW w:w="2551" w:type="dxa"/>
            <w:tcBorders>
              <w:top w:val="single" w:sz="12" w:space="0" w:color="auto"/>
              <w:bottom w:val="single" w:sz="12" w:space="0" w:color="auto"/>
              <w:right w:val="single" w:sz="12" w:space="0" w:color="auto"/>
            </w:tcBorders>
            <w:shd w:val="clear" w:color="auto" w:fill="auto"/>
            <w:hideMark/>
          </w:tcPr>
          <w:p w14:paraId="2C2B1045" w14:textId="77777777" w:rsidR="007F35A9" w:rsidRPr="000131E5" w:rsidRDefault="007F35A9" w:rsidP="00F4228B">
            <w:pPr>
              <w:spacing w:after="0" w:line="240" w:lineRule="auto"/>
              <w:rPr>
                <w:rFonts w:ascii="Arial" w:eastAsia="Times New Roman" w:hAnsi="Arial" w:cs="Arial"/>
                <w:b/>
                <w:bCs/>
                <w:color w:val="000000"/>
                <w:sz w:val="16"/>
                <w:szCs w:val="16"/>
                <w:lang w:eastAsia="en-GB"/>
              </w:rPr>
            </w:pPr>
          </w:p>
        </w:tc>
        <w:tc>
          <w:tcPr>
            <w:tcW w:w="4394" w:type="dxa"/>
            <w:gridSpan w:val="3"/>
            <w:tcBorders>
              <w:left w:val="single" w:sz="12" w:space="0" w:color="auto"/>
              <w:bottom w:val="single" w:sz="12" w:space="0" w:color="auto"/>
              <w:right w:val="single" w:sz="12" w:space="0" w:color="auto"/>
            </w:tcBorders>
            <w:shd w:val="clear" w:color="auto" w:fill="auto"/>
            <w:hideMark/>
          </w:tcPr>
          <w:p w14:paraId="0B1BE2DD" w14:textId="77777777" w:rsidR="007F35A9" w:rsidRPr="000131E5" w:rsidRDefault="007F35A9" w:rsidP="00F4228B">
            <w:pPr>
              <w:spacing w:after="0" w:line="240" w:lineRule="auto"/>
              <w:rPr>
                <w:rFonts w:ascii="Arial" w:eastAsia="Times New Roman" w:hAnsi="Arial" w:cs="Arial"/>
                <w:b/>
                <w:bCs/>
                <w:color w:val="000000"/>
                <w:sz w:val="16"/>
                <w:szCs w:val="16"/>
                <w:lang w:eastAsia="en-GB"/>
              </w:rPr>
            </w:pPr>
            <w:r w:rsidRPr="000131E5">
              <w:rPr>
                <w:rFonts w:ascii="Arial" w:eastAsia="Times New Roman" w:hAnsi="Arial" w:cs="Arial"/>
                <w:b/>
                <w:bCs/>
                <w:color w:val="000000"/>
                <w:sz w:val="16"/>
                <w:szCs w:val="16"/>
                <w:lang w:eastAsia="en-GB"/>
              </w:rPr>
              <w:t xml:space="preserve">Total No. of dwellings </w:t>
            </w:r>
          </w:p>
        </w:tc>
        <w:tc>
          <w:tcPr>
            <w:tcW w:w="1134" w:type="dxa"/>
            <w:tcBorders>
              <w:left w:val="single" w:sz="12" w:space="0" w:color="auto"/>
              <w:bottom w:val="single" w:sz="12" w:space="0" w:color="auto"/>
            </w:tcBorders>
            <w:shd w:val="clear" w:color="auto" w:fill="auto"/>
            <w:hideMark/>
          </w:tcPr>
          <w:p w14:paraId="47DAE9D0" w14:textId="77777777" w:rsidR="007F35A9" w:rsidRPr="000131E5" w:rsidRDefault="007F35A9" w:rsidP="00F4228B">
            <w:pPr>
              <w:spacing w:after="0" w:line="240" w:lineRule="auto"/>
              <w:rPr>
                <w:rFonts w:ascii="Arial" w:eastAsia="Times New Roman" w:hAnsi="Arial" w:cs="Arial"/>
                <w:color w:val="000000"/>
                <w:sz w:val="16"/>
                <w:szCs w:val="16"/>
                <w:lang w:eastAsia="en-GB"/>
              </w:rPr>
            </w:pPr>
            <w:r w:rsidRPr="000131E5">
              <w:rPr>
                <w:rFonts w:ascii="Arial" w:eastAsia="Times New Roman" w:hAnsi="Arial" w:cs="Arial"/>
                <w:color w:val="000000"/>
                <w:sz w:val="16"/>
                <w:szCs w:val="16"/>
                <w:lang w:eastAsia="en-GB"/>
              </w:rPr>
              <w:t>Stage 1 - Wastewater</w:t>
            </w:r>
          </w:p>
        </w:tc>
        <w:tc>
          <w:tcPr>
            <w:tcW w:w="993" w:type="dxa"/>
            <w:tcBorders>
              <w:bottom w:val="single" w:sz="12" w:space="0" w:color="auto"/>
            </w:tcBorders>
            <w:shd w:val="clear" w:color="auto" w:fill="auto"/>
            <w:hideMark/>
          </w:tcPr>
          <w:p w14:paraId="3448ACE0" w14:textId="77777777" w:rsidR="007F35A9" w:rsidRPr="000131E5" w:rsidRDefault="007F35A9" w:rsidP="00F4228B">
            <w:pPr>
              <w:spacing w:after="0" w:line="240" w:lineRule="auto"/>
              <w:rPr>
                <w:rFonts w:ascii="Arial" w:eastAsia="Times New Roman" w:hAnsi="Arial" w:cs="Arial"/>
                <w:color w:val="000000"/>
                <w:sz w:val="16"/>
                <w:szCs w:val="16"/>
                <w:lang w:eastAsia="en-GB"/>
              </w:rPr>
            </w:pPr>
            <w:r w:rsidRPr="000131E5">
              <w:rPr>
                <w:rFonts w:ascii="Arial" w:eastAsia="Times New Roman" w:hAnsi="Arial" w:cs="Arial"/>
                <w:color w:val="000000"/>
                <w:sz w:val="16"/>
                <w:szCs w:val="16"/>
                <w:lang w:eastAsia="en-GB"/>
              </w:rPr>
              <w:t>Stage 2 - Existing Land Use</w:t>
            </w:r>
          </w:p>
        </w:tc>
        <w:tc>
          <w:tcPr>
            <w:tcW w:w="992" w:type="dxa"/>
            <w:tcBorders>
              <w:bottom w:val="single" w:sz="12" w:space="0" w:color="auto"/>
            </w:tcBorders>
            <w:shd w:val="clear" w:color="auto" w:fill="auto"/>
            <w:hideMark/>
          </w:tcPr>
          <w:p w14:paraId="631CDED2" w14:textId="77777777" w:rsidR="007F35A9" w:rsidRPr="000131E5" w:rsidRDefault="007F35A9" w:rsidP="00F4228B">
            <w:pPr>
              <w:spacing w:after="0" w:line="240" w:lineRule="auto"/>
              <w:rPr>
                <w:rFonts w:ascii="Arial" w:eastAsia="Times New Roman" w:hAnsi="Arial" w:cs="Arial"/>
                <w:color w:val="000000"/>
                <w:sz w:val="16"/>
                <w:szCs w:val="16"/>
                <w:lang w:eastAsia="en-GB"/>
              </w:rPr>
            </w:pPr>
            <w:r w:rsidRPr="000131E5">
              <w:rPr>
                <w:rFonts w:ascii="Arial" w:eastAsia="Times New Roman" w:hAnsi="Arial" w:cs="Arial"/>
                <w:color w:val="000000"/>
                <w:sz w:val="16"/>
                <w:szCs w:val="16"/>
                <w:lang w:eastAsia="en-GB"/>
              </w:rPr>
              <w:t xml:space="preserve">Stage 3 - New Land Use </w:t>
            </w:r>
          </w:p>
        </w:tc>
        <w:tc>
          <w:tcPr>
            <w:tcW w:w="992" w:type="dxa"/>
            <w:tcBorders>
              <w:bottom w:val="single" w:sz="12" w:space="0" w:color="auto"/>
              <w:right w:val="single" w:sz="12" w:space="0" w:color="auto"/>
            </w:tcBorders>
            <w:shd w:val="clear" w:color="auto" w:fill="auto"/>
            <w:hideMark/>
          </w:tcPr>
          <w:p w14:paraId="659D0923" w14:textId="77777777" w:rsidR="007F35A9" w:rsidRPr="000131E5" w:rsidRDefault="007F35A9" w:rsidP="00F4228B">
            <w:pPr>
              <w:spacing w:after="0" w:line="240" w:lineRule="auto"/>
              <w:rPr>
                <w:rFonts w:ascii="Arial" w:eastAsia="Times New Roman" w:hAnsi="Arial" w:cs="Arial"/>
                <w:color w:val="000000"/>
                <w:sz w:val="16"/>
                <w:szCs w:val="16"/>
                <w:lang w:eastAsia="en-GB"/>
              </w:rPr>
            </w:pPr>
            <w:r w:rsidRPr="000131E5">
              <w:rPr>
                <w:rFonts w:ascii="Arial" w:eastAsia="Times New Roman" w:hAnsi="Arial" w:cs="Arial"/>
                <w:color w:val="000000"/>
                <w:sz w:val="16"/>
                <w:szCs w:val="16"/>
                <w:lang w:eastAsia="en-GB"/>
              </w:rPr>
              <w:t>Stage 4 - Annual Nutrient Budget</w:t>
            </w:r>
          </w:p>
        </w:tc>
        <w:tc>
          <w:tcPr>
            <w:tcW w:w="1134" w:type="dxa"/>
            <w:tcBorders>
              <w:top w:val="single" w:sz="12" w:space="0" w:color="auto"/>
              <w:left w:val="single" w:sz="12" w:space="0" w:color="auto"/>
              <w:bottom w:val="single" w:sz="12" w:space="0" w:color="auto"/>
              <w:right w:val="single" w:sz="12" w:space="0" w:color="auto"/>
            </w:tcBorders>
            <w:shd w:val="clear" w:color="000000" w:fill="FFFF00"/>
            <w:hideMark/>
          </w:tcPr>
          <w:p w14:paraId="54745E4D" w14:textId="77777777" w:rsidR="007F35A9" w:rsidRPr="000131E5" w:rsidRDefault="007F35A9" w:rsidP="00F4228B">
            <w:pPr>
              <w:spacing w:after="0" w:line="240" w:lineRule="auto"/>
              <w:rPr>
                <w:rFonts w:ascii="Arial" w:eastAsia="Times New Roman" w:hAnsi="Arial" w:cs="Arial"/>
                <w:color w:val="000000"/>
                <w:sz w:val="16"/>
                <w:szCs w:val="16"/>
                <w:lang w:eastAsia="en-GB"/>
              </w:rPr>
            </w:pPr>
            <w:r w:rsidRPr="000131E5">
              <w:rPr>
                <w:rFonts w:ascii="Arial" w:eastAsia="Times New Roman" w:hAnsi="Arial" w:cs="Arial"/>
                <w:color w:val="000000"/>
                <w:sz w:val="16"/>
                <w:szCs w:val="16"/>
                <w:lang w:eastAsia="en-GB"/>
              </w:rPr>
              <w:t>Annual Nutrient Budget with 20% Buffer</w:t>
            </w:r>
          </w:p>
        </w:tc>
      </w:tr>
      <w:tr w:rsidR="009031BF" w:rsidRPr="00092550" w14:paraId="67602442" w14:textId="77777777" w:rsidTr="00F4228B">
        <w:trPr>
          <w:trHeight w:val="1002"/>
        </w:trPr>
        <w:tc>
          <w:tcPr>
            <w:tcW w:w="2122" w:type="dxa"/>
            <w:tcBorders>
              <w:top w:val="single" w:sz="12" w:space="0" w:color="auto"/>
              <w:left w:val="single" w:sz="12" w:space="0" w:color="auto"/>
              <w:bottom w:val="single" w:sz="12" w:space="0" w:color="auto"/>
            </w:tcBorders>
            <w:shd w:val="clear" w:color="auto" w:fill="auto"/>
            <w:hideMark/>
          </w:tcPr>
          <w:p w14:paraId="6FF5FA45" w14:textId="77777777" w:rsidR="007F35A9" w:rsidRPr="000131E5" w:rsidRDefault="007F35A9" w:rsidP="00F4228B">
            <w:pPr>
              <w:spacing w:after="0" w:line="240" w:lineRule="auto"/>
              <w:rPr>
                <w:rFonts w:ascii="Arial" w:eastAsia="Times New Roman" w:hAnsi="Arial" w:cs="Arial"/>
                <w:b/>
                <w:bCs/>
                <w:color w:val="000000"/>
                <w:sz w:val="16"/>
                <w:szCs w:val="16"/>
                <w:lang w:eastAsia="en-GB"/>
              </w:rPr>
            </w:pPr>
          </w:p>
        </w:tc>
        <w:tc>
          <w:tcPr>
            <w:tcW w:w="2551" w:type="dxa"/>
            <w:tcBorders>
              <w:top w:val="single" w:sz="12" w:space="0" w:color="auto"/>
              <w:bottom w:val="single" w:sz="12" w:space="0" w:color="auto"/>
              <w:right w:val="single" w:sz="12" w:space="0" w:color="auto"/>
            </w:tcBorders>
            <w:shd w:val="clear" w:color="auto" w:fill="auto"/>
            <w:hideMark/>
          </w:tcPr>
          <w:p w14:paraId="4A8F2167" w14:textId="77777777" w:rsidR="007F35A9" w:rsidRPr="000131E5" w:rsidRDefault="007F35A9" w:rsidP="00F4228B">
            <w:pPr>
              <w:spacing w:after="0" w:line="240" w:lineRule="auto"/>
              <w:rPr>
                <w:rFonts w:ascii="Arial" w:eastAsia="Times New Roman" w:hAnsi="Arial" w:cs="Arial"/>
                <w:b/>
                <w:bCs/>
                <w:color w:val="000000"/>
                <w:sz w:val="16"/>
                <w:szCs w:val="16"/>
                <w:lang w:eastAsia="en-GB"/>
              </w:rPr>
            </w:pPr>
            <w:r w:rsidRPr="000131E5">
              <w:rPr>
                <w:rFonts w:ascii="Arial" w:eastAsia="Times New Roman" w:hAnsi="Arial" w:cs="Arial"/>
                <w:b/>
                <w:bCs/>
                <w:color w:val="000000"/>
                <w:sz w:val="16"/>
                <w:szCs w:val="16"/>
                <w:lang w:eastAsia="en-GB"/>
              </w:rPr>
              <w:t>Full Allocation</w:t>
            </w:r>
          </w:p>
        </w:tc>
        <w:tc>
          <w:tcPr>
            <w:tcW w:w="1276" w:type="dxa"/>
            <w:tcBorders>
              <w:top w:val="single" w:sz="12" w:space="0" w:color="auto"/>
              <w:left w:val="single" w:sz="12" w:space="0" w:color="auto"/>
              <w:bottom w:val="single" w:sz="12" w:space="0" w:color="auto"/>
            </w:tcBorders>
            <w:shd w:val="clear" w:color="auto" w:fill="auto"/>
            <w:hideMark/>
          </w:tcPr>
          <w:p w14:paraId="70013B77" w14:textId="77777777" w:rsidR="007F35A9" w:rsidRPr="000131E5" w:rsidRDefault="007F35A9" w:rsidP="00F4228B">
            <w:pPr>
              <w:spacing w:after="0" w:line="240" w:lineRule="auto"/>
              <w:rPr>
                <w:rFonts w:ascii="Arial" w:eastAsia="Times New Roman" w:hAnsi="Arial" w:cs="Arial"/>
                <w:color w:val="000000"/>
                <w:sz w:val="16"/>
                <w:szCs w:val="16"/>
                <w:lang w:eastAsia="en-GB"/>
              </w:rPr>
            </w:pPr>
            <w:r w:rsidRPr="000131E5">
              <w:rPr>
                <w:rFonts w:ascii="Arial" w:eastAsia="Times New Roman" w:hAnsi="Arial" w:cs="Arial"/>
                <w:color w:val="000000"/>
                <w:sz w:val="16"/>
                <w:szCs w:val="16"/>
                <w:lang w:eastAsia="en-GB"/>
              </w:rPr>
              <w:t>Discharging Waste Water and Surface Water</w:t>
            </w:r>
          </w:p>
        </w:tc>
        <w:tc>
          <w:tcPr>
            <w:tcW w:w="1417" w:type="dxa"/>
            <w:tcBorders>
              <w:top w:val="single" w:sz="12" w:space="0" w:color="auto"/>
              <w:bottom w:val="single" w:sz="12" w:space="0" w:color="auto"/>
            </w:tcBorders>
            <w:shd w:val="clear" w:color="auto" w:fill="auto"/>
            <w:hideMark/>
          </w:tcPr>
          <w:p w14:paraId="7A533645" w14:textId="77777777" w:rsidR="007F35A9" w:rsidRPr="000131E5" w:rsidRDefault="007F35A9" w:rsidP="00F4228B">
            <w:pPr>
              <w:spacing w:after="0" w:line="240" w:lineRule="auto"/>
              <w:rPr>
                <w:rFonts w:ascii="Arial" w:eastAsia="Times New Roman" w:hAnsi="Arial" w:cs="Arial"/>
                <w:color w:val="000000"/>
                <w:sz w:val="16"/>
                <w:szCs w:val="16"/>
                <w:lang w:eastAsia="en-GB"/>
              </w:rPr>
            </w:pPr>
            <w:r w:rsidRPr="000131E5">
              <w:rPr>
                <w:rFonts w:ascii="Arial" w:eastAsia="Times New Roman" w:hAnsi="Arial" w:cs="Arial"/>
                <w:color w:val="000000"/>
                <w:sz w:val="16"/>
                <w:szCs w:val="16"/>
                <w:lang w:eastAsia="en-GB"/>
              </w:rPr>
              <w:t xml:space="preserve">Discharging solely Waste Water as outside Chichester Nutrients Catchment for surface water </w:t>
            </w:r>
          </w:p>
        </w:tc>
        <w:tc>
          <w:tcPr>
            <w:tcW w:w="1701" w:type="dxa"/>
            <w:tcBorders>
              <w:top w:val="single" w:sz="12" w:space="0" w:color="auto"/>
              <w:bottom w:val="single" w:sz="12" w:space="0" w:color="auto"/>
              <w:right w:val="single" w:sz="12" w:space="0" w:color="auto"/>
            </w:tcBorders>
            <w:shd w:val="clear" w:color="auto" w:fill="auto"/>
            <w:hideMark/>
          </w:tcPr>
          <w:p w14:paraId="6555E096" w14:textId="77777777" w:rsidR="007F35A9" w:rsidRPr="000131E5" w:rsidRDefault="007F35A9" w:rsidP="00F4228B">
            <w:pPr>
              <w:spacing w:after="0" w:line="240" w:lineRule="auto"/>
              <w:rPr>
                <w:rFonts w:ascii="Arial" w:eastAsia="Times New Roman" w:hAnsi="Arial" w:cs="Arial"/>
                <w:color w:val="000000"/>
                <w:sz w:val="16"/>
                <w:szCs w:val="16"/>
                <w:lang w:eastAsia="en-GB"/>
              </w:rPr>
            </w:pPr>
            <w:r w:rsidRPr="000131E5">
              <w:rPr>
                <w:rFonts w:ascii="Arial" w:eastAsia="Times New Roman" w:hAnsi="Arial" w:cs="Arial"/>
                <w:color w:val="000000"/>
                <w:sz w:val="16"/>
                <w:szCs w:val="16"/>
                <w:lang w:eastAsia="en-GB"/>
              </w:rPr>
              <w:t>Discharging solely Surface Water (wastewater discharging to a WWTW that is not connected to Chichester Harbour)</w:t>
            </w:r>
          </w:p>
        </w:tc>
        <w:tc>
          <w:tcPr>
            <w:tcW w:w="1134" w:type="dxa"/>
            <w:tcBorders>
              <w:top w:val="single" w:sz="12" w:space="0" w:color="auto"/>
              <w:left w:val="single" w:sz="12" w:space="0" w:color="auto"/>
              <w:bottom w:val="single" w:sz="12" w:space="0" w:color="auto"/>
            </w:tcBorders>
            <w:shd w:val="clear" w:color="auto" w:fill="auto"/>
            <w:hideMark/>
          </w:tcPr>
          <w:p w14:paraId="2A95CD82" w14:textId="77777777" w:rsidR="007F35A9" w:rsidRPr="000131E5" w:rsidRDefault="007F35A9" w:rsidP="00F4228B">
            <w:pPr>
              <w:spacing w:after="0" w:line="240" w:lineRule="auto"/>
              <w:rPr>
                <w:rFonts w:ascii="Arial" w:eastAsia="Times New Roman" w:hAnsi="Arial" w:cs="Arial"/>
                <w:b/>
                <w:bCs/>
                <w:color w:val="000000"/>
                <w:sz w:val="16"/>
                <w:szCs w:val="16"/>
                <w:lang w:eastAsia="en-GB"/>
              </w:rPr>
            </w:pPr>
          </w:p>
        </w:tc>
        <w:tc>
          <w:tcPr>
            <w:tcW w:w="993" w:type="dxa"/>
            <w:tcBorders>
              <w:top w:val="single" w:sz="12" w:space="0" w:color="auto"/>
              <w:bottom w:val="single" w:sz="12" w:space="0" w:color="auto"/>
            </w:tcBorders>
            <w:shd w:val="clear" w:color="auto" w:fill="auto"/>
            <w:hideMark/>
          </w:tcPr>
          <w:p w14:paraId="4FF9C719" w14:textId="77777777" w:rsidR="007F35A9" w:rsidRPr="000131E5" w:rsidRDefault="007F35A9" w:rsidP="00F4228B">
            <w:pPr>
              <w:spacing w:after="0" w:line="240" w:lineRule="auto"/>
              <w:rPr>
                <w:rFonts w:ascii="Arial" w:eastAsia="Times New Roman" w:hAnsi="Arial" w:cs="Arial"/>
                <w:b/>
                <w:bCs/>
                <w:sz w:val="16"/>
                <w:szCs w:val="16"/>
                <w:lang w:eastAsia="en-GB"/>
              </w:rPr>
            </w:pPr>
          </w:p>
        </w:tc>
        <w:tc>
          <w:tcPr>
            <w:tcW w:w="992" w:type="dxa"/>
            <w:tcBorders>
              <w:top w:val="single" w:sz="12" w:space="0" w:color="auto"/>
              <w:bottom w:val="single" w:sz="12" w:space="0" w:color="auto"/>
            </w:tcBorders>
            <w:shd w:val="clear" w:color="auto" w:fill="auto"/>
            <w:hideMark/>
          </w:tcPr>
          <w:p w14:paraId="3C57DFE0" w14:textId="77777777" w:rsidR="007F35A9" w:rsidRPr="000131E5" w:rsidRDefault="007F35A9" w:rsidP="00F4228B">
            <w:pPr>
              <w:spacing w:after="0" w:line="240" w:lineRule="auto"/>
              <w:rPr>
                <w:rFonts w:ascii="Arial" w:eastAsia="Times New Roman" w:hAnsi="Arial" w:cs="Arial"/>
                <w:b/>
                <w:bCs/>
                <w:sz w:val="16"/>
                <w:szCs w:val="16"/>
                <w:lang w:eastAsia="en-GB"/>
              </w:rPr>
            </w:pPr>
          </w:p>
        </w:tc>
        <w:tc>
          <w:tcPr>
            <w:tcW w:w="992" w:type="dxa"/>
            <w:tcBorders>
              <w:bottom w:val="single" w:sz="12" w:space="0" w:color="auto"/>
              <w:right w:val="single" w:sz="12" w:space="0" w:color="auto"/>
            </w:tcBorders>
            <w:shd w:val="clear" w:color="auto" w:fill="auto"/>
            <w:hideMark/>
          </w:tcPr>
          <w:p w14:paraId="12346D65" w14:textId="77777777" w:rsidR="007F35A9" w:rsidRPr="000131E5" w:rsidRDefault="007F35A9" w:rsidP="00F4228B">
            <w:pPr>
              <w:spacing w:after="0" w:line="240" w:lineRule="auto"/>
              <w:rPr>
                <w:rFonts w:ascii="Arial" w:eastAsia="Times New Roman" w:hAnsi="Arial" w:cs="Arial"/>
                <w:b/>
                <w:bCs/>
                <w:sz w:val="16"/>
                <w:szCs w:val="16"/>
                <w:lang w:eastAsia="en-GB"/>
              </w:rPr>
            </w:pPr>
          </w:p>
        </w:tc>
        <w:tc>
          <w:tcPr>
            <w:tcW w:w="1134" w:type="dxa"/>
            <w:tcBorders>
              <w:top w:val="single" w:sz="12" w:space="0" w:color="auto"/>
              <w:left w:val="single" w:sz="12" w:space="0" w:color="auto"/>
              <w:bottom w:val="single" w:sz="12" w:space="0" w:color="auto"/>
              <w:right w:val="single" w:sz="12" w:space="0" w:color="auto"/>
            </w:tcBorders>
            <w:shd w:val="clear" w:color="000000" w:fill="FFFF00"/>
            <w:hideMark/>
          </w:tcPr>
          <w:p w14:paraId="00556714" w14:textId="77777777" w:rsidR="007F35A9" w:rsidRPr="000131E5" w:rsidRDefault="007F35A9" w:rsidP="00F4228B">
            <w:pPr>
              <w:spacing w:after="0" w:line="240" w:lineRule="auto"/>
              <w:rPr>
                <w:rFonts w:ascii="Arial" w:eastAsia="Times New Roman" w:hAnsi="Arial" w:cs="Arial"/>
                <w:b/>
                <w:bCs/>
                <w:color w:val="000000"/>
                <w:sz w:val="16"/>
                <w:szCs w:val="16"/>
                <w:lang w:eastAsia="en-GB"/>
              </w:rPr>
            </w:pPr>
            <w:r w:rsidRPr="000131E5">
              <w:rPr>
                <w:rFonts w:ascii="Arial" w:eastAsia="Times New Roman" w:hAnsi="Arial" w:cs="Arial"/>
                <w:b/>
                <w:bCs/>
                <w:color w:val="000000"/>
                <w:sz w:val="16"/>
                <w:szCs w:val="16"/>
                <w:lang w:eastAsia="en-GB"/>
              </w:rPr>
              <w:t> </w:t>
            </w:r>
          </w:p>
        </w:tc>
      </w:tr>
      <w:tr w:rsidR="009031BF" w:rsidRPr="00092550" w14:paraId="5D23A380" w14:textId="77777777" w:rsidTr="00F4228B">
        <w:trPr>
          <w:trHeight w:val="864"/>
        </w:trPr>
        <w:tc>
          <w:tcPr>
            <w:tcW w:w="2122" w:type="dxa"/>
            <w:tcBorders>
              <w:top w:val="single" w:sz="12" w:space="0" w:color="auto"/>
              <w:left w:val="single" w:sz="12" w:space="0" w:color="auto"/>
            </w:tcBorders>
            <w:shd w:val="clear" w:color="auto" w:fill="auto"/>
            <w:noWrap/>
            <w:hideMark/>
          </w:tcPr>
          <w:p w14:paraId="6E5BE871"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Chichester City (Policy A2)</w:t>
            </w:r>
          </w:p>
        </w:tc>
        <w:tc>
          <w:tcPr>
            <w:tcW w:w="2551" w:type="dxa"/>
            <w:tcBorders>
              <w:top w:val="single" w:sz="12" w:space="0" w:color="auto"/>
              <w:right w:val="single" w:sz="12" w:space="0" w:color="auto"/>
            </w:tcBorders>
            <w:shd w:val="clear" w:color="auto" w:fill="auto"/>
            <w:hideMark/>
          </w:tcPr>
          <w:p w14:paraId="56F137ED"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270 although this is reduced to 260 as 10 dwellings already permitted as part of this parish allocation .</w:t>
            </w:r>
          </w:p>
        </w:tc>
        <w:tc>
          <w:tcPr>
            <w:tcW w:w="1276" w:type="dxa"/>
            <w:tcBorders>
              <w:top w:val="single" w:sz="12" w:space="0" w:color="auto"/>
              <w:left w:val="single" w:sz="12" w:space="0" w:color="auto"/>
            </w:tcBorders>
            <w:shd w:val="clear" w:color="auto" w:fill="auto"/>
            <w:noWrap/>
            <w:hideMark/>
          </w:tcPr>
          <w:p w14:paraId="7EFB691E"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260</w:t>
            </w:r>
          </w:p>
        </w:tc>
        <w:tc>
          <w:tcPr>
            <w:tcW w:w="1417" w:type="dxa"/>
            <w:tcBorders>
              <w:top w:val="single" w:sz="12" w:space="0" w:color="auto"/>
            </w:tcBorders>
            <w:shd w:val="clear" w:color="auto" w:fill="auto"/>
            <w:noWrap/>
            <w:hideMark/>
          </w:tcPr>
          <w:p w14:paraId="0DFCA4EE"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701" w:type="dxa"/>
            <w:tcBorders>
              <w:top w:val="single" w:sz="12" w:space="0" w:color="auto"/>
              <w:right w:val="single" w:sz="12" w:space="0" w:color="auto"/>
            </w:tcBorders>
            <w:shd w:val="clear" w:color="auto" w:fill="auto"/>
            <w:noWrap/>
            <w:hideMark/>
          </w:tcPr>
          <w:p w14:paraId="304FE9D9"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top w:val="single" w:sz="12" w:space="0" w:color="auto"/>
              <w:left w:val="single" w:sz="12" w:space="0" w:color="auto"/>
            </w:tcBorders>
            <w:shd w:val="clear" w:color="auto" w:fill="auto"/>
            <w:noWrap/>
            <w:hideMark/>
          </w:tcPr>
          <w:p w14:paraId="04CAE3D5"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172.30</w:t>
            </w:r>
          </w:p>
        </w:tc>
        <w:tc>
          <w:tcPr>
            <w:tcW w:w="993" w:type="dxa"/>
            <w:tcBorders>
              <w:top w:val="single" w:sz="12" w:space="0" w:color="auto"/>
            </w:tcBorders>
            <w:shd w:val="clear" w:color="auto" w:fill="auto"/>
            <w:noWrap/>
            <w:hideMark/>
          </w:tcPr>
          <w:p w14:paraId="7693061E"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76.52</w:t>
            </w:r>
          </w:p>
        </w:tc>
        <w:tc>
          <w:tcPr>
            <w:tcW w:w="992" w:type="dxa"/>
            <w:tcBorders>
              <w:top w:val="single" w:sz="12" w:space="0" w:color="auto"/>
            </w:tcBorders>
            <w:shd w:val="clear" w:color="auto" w:fill="auto"/>
            <w:noWrap/>
            <w:hideMark/>
          </w:tcPr>
          <w:p w14:paraId="015E9F65"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106.91</w:t>
            </w:r>
          </w:p>
        </w:tc>
        <w:tc>
          <w:tcPr>
            <w:tcW w:w="992" w:type="dxa"/>
            <w:tcBorders>
              <w:top w:val="single" w:sz="12" w:space="0" w:color="auto"/>
              <w:right w:val="single" w:sz="12" w:space="0" w:color="auto"/>
            </w:tcBorders>
            <w:shd w:val="clear" w:color="auto" w:fill="auto"/>
            <w:noWrap/>
            <w:hideMark/>
          </w:tcPr>
          <w:p w14:paraId="261587C9"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202.69</w:t>
            </w:r>
          </w:p>
        </w:tc>
        <w:tc>
          <w:tcPr>
            <w:tcW w:w="1134" w:type="dxa"/>
            <w:tcBorders>
              <w:top w:val="single" w:sz="12" w:space="0" w:color="auto"/>
              <w:left w:val="single" w:sz="12" w:space="0" w:color="auto"/>
              <w:right w:val="single" w:sz="12" w:space="0" w:color="auto"/>
            </w:tcBorders>
            <w:shd w:val="clear" w:color="000000" w:fill="FFFF00"/>
            <w:noWrap/>
            <w:hideMark/>
          </w:tcPr>
          <w:p w14:paraId="2306F64D"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243.23</w:t>
            </w:r>
          </w:p>
        </w:tc>
      </w:tr>
      <w:tr w:rsidR="009031BF" w:rsidRPr="00092550" w14:paraId="7DF145FC" w14:textId="77777777" w:rsidTr="00F4228B">
        <w:trPr>
          <w:trHeight w:val="631"/>
        </w:trPr>
        <w:tc>
          <w:tcPr>
            <w:tcW w:w="2122" w:type="dxa"/>
            <w:tcBorders>
              <w:left w:val="single" w:sz="12" w:space="0" w:color="auto"/>
            </w:tcBorders>
            <w:shd w:val="clear" w:color="auto" w:fill="auto"/>
            <w:hideMark/>
          </w:tcPr>
          <w:p w14:paraId="3B445E8C"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Southern Gateway (Policy A4 (Bus Station area))</w:t>
            </w:r>
          </w:p>
        </w:tc>
        <w:tc>
          <w:tcPr>
            <w:tcW w:w="2551" w:type="dxa"/>
            <w:tcBorders>
              <w:right w:val="single" w:sz="12" w:space="0" w:color="auto"/>
            </w:tcBorders>
            <w:shd w:val="clear" w:color="auto" w:fill="auto"/>
            <w:hideMark/>
          </w:tcPr>
          <w:p w14:paraId="48EBF860"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110</w:t>
            </w:r>
          </w:p>
        </w:tc>
        <w:tc>
          <w:tcPr>
            <w:tcW w:w="1276" w:type="dxa"/>
            <w:tcBorders>
              <w:left w:val="single" w:sz="12" w:space="0" w:color="auto"/>
            </w:tcBorders>
            <w:shd w:val="clear" w:color="auto" w:fill="auto"/>
            <w:hideMark/>
          </w:tcPr>
          <w:p w14:paraId="1FA45AB6"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110</w:t>
            </w:r>
          </w:p>
        </w:tc>
        <w:tc>
          <w:tcPr>
            <w:tcW w:w="1417" w:type="dxa"/>
            <w:shd w:val="clear" w:color="auto" w:fill="auto"/>
            <w:hideMark/>
          </w:tcPr>
          <w:p w14:paraId="7F38B7CD"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701" w:type="dxa"/>
            <w:tcBorders>
              <w:right w:val="single" w:sz="12" w:space="0" w:color="auto"/>
            </w:tcBorders>
            <w:shd w:val="clear" w:color="auto" w:fill="auto"/>
            <w:noWrap/>
            <w:hideMark/>
          </w:tcPr>
          <w:p w14:paraId="3DF042D0"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left w:val="single" w:sz="12" w:space="0" w:color="auto"/>
            </w:tcBorders>
            <w:shd w:val="clear" w:color="auto" w:fill="auto"/>
            <w:hideMark/>
          </w:tcPr>
          <w:p w14:paraId="453FEB78"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72.90</w:t>
            </w:r>
          </w:p>
        </w:tc>
        <w:tc>
          <w:tcPr>
            <w:tcW w:w="993" w:type="dxa"/>
            <w:shd w:val="clear" w:color="auto" w:fill="auto"/>
            <w:noWrap/>
            <w:hideMark/>
          </w:tcPr>
          <w:p w14:paraId="4039467E"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8.65</w:t>
            </w:r>
          </w:p>
        </w:tc>
        <w:tc>
          <w:tcPr>
            <w:tcW w:w="992" w:type="dxa"/>
            <w:shd w:val="clear" w:color="auto" w:fill="auto"/>
            <w:noWrap/>
            <w:hideMark/>
          </w:tcPr>
          <w:p w14:paraId="705218D3"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16.21</w:t>
            </w:r>
          </w:p>
        </w:tc>
        <w:tc>
          <w:tcPr>
            <w:tcW w:w="992" w:type="dxa"/>
            <w:tcBorders>
              <w:right w:val="single" w:sz="12" w:space="0" w:color="auto"/>
            </w:tcBorders>
            <w:shd w:val="clear" w:color="auto" w:fill="auto"/>
            <w:noWrap/>
            <w:hideMark/>
          </w:tcPr>
          <w:p w14:paraId="188F5AAE"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80.46</w:t>
            </w:r>
          </w:p>
        </w:tc>
        <w:tc>
          <w:tcPr>
            <w:tcW w:w="1134" w:type="dxa"/>
            <w:tcBorders>
              <w:left w:val="single" w:sz="12" w:space="0" w:color="auto"/>
              <w:right w:val="single" w:sz="12" w:space="0" w:color="auto"/>
            </w:tcBorders>
            <w:shd w:val="clear" w:color="000000" w:fill="FFFF00"/>
            <w:noWrap/>
            <w:hideMark/>
          </w:tcPr>
          <w:p w14:paraId="4E967AC9"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96.55</w:t>
            </w:r>
          </w:p>
        </w:tc>
      </w:tr>
      <w:tr w:rsidR="009031BF" w:rsidRPr="00092550" w14:paraId="24208BEE" w14:textId="77777777" w:rsidTr="00F4228B">
        <w:tc>
          <w:tcPr>
            <w:tcW w:w="2122" w:type="dxa"/>
            <w:tcBorders>
              <w:left w:val="single" w:sz="12" w:space="0" w:color="auto"/>
            </w:tcBorders>
            <w:shd w:val="clear" w:color="auto" w:fill="auto"/>
            <w:hideMark/>
          </w:tcPr>
          <w:p w14:paraId="2C16D400"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Southern Gateway (Policy A5 (Police Field area))</w:t>
            </w:r>
          </w:p>
        </w:tc>
        <w:tc>
          <w:tcPr>
            <w:tcW w:w="2551" w:type="dxa"/>
            <w:tcBorders>
              <w:right w:val="single" w:sz="12" w:space="0" w:color="auto"/>
            </w:tcBorders>
            <w:shd w:val="clear" w:color="auto" w:fill="auto"/>
            <w:hideMark/>
          </w:tcPr>
          <w:p w14:paraId="02CFDCCB"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70</w:t>
            </w:r>
          </w:p>
        </w:tc>
        <w:tc>
          <w:tcPr>
            <w:tcW w:w="1276" w:type="dxa"/>
            <w:tcBorders>
              <w:left w:val="single" w:sz="12" w:space="0" w:color="auto"/>
            </w:tcBorders>
            <w:shd w:val="clear" w:color="auto" w:fill="auto"/>
            <w:noWrap/>
            <w:hideMark/>
          </w:tcPr>
          <w:p w14:paraId="7B561496"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417" w:type="dxa"/>
            <w:shd w:val="clear" w:color="auto" w:fill="auto"/>
            <w:noWrap/>
            <w:hideMark/>
          </w:tcPr>
          <w:p w14:paraId="3060AB37"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70</w:t>
            </w:r>
          </w:p>
        </w:tc>
        <w:tc>
          <w:tcPr>
            <w:tcW w:w="1701" w:type="dxa"/>
            <w:tcBorders>
              <w:right w:val="single" w:sz="12" w:space="0" w:color="auto"/>
            </w:tcBorders>
            <w:shd w:val="clear" w:color="auto" w:fill="auto"/>
            <w:hideMark/>
          </w:tcPr>
          <w:p w14:paraId="07953CF8"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134" w:type="dxa"/>
            <w:tcBorders>
              <w:left w:val="single" w:sz="12" w:space="0" w:color="auto"/>
            </w:tcBorders>
            <w:shd w:val="clear" w:color="auto" w:fill="auto"/>
            <w:hideMark/>
          </w:tcPr>
          <w:p w14:paraId="03509D5C"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46.39</w:t>
            </w:r>
          </w:p>
        </w:tc>
        <w:tc>
          <w:tcPr>
            <w:tcW w:w="993" w:type="dxa"/>
            <w:shd w:val="clear" w:color="auto" w:fill="auto"/>
            <w:noWrap/>
            <w:hideMark/>
          </w:tcPr>
          <w:p w14:paraId="46B18CCA"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992" w:type="dxa"/>
            <w:shd w:val="clear" w:color="auto" w:fill="auto"/>
            <w:noWrap/>
            <w:hideMark/>
          </w:tcPr>
          <w:p w14:paraId="24730E55"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992" w:type="dxa"/>
            <w:tcBorders>
              <w:right w:val="single" w:sz="12" w:space="0" w:color="auto"/>
            </w:tcBorders>
            <w:shd w:val="clear" w:color="auto" w:fill="auto"/>
            <w:noWrap/>
            <w:hideMark/>
          </w:tcPr>
          <w:p w14:paraId="6CF9A167"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46.39</w:t>
            </w:r>
          </w:p>
        </w:tc>
        <w:tc>
          <w:tcPr>
            <w:tcW w:w="1134" w:type="dxa"/>
            <w:tcBorders>
              <w:left w:val="single" w:sz="12" w:space="0" w:color="auto"/>
              <w:right w:val="single" w:sz="12" w:space="0" w:color="auto"/>
            </w:tcBorders>
            <w:shd w:val="clear" w:color="000000" w:fill="FFFF00"/>
            <w:noWrap/>
            <w:hideMark/>
          </w:tcPr>
          <w:p w14:paraId="3FB1D40B"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55.67</w:t>
            </w:r>
          </w:p>
        </w:tc>
      </w:tr>
      <w:tr w:rsidR="009031BF" w:rsidRPr="00092550" w14:paraId="46CB376F" w14:textId="77777777" w:rsidTr="00F4228B">
        <w:trPr>
          <w:trHeight w:val="1307"/>
        </w:trPr>
        <w:tc>
          <w:tcPr>
            <w:tcW w:w="2122" w:type="dxa"/>
            <w:tcBorders>
              <w:left w:val="single" w:sz="12" w:space="0" w:color="auto"/>
            </w:tcBorders>
            <w:shd w:val="clear" w:color="auto" w:fill="auto"/>
            <w:noWrap/>
            <w:hideMark/>
          </w:tcPr>
          <w:p w14:paraId="0FA4EC73"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West of Chichester (Policy A6)</w:t>
            </w:r>
          </w:p>
        </w:tc>
        <w:tc>
          <w:tcPr>
            <w:tcW w:w="2551" w:type="dxa"/>
            <w:tcBorders>
              <w:right w:val="single" w:sz="12" w:space="0" w:color="auto"/>
            </w:tcBorders>
            <w:shd w:val="clear" w:color="auto" w:fill="auto"/>
            <w:hideMark/>
          </w:tcPr>
          <w:p w14:paraId="450FBA17"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1600 although Phase 1 (750) is now permitted under reserved matters applications.  Remaining 850 dwellings have "Defer for Section 106 then permit" and no mitigation required in nutrient budget.</w:t>
            </w:r>
          </w:p>
        </w:tc>
        <w:tc>
          <w:tcPr>
            <w:tcW w:w="1276" w:type="dxa"/>
            <w:tcBorders>
              <w:left w:val="single" w:sz="12" w:space="0" w:color="auto"/>
            </w:tcBorders>
            <w:shd w:val="clear" w:color="auto" w:fill="auto"/>
            <w:noWrap/>
            <w:hideMark/>
          </w:tcPr>
          <w:p w14:paraId="0762D4AF"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417" w:type="dxa"/>
            <w:shd w:val="clear" w:color="auto" w:fill="auto"/>
            <w:noWrap/>
            <w:hideMark/>
          </w:tcPr>
          <w:p w14:paraId="7585E642"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701" w:type="dxa"/>
            <w:tcBorders>
              <w:right w:val="single" w:sz="12" w:space="0" w:color="auto"/>
            </w:tcBorders>
            <w:shd w:val="clear" w:color="auto" w:fill="auto"/>
            <w:noWrap/>
            <w:hideMark/>
          </w:tcPr>
          <w:p w14:paraId="2CDF6405"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850</w:t>
            </w:r>
          </w:p>
        </w:tc>
        <w:tc>
          <w:tcPr>
            <w:tcW w:w="1134" w:type="dxa"/>
            <w:tcBorders>
              <w:left w:val="single" w:sz="12" w:space="0" w:color="auto"/>
            </w:tcBorders>
            <w:shd w:val="clear" w:color="auto" w:fill="auto"/>
            <w:hideMark/>
          </w:tcPr>
          <w:p w14:paraId="110CD8FA"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N/A - Wastewater re-routed to Tangmere</w:t>
            </w:r>
          </w:p>
        </w:tc>
        <w:tc>
          <w:tcPr>
            <w:tcW w:w="993" w:type="dxa"/>
            <w:shd w:val="clear" w:color="auto" w:fill="auto"/>
            <w:noWrap/>
            <w:hideMark/>
          </w:tcPr>
          <w:p w14:paraId="34ECBB66"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1120.17</w:t>
            </w:r>
          </w:p>
        </w:tc>
        <w:tc>
          <w:tcPr>
            <w:tcW w:w="992" w:type="dxa"/>
            <w:shd w:val="clear" w:color="auto" w:fill="auto"/>
            <w:noWrap/>
            <w:hideMark/>
          </w:tcPr>
          <w:p w14:paraId="78DE03F4"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618.60</w:t>
            </w:r>
          </w:p>
        </w:tc>
        <w:tc>
          <w:tcPr>
            <w:tcW w:w="992" w:type="dxa"/>
            <w:tcBorders>
              <w:right w:val="single" w:sz="12" w:space="0" w:color="auto"/>
            </w:tcBorders>
            <w:shd w:val="clear" w:color="auto" w:fill="auto"/>
            <w:noWrap/>
            <w:hideMark/>
          </w:tcPr>
          <w:p w14:paraId="784AA7EA"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-501.57</w:t>
            </w:r>
          </w:p>
        </w:tc>
        <w:tc>
          <w:tcPr>
            <w:tcW w:w="1134" w:type="dxa"/>
            <w:tcBorders>
              <w:left w:val="single" w:sz="12" w:space="0" w:color="auto"/>
              <w:right w:val="single" w:sz="12" w:space="0" w:color="auto"/>
            </w:tcBorders>
            <w:shd w:val="clear" w:color="000000" w:fill="FFFF00"/>
            <w:noWrap/>
            <w:hideMark/>
          </w:tcPr>
          <w:p w14:paraId="6318BB02"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r>
      <w:tr w:rsidR="009031BF" w:rsidRPr="00092550" w14:paraId="3B88CA6F" w14:textId="77777777" w:rsidTr="00F4228B">
        <w:trPr>
          <w:trHeight w:val="847"/>
        </w:trPr>
        <w:tc>
          <w:tcPr>
            <w:tcW w:w="2122" w:type="dxa"/>
            <w:tcBorders>
              <w:left w:val="single" w:sz="12" w:space="0" w:color="auto"/>
            </w:tcBorders>
            <w:shd w:val="clear" w:color="auto" w:fill="auto"/>
            <w:hideMark/>
          </w:tcPr>
          <w:p w14:paraId="7D1A72E4"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Westhampnett/</w:t>
            </w:r>
            <w:r>
              <w:rPr>
                <w:rFonts w:ascii="Arial" w:eastAsia="Times New Roman" w:hAnsi="Arial" w:cs="Arial"/>
                <w:color w:val="000000"/>
                <w:sz w:val="16"/>
                <w:szCs w:val="16"/>
                <w:lang w:eastAsia="en-GB"/>
              </w:rPr>
              <w:t xml:space="preserve"> </w:t>
            </w:r>
            <w:r w:rsidRPr="00092550">
              <w:rPr>
                <w:rFonts w:ascii="Arial" w:eastAsia="Times New Roman" w:hAnsi="Arial" w:cs="Arial"/>
                <w:color w:val="000000"/>
                <w:sz w:val="16"/>
                <w:szCs w:val="16"/>
                <w:lang w:eastAsia="en-GB"/>
              </w:rPr>
              <w:t>North East Chichester (Policy A9)</w:t>
            </w:r>
          </w:p>
        </w:tc>
        <w:tc>
          <w:tcPr>
            <w:tcW w:w="2551" w:type="dxa"/>
            <w:tcBorders>
              <w:right w:val="single" w:sz="12" w:space="0" w:color="auto"/>
            </w:tcBorders>
            <w:shd w:val="clear" w:color="auto" w:fill="auto"/>
            <w:hideMark/>
          </w:tcPr>
          <w:p w14:paraId="7AB67F4C"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500 all permitted, phase 2 for 200 dwellings reserved matters permitted in May 2021.</w:t>
            </w:r>
          </w:p>
        </w:tc>
        <w:tc>
          <w:tcPr>
            <w:tcW w:w="1276" w:type="dxa"/>
            <w:tcBorders>
              <w:left w:val="single" w:sz="12" w:space="0" w:color="auto"/>
            </w:tcBorders>
            <w:shd w:val="clear" w:color="auto" w:fill="auto"/>
            <w:noWrap/>
            <w:hideMark/>
          </w:tcPr>
          <w:p w14:paraId="463E8B28"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417" w:type="dxa"/>
            <w:shd w:val="clear" w:color="auto" w:fill="auto"/>
            <w:noWrap/>
            <w:hideMark/>
          </w:tcPr>
          <w:p w14:paraId="686D63CE"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701" w:type="dxa"/>
            <w:tcBorders>
              <w:right w:val="single" w:sz="12" w:space="0" w:color="auto"/>
            </w:tcBorders>
            <w:shd w:val="clear" w:color="auto" w:fill="auto"/>
            <w:noWrap/>
            <w:hideMark/>
          </w:tcPr>
          <w:p w14:paraId="479AD3B7"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1134" w:type="dxa"/>
            <w:tcBorders>
              <w:left w:val="single" w:sz="12" w:space="0" w:color="auto"/>
            </w:tcBorders>
            <w:shd w:val="clear" w:color="auto" w:fill="auto"/>
            <w:hideMark/>
          </w:tcPr>
          <w:p w14:paraId="19B8F351"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N/A - Wastewater discharges to Tangmere</w:t>
            </w:r>
          </w:p>
        </w:tc>
        <w:tc>
          <w:tcPr>
            <w:tcW w:w="993" w:type="dxa"/>
            <w:shd w:val="clear" w:color="auto" w:fill="auto"/>
            <w:noWrap/>
            <w:hideMark/>
          </w:tcPr>
          <w:p w14:paraId="675B2A1D"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992" w:type="dxa"/>
            <w:shd w:val="clear" w:color="auto" w:fill="auto"/>
            <w:noWrap/>
            <w:hideMark/>
          </w:tcPr>
          <w:p w14:paraId="2F6B8383"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992" w:type="dxa"/>
            <w:tcBorders>
              <w:right w:val="single" w:sz="12" w:space="0" w:color="auto"/>
            </w:tcBorders>
            <w:shd w:val="clear" w:color="auto" w:fill="auto"/>
            <w:noWrap/>
            <w:hideMark/>
          </w:tcPr>
          <w:p w14:paraId="4AA0FE6C"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1134" w:type="dxa"/>
            <w:tcBorders>
              <w:left w:val="single" w:sz="12" w:space="0" w:color="auto"/>
              <w:right w:val="single" w:sz="12" w:space="0" w:color="auto"/>
            </w:tcBorders>
            <w:shd w:val="clear" w:color="000000" w:fill="FFFF00"/>
            <w:noWrap/>
            <w:hideMark/>
          </w:tcPr>
          <w:p w14:paraId="1D4D5A2A"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r>
      <w:tr w:rsidR="009031BF" w:rsidRPr="00092550" w14:paraId="48711A47" w14:textId="77777777" w:rsidTr="00F4228B">
        <w:trPr>
          <w:trHeight w:val="1152"/>
        </w:trPr>
        <w:tc>
          <w:tcPr>
            <w:tcW w:w="2122" w:type="dxa"/>
            <w:tcBorders>
              <w:left w:val="single" w:sz="12" w:space="0" w:color="auto"/>
            </w:tcBorders>
            <w:shd w:val="clear" w:color="auto" w:fill="auto"/>
            <w:hideMark/>
          </w:tcPr>
          <w:p w14:paraId="09CAE19D"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 xml:space="preserve">Bosham Highgrove Farm (Policy A11)  </w:t>
            </w:r>
          </w:p>
        </w:tc>
        <w:tc>
          <w:tcPr>
            <w:tcW w:w="2551" w:type="dxa"/>
            <w:tcBorders>
              <w:right w:val="single" w:sz="12" w:space="0" w:color="auto"/>
            </w:tcBorders>
            <w:shd w:val="clear" w:color="auto" w:fill="auto"/>
            <w:hideMark/>
          </w:tcPr>
          <w:p w14:paraId="473DFCFB"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248 although 300 dwellings now permitted (includes SADPD allocation of 50) - appeal allowed Nov 23 (ref: 21/00571/FUL)</w:t>
            </w:r>
          </w:p>
        </w:tc>
        <w:tc>
          <w:tcPr>
            <w:tcW w:w="1276" w:type="dxa"/>
            <w:tcBorders>
              <w:left w:val="single" w:sz="12" w:space="0" w:color="auto"/>
            </w:tcBorders>
            <w:shd w:val="clear" w:color="auto" w:fill="auto"/>
            <w:noWrap/>
            <w:hideMark/>
          </w:tcPr>
          <w:p w14:paraId="301F04D2"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300</w:t>
            </w:r>
          </w:p>
        </w:tc>
        <w:tc>
          <w:tcPr>
            <w:tcW w:w="1417" w:type="dxa"/>
            <w:shd w:val="clear" w:color="auto" w:fill="auto"/>
            <w:noWrap/>
            <w:hideMark/>
          </w:tcPr>
          <w:p w14:paraId="3108CBC0"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701" w:type="dxa"/>
            <w:tcBorders>
              <w:right w:val="single" w:sz="12" w:space="0" w:color="auto"/>
            </w:tcBorders>
            <w:shd w:val="clear" w:color="auto" w:fill="auto"/>
            <w:noWrap/>
            <w:hideMark/>
          </w:tcPr>
          <w:p w14:paraId="397D47F6"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left w:val="single" w:sz="12" w:space="0" w:color="auto"/>
            </w:tcBorders>
            <w:shd w:val="clear" w:color="auto" w:fill="auto"/>
            <w:noWrap/>
            <w:hideMark/>
          </w:tcPr>
          <w:p w14:paraId="163E7F96"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227.21</w:t>
            </w:r>
          </w:p>
        </w:tc>
        <w:tc>
          <w:tcPr>
            <w:tcW w:w="993" w:type="dxa"/>
            <w:shd w:val="clear" w:color="auto" w:fill="auto"/>
            <w:noWrap/>
            <w:hideMark/>
          </w:tcPr>
          <w:p w14:paraId="76B16173"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308.64</w:t>
            </w:r>
          </w:p>
        </w:tc>
        <w:tc>
          <w:tcPr>
            <w:tcW w:w="992" w:type="dxa"/>
            <w:shd w:val="clear" w:color="auto" w:fill="auto"/>
            <w:noWrap/>
            <w:hideMark/>
          </w:tcPr>
          <w:p w14:paraId="0DF46F51"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151.34</w:t>
            </w:r>
          </w:p>
        </w:tc>
        <w:tc>
          <w:tcPr>
            <w:tcW w:w="992" w:type="dxa"/>
            <w:tcBorders>
              <w:right w:val="single" w:sz="12" w:space="0" w:color="auto"/>
            </w:tcBorders>
            <w:shd w:val="clear" w:color="auto" w:fill="auto"/>
            <w:noWrap/>
            <w:hideMark/>
          </w:tcPr>
          <w:p w14:paraId="755F37AF"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69.91</w:t>
            </w:r>
          </w:p>
        </w:tc>
        <w:tc>
          <w:tcPr>
            <w:tcW w:w="1134" w:type="dxa"/>
            <w:tcBorders>
              <w:left w:val="single" w:sz="12" w:space="0" w:color="auto"/>
              <w:right w:val="single" w:sz="12" w:space="0" w:color="auto"/>
            </w:tcBorders>
            <w:shd w:val="clear" w:color="000000" w:fill="FFFF00"/>
            <w:noWrap/>
            <w:hideMark/>
          </w:tcPr>
          <w:p w14:paraId="60E83CCB"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83.89</w:t>
            </w:r>
          </w:p>
        </w:tc>
      </w:tr>
      <w:tr w:rsidR="009031BF" w:rsidRPr="00092550" w14:paraId="5DB8F8D5" w14:textId="77777777" w:rsidTr="00F4228B">
        <w:trPr>
          <w:trHeight w:val="646"/>
        </w:trPr>
        <w:tc>
          <w:tcPr>
            <w:tcW w:w="2122" w:type="dxa"/>
            <w:tcBorders>
              <w:left w:val="single" w:sz="12" w:space="0" w:color="auto"/>
            </w:tcBorders>
            <w:shd w:val="clear" w:color="auto" w:fill="auto"/>
            <w:noWrap/>
            <w:hideMark/>
          </w:tcPr>
          <w:p w14:paraId="3609EA2A"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Chidham &amp; Hambrook (Policy A12)</w:t>
            </w:r>
          </w:p>
        </w:tc>
        <w:tc>
          <w:tcPr>
            <w:tcW w:w="2551" w:type="dxa"/>
            <w:tcBorders>
              <w:right w:val="single" w:sz="12" w:space="0" w:color="auto"/>
            </w:tcBorders>
            <w:shd w:val="clear" w:color="auto" w:fill="auto"/>
            <w:hideMark/>
          </w:tcPr>
          <w:p w14:paraId="356914F7"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Allocation of 300 in NP although allocation has now been met through several permissions</w:t>
            </w:r>
          </w:p>
        </w:tc>
        <w:tc>
          <w:tcPr>
            <w:tcW w:w="1276" w:type="dxa"/>
            <w:tcBorders>
              <w:left w:val="single" w:sz="12" w:space="0" w:color="auto"/>
            </w:tcBorders>
            <w:shd w:val="clear" w:color="auto" w:fill="auto"/>
            <w:noWrap/>
            <w:hideMark/>
          </w:tcPr>
          <w:p w14:paraId="1B561B0E"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1417" w:type="dxa"/>
            <w:shd w:val="clear" w:color="auto" w:fill="auto"/>
            <w:noWrap/>
            <w:hideMark/>
          </w:tcPr>
          <w:p w14:paraId="51589AF6"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701" w:type="dxa"/>
            <w:tcBorders>
              <w:right w:val="single" w:sz="12" w:space="0" w:color="auto"/>
            </w:tcBorders>
            <w:shd w:val="clear" w:color="auto" w:fill="auto"/>
            <w:noWrap/>
            <w:hideMark/>
          </w:tcPr>
          <w:p w14:paraId="4F3DB605"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left w:val="single" w:sz="12" w:space="0" w:color="auto"/>
            </w:tcBorders>
            <w:shd w:val="clear" w:color="auto" w:fill="auto"/>
            <w:noWrap/>
            <w:hideMark/>
          </w:tcPr>
          <w:p w14:paraId="0D7CB1D0"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993" w:type="dxa"/>
            <w:shd w:val="clear" w:color="auto" w:fill="auto"/>
            <w:noWrap/>
            <w:hideMark/>
          </w:tcPr>
          <w:p w14:paraId="03BE43CB"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992" w:type="dxa"/>
            <w:shd w:val="clear" w:color="auto" w:fill="auto"/>
            <w:noWrap/>
            <w:hideMark/>
          </w:tcPr>
          <w:p w14:paraId="353B844F"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992" w:type="dxa"/>
            <w:tcBorders>
              <w:right w:val="single" w:sz="12" w:space="0" w:color="auto"/>
            </w:tcBorders>
            <w:shd w:val="clear" w:color="auto" w:fill="auto"/>
            <w:noWrap/>
            <w:hideMark/>
          </w:tcPr>
          <w:p w14:paraId="474FA211"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c>
          <w:tcPr>
            <w:tcW w:w="1134" w:type="dxa"/>
            <w:tcBorders>
              <w:left w:val="single" w:sz="12" w:space="0" w:color="auto"/>
              <w:right w:val="single" w:sz="12" w:space="0" w:color="auto"/>
            </w:tcBorders>
            <w:shd w:val="clear" w:color="000000" w:fill="FFFF00"/>
            <w:noWrap/>
            <w:hideMark/>
          </w:tcPr>
          <w:p w14:paraId="55093812"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w:t>
            </w:r>
          </w:p>
        </w:tc>
      </w:tr>
      <w:tr w:rsidR="009031BF" w:rsidRPr="00092550" w14:paraId="7EA4EA21" w14:textId="77777777" w:rsidTr="00F4228B">
        <w:trPr>
          <w:trHeight w:val="840"/>
        </w:trPr>
        <w:tc>
          <w:tcPr>
            <w:tcW w:w="2122" w:type="dxa"/>
            <w:tcBorders>
              <w:left w:val="single" w:sz="12" w:space="0" w:color="auto"/>
            </w:tcBorders>
            <w:shd w:val="clear" w:color="auto" w:fill="auto"/>
            <w:noWrap/>
            <w:hideMark/>
          </w:tcPr>
          <w:p w14:paraId="1C2EEB9B"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lastRenderedPageBreak/>
              <w:t>Southbourne BLD (Policy A13)</w:t>
            </w:r>
          </w:p>
        </w:tc>
        <w:tc>
          <w:tcPr>
            <w:tcW w:w="2551" w:type="dxa"/>
            <w:tcBorders>
              <w:right w:val="single" w:sz="12" w:space="0" w:color="auto"/>
            </w:tcBorders>
            <w:shd w:val="clear" w:color="auto" w:fill="auto"/>
            <w:hideMark/>
          </w:tcPr>
          <w:p w14:paraId="4F11662F"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1050 although 947 still require nutrient neutrality - Two applications totalling 124 dwellings and 823 left to allocate.</w:t>
            </w:r>
          </w:p>
        </w:tc>
        <w:tc>
          <w:tcPr>
            <w:tcW w:w="1276" w:type="dxa"/>
            <w:tcBorders>
              <w:left w:val="single" w:sz="12" w:space="0" w:color="auto"/>
            </w:tcBorders>
            <w:shd w:val="clear" w:color="auto" w:fill="auto"/>
            <w:noWrap/>
            <w:hideMark/>
          </w:tcPr>
          <w:p w14:paraId="698A00D9"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947</w:t>
            </w:r>
          </w:p>
        </w:tc>
        <w:tc>
          <w:tcPr>
            <w:tcW w:w="1417" w:type="dxa"/>
            <w:shd w:val="clear" w:color="auto" w:fill="auto"/>
            <w:noWrap/>
            <w:hideMark/>
          </w:tcPr>
          <w:p w14:paraId="6E4F749F"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701" w:type="dxa"/>
            <w:tcBorders>
              <w:right w:val="single" w:sz="12" w:space="0" w:color="auto"/>
            </w:tcBorders>
            <w:shd w:val="clear" w:color="auto" w:fill="auto"/>
            <w:noWrap/>
            <w:hideMark/>
          </w:tcPr>
          <w:p w14:paraId="7939F843"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left w:val="single" w:sz="12" w:space="0" w:color="auto"/>
            </w:tcBorders>
            <w:shd w:val="clear" w:color="auto" w:fill="auto"/>
            <w:noWrap/>
            <w:hideMark/>
          </w:tcPr>
          <w:p w14:paraId="3FF60FF6"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717.24</w:t>
            </w:r>
          </w:p>
        </w:tc>
        <w:tc>
          <w:tcPr>
            <w:tcW w:w="993" w:type="dxa"/>
            <w:shd w:val="clear" w:color="auto" w:fill="auto"/>
            <w:noWrap/>
            <w:hideMark/>
          </w:tcPr>
          <w:p w14:paraId="5DCF2050"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818.37</w:t>
            </w:r>
          </w:p>
        </w:tc>
        <w:tc>
          <w:tcPr>
            <w:tcW w:w="992" w:type="dxa"/>
            <w:shd w:val="clear" w:color="auto" w:fill="auto"/>
            <w:noWrap/>
            <w:hideMark/>
          </w:tcPr>
          <w:p w14:paraId="6E1795FF"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389.42</w:t>
            </w:r>
          </w:p>
        </w:tc>
        <w:tc>
          <w:tcPr>
            <w:tcW w:w="992" w:type="dxa"/>
            <w:tcBorders>
              <w:right w:val="single" w:sz="12" w:space="0" w:color="auto"/>
            </w:tcBorders>
            <w:shd w:val="clear" w:color="auto" w:fill="auto"/>
            <w:noWrap/>
            <w:hideMark/>
          </w:tcPr>
          <w:p w14:paraId="19E237EC"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288.29</w:t>
            </w:r>
          </w:p>
        </w:tc>
        <w:tc>
          <w:tcPr>
            <w:tcW w:w="1134" w:type="dxa"/>
            <w:tcBorders>
              <w:left w:val="single" w:sz="12" w:space="0" w:color="auto"/>
              <w:right w:val="single" w:sz="12" w:space="0" w:color="auto"/>
            </w:tcBorders>
            <w:shd w:val="clear" w:color="000000" w:fill="FFFF00"/>
            <w:noWrap/>
            <w:hideMark/>
          </w:tcPr>
          <w:p w14:paraId="16881BF3"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345.95</w:t>
            </w:r>
          </w:p>
        </w:tc>
      </w:tr>
      <w:tr w:rsidR="009031BF" w:rsidRPr="00092550" w14:paraId="2020A682" w14:textId="77777777" w:rsidTr="00F4228B">
        <w:trPr>
          <w:trHeight w:val="864"/>
        </w:trPr>
        <w:tc>
          <w:tcPr>
            <w:tcW w:w="2122" w:type="dxa"/>
            <w:tcBorders>
              <w:left w:val="single" w:sz="12" w:space="0" w:color="auto"/>
              <w:bottom w:val="single" w:sz="12" w:space="0" w:color="auto"/>
            </w:tcBorders>
            <w:shd w:val="clear" w:color="auto" w:fill="auto"/>
            <w:hideMark/>
          </w:tcPr>
          <w:p w14:paraId="17B6DE50"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 xml:space="preserve">Southbourne BLD gypsy and traveller pitches and travelling </w:t>
            </w:r>
            <w:proofErr w:type="spellStart"/>
            <w:r w:rsidRPr="00092550">
              <w:rPr>
                <w:rFonts w:ascii="Arial" w:eastAsia="Times New Roman" w:hAnsi="Arial" w:cs="Arial"/>
                <w:sz w:val="16"/>
                <w:szCs w:val="16"/>
                <w:lang w:eastAsia="en-GB"/>
              </w:rPr>
              <w:t>showpeople</w:t>
            </w:r>
            <w:proofErr w:type="spellEnd"/>
            <w:r w:rsidRPr="00092550">
              <w:rPr>
                <w:rFonts w:ascii="Arial" w:eastAsia="Times New Roman" w:hAnsi="Arial" w:cs="Arial"/>
                <w:sz w:val="16"/>
                <w:szCs w:val="16"/>
                <w:lang w:eastAsia="en-GB"/>
              </w:rPr>
              <w:t xml:space="preserve"> (Policy A13)</w:t>
            </w:r>
          </w:p>
        </w:tc>
        <w:tc>
          <w:tcPr>
            <w:tcW w:w="2551" w:type="dxa"/>
            <w:tcBorders>
              <w:bottom w:val="single" w:sz="12" w:space="0" w:color="auto"/>
              <w:right w:val="single" w:sz="12" w:space="0" w:color="auto"/>
            </w:tcBorders>
            <w:shd w:val="clear" w:color="auto" w:fill="auto"/>
            <w:hideMark/>
          </w:tcPr>
          <w:p w14:paraId="5D7B734F"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 xml:space="preserve">Policy provides for 24 plots </w:t>
            </w:r>
          </w:p>
        </w:tc>
        <w:tc>
          <w:tcPr>
            <w:tcW w:w="1276" w:type="dxa"/>
            <w:tcBorders>
              <w:left w:val="single" w:sz="12" w:space="0" w:color="auto"/>
              <w:bottom w:val="single" w:sz="12" w:space="0" w:color="auto"/>
            </w:tcBorders>
            <w:shd w:val="clear" w:color="auto" w:fill="auto"/>
            <w:noWrap/>
            <w:hideMark/>
          </w:tcPr>
          <w:p w14:paraId="64038C24"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24</w:t>
            </w:r>
          </w:p>
        </w:tc>
        <w:tc>
          <w:tcPr>
            <w:tcW w:w="1417" w:type="dxa"/>
            <w:tcBorders>
              <w:bottom w:val="single" w:sz="12" w:space="0" w:color="auto"/>
            </w:tcBorders>
            <w:shd w:val="clear" w:color="auto" w:fill="auto"/>
            <w:noWrap/>
            <w:hideMark/>
          </w:tcPr>
          <w:p w14:paraId="7724373D"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701" w:type="dxa"/>
            <w:tcBorders>
              <w:bottom w:val="single" w:sz="12" w:space="0" w:color="auto"/>
              <w:right w:val="single" w:sz="12" w:space="0" w:color="auto"/>
            </w:tcBorders>
            <w:shd w:val="clear" w:color="auto" w:fill="auto"/>
            <w:noWrap/>
            <w:hideMark/>
          </w:tcPr>
          <w:p w14:paraId="43680A28"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left w:val="single" w:sz="12" w:space="0" w:color="auto"/>
              <w:bottom w:val="single" w:sz="12" w:space="0" w:color="auto"/>
            </w:tcBorders>
            <w:shd w:val="clear" w:color="auto" w:fill="auto"/>
            <w:noWrap/>
            <w:hideMark/>
          </w:tcPr>
          <w:p w14:paraId="095A890F"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18.18</w:t>
            </w:r>
          </w:p>
        </w:tc>
        <w:tc>
          <w:tcPr>
            <w:tcW w:w="993" w:type="dxa"/>
            <w:tcBorders>
              <w:bottom w:val="single" w:sz="12" w:space="0" w:color="auto"/>
            </w:tcBorders>
            <w:shd w:val="clear" w:color="auto" w:fill="auto"/>
            <w:noWrap/>
            <w:hideMark/>
          </w:tcPr>
          <w:p w14:paraId="7148C6D5"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17.99</w:t>
            </w:r>
          </w:p>
        </w:tc>
        <w:tc>
          <w:tcPr>
            <w:tcW w:w="992" w:type="dxa"/>
            <w:tcBorders>
              <w:bottom w:val="single" w:sz="12" w:space="0" w:color="auto"/>
            </w:tcBorders>
            <w:shd w:val="clear" w:color="auto" w:fill="auto"/>
            <w:noWrap/>
            <w:hideMark/>
          </w:tcPr>
          <w:p w14:paraId="1000D709"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10.40</w:t>
            </w:r>
          </w:p>
        </w:tc>
        <w:tc>
          <w:tcPr>
            <w:tcW w:w="992" w:type="dxa"/>
            <w:tcBorders>
              <w:bottom w:val="single" w:sz="12" w:space="0" w:color="auto"/>
              <w:right w:val="single" w:sz="12" w:space="0" w:color="auto"/>
            </w:tcBorders>
            <w:shd w:val="clear" w:color="auto" w:fill="auto"/>
            <w:noWrap/>
            <w:hideMark/>
          </w:tcPr>
          <w:p w14:paraId="0B463F47"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10.59</w:t>
            </w:r>
          </w:p>
        </w:tc>
        <w:tc>
          <w:tcPr>
            <w:tcW w:w="1134" w:type="dxa"/>
            <w:tcBorders>
              <w:left w:val="single" w:sz="12" w:space="0" w:color="auto"/>
              <w:right w:val="single" w:sz="12" w:space="0" w:color="auto"/>
            </w:tcBorders>
            <w:shd w:val="clear" w:color="000000" w:fill="FFFF00"/>
            <w:noWrap/>
            <w:hideMark/>
          </w:tcPr>
          <w:p w14:paraId="20F63374"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sz w:val="16"/>
                <w:szCs w:val="16"/>
                <w:lang w:eastAsia="en-GB"/>
              </w:rPr>
              <w:t>12.71</w:t>
            </w:r>
          </w:p>
        </w:tc>
      </w:tr>
      <w:tr w:rsidR="007F35A9" w:rsidRPr="00092550" w14:paraId="22BF1574" w14:textId="77777777" w:rsidTr="00F4228B">
        <w:trPr>
          <w:trHeight w:val="288"/>
        </w:trPr>
        <w:tc>
          <w:tcPr>
            <w:tcW w:w="13178" w:type="dxa"/>
            <w:gridSpan w:val="9"/>
            <w:tcBorders>
              <w:top w:val="single" w:sz="12" w:space="0" w:color="auto"/>
              <w:left w:val="single" w:sz="12" w:space="0" w:color="auto"/>
              <w:bottom w:val="single" w:sz="12" w:space="0" w:color="auto"/>
              <w:right w:val="single" w:sz="12" w:space="0" w:color="auto"/>
            </w:tcBorders>
            <w:shd w:val="clear" w:color="auto" w:fill="auto"/>
            <w:noWrap/>
            <w:hideMark/>
          </w:tcPr>
          <w:p w14:paraId="1FA09A00"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b/>
                <w:bCs/>
                <w:color w:val="000000"/>
                <w:sz w:val="16"/>
                <w:szCs w:val="16"/>
                <w:lang w:eastAsia="en-GB"/>
              </w:rPr>
              <w:t>Parish Allocation:</w:t>
            </w: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6F40C47E"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 </w:t>
            </w:r>
          </w:p>
        </w:tc>
      </w:tr>
      <w:tr w:rsidR="009031BF" w:rsidRPr="00092550" w14:paraId="672FA242" w14:textId="77777777" w:rsidTr="00F4228B">
        <w:trPr>
          <w:trHeight w:val="288"/>
        </w:trPr>
        <w:tc>
          <w:tcPr>
            <w:tcW w:w="2122" w:type="dxa"/>
            <w:tcBorders>
              <w:top w:val="single" w:sz="12" w:space="0" w:color="auto"/>
              <w:left w:val="single" w:sz="12" w:space="0" w:color="auto"/>
            </w:tcBorders>
            <w:shd w:val="clear" w:color="auto" w:fill="auto"/>
            <w:noWrap/>
            <w:hideMark/>
          </w:tcPr>
          <w:p w14:paraId="17A6CA66"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Fishbourne</w:t>
            </w:r>
          </w:p>
        </w:tc>
        <w:tc>
          <w:tcPr>
            <w:tcW w:w="2551" w:type="dxa"/>
            <w:tcBorders>
              <w:top w:val="single" w:sz="12" w:space="0" w:color="auto"/>
              <w:right w:val="single" w:sz="12" w:space="0" w:color="auto"/>
            </w:tcBorders>
            <w:shd w:val="clear" w:color="auto" w:fill="auto"/>
            <w:noWrap/>
            <w:hideMark/>
          </w:tcPr>
          <w:p w14:paraId="74AF7AED"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276" w:type="dxa"/>
            <w:tcBorders>
              <w:top w:val="single" w:sz="12" w:space="0" w:color="auto"/>
              <w:left w:val="single" w:sz="12" w:space="0" w:color="auto"/>
            </w:tcBorders>
            <w:shd w:val="clear" w:color="auto" w:fill="auto"/>
            <w:noWrap/>
            <w:hideMark/>
          </w:tcPr>
          <w:p w14:paraId="0B0BC811"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30</w:t>
            </w:r>
          </w:p>
        </w:tc>
        <w:tc>
          <w:tcPr>
            <w:tcW w:w="1417" w:type="dxa"/>
            <w:tcBorders>
              <w:top w:val="single" w:sz="12" w:space="0" w:color="auto"/>
            </w:tcBorders>
            <w:shd w:val="clear" w:color="auto" w:fill="auto"/>
            <w:noWrap/>
            <w:hideMark/>
          </w:tcPr>
          <w:p w14:paraId="5E06F24A"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701" w:type="dxa"/>
            <w:tcBorders>
              <w:top w:val="single" w:sz="12" w:space="0" w:color="auto"/>
              <w:right w:val="single" w:sz="12" w:space="0" w:color="auto"/>
            </w:tcBorders>
            <w:shd w:val="clear" w:color="auto" w:fill="auto"/>
            <w:noWrap/>
            <w:hideMark/>
          </w:tcPr>
          <w:p w14:paraId="4B89F0FA"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top w:val="single" w:sz="12" w:space="0" w:color="auto"/>
              <w:left w:val="single" w:sz="12" w:space="0" w:color="auto"/>
            </w:tcBorders>
            <w:shd w:val="clear" w:color="auto" w:fill="auto"/>
            <w:noWrap/>
            <w:hideMark/>
          </w:tcPr>
          <w:p w14:paraId="05EE7679"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19.88</w:t>
            </w:r>
          </w:p>
        </w:tc>
        <w:tc>
          <w:tcPr>
            <w:tcW w:w="993" w:type="dxa"/>
            <w:tcBorders>
              <w:top w:val="single" w:sz="12" w:space="0" w:color="auto"/>
            </w:tcBorders>
            <w:shd w:val="clear" w:color="auto" w:fill="auto"/>
            <w:noWrap/>
            <w:hideMark/>
          </w:tcPr>
          <w:p w14:paraId="2843B6A8"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17.75</w:t>
            </w:r>
          </w:p>
        </w:tc>
        <w:tc>
          <w:tcPr>
            <w:tcW w:w="992" w:type="dxa"/>
            <w:tcBorders>
              <w:top w:val="single" w:sz="12" w:space="0" w:color="auto"/>
            </w:tcBorders>
            <w:shd w:val="clear" w:color="auto" w:fill="auto"/>
            <w:noWrap/>
            <w:hideMark/>
          </w:tcPr>
          <w:p w14:paraId="48C3156F"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12.01</w:t>
            </w:r>
          </w:p>
        </w:tc>
        <w:tc>
          <w:tcPr>
            <w:tcW w:w="992" w:type="dxa"/>
            <w:tcBorders>
              <w:top w:val="single" w:sz="12" w:space="0" w:color="auto"/>
              <w:right w:val="single" w:sz="12" w:space="0" w:color="auto"/>
            </w:tcBorders>
            <w:shd w:val="clear" w:color="auto" w:fill="auto"/>
            <w:noWrap/>
            <w:hideMark/>
          </w:tcPr>
          <w:p w14:paraId="7F1A2B52"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14.14</w:t>
            </w:r>
          </w:p>
        </w:tc>
        <w:tc>
          <w:tcPr>
            <w:tcW w:w="1134" w:type="dxa"/>
            <w:tcBorders>
              <w:top w:val="single" w:sz="12" w:space="0" w:color="auto"/>
              <w:left w:val="single" w:sz="12" w:space="0" w:color="auto"/>
              <w:right w:val="single" w:sz="12" w:space="0" w:color="auto"/>
            </w:tcBorders>
            <w:shd w:val="clear" w:color="000000" w:fill="FFFF00"/>
            <w:noWrap/>
            <w:hideMark/>
          </w:tcPr>
          <w:p w14:paraId="29FCED7D"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16.97</w:t>
            </w:r>
          </w:p>
        </w:tc>
      </w:tr>
      <w:tr w:rsidR="009031BF" w:rsidRPr="00092550" w14:paraId="04B559BB" w14:textId="77777777" w:rsidTr="00F4228B">
        <w:trPr>
          <w:trHeight w:val="278"/>
        </w:trPr>
        <w:tc>
          <w:tcPr>
            <w:tcW w:w="2122" w:type="dxa"/>
            <w:tcBorders>
              <w:left w:val="single" w:sz="12" w:space="0" w:color="auto"/>
              <w:bottom w:val="single" w:sz="12" w:space="0" w:color="auto"/>
            </w:tcBorders>
            <w:shd w:val="clear" w:color="auto" w:fill="auto"/>
            <w:noWrap/>
            <w:hideMark/>
          </w:tcPr>
          <w:p w14:paraId="2970B39E"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Westbourne</w:t>
            </w:r>
          </w:p>
        </w:tc>
        <w:tc>
          <w:tcPr>
            <w:tcW w:w="2551" w:type="dxa"/>
            <w:tcBorders>
              <w:bottom w:val="single" w:sz="12" w:space="0" w:color="auto"/>
              <w:right w:val="single" w:sz="12" w:space="0" w:color="auto"/>
            </w:tcBorders>
            <w:shd w:val="clear" w:color="auto" w:fill="auto"/>
            <w:noWrap/>
            <w:hideMark/>
          </w:tcPr>
          <w:p w14:paraId="63A76E9E"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30 although 12 permitted</w:t>
            </w:r>
          </w:p>
        </w:tc>
        <w:tc>
          <w:tcPr>
            <w:tcW w:w="1276" w:type="dxa"/>
            <w:tcBorders>
              <w:left w:val="single" w:sz="12" w:space="0" w:color="auto"/>
              <w:bottom w:val="single" w:sz="12" w:space="0" w:color="auto"/>
            </w:tcBorders>
            <w:shd w:val="clear" w:color="auto" w:fill="auto"/>
            <w:noWrap/>
            <w:hideMark/>
          </w:tcPr>
          <w:p w14:paraId="294B8269"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18</w:t>
            </w:r>
          </w:p>
        </w:tc>
        <w:tc>
          <w:tcPr>
            <w:tcW w:w="1417" w:type="dxa"/>
            <w:tcBorders>
              <w:bottom w:val="single" w:sz="12" w:space="0" w:color="auto"/>
            </w:tcBorders>
            <w:shd w:val="clear" w:color="auto" w:fill="auto"/>
            <w:noWrap/>
            <w:hideMark/>
          </w:tcPr>
          <w:p w14:paraId="50D6B5E8"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701" w:type="dxa"/>
            <w:tcBorders>
              <w:bottom w:val="single" w:sz="12" w:space="0" w:color="auto"/>
              <w:right w:val="single" w:sz="12" w:space="0" w:color="auto"/>
            </w:tcBorders>
            <w:shd w:val="clear" w:color="auto" w:fill="auto"/>
            <w:noWrap/>
            <w:hideMark/>
          </w:tcPr>
          <w:p w14:paraId="580D7539"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left w:val="single" w:sz="12" w:space="0" w:color="auto"/>
              <w:bottom w:val="single" w:sz="12" w:space="0" w:color="auto"/>
            </w:tcBorders>
            <w:shd w:val="clear" w:color="auto" w:fill="auto"/>
            <w:noWrap/>
            <w:hideMark/>
          </w:tcPr>
          <w:p w14:paraId="1756F3C9"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13.63</w:t>
            </w:r>
          </w:p>
        </w:tc>
        <w:tc>
          <w:tcPr>
            <w:tcW w:w="993" w:type="dxa"/>
            <w:tcBorders>
              <w:bottom w:val="single" w:sz="12" w:space="0" w:color="auto"/>
            </w:tcBorders>
            <w:shd w:val="clear" w:color="auto" w:fill="auto"/>
            <w:noWrap/>
            <w:hideMark/>
          </w:tcPr>
          <w:p w14:paraId="7DD324F5"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11.68</w:t>
            </w:r>
          </w:p>
        </w:tc>
        <w:tc>
          <w:tcPr>
            <w:tcW w:w="992" w:type="dxa"/>
            <w:tcBorders>
              <w:bottom w:val="single" w:sz="12" w:space="0" w:color="auto"/>
            </w:tcBorders>
            <w:shd w:val="clear" w:color="auto" w:fill="auto"/>
            <w:noWrap/>
            <w:hideMark/>
          </w:tcPr>
          <w:p w14:paraId="283DBB06"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7.22</w:t>
            </w:r>
          </w:p>
        </w:tc>
        <w:tc>
          <w:tcPr>
            <w:tcW w:w="992" w:type="dxa"/>
            <w:tcBorders>
              <w:bottom w:val="single" w:sz="12" w:space="0" w:color="auto"/>
              <w:right w:val="single" w:sz="12" w:space="0" w:color="auto"/>
            </w:tcBorders>
            <w:shd w:val="clear" w:color="auto" w:fill="auto"/>
            <w:noWrap/>
            <w:hideMark/>
          </w:tcPr>
          <w:p w14:paraId="633C9DEF"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9.17</w:t>
            </w:r>
          </w:p>
        </w:tc>
        <w:tc>
          <w:tcPr>
            <w:tcW w:w="1134" w:type="dxa"/>
            <w:tcBorders>
              <w:left w:val="single" w:sz="12" w:space="0" w:color="auto"/>
              <w:right w:val="single" w:sz="12" w:space="0" w:color="auto"/>
            </w:tcBorders>
            <w:shd w:val="clear" w:color="000000" w:fill="FFFF00"/>
            <w:noWrap/>
            <w:hideMark/>
          </w:tcPr>
          <w:p w14:paraId="2783C1FA"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11.00</w:t>
            </w:r>
          </w:p>
        </w:tc>
      </w:tr>
      <w:tr w:rsidR="007F35A9" w:rsidRPr="00092550" w14:paraId="0C6411F8" w14:textId="77777777" w:rsidTr="00F4228B">
        <w:trPr>
          <w:trHeight w:val="288"/>
        </w:trPr>
        <w:tc>
          <w:tcPr>
            <w:tcW w:w="13178" w:type="dxa"/>
            <w:gridSpan w:val="9"/>
            <w:tcBorders>
              <w:top w:val="single" w:sz="12" w:space="0" w:color="auto"/>
              <w:left w:val="single" w:sz="12" w:space="0" w:color="auto"/>
              <w:bottom w:val="single" w:sz="12" w:space="0" w:color="auto"/>
              <w:right w:val="single" w:sz="12" w:space="0" w:color="auto"/>
            </w:tcBorders>
            <w:shd w:val="clear" w:color="auto" w:fill="auto"/>
            <w:noWrap/>
            <w:hideMark/>
          </w:tcPr>
          <w:p w14:paraId="3C402078" w14:textId="77777777" w:rsidR="007F35A9" w:rsidRPr="00092550" w:rsidRDefault="007F35A9" w:rsidP="00F4228B">
            <w:pPr>
              <w:spacing w:after="0" w:line="240" w:lineRule="auto"/>
              <w:rPr>
                <w:rFonts w:ascii="Arial" w:eastAsia="Times New Roman" w:hAnsi="Arial" w:cs="Arial"/>
                <w:sz w:val="16"/>
                <w:szCs w:val="16"/>
                <w:lang w:eastAsia="en-GB"/>
              </w:rPr>
            </w:pPr>
            <w:r w:rsidRPr="00092550">
              <w:rPr>
                <w:rFonts w:ascii="Arial" w:eastAsia="Times New Roman" w:hAnsi="Arial" w:cs="Arial"/>
                <w:b/>
                <w:bCs/>
                <w:color w:val="000000"/>
                <w:sz w:val="16"/>
                <w:szCs w:val="16"/>
                <w:lang w:eastAsia="en-GB"/>
              </w:rPr>
              <w:t xml:space="preserve">Gypsy intensification sites: </w:t>
            </w: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032A64A7"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 </w:t>
            </w:r>
          </w:p>
        </w:tc>
      </w:tr>
      <w:tr w:rsidR="009031BF" w:rsidRPr="00092550" w14:paraId="4550ECC4" w14:textId="77777777" w:rsidTr="00F4228B">
        <w:trPr>
          <w:trHeight w:val="329"/>
        </w:trPr>
        <w:tc>
          <w:tcPr>
            <w:tcW w:w="2122" w:type="dxa"/>
            <w:tcBorders>
              <w:top w:val="single" w:sz="12" w:space="0" w:color="auto"/>
              <w:left w:val="single" w:sz="12" w:space="0" w:color="auto"/>
            </w:tcBorders>
            <w:shd w:val="clear" w:color="auto" w:fill="auto"/>
            <w:noWrap/>
            <w:hideMark/>
          </w:tcPr>
          <w:p w14:paraId="76120C84"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 xml:space="preserve">Tower View Nurseries, </w:t>
            </w:r>
            <w:proofErr w:type="spellStart"/>
            <w:r w:rsidRPr="00092550">
              <w:rPr>
                <w:rFonts w:ascii="Arial" w:eastAsia="Times New Roman" w:hAnsi="Arial" w:cs="Arial"/>
                <w:color w:val="000000"/>
                <w:sz w:val="16"/>
                <w:szCs w:val="16"/>
                <w:lang w:eastAsia="en-GB"/>
              </w:rPr>
              <w:t>Funtington</w:t>
            </w:r>
            <w:proofErr w:type="spellEnd"/>
          </w:p>
        </w:tc>
        <w:tc>
          <w:tcPr>
            <w:tcW w:w="2551" w:type="dxa"/>
            <w:tcBorders>
              <w:top w:val="single" w:sz="12" w:space="0" w:color="auto"/>
              <w:right w:val="single" w:sz="12" w:space="0" w:color="auto"/>
            </w:tcBorders>
            <w:shd w:val="clear" w:color="auto" w:fill="auto"/>
            <w:noWrap/>
            <w:hideMark/>
          </w:tcPr>
          <w:p w14:paraId="2D772858"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276" w:type="dxa"/>
            <w:tcBorders>
              <w:top w:val="single" w:sz="12" w:space="0" w:color="auto"/>
              <w:left w:val="single" w:sz="12" w:space="0" w:color="auto"/>
            </w:tcBorders>
            <w:shd w:val="clear" w:color="auto" w:fill="auto"/>
            <w:noWrap/>
            <w:hideMark/>
          </w:tcPr>
          <w:p w14:paraId="4F538106"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w:t>
            </w:r>
          </w:p>
        </w:tc>
        <w:tc>
          <w:tcPr>
            <w:tcW w:w="1417" w:type="dxa"/>
            <w:tcBorders>
              <w:top w:val="single" w:sz="12" w:space="0" w:color="auto"/>
            </w:tcBorders>
            <w:shd w:val="clear" w:color="auto" w:fill="auto"/>
            <w:noWrap/>
            <w:hideMark/>
          </w:tcPr>
          <w:p w14:paraId="5189A0D7"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701" w:type="dxa"/>
            <w:tcBorders>
              <w:top w:val="single" w:sz="12" w:space="0" w:color="auto"/>
              <w:right w:val="single" w:sz="12" w:space="0" w:color="auto"/>
            </w:tcBorders>
            <w:shd w:val="clear" w:color="auto" w:fill="auto"/>
            <w:noWrap/>
            <w:hideMark/>
          </w:tcPr>
          <w:p w14:paraId="27EC33E5"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top w:val="single" w:sz="12" w:space="0" w:color="auto"/>
              <w:left w:val="single" w:sz="12" w:space="0" w:color="auto"/>
            </w:tcBorders>
            <w:shd w:val="clear" w:color="auto" w:fill="auto"/>
            <w:noWrap/>
            <w:hideMark/>
          </w:tcPr>
          <w:p w14:paraId="2B8F9F3A"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1.89</w:t>
            </w:r>
          </w:p>
        </w:tc>
        <w:tc>
          <w:tcPr>
            <w:tcW w:w="993" w:type="dxa"/>
            <w:tcBorders>
              <w:top w:val="single" w:sz="12" w:space="0" w:color="auto"/>
            </w:tcBorders>
            <w:shd w:val="clear" w:color="auto" w:fill="auto"/>
            <w:noWrap/>
            <w:hideMark/>
          </w:tcPr>
          <w:p w14:paraId="3FDC2F0A"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0.46</w:t>
            </w:r>
          </w:p>
        </w:tc>
        <w:tc>
          <w:tcPr>
            <w:tcW w:w="992" w:type="dxa"/>
            <w:tcBorders>
              <w:top w:val="single" w:sz="12" w:space="0" w:color="auto"/>
            </w:tcBorders>
            <w:shd w:val="clear" w:color="auto" w:fill="auto"/>
            <w:noWrap/>
            <w:hideMark/>
          </w:tcPr>
          <w:p w14:paraId="7D056A98"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0.46</w:t>
            </w:r>
          </w:p>
        </w:tc>
        <w:tc>
          <w:tcPr>
            <w:tcW w:w="992" w:type="dxa"/>
            <w:tcBorders>
              <w:top w:val="single" w:sz="12" w:space="0" w:color="auto"/>
              <w:right w:val="single" w:sz="12" w:space="0" w:color="auto"/>
            </w:tcBorders>
            <w:shd w:val="clear" w:color="auto" w:fill="auto"/>
            <w:noWrap/>
            <w:hideMark/>
          </w:tcPr>
          <w:p w14:paraId="53D752DC"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1.89</w:t>
            </w:r>
          </w:p>
        </w:tc>
        <w:tc>
          <w:tcPr>
            <w:tcW w:w="1134" w:type="dxa"/>
            <w:tcBorders>
              <w:top w:val="single" w:sz="12" w:space="0" w:color="auto"/>
              <w:left w:val="single" w:sz="12" w:space="0" w:color="auto"/>
              <w:right w:val="single" w:sz="12" w:space="0" w:color="auto"/>
            </w:tcBorders>
            <w:shd w:val="clear" w:color="000000" w:fill="FFFF00"/>
            <w:noWrap/>
            <w:hideMark/>
          </w:tcPr>
          <w:p w14:paraId="0692B5B1"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2.27</w:t>
            </w:r>
          </w:p>
        </w:tc>
      </w:tr>
      <w:tr w:rsidR="009031BF" w:rsidRPr="00092550" w14:paraId="02FA579A" w14:textId="77777777" w:rsidTr="00F4228B">
        <w:trPr>
          <w:trHeight w:val="288"/>
        </w:trPr>
        <w:tc>
          <w:tcPr>
            <w:tcW w:w="2122" w:type="dxa"/>
            <w:tcBorders>
              <w:left w:val="single" w:sz="12" w:space="0" w:color="auto"/>
            </w:tcBorders>
            <w:shd w:val="clear" w:color="auto" w:fill="auto"/>
            <w:noWrap/>
            <w:hideMark/>
          </w:tcPr>
          <w:p w14:paraId="4C97EE26"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Connors/Scant Road East</w:t>
            </w:r>
          </w:p>
        </w:tc>
        <w:tc>
          <w:tcPr>
            <w:tcW w:w="2551" w:type="dxa"/>
            <w:tcBorders>
              <w:right w:val="single" w:sz="12" w:space="0" w:color="auto"/>
            </w:tcBorders>
            <w:shd w:val="clear" w:color="auto" w:fill="auto"/>
            <w:noWrap/>
            <w:hideMark/>
          </w:tcPr>
          <w:p w14:paraId="7B980490"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276" w:type="dxa"/>
            <w:tcBorders>
              <w:left w:val="single" w:sz="12" w:space="0" w:color="auto"/>
            </w:tcBorders>
            <w:shd w:val="clear" w:color="auto" w:fill="auto"/>
            <w:noWrap/>
            <w:hideMark/>
          </w:tcPr>
          <w:p w14:paraId="11F40393"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w:t>
            </w:r>
          </w:p>
        </w:tc>
        <w:tc>
          <w:tcPr>
            <w:tcW w:w="1417" w:type="dxa"/>
            <w:shd w:val="clear" w:color="auto" w:fill="auto"/>
            <w:noWrap/>
            <w:hideMark/>
          </w:tcPr>
          <w:p w14:paraId="5939CA3C"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701" w:type="dxa"/>
            <w:tcBorders>
              <w:right w:val="single" w:sz="12" w:space="0" w:color="auto"/>
            </w:tcBorders>
            <w:shd w:val="clear" w:color="auto" w:fill="auto"/>
            <w:noWrap/>
            <w:hideMark/>
          </w:tcPr>
          <w:p w14:paraId="1910439B"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left w:val="single" w:sz="12" w:space="0" w:color="auto"/>
            </w:tcBorders>
            <w:shd w:val="clear" w:color="auto" w:fill="auto"/>
            <w:noWrap/>
            <w:hideMark/>
          </w:tcPr>
          <w:p w14:paraId="1FFE42B0"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1.89</w:t>
            </w:r>
          </w:p>
        </w:tc>
        <w:tc>
          <w:tcPr>
            <w:tcW w:w="993" w:type="dxa"/>
            <w:shd w:val="clear" w:color="auto" w:fill="auto"/>
            <w:noWrap/>
            <w:hideMark/>
          </w:tcPr>
          <w:p w14:paraId="7851284F"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0.46</w:t>
            </w:r>
          </w:p>
        </w:tc>
        <w:tc>
          <w:tcPr>
            <w:tcW w:w="992" w:type="dxa"/>
            <w:shd w:val="clear" w:color="auto" w:fill="auto"/>
            <w:noWrap/>
            <w:hideMark/>
          </w:tcPr>
          <w:p w14:paraId="5C845EC0"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0.46</w:t>
            </w:r>
          </w:p>
        </w:tc>
        <w:tc>
          <w:tcPr>
            <w:tcW w:w="992" w:type="dxa"/>
            <w:tcBorders>
              <w:right w:val="single" w:sz="12" w:space="0" w:color="auto"/>
            </w:tcBorders>
            <w:shd w:val="clear" w:color="auto" w:fill="auto"/>
            <w:noWrap/>
            <w:hideMark/>
          </w:tcPr>
          <w:p w14:paraId="5D33D5EC"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1.89</w:t>
            </w:r>
          </w:p>
        </w:tc>
        <w:tc>
          <w:tcPr>
            <w:tcW w:w="1134" w:type="dxa"/>
            <w:tcBorders>
              <w:left w:val="single" w:sz="12" w:space="0" w:color="auto"/>
              <w:right w:val="single" w:sz="12" w:space="0" w:color="auto"/>
            </w:tcBorders>
            <w:shd w:val="clear" w:color="000000" w:fill="FFFF00"/>
            <w:noWrap/>
            <w:hideMark/>
          </w:tcPr>
          <w:p w14:paraId="28A2A756"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2.27</w:t>
            </w:r>
          </w:p>
        </w:tc>
      </w:tr>
      <w:tr w:rsidR="009031BF" w:rsidRPr="00092550" w14:paraId="78A64FD3" w14:textId="77777777" w:rsidTr="00F4228B">
        <w:trPr>
          <w:trHeight w:val="300"/>
        </w:trPr>
        <w:tc>
          <w:tcPr>
            <w:tcW w:w="2122" w:type="dxa"/>
            <w:tcBorders>
              <w:left w:val="single" w:sz="12" w:space="0" w:color="auto"/>
            </w:tcBorders>
            <w:shd w:val="clear" w:color="auto" w:fill="auto"/>
            <w:noWrap/>
            <w:hideMark/>
          </w:tcPr>
          <w:p w14:paraId="58FF5BC0"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Sunrise, Southbourne</w:t>
            </w:r>
          </w:p>
        </w:tc>
        <w:tc>
          <w:tcPr>
            <w:tcW w:w="2551" w:type="dxa"/>
            <w:tcBorders>
              <w:right w:val="single" w:sz="12" w:space="0" w:color="auto"/>
            </w:tcBorders>
            <w:shd w:val="clear" w:color="auto" w:fill="auto"/>
            <w:noWrap/>
            <w:hideMark/>
          </w:tcPr>
          <w:p w14:paraId="576FC66B"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276" w:type="dxa"/>
            <w:tcBorders>
              <w:left w:val="single" w:sz="12" w:space="0" w:color="auto"/>
            </w:tcBorders>
            <w:shd w:val="clear" w:color="auto" w:fill="auto"/>
            <w:noWrap/>
            <w:hideMark/>
          </w:tcPr>
          <w:p w14:paraId="761BD667"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w:t>
            </w:r>
          </w:p>
        </w:tc>
        <w:tc>
          <w:tcPr>
            <w:tcW w:w="1417" w:type="dxa"/>
            <w:shd w:val="clear" w:color="auto" w:fill="auto"/>
            <w:noWrap/>
            <w:hideMark/>
          </w:tcPr>
          <w:p w14:paraId="24FD1DF6"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701" w:type="dxa"/>
            <w:tcBorders>
              <w:right w:val="single" w:sz="12" w:space="0" w:color="auto"/>
            </w:tcBorders>
            <w:shd w:val="clear" w:color="auto" w:fill="auto"/>
            <w:noWrap/>
            <w:hideMark/>
          </w:tcPr>
          <w:p w14:paraId="1D73399D"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left w:val="single" w:sz="12" w:space="0" w:color="auto"/>
            </w:tcBorders>
            <w:shd w:val="clear" w:color="auto" w:fill="auto"/>
            <w:noWrap/>
            <w:hideMark/>
          </w:tcPr>
          <w:p w14:paraId="68760E4E"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1.89</w:t>
            </w:r>
          </w:p>
        </w:tc>
        <w:tc>
          <w:tcPr>
            <w:tcW w:w="993" w:type="dxa"/>
            <w:shd w:val="clear" w:color="auto" w:fill="auto"/>
            <w:noWrap/>
            <w:hideMark/>
          </w:tcPr>
          <w:p w14:paraId="140FB11D"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0.43</w:t>
            </w:r>
          </w:p>
        </w:tc>
        <w:tc>
          <w:tcPr>
            <w:tcW w:w="992" w:type="dxa"/>
            <w:shd w:val="clear" w:color="auto" w:fill="auto"/>
            <w:noWrap/>
            <w:hideMark/>
          </w:tcPr>
          <w:p w14:paraId="390A52CB"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0.43</w:t>
            </w:r>
          </w:p>
        </w:tc>
        <w:tc>
          <w:tcPr>
            <w:tcW w:w="992" w:type="dxa"/>
            <w:tcBorders>
              <w:right w:val="single" w:sz="12" w:space="0" w:color="auto"/>
            </w:tcBorders>
            <w:shd w:val="clear" w:color="auto" w:fill="auto"/>
            <w:noWrap/>
            <w:hideMark/>
          </w:tcPr>
          <w:p w14:paraId="5C17047F"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1.89</w:t>
            </w:r>
          </w:p>
        </w:tc>
        <w:tc>
          <w:tcPr>
            <w:tcW w:w="1134" w:type="dxa"/>
            <w:tcBorders>
              <w:left w:val="single" w:sz="12" w:space="0" w:color="auto"/>
              <w:right w:val="single" w:sz="12" w:space="0" w:color="auto"/>
            </w:tcBorders>
            <w:shd w:val="clear" w:color="000000" w:fill="FFFF00"/>
            <w:noWrap/>
            <w:hideMark/>
          </w:tcPr>
          <w:p w14:paraId="7A14524D"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2.27</w:t>
            </w:r>
          </w:p>
        </w:tc>
      </w:tr>
      <w:tr w:rsidR="009031BF" w:rsidRPr="00092550" w14:paraId="1F48954E" w14:textId="77777777" w:rsidTr="00F4228B">
        <w:trPr>
          <w:trHeight w:val="288"/>
        </w:trPr>
        <w:tc>
          <w:tcPr>
            <w:tcW w:w="2122" w:type="dxa"/>
            <w:tcBorders>
              <w:left w:val="single" w:sz="12" w:space="0" w:color="auto"/>
              <w:bottom w:val="single" w:sz="12" w:space="0" w:color="auto"/>
            </w:tcBorders>
            <w:shd w:val="clear" w:color="auto" w:fill="auto"/>
            <w:hideMark/>
          </w:tcPr>
          <w:p w14:paraId="1F515B99"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Greenacre, Cemetery Lane, Westbourne</w:t>
            </w:r>
          </w:p>
        </w:tc>
        <w:tc>
          <w:tcPr>
            <w:tcW w:w="2551" w:type="dxa"/>
            <w:tcBorders>
              <w:bottom w:val="single" w:sz="12" w:space="0" w:color="auto"/>
              <w:right w:val="single" w:sz="12" w:space="0" w:color="auto"/>
            </w:tcBorders>
            <w:shd w:val="clear" w:color="auto" w:fill="auto"/>
            <w:hideMark/>
          </w:tcPr>
          <w:p w14:paraId="0F33BF7F"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276" w:type="dxa"/>
            <w:tcBorders>
              <w:left w:val="single" w:sz="12" w:space="0" w:color="auto"/>
              <w:bottom w:val="single" w:sz="12" w:space="0" w:color="auto"/>
            </w:tcBorders>
            <w:shd w:val="clear" w:color="auto" w:fill="auto"/>
            <w:noWrap/>
            <w:hideMark/>
          </w:tcPr>
          <w:p w14:paraId="4F46267B"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4</w:t>
            </w:r>
          </w:p>
        </w:tc>
        <w:tc>
          <w:tcPr>
            <w:tcW w:w="1417" w:type="dxa"/>
            <w:tcBorders>
              <w:bottom w:val="single" w:sz="12" w:space="0" w:color="auto"/>
            </w:tcBorders>
            <w:shd w:val="clear" w:color="auto" w:fill="auto"/>
            <w:noWrap/>
            <w:hideMark/>
          </w:tcPr>
          <w:p w14:paraId="513F1121"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701" w:type="dxa"/>
            <w:tcBorders>
              <w:bottom w:val="single" w:sz="12" w:space="0" w:color="auto"/>
              <w:right w:val="single" w:sz="12" w:space="0" w:color="auto"/>
            </w:tcBorders>
            <w:shd w:val="clear" w:color="auto" w:fill="auto"/>
            <w:noWrap/>
            <w:hideMark/>
          </w:tcPr>
          <w:p w14:paraId="7B80EDA9"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left w:val="single" w:sz="12" w:space="0" w:color="auto"/>
              <w:bottom w:val="single" w:sz="12" w:space="0" w:color="auto"/>
            </w:tcBorders>
            <w:shd w:val="clear" w:color="auto" w:fill="auto"/>
            <w:noWrap/>
            <w:hideMark/>
          </w:tcPr>
          <w:p w14:paraId="1C2A61F6"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7.57</w:t>
            </w:r>
          </w:p>
        </w:tc>
        <w:tc>
          <w:tcPr>
            <w:tcW w:w="993" w:type="dxa"/>
            <w:tcBorders>
              <w:bottom w:val="single" w:sz="12" w:space="0" w:color="auto"/>
            </w:tcBorders>
            <w:shd w:val="clear" w:color="auto" w:fill="auto"/>
            <w:noWrap/>
            <w:hideMark/>
          </w:tcPr>
          <w:p w14:paraId="20FCCDB2"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1.85</w:t>
            </w:r>
          </w:p>
        </w:tc>
        <w:tc>
          <w:tcPr>
            <w:tcW w:w="992" w:type="dxa"/>
            <w:tcBorders>
              <w:bottom w:val="single" w:sz="12" w:space="0" w:color="auto"/>
            </w:tcBorders>
            <w:shd w:val="clear" w:color="auto" w:fill="auto"/>
            <w:noWrap/>
            <w:hideMark/>
          </w:tcPr>
          <w:p w14:paraId="1D6BE967"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1.85</w:t>
            </w:r>
          </w:p>
        </w:tc>
        <w:tc>
          <w:tcPr>
            <w:tcW w:w="992" w:type="dxa"/>
            <w:tcBorders>
              <w:bottom w:val="single" w:sz="12" w:space="0" w:color="auto"/>
              <w:right w:val="single" w:sz="12" w:space="0" w:color="auto"/>
            </w:tcBorders>
            <w:shd w:val="clear" w:color="auto" w:fill="auto"/>
            <w:noWrap/>
            <w:hideMark/>
          </w:tcPr>
          <w:p w14:paraId="4FE5CFB0"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7.57</w:t>
            </w:r>
          </w:p>
        </w:tc>
        <w:tc>
          <w:tcPr>
            <w:tcW w:w="1134" w:type="dxa"/>
            <w:tcBorders>
              <w:left w:val="single" w:sz="12" w:space="0" w:color="auto"/>
              <w:bottom w:val="single" w:sz="12" w:space="0" w:color="auto"/>
              <w:right w:val="single" w:sz="12" w:space="0" w:color="auto"/>
            </w:tcBorders>
            <w:shd w:val="clear" w:color="000000" w:fill="FFFF00"/>
            <w:noWrap/>
            <w:hideMark/>
          </w:tcPr>
          <w:p w14:paraId="3E5D606A"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9.08</w:t>
            </w:r>
          </w:p>
        </w:tc>
      </w:tr>
      <w:tr w:rsidR="007F35A9" w:rsidRPr="00092550" w14:paraId="00135E48" w14:textId="77777777" w:rsidTr="00F4228B">
        <w:trPr>
          <w:trHeight w:val="288"/>
        </w:trPr>
        <w:tc>
          <w:tcPr>
            <w:tcW w:w="13178" w:type="dxa"/>
            <w:gridSpan w:val="9"/>
            <w:tcBorders>
              <w:top w:val="single" w:sz="12" w:space="0" w:color="auto"/>
              <w:left w:val="single" w:sz="12" w:space="0" w:color="auto"/>
              <w:bottom w:val="single" w:sz="12" w:space="0" w:color="auto"/>
              <w:right w:val="single" w:sz="12" w:space="0" w:color="auto"/>
            </w:tcBorders>
            <w:shd w:val="clear" w:color="auto" w:fill="auto"/>
          </w:tcPr>
          <w:p w14:paraId="3E94A029"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tcPr>
          <w:p w14:paraId="66D12207"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r>
      <w:tr w:rsidR="00F4228B" w:rsidRPr="00092550" w14:paraId="0B946CC9" w14:textId="77777777" w:rsidTr="00F4228B">
        <w:trPr>
          <w:trHeight w:val="576"/>
        </w:trPr>
        <w:tc>
          <w:tcPr>
            <w:tcW w:w="4673"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6E577E31" w14:textId="3BA00867" w:rsidR="00F4228B" w:rsidRPr="00092550" w:rsidRDefault="00F4228B"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Total no. of strategic dwellings planned to discharge into Chichester Harbour:</w:t>
            </w:r>
          </w:p>
        </w:tc>
        <w:tc>
          <w:tcPr>
            <w:tcW w:w="1276" w:type="dxa"/>
            <w:tcBorders>
              <w:left w:val="single" w:sz="12" w:space="0" w:color="auto"/>
              <w:bottom w:val="single" w:sz="12" w:space="0" w:color="auto"/>
            </w:tcBorders>
            <w:shd w:val="clear" w:color="auto" w:fill="auto"/>
            <w:noWrap/>
            <w:hideMark/>
          </w:tcPr>
          <w:p w14:paraId="2D911C13" w14:textId="77777777" w:rsidR="00F4228B" w:rsidRPr="00092550" w:rsidRDefault="00F4228B"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1696</w:t>
            </w:r>
          </w:p>
        </w:tc>
        <w:tc>
          <w:tcPr>
            <w:tcW w:w="1417" w:type="dxa"/>
            <w:tcBorders>
              <w:bottom w:val="single" w:sz="12" w:space="0" w:color="auto"/>
            </w:tcBorders>
            <w:shd w:val="clear" w:color="auto" w:fill="auto"/>
            <w:noWrap/>
            <w:hideMark/>
          </w:tcPr>
          <w:p w14:paraId="32EED97F" w14:textId="77777777" w:rsidR="00F4228B" w:rsidRPr="00092550" w:rsidRDefault="00F4228B"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70</w:t>
            </w:r>
          </w:p>
        </w:tc>
        <w:tc>
          <w:tcPr>
            <w:tcW w:w="1701" w:type="dxa"/>
            <w:tcBorders>
              <w:bottom w:val="single" w:sz="12" w:space="0" w:color="auto"/>
              <w:right w:val="single" w:sz="12" w:space="0" w:color="auto"/>
            </w:tcBorders>
            <w:shd w:val="clear" w:color="auto" w:fill="auto"/>
            <w:noWrap/>
            <w:hideMark/>
          </w:tcPr>
          <w:p w14:paraId="101AB9C0" w14:textId="77777777" w:rsidR="00F4228B" w:rsidRPr="00092550" w:rsidRDefault="00F4228B"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850</w:t>
            </w:r>
          </w:p>
        </w:tc>
        <w:tc>
          <w:tcPr>
            <w:tcW w:w="1134" w:type="dxa"/>
            <w:tcBorders>
              <w:left w:val="single" w:sz="12" w:space="0" w:color="auto"/>
              <w:bottom w:val="single" w:sz="12" w:space="0" w:color="auto"/>
            </w:tcBorders>
            <w:shd w:val="clear" w:color="auto" w:fill="auto"/>
            <w:noWrap/>
            <w:hideMark/>
          </w:tcPr>
          <w:p w14:paraId="6C54C1B4" w14:textId="77777777" w:rsidR="00F4228B" w:rsidRPr="00092550" w:rsidRDefault="00F4228B" w:rsidP="00F4228B">
            <w:pPr>
              <w:spacing w:after="0" w:line="240" w:lineRule="auto"/>
              <w:rPr>
                <w:rFonts w:ascii="Arial" w:eastAsia="Times New Roman" w:hAnsi="Arial" w:cs="Arial"/>
                <w:color w:val="000000"/>
                <w:sz w:val="16"/>
                <w:szCs w:val="16"/>
                <w:lang w:eastAsia="en-GB"/>
              </w:rPr>
            </w:pPr>
          </w:p>
        </w:tc>
        <w:tc>
          <w:tcPr>
            <w:tcW w:w="993" w:type="dxa"/>
            <w:tcBorders>
              <w:bottom w:val="single" w:sz="12" w:space="0" w:color="auto"/>
            </w:tcBorders>
            <w:shd w:val="clear" w:color="auto" w:fill="auto"/>
            <w:noWrap/>
            <w:hideMark/>
          </w:tcPr>
          <w:p w14:paraId="0A98171F" w14:textId="77777777" w:rsidR="00F4228B" w:rsidRPr="00092550" w:rsidRDefault="00F4228B" w:rsidP="00F4228B">
            <w:pPr>
              <w:spacing w:after="0" w:line="240" w:lineRule="auto"/>
              <w:rPr>
                <w:rFonts w:ascii="Arial" w:eastAsia="Times New Roman" w:hAnsi="Arial" w:cs="Arial"/>
                <w:sz w:val="16"/>
                <w:szCs w:val="16"/>
                <w:lang w:eastAsia="en-GB"/>
              </w:rPr>
            </w:pPr>
          </w:p>
        </w:tc>
        <w:tc>
          <w:tcPr>
            <w:tcW w:w="992" w:type="dxa"/>
            <w:tcBorders>
              <w:bottom w:val="single" w:sz="12" w:space="0" w:color="auto"/>
            </w:tcBorders>
            <w:shd w:val="clear" w:color="auto" w:fill="auto"/>
            <w:noWrap/>
            <w:hideMark/>
          </w:tcPr>
          <w:p w14:paraId="07BBB624" w14:textId="77777777" w:rsidR="00F4228B" w:rsidRPr="00092550" w:rsidRDefault="00F4228B" w:rsidP="00F4228B">
            <w:pPr>
              <w:spacing w:after="0" w:line="240" w:lineRule="auto"/>
              <w:rPr>
                <w:rFonts w:ascii="Arial" w:eastAsia="Times New Roman" w:hAnsi="Arial" w:cs="Arial"/>
                <w:sz w:val="16"/>
                <w:szCs w:val="16"/>
                <w:lang w:eastAsia="en-GB"/>
              </w:rPr>
            </w:pPr>
          </w:p>
        </w:tc>
        <w:tc>
          <w:tcPr>
            <w:tcW w:w="992" w:type="dxa"/>
            <w:tcBorders>
              <w:bottom w:val="single" w:sz="12" w:space="0" w:color="auto"/>
              <w:right w:val="single" w:sz="12" w:space="0" w:color="auto"/>
            </w:tcBorders>
            <w:shd w:val="clear" w:color="auto" w:fill="auto"/>
            <w:noWrap/>
            <w:hideMark/>
          </w:tcPr>
          <w:p w14:paraId="47472732" w14:textId="77777777" w:rsidR="00F4228B" w:rsidRPr="00092550" w:rsidRDefault="00F4228B" w:rsidP="00F4228B">
            <w:pPr>
              <w:spacing w:after="0" w:line="240" w:lineRule="auto"/>
              <w:rPr>
                <w:rFonts w:ascii="Arial" w:eastAsia="Times New Roman" w:hAnsi="Arial" w:cs="Arial"/>
                <w:sz w:val="16"/>
                <w:szCs w:val="16"/>
                <w:lang w:eastAsia="en-GB"/>
              </w:rPr>
            </w:pP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0FB771C6" w14:textId="77777777" w:rsidR="00F4228B" w:rsidRPr="00092550" w:rsidRDefault="00F4228B"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 </w:t>
            </w:r>
          </w:p>
        </w:tc>
      </w:tr>
      <w:tr w:rsidR="009031BF" w:rsidRPr="00092550" w14:paraId="471CDA2C" w14:textId="77777777" w:rsidTr="00F4228B">
        <w:trPr>
          <w:trHeight w:val="288"/>
        </w:trPr>
        <w:tc>
          <w:tcPr>
            <w:tcW w:w="2122" w:type="dxa"/>
            <w:tcBorders>
              <w:top w:val="single" w:sz="12" w:space="0" w:color="auto"/>
              <w:left w:val="single" w:sz="12" w:space="0" w:color="auto"/>
              <w:bottom w:val="single" w:sz="12" w:space="0" w:color="auto"/>
            </w:tcBorders>
            <w:shd w:val="clear" w:color="auto" w:fill="auto"/>
            <w:noWrap/>
            <w:hideMark/>
          </w:tcPr>
          <w:p w14:paraId="581E02CE"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2551" w:type="dxa"/>
            <w:tcBorders>
              <w:top w:val="single" w:sz="12" w:space="0" w:color="auto"/>
              <w:bottom w:val="single" w:sz="12" w:space="0" w:color="auto"/>
              <w:right w:val="single" w:sz="12" w:space="0" w:color="auto"/>
            </w:tcBorders>
            <w:shd w:val="clear" w:color="auto" w:fill="auto"/>
            <w:noWrap/>
            <w:hideMark/>
          </w:tcPr>
          <w:p w14:paraId="125E83FD"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276" w:type="dxa"/>
            <w:tcBorders>
              <w:top w:val="single" w:sz="12" w:space="0" w:color="auto"/>
              <w:left w:val="single" w:sz="12" w:space="0" w:color="auto"/>
              <w:bottom w:val="single" w:sz="12" w:space="0" w:color="auto"/>
            </w:tcBorders>
            <w:shd w:val="clear" w:color="auto" w:fill="auto"/>
            <w:noWrap/>
            <w:hideMark/>
          </w:tcPr>
          <w:p w14:paraId="4EFA2AA5"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417" w:type="dxa"/>
            <w:tcBorders>
              <w:top w:val="single" w:sz="12" w:space="0" w:color="auto"/>
              <w:bottom w:val="single" w:sz="12" w:space="0" w:color="auto"/>
            </w:tcBorders>
            <w:shd w:val="clear" w:color="auto" w:fill="auto"/>
            <w:noWrap/>
            <w:hideMark/>
          </w:tcPr>
          <w:p w14:paraId="6E42DC72"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701" w:type="dxa"/>
            <w:tcBorders>
              <w:top w:val="single" w:sz="12" w:space="0" w:color="auto"/>
              <w:bottom w:val="single" w:sz="12" w:space="0" w:color="auto"/>
              <w:right w:val="single" w:sz="12" w:space="0" w:color="auto"/>
            </w:tcBorders>
            <w:shd w:val="clear" w:color="auto" w:fill="auto"/>
            <w:noWrap/>
            <w:hideMark/>
          </w:tcPr>
          <w:p w14:paraId="160FFFD2"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top w:val="single" w:sz="12" w:space="0" w:color="auto"/>
              <w:left w:val="single" w:sz="12" w:space="0" w:color="auto"/>
              <w:bottom w:val="single" w:sz="12" w:space="0" w:color="auto"/>
            </w:tcBorders>
            <w:shd w:val="clear" w:color="auto" w:fill="auto"/>
            <w:noWrap/>
            <w:hideMark/>
          </w:tcPr>
          <w:p w14:paraId="7ED5DF3F"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993" w:type="dxa"/>
            <w:tcBorders>
              <w:top w:val="single" w:sz="12" w:space="0" w:color="auto"/>
              <w:bottom w:val="single" w:sz="12" w:space="0" w:color="auto"/>
            </w:tcBorders>
            <w:shd w:val="clear" w:color="auto" w:fill="auto"/>
            <w:noWrap/>
            <w:hideMark/>
          </w:tcPr>
          <w:p w14:paraId="6DE26A6C"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992" w:type="dxa"/>
            <w:tcBorders>
              <w:top w:val="single" w:sz="12" w:space="0" w:color="auto"/>
              <w:bottom w:val="single" w:sz="12" w:space="0" w:color="auto"/>
            </w:tcBorders>
            <w:shd w:val="clear" w:color="auto" w:fill="auto"/>
            <w:noWrap/>
            <w:hideMark/>
          </w:tcPr>
          <w:p w14:paraId="221998DD"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992" w:type="dxa"/>
            <w:tcBorders>
              <w:top w:val="single" w:sz="12" w:space="0" w:color="auto"/>
              <w:bottom w:val="single" w:sz="12" w:space="0" w:color="auto"/>
              <w:right w:val="single" w:sz="12" w:space="0" w:color="auto"/>
            </w:tcBorders>
            <w:shd w:val="clear" w:color="auto" w:fill="auto"/>
            <w:noWrap/>
            <w:hideMark/>
          </w:tcPr>
          <w:p w14:paraId="4B0A11DA"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5C5BC18B" w14:textId="77777777" w:rsidR="007F35A9" w:rsidRPr="00092550" w:rsidRDefault="007F35A9" w:rsidP="00F4228B">
            <w:pPr>
              <w:spacing w:after="0" w:line="240" w:lineRule="auto"/>
              <w:rPr>
                <w:rFonts w:ascii="Arial" w:eastAsia="Times New Roman" w:hAnsi="Arial" w:cs="Arial"/>
                <w:color w:val="000000"/>
                <w:sz w:val="16"/>
                <w:szCs w:val="16"/>
                <w:lang w:eastAsia="en-GB"/>
              </w:rPr>
            </w:pPr>
            <w:r w:rsidRPr="00092550">
              <w:rPr>
                <w:rFonts w:ascii="Arial" w:eastAsia="Times New Roman" w:hAnsi="Arial" w:cs="Arial"/>
                <w:color w:val="000000"/>
                <w:sz w:val="16"/>
                <w:szCs w:val="16"/>
                <w:lang w:eastAsia="en-GB"/>
              </w:rPr>
              <w:t> </w:t>
            </w:r>
          </w:p>
        </w:tc>
      </w:tr>
      <w:tr w:rsidR="007F35A9" w:rsidRPr="00092550" w14:paraId="6576F17A" w14:textId="77777777" w:rsidTr="00F4228B">
        <w:trPr>
          <w:trHeight w:val="340"/>
        </w:trPr>
        <w:tc>
          <w:tcPr>
            <w:tcW w:w="7366" w:type="dxa"/>
            <w:gridSpan w:val="4"/>
            <w:tcBorders>
              <w:top w:val="single" w:sz="12" w:space="0" w:color="auto"/>
              <w:left w:val="single" w:sz="12" w:space="0" w:color="auto"/>
              <w:bottom w:val="single" w:sz="12" w:space="0" w:color="auto"/>
            </w:tcBorders>
            <w:shd w:val="clear" w:color="000000" w:fill="FFFF00"/>
            <w:noWrap/>
            <w:hideMark/>
          </w:tcPr>
          <w:p w14:paraId="38EA9A4F"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TOTAL Nutrient Budget for strategic and Parish Sites (Kg/N/</w:t>
            </w:r>
            <w:proofErr w:type="spellStart"/>
            <w:r w:rsidRPr="00092550">
              <w:rPr>
                <w:rFonts w:ascii="Arial" w:eastAsia="Times New Roman" w:hAnsi="Arial" w:cs="Arial"/>
                <w:b/>
                <w:bCs/>
                <w:color w:val="000000"/>
                <w:sz w:val="16"/>
                <w:szCs w:val="16"/>
                <w:lang w:eastAsia="en-GB"/>
              </w:rPr>
              <w:t>Yr</w:t>
            </w:r>
            <w:proofErr w:type="spellEnd"/>
            <w:r w:rsidRPr="00092550">
              <w:rPr>
                <w:rFonts w:ascii="Arial" w:eastAsia="Times New Roman" w:hAnsi="Arial" w:cs="Arial"/>
                <w:b/>
                <w:bCs/>
                <w:color w:val="000000"/>
                <w:sz w:val="16"/>
                <w:szCs w:val="16"/>
                <w:lang w:eastAsia="en-GB"/>
              </w:rPr>
              <w:t>) </w:t>
            </w:r>
          </w:p>
        </w:tc>
        <w:tc>
          <w:tcPr>
            <w:tcW w:w="1701" w:type="dxa"/>
            <w:tcBorders>
              <w:top w:val="single" w:sz="12" w:space="0" w:color="auto"/>
              <w:bottom w:val="single" w:sz="12" w:space="0" w:color="auto"/>
              <w:right w:val="single" w:sz="12" w:space="0" w:color="auto"/>
            </w:tcBorders>
            <w:shd w:val="clear" w:color="000000" w:fill="FFFF00"/>
            <w:noWrap/>
            <w:hideMark/>
          </w:tcPr>
          <w:p w14:paraId="1B2E97C0"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1134" w:type="dxa"/>
            <w:tcBorders>
              <w:top w:val="single" w:sz="12" w:space="0" w:color="auto"/>
              <w:left w:val="single" w:sz="12" w:space="0" w:color="auto"/>
              <w:bottom w:val="single" w:sz="12" w:space="0" w:color="auto"/>
            </w:tcBorders>
            <w:shd w:val="clear" w:color="000000" w:fill="FFFF00"/>
            <w:noWrap/>
            <w:hideMark/>
          </w:tcPr>
          <w:p w14:paraId="65806C6D"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993" w:type="dxa"/>
            <w:tcBorders>
              <w:top w:val="single" w:sz="12" w:space="0" w:color="auto"/>
              <w:bottom w:val="single" w:sz="12" w:space="0" w:color="auto"/>
            </w:tcBorders>
            <w:shd w:val="clear" w:color="000000" w:fill="FFFF00"/>
            <w:noWrap/>
            <w:hideMark/>
          </w:tcPr>
          <w:p w14:paraId="0ACC7CF9"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992" w:type="dxa"/>
            <w:tcBorders>
              <w:top w:val="single" w:sz="12" w:space="0" w:color="auto"/>
              <w:bottom w:val="single" w:sz="12" w:space="0" w:color="auto"/>
            </w:tcBorders>
            <w:shd w:val="clear" w:color="000000" w:fill="FFFF00"/>
            <w:noWrap/>
            <w:hideMark/>
          </w:tcPr>
          <w:p w14:paraId="61E31B18"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992" w:type="dxa"/>
            <w:tcBorders>
              <w:top w:val="single" w:sz="12" w:space="0" w:color="auto"/>
              <w:bottom w:val="single" w:sz="12" w:space="0" w:color="auto"/>
              <w:right w:val="single" w:sz="12" w:space="0" w:color="auto"/>
            </w:tcBorders>
            <w:shd w:val="clear" w:color="000000" w:fill="FFFF00"/>
            <w:noWrap/>
            <w:hideMark/>
          </w:tcPr>
          <w:p w14:paraId="6093623A"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112C243D"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881.86</w:t>
            </w:r>
          </w:p>
        </w:tc>
      </w:tr>
      <w:tr w:rsidR="007F35A9" w:rsidRPr="00092550" w14:paraId="6AB83228" w14:textId="77777777" w:rsidTr="00F4228B">
        <w:trPr>
          <w:trHeight w:val="340"/>
        </w:trPr>
        <w:tc>
          <w:tcPr>
            <w:tcW w:w="7366" w:type="dxa"/>
            <w:gridSpan w:val="4"/>
            <w:tcBorders>
              <w:top w:val="single" w:sz="12" w:space="0" w:color="auto"/>
              <w:left w:val="single" w:sz="12" w:space="0" w:color="auto"/>
              <w:bottom w:val="single" w:sz="12" w:space="0" w:color="auto"/>
            </w:tcBorders>
            <w:shd w:val="clear" w:color="000000" w:fill="FFFF00"/>
            <w:noWrap/>
            <w:hideMark/>
          </w:tcPr>
          <w:p w14:paraId="5220336B"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TOTAL Nutrient Budget for Anticipated Windfall (general housing)</w:t>
            </w:r>
          </w:p>
        </w:tc>
        <w:tc>
          <w:tcPr>
            <w:tcW w:w="1701" w:type="dxa"/>
            <w:tcBorders>
              <w:top w:val="single" w:sz="12" w:space="0" w:color="auto"/>
              <w:bottom w:val="single" w:sz="12" w:space="0" w:color="auto"/>
              <w:right w:val="single" w:sz="12" w:space="0" w:color="auto"/>
            </w:tcBorders>
            <w:shd w:val="clear" w:color="000000" w:fill="FFFF00"/>
            <w:noWrap/>
            <w:hideMark/>
          </w:tcPr>
          <w:p w14:paraId="38618476"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1134" w:type="dxa"/>
            <w:tcBorders>
              <w:top w:val="single" w:sz="12" w:space="0" w:color="auto"/>
              <w:left w:val="single" w:sz="12" w:space="0" w:color="auto"/>
              <w:bottom w:val="single" w:sz="12" w:space="0" w:color="auto"/>
            </w:tcBorders>
            <w:shd w:val="clear" w:color="000000" w:fill="FFFF00"/>
            <w:noWrap/>
            <w:hideMark/>
          </w:tcPr>
          <w:p w14:paraId="10236E9F"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993" w:type="dxa"/>
            <w:tcBorders>
              <w:top w:val="single" w:sz="12" w:space="0" w:color="auto"/>
              <w:bottom w:val="single" w:sz="12" w:space="0" w:color="auto"/>
            </w:tcBorders>
            <w:shd w:val="clear" w:color="000000" w:fill="FFFF00"/>
            <w:noWrap/>
            <w:hideMark/>
          </w:tcPr>
          <w:p w14:paraId="3A5795BD"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992" w:type="dxa"/>
            <w:tcBorders>
              <w:top w:val="single" w:sz="12" w:space="0" w:color="auto"/>
              <w:bottom w:val="single" w:sz="12" w:space="0" w:color="auto"/>
            </w:tcBorders>
            <w:shd w:val="clear" w:color="000000" w:fill="FFFF00"/>
            <w:noWrap/>
            <w:hideMark/>
          </w:tcPr>
          <w:p w14:paraId="4D18548B"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992" w:type="dxa"/>
            <w:tcBorders>
              <w:top w:val="single" w:sz="12" w:space="0" w:color="auto"/>
              <w:bottom w:val="single" w:sz="12" w:space="0" w:color="auto"/>
              <w:right w:val="single" w:sz="12" w:space="0" w:color="auto"/>
            </w:tcBorders>
            <w:shd w:val="clear" w:color="000000" w:fill="FFFF00"/>
            <w:noWrap/>
            <w:hideMark/>
          </w:tcPr>
          <w:p w14:paraId="39702D04"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1F7BC819"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401.89</w:t>
            </w:r>
          </w:p>
        </w:tc>
      </w:tr>
      <w:tr w:rsidR="00F4228B" w:rsidRPr="00092550" w14:paraId="22EE1E89" w14:textId="77777777" w:rsidTr="00F4228B">
        <w:trPr>
          <w:trHeight w:val="170"/>
        </w:trPr>
        <w:tc>
          <w:tcPr>
            <w:tcW w:w="9067" w:type="dxa"/>
            <w:gridSpan w:val="5"/>
            <w:tcBorders>
              <w:top w:val="single" w:sz="12" w:space="0" w:color="auto"/>
              <w:left w:val="single" w:sz="12" w:space="0" w:color="auto"/>
              <w:bottom w:val="single" w:sz="12" w:space="0" w:color="auto"/>
              <w:right w:val="single" w:sz="12" w:space="0" w:color="auto"/>
            </w:tcBorders>
            <w:shd w:val="clear" w:color="000000" w:fill="FFFF00"/>
            <w:noWrap/>
            <w:hideMark/>
          </w:tcPr>
          <w:p w14:paraId="15B72C03" w14:textId="77777777" w:rsidR="00F4228B" w:rsidRPr="00092550" w:rsidRDefault="00F4228B"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xml:space="preserve">TOTAL Nutrient Budget for Anticipated Windfall (gypsy and traveller and travelling </w:t>
            </w:r>
            <w:proofErr w:type="spellStart"/>
            <w:r w:rsidRPr="00092550">
              <w:rPr>
                <w:rFonts w:ascii="Arial" w:eastAsia="Times New Roman" w:hAnsi="Arial" w:cs="Arial"/>
                <w:b/>
                <w:bCs/>
                <w:color w:val="000000"/>
                <w:sz w:val="16"/>
                <w:szCs w:val="16"/>
                <w:lang w:eastAsia="en-GB"/>
              </w:rPr>
              <w:t>showpeople</w:t>
            </w:r>
            <w:proofErr w:type="spellEnd"/>
            <w:r w:rsidRPr="00092550">
              <w:rPr>
                <w:rFonts w:ascii="Arial" w:eastAsia="Times New Roman" w:hAnsi="Arial" w:cs="Arial"/>
                <w:b/>
                <w:bCs/>
                <w:color w:val="000000"/>
                <w:sz w:val="16"/>
                <w:szCs w:val="16"/>
                <w:lang w:eastAsia="en-GB"/>
              </w:rPr>
              <w:t>)</w:t>
            </w:r>
          </w:p>
          <w:p w14:paraId="67492843" w14:textId="53FEB0E5" w:rsidR="00F4228B" w:rsidRPr="00092550" w:rsidRDefault="00F4228B"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1134" w:type="dxa"/>
            <w:tcBorders>
              <w:top w:val="single" w:sz="12" w:space="0" w:color="auto"/>
              <w:left w:val="single" w:sz="12" w:space="0" w:color="auto"/>
              <w:bottom w:val="single" w:sz="12" w:space="0" w:color="auto"/>
            </w:tcBorders>
            <w:shd w:val="clear" w:color="000000" w:fill="FFFF00"/>
            <w:noWrap/>
            <w:hideMark/>
          </w:tcPr>
          <w:p w14:paraId="7C9A87AD" w14:textId="77777777" w:rsidR="00F4228B" w:rsidRPr="00092550" w:rsidRDefault="00F4228B"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993" w:type="dxa"/>
            <w:tcBorders>
              <w:top w:val="single" w:sz="12" w:space="0" w:color="auto"/>
              <w:bottom w:val="single" w:sz="12" w:space="0" w:color="auto"/>
            </w:tcBorders>
            <w:shd w:val="clear" w:color="000000" w:fill="FFFF00"/>
            <w:noWrap/>
            <w:hideMark/>
          </w:tcPr>
          <w:p w14:paraId="4F53E2EB" w14:textId="77777777" w:rsidR="00F4228B" w:rsidRPr="00092550" w:rsidRDefault="00F4228B"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992" w:type="dxa"/>
            <w:tcBorders>
              <w:top w:val="single" w:sz="12" w:space="0" w:color="auto"/>
              <w:bottom w:val="single" w:sz="12" w:space="0" w:color="auto"/>
            </w:tcBorders>
            <w:shd w:val="clear" w:color="000000" w:fill="FFFF00"/>
            <w:noWrap/>
            <w:hideMark/>
          </w:tcPr>
          <w:p w14:paraId="603540F0" w14:textId="77777777" w:rsidR="00F4228B" w:rsidRPr="00092550" w:rsidRDefault="00F4228B"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992" w:type="dxa"/>
            <w:tcBorders>
              <w:top w:val="single" w:sz="12" w:space="0" w:color="auto"/>
              <w:bottom w:val="single" w:sz="12" w:space="0" w:color="auto"/>
              <w:right w:val="single" w:sz="12" w:space="0" w:color="auto"/>
            </w:tcBorders>
            <w:shd w:val="clear" w:color="000000" w:fill="FFFF00"/>
            <w:noWrap/>
            <w:hideMark/>
          </w:tcPr>
          <w:p w14:paraId="760922C8" w14:textId="77777777" w:rsidR="00F4228B" w:rsidRPr="00092550" w:rsidRDefault="00F4228B"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 </w:t>
            </w: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57884C90" w14:textId="77777777" w:rsidR="00F4228B" w:rsidRPr="00092550" w:rsidRDefault="00F4228B"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187.15</w:t>
            </w:r>
          </w:p>
        </w:tc>
      </w:tr>
      <w:tr w:rsidR="009031BF" w:rsidRPr="00092550" w14:paraId="2A60BFF8" w14:textId="77777777" w:rsidTr="00F4228B">
        <w:trPr>
          <w:trHeight w:val="360"/>
        </w:trPr>
        <w:tc>
          <w:tcPr>
            <w:tcW w:w="2122" w:type="dxa"/>
            <w:tcBorders>
              <w:top w:val="single" w:sz="12" w:space="0" w:color="auto"/>
              <w:left w:val="single" w:sz="12" w:space="0" w:color="auto"/>
              <w:bottom w:val="single" w:sz="12" w:space="0" w:color="auto"/>
            </w:tcBorders>
            <w:shd w:val="clear" w:color="auto" w:fill="auto"/>
            <w:noWrap/>
            <w:hideMark/>
          </w:tcPr>
          <w:p w14:paraId="19FF20A4" w14:textId="77777777" w:rsidR="007F35A9" w:rsidRPr="00092550" w:rsidRDefault="007F35A9" w:rsidP="00F4228B">
            <w:pPr>
              <w:spacing w:after="0" w:line="240" w:lineRule="auto"/>
              <w:rPr>
                <w:rFonts w:ascii="Arial" w:eastAsia="Times New Roman" w:hAnsi="Arial" w:cs="Arial"/>
                <w:color w:val="000000"/>
                <w:sz w:val="16"/>
                <w:szCs w:val="16"/>
                <w:lang w:eastAsia="en-GB"/>
              </w:rPr>
            </w:pPr>
          </w:p>
        </w:tc>
        <w:tc>
          <w:tcPr>
            <w:tcW w:w="2551" w:type="dxa"/>
            <w:tcBorders>
              <w:top w:val="single" w:sz="12" w:space="0" w:color="auto"/>
              <w:bottom w:val="single" w:sz="12" w:space="0" w:color="auto"/>
              <w:right w:val="single" w:sz="12" w:space="0" w:color="auto"/>
            </w:tcBorders>
            <w:shd w:val="clear" w:color="auto" w:fill="auto"/>
            <w:noWrap/>
            <w:hideMark/>
          </w:tcPr>
          <w:p w14:paraId="6B940074"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276" w:type="dxa"/>
            <w:tcBorders>
              <w:top w:val="single" w:sz="12" w:space="0" w:color="auto"/>
              <w:left w:val="single" w:sz="12" w:space="0" w:color="auto"/>
              <w:bottom w:val="single" w:sz="12" w:space="0" w:color="auto"/>
            </w:tcBorders>
            <w:shd w:val="clear" w:color="auto" w:fill="auto"/>
            <w:noWrap/>
            <w:hideMark/>
          </w:tcPr>
          <w:p w14:paraId="27E249EB"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417" w:type="dxa"/>
            <w:tcBorders>
              <w:top w:val="single" w:sz="12" w:space="0" w:color="auto"/>
              <w:bottom w:val="single" w:sz="12" w:space="0" w:color="auto"/>
            </w:tcBorders>
            <w:shd w:val="clear" w:color="auto" w:fill="auto"/>
            <w:noWrap/>
            <w:hideMark/>
          </w:tcPr>
          <w:p w14:paraId="2F3A85E1"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701" w:type="dxa"/>
            <w:tcBorders>
              <w:top w:val="single" w:sz="12" w:space="0" w:color="auto"/>
              <w:bottom w:val="single" w:sz="12" w:space="0" w:color="auto"/>
              <w:right w:val="single" w:sz="12" w:space="0" w:color="auto"/>
            </w:tcBorders>
            <w:shd w:val="clear" w:color="auto" w:fill="auto"/>
            <w:noWrap/>
            <w:hideMark/>
          </w:tcPr>
          <w:p w14:paraId="732EC37B"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1134" w:type="dxa"/>
            <w:tcBorders>
              <w:top w:val="single" w:sz="12" w:space="0" w:color="auto"/>
              <w:left w:val="single" w:sz="12" w:space="0" w:color="auto"/>
              <w:bottom w:val="single" w:sz="12" w:space="0" w:color="auto"/>
            </w:tcBorders>
            <w:shd w:val="clear" w:color="auto" w:fill="auto"/>
            <w:noWrap/>
            <w:hideMark/>
          </w:tcPr>
          <w:p w14:paraId="640E2F1B"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993" w:type="dxa"/>
            <w:tcBorders>
              <w:top w:val="single" w:sz="12" w:space="0" w:color="auto"/>
              <w:bottom w:val="single" w:sz="12" w:space="0" w:color="auto"/>
            </w:tcBorders>
            <w:shd w:val="clear" w:color="auto" w:fill="auto"/>
            <w:noWrap/>
            <w:hideMark/>
          </w:tcPr>
          <w:p w14:paraId="0F320E88"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992" w:type="dxa"/>
            <w:tcBorders>
              <w:top w:val="single" w:sz="12" w:space="0" w:color="auto"/>
              <w:bottom w:val="single" w:sz="12" w:space="0" w:color="auto"/>
            </w:tcBorders>
            <w:shd w:val="clear" w:color="auto" w:fill="auto"/>
            <w:noWrap/>
            <w:hideMark/>
          </w:tcPr>
          <w:p w14:paraId="0E642437" w14:textId="77777777" w:rsidR="007F35A9" w:rsidRPr="00092550" w:rsidRDefault="007F35A9" w:rsidP="00F4228B">
            <w:pPr>
              <w:spacing w:after="0" w:line="240" w:lineRule="auto"/>
              <w:rPr>
                <w:rFonts w:ascii="Arial" w:eastAsia="Times New Roman" w:hAnsi="Arial" w:cs="Arial"/>
                <w:sz w:val="16"/>
                <w:szCs w:val="16"/>
                <w:lang w:eastAsia="en-GB"/>
              </w:rPr>
            </w:pPr>
          </w:p>
        </w:tc>
        <w:tc>
          <w:tcPr>
            <w:tcW w:w="992" w:type="dxa"/>
            <w:tcBorders>
              <w:top w:val="single" w:sz="12" w:space="0" w:color="auto"/>
              <w:bottom w:val="single" w:sz="12" w:space="0" w:color="auto"/>
              <w:right w:val="single" w:sz="12" w:space="0" w:color="auto"/>
            </w:tcBorders>
            <w:shd w:val="clear" w:color="000000" w:fill="FFFF00"/>
            <w:noWrap/>
            <w:hideMark/>
          </w:tcPr>
          <w:p w14:paraId="32CE1D49"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TOTAL:</w:t>
            </w: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2846420D" w14:textId="77777777" w:rsidR="007F35A9" w:rsidRPr="00092550" w:rsidRDefault="007F35A9" w:rsidP="00F4228B">
            <w:pPr>
              <w:spacing w:after="0" w:line="240" w:lineRule="auto"/>
              <w:rPr>
                <w:rFonts w:ascii="Arial" w:eastAsia="Times New Roman" w:hAnsi="Arial" w:cs="Arial"/>
                <w:b/>
                <w:bCs/>
                <w:color w:val="000000"/>
                <w:sz w:val="16"/>
                <w:szCs w:val="16"/>
                <w:lang w:eastAsia="en-GB"/>
              </w:rPr>
            </w:pPr>
            <w:r w:rsidRPr="00092550">
              <w:rPr>
                <w:rFonts w:ascii="Arial" w:eastAsia="Times New Roman" w:hAnsi="Arial" w:cs="Arial"/>
                <w:b/>
                <w:bCs/>
                <w:color w:val="000000"/>
                <w:sz w:val="16"/>
                <w:szCs w:val="16"/>
                <w:lang w:eastAsia="en-GB"/>
              </w:rPr>
              <w:t>1470.90</w:t>
            </w:r>
          </w:p>
        </w:tc>
      </w:tr>
    </w:tbl>
    <w:p w14:paraId="5F81BD19" w14:textId="77777777" w:rsidR="00F4228B" w:rsidRDefault="00F4228B">
      <w:pPr>
        <w:spacing w:after="160" w:line="259" w:lineRule="auto"/>
        <w:rPr>
          <w:rFonts w:ascii="Arial" w:hAnsi="Arial" w:cs="Arial"/>
          <w:b/>
          <w:bCs/>
          <w:sz w:val="24"/>
          <w:szCs w:val="24"/>
        </w:rPr>
      </w:pPr>
    </w:p>
    <w:p w14:paraId="0A0BA7FF" w14:textId="77777777" w:rsidR="00F4228B" w:rsidRDefault="00F4228B">
      <w:pPr>
        <w:spacing w:after="160" w:line="259" w:lineRule="auto"/>
        <w:rPr>
          <w:rFonts w:ascii="Arial" w:hAnsi="Arial" w:cs="Arial"/>
          <w:b/>
          <w:bCs/>
          <w:sz w:val="24"/>
          <w:szCs w:val="24"/>
        </w:rPr>
      </w:pPr>
    </w:p>
    <w:p w14:paraId="1FF43FC6" w14:textId="77777777" w:rsidR="00F4228B" w:rsidRDefault="00F4228B">
      <w:pPr>
        <w:spacing w:after="160" w:line="259" w:lineRule="auto"/>
        <w:rPr>
          <w:rFonts w:ascii="Arial" w:hAnsi="Arial" w:cs="Arial"/>
          <w:b/>
          <w:bCs/>
          <w:sz w:val="24"/>
          <w:szCs w:val="24"/>
        </w:rPr>
      </w:pPr>
    </w:p>
    <w:p w14:paraId="33309522" w14:textId="77777777" w:rsidR="00D64ECF" w:rsidRDefault="00D64ECF">
      <w:pPr>
        <w:spacing w:after="160" w:line="259" w:lineRule="auto"/>
        <w:rPr>
          <w:rFonts w:ascii="Arial" w:hAnsi="Arial" w:cs="Arial"/>
          <w:b/>
          <w:bCs/>
          <w:sz w:val="24"/>
          <w:szCs w:val="24"/>
        </w:rPr>
      </w:pPr>
      <w:r>
        <w:rPr>
          <w:rFonts w:ascii="Arial" w:hAnsi="Arial" w:cs="Arial"/>
          <w:b/>
          <w:bCs/>
          <w:sz w:val="24"/>
          <w:szCs w:val="24"/>
        </w:rPr>
        <w:br w:type="page"/>
      </w:r>
    </w:p>
    <w:p w14:paraId="79474691" w14:textId="679B2AAC" w:rsidR="001E53C4" w:rsidRPr="00D64ECF" w:rsidRDefault="00D64ECF" w:rsidP="00D64ECF">
      <w:pPr>
        <w:pStyle w:val="Heading1"/>
        <w:spacing w:before="0" w:after="240"/>
        <w:rPr>
          <w:rFonts w:ascii="Arial" w:hAnsi="Arial" w:cs="Arial"/>
          <w:b/>
          <w:bCs/>
          <w:color w:val="0073CF"/>
          <w:sz w:val="28"/>
          <w:szCs w:val="28"/>
        </w:rPr>
      </w:pPr>
      <w:bookmarkStart w:id="8" w:name="_Toc167964281"/>
      <w:r w:rsidRPr="00D64ECF">
        <w:rPr>
          <w:rFonts w:ascii="Arial" w:hAnsi="Arial" w:cs="Arial"/>
          <w:b/>
          <w:bCs/>
          <w:color w:val="0073CF"/>
          <w:sz w:val="28"/>
          <w:szCs w:val="28"/>
        </w:rPr>
        <w:lastRenderedPageBreak/>
        <w:t xml:space="preserve">Appendix 2 - </w:t>
      </w:r>
      <w:r w:rsidR="00CB435E" w:rsidRPr="00D64ECF">
        <w:rPr>
          <w:rFonts w:ascii="Arial" w:hAnsi="Arial" w:cs="Arial"/>
          <w:b/>
          <w:bCs/>
          <w:color w:val="0073CF"/>
          <w:sz w:val="28"/>
          <w:szCs w:val="28"/>
        </w:rPr>
        <w:t xml:space="preserve">Nitrogen Budget for Local Plan </w:t>
      </w:r>
      <w:r w:rsidR="00B7305E" w:rsidRPr="00D64ECF">
        <w:rPr>
          <w:rFonts w:ascii="Arial" w:hAnsi="Arial" w:cs="Arial"/>
          <w:b/>
          <w:bCs/>
          <w:color w:val="0073CF"/>
          <w:sz w:val="28"/>
          <w:szCs w:val="28"/>
        </w:rPr>
        <w:t>Period 2021-202</w:t>
      </w:r>
      <w:r w:rsidR="00210BA7" w:rsidRPr="00D64ECF">
        <w:rPr>
          <w:rFonts w:ascii="Arial" w:hAnsi="Arial" w:cs="Arial"/>
          <w:b/>
          <w:bCs/>
          <w:color w:val="0073CF"/>
          <w:sz w:val="28"/>
          <w:szCs w:val="28"/>
        </w:rPr>
        <w:t>9</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1559"/>
        <w:gridCol w:w="1994"/>
        <w:gridCol w:w="2117"/>
        <w:gridCol w:w="1285"/>
        <w:gridCol w:w="993"/>
        <w:gridCol w:w="992"/>
        <w:gridCol w:w="992"/>
        <w:gridCol w:w="1134"/>
      </w:tblGrid>
      <w:tr w:rsidR="007F35A9" w:rsidRPr="00F83F56" w14:paraId="5FF02427" w14:textId="77777777" w:rsidTr="00DB645A">
        <w:trPr>
          <w:trHeight w:val="288"/>
        </w:trPr>
        <w:tc>
          <w:tcPr>
            <w:tcW w:w="13178" w:type="dxa"/>
            <w:gridSpan w:val="8"/>
            <w:tcBorders>
              <w:top w:val="single" w:sz="12" w:space="0" w:color="auto"/>
              <w:left w:val="single" w:sz="12" w:space="0" w:color="auto"/>
              <w:right w:val="single" w:sz="12" w:space="0" w:color="auto"/>
            </w:tcBorders>
            <w:shd w:val="clear" w:color="auto" w:fill="auto"/>
            <w:noWrap/>
            <w:hideMark/>
          </w:tcPr>
          <w:p w14:paraId="24346E7F" w14:textId="77777777" w:rsidR="007F35A9" w:rsidRPr="00DB645A" w:rsidRDefault="007F35A9" w:rsidP="00DB645A">
            <w:pPr>
              <w:spacing w:after="0" w:line="240" w:lineRule="auto"/>
              <w:rPr>
                <w:rFonts w:ascii="Arial" w:eastAsia="Times New Roman" w:hAnsi="Arial" w:cs="Arial"/>
                <w:sz w:val="16"/>
                <w:szCs w:val="16"/>
                <w:lang w:eastAsia="en-GB"/>
              </w:rPr>
            </w:pPr>
            <w:r w:rsidRPr="00DB645A">
              <w:rPr>
                <w:rFonts w:ascii="Arial" w:eastAsia="Times New Roman" w:hAnsi="Arial" w:cs="Arial"/>
                <w:b/>
                <w:bCs/>
                <w:color w:val="000000"/>
                <w:sz w:val="16"/>
                <w:szCs w:val="16"/>
                <w:lang w:eastAsia="en-GB"/>
              </w:rPr>
              <w:t>STRATEGIC AND PARISH ALLOCATIONS - LOCAL PLAN REVIEW PUBLICATION VERSION PERIOD 2021-2029</w:t>
            </w:r>
          </w:p>
        </w:tc>
        <w:tc>
          <w:tcPr>
            <w:tcW w:w="1134" w:type="dxa"/>
            <w:tcBorders>
              <w:top w:val="single" w:sz="12" w:space="0" w:color="auto"/>
              <w:left w:val="single" w:sz="12" w:space="0" w:color="auto"/>
              <w:right w:val="single" w:sz="12" w:space="0" w:color="auto"/>
            </w:tcBorders>
            <w:shd w:val="clear" w:color="000000" w:fill="FFFF00"/>
            <w:noWrap/>
            <w:hideMark/>
          </w:tcPr>
          <w:p w14:paraId="0A7FB284" w14:textId="77777777" w:rsidR="007F35A9" w:rsidRPr="00F83F56" w:rsidRDefault="007F35A9" w:rsidP="00DB645A">
            <w:pPr>
              <w:spacing w:after="0" w:line="240" w:lineRule="auto"/>
              <w:rPr>
                <w:rFonts w:ascii="Arial" w:eastAsia="Times New Roman" w:hAnsi="Arial" w:cs="Arial"/>
                <w:b/>
                <w:bCs/>
                <w:color w:val="000000"/>
                <w:sz w:val="16"/>
                <w:szCs w:val="16"/>
                <w:u w:val="single"/>
                <w:lang w:eastAsia="en-GB"/>
              </w:rPr>
            </w:pPr>
            <w:r w:rsidRPr="00F83F56">
              <w:rPr>
                <w:rFonts w:ascii="Arial" w:eastAsia="Times New Roman" w:hAnsi="Arial" w:cs="Arial"/>
                <w:b/>
                <w:bCs/>
                <w:color w:val="000000"/>
                <w:sz w:val="16"/>
                <w:szCs w:val="16"/>
                <w:u w:val="single"/>
                <w:lang w:eastAsia="en-GB"/>
              </w:rPr>
              <w:t> </w:t>
            </w:r>
          </w:p>
        </w:tc>
      </w:tr>
      <w:tr w:rsidR="007F35A9" w:rsidRPr="00F83F56" w14:paraId="1CB4934E" w14:textId="77777777" w:rsidTr="00DB645A">
        <w:trPr>
          <w:trHeight w:val="288"/>
        </w:trPr>
        <w:tc>
          <w:tcPr>
            <w:tcW w:w="13178" w:type="dxa"/>
            <w:gridSpan w:val="8"/>
            <w:tcBorders>
              <w:left w:val="single" w:sz="12" w:space="0" w:color="auto"/>
              <w:bottom w:val="single" w:sz="12" w:space="0" w:color="auto"/>
              <w:right w:val="single" w:sz="12" w:space="0" w:color="auto"/>
            </w:tcBorders>
            <w:shd w:val="clear" w:color="auto" w:fill="auto"/>
            <w:noWrap/>
            <w:hideMark/>
          </w:tcPr>
          <w:p w14:paraId="1AA7E0D5" w14:textId="77777777" w:rsidR="007F35A9" w:rsidRPr="00DB645A" w:rsidRDefault="007F35A9" w:rsidP="00DB645A">
            <w:pPr>
              <w:spacing w:after="0" w:line="240" w:lineRule="auto"/>
              <w:rPr>
                <w:rFonts w:ascii="Arial" w:eastAsia="Times New Roman" w:hAnsi="Arial" w:cs="Arial"/>
                <w:sz w:val="16"/>
                <w:szCs w:val="16"/>
                <w:lang w:eastAsia="en-GB"/>
              </w:rPr>
            </w:pPr>
            <w:r w:rsidRPr="00DB645A">
              <w:rPr>
                <w:rFonts w:ascii="Arial" w:eastAsia="Times New Roman" w:hAnsi="Arial" w:cs="Arial"/>
                <w:b/>
                <w:bCs/>
                <w:color w:val="000000"/>
                <w:sz w:val="16"/>
                <w:szCs w:val="16"/>
                <w:lang w:eastAsia="en-GB"/>
              </w:rPr>
              <w:t xml:space="preserve">NUTRIENT BUDGET FOR PROPOSED DEVELOPMENT DISCHARGING INTO CHICHESTER HARBOUR (CALCULATIONS BASED ON NE ADVICE (FEBRUARY 2024)  </w:t>
            </w:r>
          </w:p>
        </w:tc>
        <w:tc>
          <w:tcPr>
            <w:tcW w:w="1134" w:type="dxa"/>
            <w:tcBorders>
              <w:left w:val="single" w:sz="12" w:space="0" w:color="auto"/>
              <w:bottom w:val="single" w:sz="12" w:space="0" w:color="auto"/>
              <w:right w:val="single" w:sz="12" w:space="0" w:color="auto"/>
            </w:tcBorders>
            <w:shd w:val="clear" w:color="000000" w:fill="FFFF00"/>
            <w:noWrap/>
            <w:hideMark/>
          </w:tcPr>
          <w:p w14:paraId="35691E1A" w14:textId="77777777" w:rsidR="007F35A9" w:rsidRPr="00F83F56" w:rsidRDefault="007F35A9" w:rsidP="00DB645A">
            <w:pPr>
              <w:spacing w:after="0" w:line="240" w:lineRule="auto"/>
              <w:rPr>
                <w:rFonts w:ascii="Arial" w:eastAsia="Times New Roman" w:hAnsi="Arial" w:cs="Arial"/>
                <w:b/>
                <w:bCs/>
                <w:color w:val="000000"/>
                <w:sz w:val="16"/>
                <w:szCs w:val="16"/>
                <w:u w:val="single"/>
                <w:lang w:eastAsia="en-GB"/>
              </w:rPr>
            </w:pPr>
            <w:r w:rsidRPr="00F83F56">
              <w:rPr>
                <w:rFonts w:ascii="Arial" w:eastAsia="Times New Roman" w:hAnsi="Arial" w:cs="Arial"/>
                <w:b/>
                <w:bCs/>
                <w:color w:val="000000"/>
                <w:sz w:val="16"/>
                <w:szCs w:val="16"/>
                <w:u w:val="single"/>
                <w:lang w:eastAsia="en-GB"/>
              </w:rPr>
              <w:t> </w:t>
            </w:r>
          </w:p>
        </w:tc>
      </w:tr>
      <w:tr w:rsidR="00DB645A" w:rsidRPr="00F83F56" w14:paraId="5D65DFDB" w14:textId="77777777" w:rsidTr="00DB645A">
        <w:trPr>
          <w:trHeight w:val="825"/>
        </w:trPr>
        <w:tc>
          <w:tcPr>
            <w:tcW w:w="3246" w:type="dxa"/>
            <w:tcBorders>
              <w:top w:val="single" w:sz="12" w:space="0" w:color="auto"/>
              <w:left w:val="single" w:sz="12" w:space="0" w:color="auto"/>
              <w:bottom w:val="single" w:sz="12" w:space="0" w:color="auto"/>
              <w:right w:val="single" w:sz="12" w:space="0" w:color="auto"/>
            </w:tcBorders>
            <w:shd w:val="clear" w:color="auto" w:fill="auto"/>
            <w:hideMark/>
          </w:tcPr>
          <w:p w14:paraId="5683D23B"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Strategic Site:</w:t>
            </w:r>
          </w:p>
        </w:tc>
        <w:tc>
          <w:tcPr>
            <w:tcW w:w="5670" w:type="dxa"/>
            <w:gridSpan w:val="3"/>
            <w:tcBorders>
              <w:top w:val="single" w:sz="12" w:space="0" w:color="auto"/>
              <w:left w:val="single" w:sz="12" w:space="0" w:color="auto"/>
              <w:bottom w:val="single" w:sz="12" w:space="0" w:color="auto"/>
              <w:right w:val="single" w:sz="12" w:space="0" w:color="auto"/>
            </w:tcBorders>
            <w:shd w:val="clear" w:color="auto" w:fill="auto"/>
            <w:hideMark/>
          </w:tcPr>
          <w:p w14:paraId="1A24F26F"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xml:space="preserve">Total No. of dwellings </w:t>
            </w:r>
          </w:p>
        </w:tc>
        <w:tc>
          <w:tcPr>
            <w:tcW w:w="1285" w:type="dxa"/>
            <w:tcBorders>
              <w:top w:val="single" w:sz="12" w:space="0" w:color="auto"/>
              <w:left w:val="single" w:sz="12" w:space="0" w:color="auto"/>
              <w:bottom w:val="single" w:sz="12" w:space="0" w:color="auto"/>
            </w:tcBorders>
            <w:shd w:val="clear" w:color="auto" w:fill="auto"/>
            <w:hideMark/>
          </w:tcPr>
          <w:p w14:paraId="16754D5D"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Stage 1 - Wastewater</w:t>
            </w:r>
          </w:p>
        </w:tc>
        <w:tc>
          <w:tcPr>
            <w:tcW w:w="993" w:type="dxa"/>
            <w:tcBorders>
              <w:top w:val="single" w:sz="12" w:space="0" w:color="auto"/>
              <w:bottom w:val="single" w:sz="12" w:space="0" w:color="auto"/>
            </w:tcBorders>
            <w:shd w:val="clear" w:color="auto" w:fill="auto"/>
            <w:hideMark/>
          </w:tcPr>
          <w:p w14:paraId="2D25B5BD"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Stage 2 - Existing Land Use</w:t>
            </w:r>
          </w:p>
        </w:tc>
        <w:tc>
          <w:tcPr>
            <w:tcW w:w="992" w:type="dxa"/>
            <w:tcBorders>
              <w:top w:val="single" w:sz="12" w:space="0" w:color="auto"/>
              <w:bottom w:val="single" w:sz="12" w:space="0" w:color="auto"/>
            </w:tcBorders>
            <w:shd w:val="clear" w:color="auto" w:fill="auto"/>
            <w:hideMark/>
          </w:tcPr>
          <w:p w14:paraId="1AB9DC0B"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xml:space="preserve">Stage 3 - New Land Use </w:t>
            </w:r>
          </w:p>
        </w:tc>
        <w:tc>
          <w:tcPr>
            <w:tcW w:w="992" w:type="dxa"/>
            <w:tcBorders>
              <w:top w:val="single" w:sz="12" w:space="0" w:color="auto"/>
              <w:bottom w:val="single" w:sz="12" w:space="0" w:color="auto"/>
              <w:right w:val="single" w:sz="12" w:space="0" w:color="auto"/>
            </w:tcBorders>
            <w:shd w:val="clear" w:color="auto" w:fill="auto"/>
            <w:hideMark/>
          </w:tcPr>
          <w:p w14:paraId="673B574D"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Stage 4 - Annual Nutrient Budget</w:t>
            </w:r>
          </w:p>
        </w:tc>
        <w:tc>
          <w:tcPr>
            <w:tcW w:w="1134" w:type="dxa"/>
            <w:tcBorders>
              <w:top w:val="single" w:sz="12" w:space="0" w:color="auto"/>
              <w:left w:val="single" w:sz="12" w:space="0" w:color="auto"/>
              <w:bottom w:val="single" w:sz="12" w:space="0" w:color="auto"/>
              <w:right w:val="single" w:sz="12" w:space="0" w:color="auto"/>
            </w:tcBorders>
            <w:shd w:val="clear" w:color="000000" w:fill="FFFF00"/>
            <w:hideMark/>
          </w:tcPr>
          <w:p w14:paraId="6A9125D9"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Annual Nutrient Budget with 20% Buffer</w:t>
            </w:r>
          </w:p>
        </w:tc>
      </w:tr>
      <w:tr w:rsidR="007F35A9" w:rsidRPr="00F83F56" w14:paraId="6369D224" w14:textId="77777777" w:rsidTr="00DB645A">
        <w:trPr>
          <w:trHeight w:val="1002"/>
        </w:trPr>
        <w:tc>
          <w:tcPr>
            <w:tcW w:w="3246" w:type="dxa"/>
            <w:tcBorders>
              <w:top w:val="single" w:sz="12" w:space="0" w:color="auto"/>
              <w:left w:val="single" w:sz="12" w:space="0" w:color="auto"/>
              <w:bottom w:val="single" w:sz="12" w:space="0" w:color="auto"/>
              <w:right w:val="single" w:sz="12" w:space="0" w:color="auto"/>
            </w:tcBorders>
            <w:shd w:val="clear" w:color="auto" w:fill="auto"/>
            <w:hideMark/>
          </w:tcPr>
          <w:p w14:paraId="2849AF39"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p>
        </w:tc>
        <w:tc>
          <w:tcPr>
            <w:tcW w:w="1559" w:type="dxa"/>
            <w:tcBorders>
              <w:top w:val="single" w:sz="12" w:space="0" w:color="auto"/>
              <w:left w:val="single" w:sz="12" w:space="0" w:color="auto"/>
              <w:bottom w:val="single" w:sz="12" w:space="0" w:color="auto"/>
            </w:tcBorders>
            <w:shd w:val="clear" w:color="auto" w:fill="auto"/>
            <w:hideMark/>
          </w:tcPr>
          <w:p w14:paraId="2DD3EF4E" w14:textId="77777777" w:rsidR="007F35A9" w:rsidRPr="00DB645A" w:rsidRDefault="007F35A9" w:rsidP="00DB645A">
            <w:pPr>
              <w:spacing w:after="0" w:line="240" w:lineRule="auto"/>
              <w:rPr>
                <w:rFonts w:ascii="Arial" w:eastAsia="Times New Roman" w:hAnsi="Arial" w:cs="Arial"/>
                <w:color w:val="000000"/>
                <w:sz w:val="16"/>
                <w:szCs w:val="16"/>
                <w:lang w:eastAsia="en-GB"/>
              </w:rPr>
            </w:pPr>
            <w:r w:rsidRPr="00DB645A">
              <w:rPr>
                <w:rFonts w:ascii="Arial" w:eastAsia="Times New Roman" w:hAnsi="Arial" w:cs="Arial"/>
                <w:color w:val="000000"/>
                <w:sz w:val="16"/>
                <w:szCs w:val="16"/>
                <w:lang w:eastAsia="en-GB"/>
              </w:rPr>
              <w:t>Discharging Waste Water and Surface Water</w:t>
            </w:r>
          </w:p>
        </w:tc>
        <w:tc>
          <w:tcPr>
            <w:tcW w:w="1994" w:type="dxa"/>
            <w:tcBorders>
              <w:top w:val="single" w:sz="12" w:space="0" w:color="auto"/>
              <w:bottom w:val="single" w:sz="12" w:space="0" w:color="auto"/>
            </w:tcBorders>
            <w:shd w:val="clear" w:color="auto" w:fill="auto"/>
            <w:hideMark/>
          </w:tcPr>
          <w:p w14:paraId="369055C2" w14:textId="77777777" w:rsidR="007F35A9" w:rsidRPr="00DB645A" w:rsidRDefault="007F35A9" w:rsidP="00DB645A">
            <w:pPr>
              <w:spacing w:after="0" w:line="240" w:lineRule="auto"/>
              <w:rPr>
                <w:rFonts w:ascii="Arial" w:eastAsia="Times New Roman" w:hAnsi="Arial" w:cs="Arial"/>
                <w:color w:val="000000"/>
                <w:sz w:val="16"/>
                <w:szCs w:val="16"/>
                <w:lang w:eastAsia="en-GB"/>
              </w:rPr>
            </w:pPr>
            <w:r w:rsidRPr="00DB645A">
              <w:rPr>
                <w:rFonts w:ascii="Arial" w:eastAsia="Times New Roman" w:hAnsi="Arial" w:cs="Arial"/>
                <w:color w:val="000000"/>
                <w:sz w:val="16"/>
                <w:szCs w:val="16"/>
                <w:lang w:eastAsia="en-GB"/>
              </w:rPr>
              <w:t>Discharging solely Waste Water as outside Chichester Nutrients Catchment for surface water</w:t>
            </w:r>
          </w:p>
        </w:tc>
        <w:tc>
          <w:tcPr>
            <w:tcW w:w="2117" w:type="dxa"/>
            <w:tcBorders>
              <w:top w:val="single" w:sz="12" w:space="0" w:color="auto"/>
              <w:bottom w:val="single" w:sz="12" w:space="0" w:color="auto"/>
              <w:right w:val="single" w:sz="12" w:space="0" w:color="auto"/>
            </w:tcBorders>
            <w:shd w:val="clear" w:color="auto" w:fill="auto"/>
            <w:hideMark/>
          </w:tcPr>
          <w:p w14:paraId="5A36C5D2" w14:textId="77777777" w:rsidR="007F35A9" w:rsidRPr="00DB645A" w:rsidRDefault="007F35A9" w:rsidP="00DB645A">
            <w:pPr>
              <w:spacing w:after="0" w:line="240" w:lineRule="auto"/>
              <w:rPr>
                <w:rFonts w:ascii="Arial" w:eastAsia="Times New Roman" w:hAnsi="Arial" w:cs="Arial"/>
                <w:color w:val="000000"/>
                <w:sz w:val="16"/>
                <w:szCs w:val="16"/>
                <w:lang w:eastAsia="en-GB"/>
              </w:rPr>
            </w:pPr>
            <w:r w:rsidRPr="00DB645A">
              <w:rPr>
                <w:rFonts w:ascii="Arial" w:eastAsia="Times New Roman" w:hAnsi="Arial" w:cs="Arial"/>
                <w:color w:val="000000"/>
                <w:sz w:val="16"/>
                <w:szCs w:val="16"/>
                <w:lang w:eastAsia="en-GB"/>
              </w:rPr>
              <w:t>Discharging solely Surface Water (wastewater discharging to a WWTW that is not connected to Chichester Harbour)</w:t>
            </w:r>
          </w:p>
        </w:tc>
        <w:tc>
          <w:tcPr>
            <w:tcW w:w="1285" w:type="dxa"/>
            <w:tcBorders>
              <w:top w:val="single" w:sz="12" w:space="0" w:color="auto"/>
              <w:left w:val="single" w:sz="12" w:space="0" w:color="auto"/>
              <w:bottom w:val="single" w:sz="12" w:space="0" w:color="auto"/>
            </w:tcBorders>
            <w:shd w:val="clear" w:color="auto" w:fill="auto"/>
            <w:hideMark/>
          </w:tcPr>
          <w:p w14:paraId="024FFB09"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p>
        </w:tc>
        <w:tc>
          <w:tcPr>
            <w:tcW w:w="993" w:type="dxa"/>
            <w:tcBorders>
              <w:top w:val="single" w:sz="12" w:space="0" w:color="auto"/>
              <w:bottom w:val="single" w:sz="12" w:space="0" w:color="auto"/>
            </w:tcBorders>
            <w:shd w:val="clear" w:color="auto" w:fill="auto"/>
            <w:hideMark/>
          </w:tcPr>
          <w:p w14:paraId="515E3168"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top w:val="single" w:sz="12" w:space="0" w:color="auto"/>
              <w:bottom w:val="single" w:sz="12" w:space="0" w:color="auto"/>
            </w:tcBorders>
            <w:shd w:val="clear" w:color="auto" w:fill="auto"/>
            <w:hideMark/>
          </w:tcPr>
          <w:p w14:paraId="259A31E9"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bottom w:val="single" w:sz="12" w:space="0" w:color="auto"/>
              <w:right w:val="single" w:sz="12" w:space="0" w:color="auto"/>
            </w:tcBorders>
            <w:shd w:val="clear" w:color="auto" w:fill="auto"/>
            <w:hideMark/>
          </w:tcPr>
          <w:p w14:paraId="27797AEF"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134" w:type="dxa"/>
            <w:tcBorders>
              <w:top w:val="single" w:sz="12" w:space="0" w:color="auto"/>
              <w:left w:val="single" w:sz="12" w:space="0" w:color="auto"/>
              <w:bottom w:val="single" w:sz="12" w:space="0" w:color="auto"/>
              <w:right w:val="single" w:sz="12" w:space="0" w:color="auto"/>
            </w:tcBorders>
            <w:shd w:val="clear" w:color="000000" w:fill="FFFF00"/>
            <w:hideMark/>
          </w:tcPr>
          <w:p w14:paraId="7A6DDAA4"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r>
      <w:tr w:rsidR="007F35A9" w:rsidRPr="00F83F56" w14:paraId="622756E8" w14:textId="77777777" w:rsidTr="00DB645A">
        <w:trPr>
          <w:trHeight w:val="288"/>
        </w:trPr>
        <w:tc>
          <w:tcPr>
            <w:tcW w:w="3246" w:type="dxa"/>
            <w:tcBorders>
              <w:top w:val="single" w:sz="12" w:space="0" w:color="auto"/>
              <w:left w:val="single" w:sz="12" w:space="0" w:color="auto"/>
              <w:right w:val="single" w:sz="12" w:space="0" w:color="auto"/>
            </w:tcBorders>
            <w:shd w:val="clear" w:color="auto" w:fill="auto"/>
            <w:noWrap/>
            <w:hideMark/>
          </w:tcPr>
          <w:p w14:paraId="6DAFA5FD"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Chichester City (Policy A2)</w:t>
            </w:r>
          </w:p>
        </w:tc>
        <w:tc>
          <w:tcPr>
            <w:tcW w:w="1559" w:type="dxa"/>
            <w:tcBorders>
              <w:top w:val="single" w:sz="12" w:space="0" w:color="auto"/>
              <w:left w:val="single" w:sz="12" w:space="0" w:color="auto"/>
            </w:tcBorders>
            <w:shd w:val="clear" w:color="auto" w:fill="auto"/>
            <w:noWrap/>
            <w:hideMark/>
          </w:tcPr>
          <w:p w14:paraId="067FBEDE"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994" w:type="dxa"/>
            <w:tcBorders>
              <w:top w:val="single" w:sz="12" w:space="0" w:color="auto"/>
            </w:tcBorders>
            <w:shd w:val="clear" w:color="auto" w:fill="auto"/>
            <w:noWrap/>
            <w:hideMark/>
          </w:tcPr>
          <w:p w14:paraId="6DCA0A1C"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top w:val="single" w:sz="12" w:space="0" w:color="auto"/>
              <w:right w:val="single" w:sz="12" w:space="0" w:color="auto"/>
            </w:tcBorders>
            <w:shd w:val="clear" w:color="auto" w:fill="auto"/>
            <w:noWrap/>
            <w:hideMark/>
          </w:tcPr>
          <w:p w14:paraId="7AF2CE9A"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top w:val="single" w:sz="12" w:space="0" w:color="auto"/>
              <w:left w:val="single" w:sz="12" w:space="0" w:color="auto"/>
            </w:tcBorders>
            <w:shd w:val="clear" w:color="auto" w:fill="auto"/>
            <w:noWrap/>
            <w:hideMark/>
          </w:tcPr>
          <w:p w14:paraId="4FECE2A7"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3" w:type="dxa"/>
            <w:tcBorders>
              <w:top w:val="single" w:sz="12" w:space="0" w:color="auto"/>
            </w:tcBorders>
            <w:shd w:val="clear" w:color="auto" w:fill="auto"/>
            <w:noWrap/>
            <w:hideMark/>
          </w:tcPr>
          <w:p w14:paraId="4DC0127C"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top w:val="single" w:sz="12" w:space="0" w:color="auto"/>
            </w:tcBorders>
            <w:shd w:val="clear" w:color="auto" w:fill="auto"/>
            <w:noWrap/>
            <w:hideMark/>
          </w:tcPr>
          <w:p w14:paraId="5C91F583"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top w:val="single" w:sz="12" w:space="0" w:color="auto"/>
              <w:right w:val="single" w:sz="12" w:space="0" w:color="auto"/>
            </w:tcBorders>
            <w:shd w:val="clear" w:color="auto" w:fill="auto"/>
            <w:noWrap/>
            <w:hideMark/>
          </w:tcPr>
          <w:p w14:paraId="668493F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134" w:type="dxa"/>
            <w:tcBorders>
              <w:top w:val="single" w:sz="12" w:space="0" w:color="auto"/>
              <w:left w:val="single" w:sz="12" w:space="0" w:color="auto"/>
              <w:right w:val="single" w:sz="12" w:space="0" w:color="auto"/>
            </w:tcBorders>
            <w:shd w:val="clear" w:color="000000" w:fill="FFFF00"/>
            <w:noWrap/>
            <w:hideMark/>
          </w:tcPr>
          <w:p w14:paraId="072CF107"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r>
      <w:tr w:rsidR="007F35A9" w:rsidRPr="00F83F56" w14:paraId="714F85B2" w14:textId="77777777" w:rsidTr="00DB645A">
        <w:trPr>
          <w:trHeight w:val="401"/>
        </w:trPr>
        <w:tc>
          <w:tcPr>
            <w:tcW w:w="3246" w:type="dxa"/>
            <w:tcBorders>
              <w:left w:val="single" w:sz="12" w:space="0" w:color="auto"/>
              <w:right w:val="single" w:sz="12" w:space="0" w:color="auto"/>
            </w:tcBorders>
            <w:shd w:val="clear" w:color="auto" w:fill="auto"/>
            <w:hideMark/>
          </w:tcPr>
          <w:p w14:paraId="1A3DF96B"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Southern Gateway (Policy A4 (Bus Station area))</w:t>
            </w:r>
          </w:p>
        </w:tc>
        <w:tc>
          <w:tcPr>
            <w:tcW w:w="1559" w:type="dxa"/>
            <w:tcBorders>
              <w:left w:val="single" w:sz="12" w:space="0" w:color="auto"/>
            </w:tcBorders>
            <w:shd w:val="clear" w:color="auto" w:fill="auto"/>
            <w:noWrap/>
            <w:hideMark/>
          </w:tcPr>
          <w:p w14:paraId="5696505E"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994" w:type="dxa"/>
            <w:shd w:val="clear" w:color="auto" w:fill="auto"/>
            <w:noWrap/>
            <w:hideMark/>
          </w:tcPr>
          <w:p w14:paraId="5F95FF76"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right w:val="single" w:sz="12" w:space="0" w:color="auto"/>
            </w:tcBorders>
            <w:shd w:val="clear" w:color="auto" w:fill="auto"/>
            <w:hideMark/>
          </w:tcPr>
          <w:p w14:paraId="18763F7D"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tcBorders>
            <w:shd w:val="clear" w:color="auto" w:fill="auto"/>
            <w:hideMark/>
          </w:tcPr>
          <w:p w14:paraId="0B6E6E4A"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3" w:type="dxa"/>
            <w:shd w:val="clear" w:color="auto" w:fill="auto"/>
            <w:noWrap/>
            <w:hideMark/>
          </w:tcPr>
          <w:p w14:paraId="2689B22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shd w:val="clear" w:color="auto" w:fill="auto"/>
            <w:noWrap/>
            <w:hideMark/>
          </w:tcPr>
          <w:p w14:paraId="0B8333AB"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right w:val="single" w:sz="12" w:space="0" w:color="auto"/>
            </w:tcBorders>
            <w:shd w:val="clear" w:color="auto" w:fill="auto"/>
            <w:noWrap/>
            <w:hideMark/>
          </w:tcPr>
          <w:p w14:paraId="4361E9E2"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134" w:type="dxa"/>
            <w:tcBorders>
              <w:left w:val="single" w:sz="12" w:space="0" w:color="auto"/>
              <w:right w:val="single" w:sz="12" w:space="0" w:color="auto"/>
            </w:tcBorders>
            <w:shd w:val="clear" w:color="000000" w:fill="FFFF00"/>
            <w:noWrap/>
            <w:hideMark/>
          </w:tcPr>
          <w:p w14:paraId="1E5656E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r>
      <w:tr w:rsidR="007F35A9" w:rsidRPr="00F83F56" w14:paraId="28841A7C" w14:textId="77777777" w:rsidTr="00DB645A">
        <w:tc>
          <w:tcPr>
            <w:tcW w:w="3246" w:type="dxa"/>
            <w:tcBorders>
              <w:left w:val="single" w:sz="12" w:space="0" w:color="auto"/>
              <w:right w:val="single" w:sz="12" w:space="0" w:color="auto"/>
            </w:tcBorders>
            <w:shd w:val="clear" w:color="auto" w:fill="auto"/>
            <w:hideMark/>
          </w:tcPr>
          <w:p w14:paraId="12C8F1F5"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Southern Gateway (Policy A5 (Police Field area))</w:t>
            </w:r>
          </w:p>
        </w:tc>
        <w:tc>
          <w:tcPr>
            <w:tcW w:w="1559" w:type="dxa"/>
            <w:tcBorders>
              <w:left w:val="single" w:sz="12" w:space="0" w:color="auto"/>
            </w:tcBorders>
            <w:shd w:val="clear" w:color="auto" w:fill="auto"/>
            <w:noWrap/>
            <w:hideMark/>
          </w:tcPr>
          <w:p w14:paraId="41F6F3E2"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1994" w:type="dxa"/>
            <w:shd w:val="clear" w:color="auto" w:fill="auto"/>
            <w:noWrap/>
            <w:hideMark/>
          </w:tcPr>
          <w:p w14:paraId="39F7019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2117" w:type="dxa"/>
            <w:tcBorders>
              <w:right w:val="single" w:sz="12" w:space="0" w:color="auto"/>
            </w:tcBorders>
            <w:shd w:val="clear" w:color="auto" w:fill="auto"/>
            <w:hideMark/>
          </w:tcPr>
          <w:p w14:paraId="5403D0B2"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1285" w:type="dxa"/>
            <w:tcBorders>
              <w:left w:val="single" w:sz="12" w:space="0" w:color="auto"/>
            </w:tcBorders>
            <w:shd w:val="clear" w:color="auto" w:fill="auto"/>
            <w:hideMark/>
          </w:tcPr>
          <w:p w14:paraId="316A1F45"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3" w:type="dxa"/>
            <w:shd w:val="clear" w:color="auto" w:fill="auto"/>
            <w:noWrap/>
            <w:hideMark/>
          </w:tcPr>
          <w:p w14:paraId="4F3E7567"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shd w:val="clear" w:color="auto" w:fill="auto"/>
            <w:noWrap/>
            <w:hideMark/>
          </w:tcPr>
          <w:p w14:paraId="2A2ADA5E"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right w:val="single" w:sz="12" w:space="0" w:color="auto"/>
            </w:tcBorders>
            <w:shd w:val="clear" w:color="auto" w:fill="auto"/>
            <w:noWrap/>
            <w:hideMark/>
          </w:tcPr>
          <w:p w14:paraId="49081BD8"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134" w:type="dxa"/>
            <w:tcBorders>
              <w:left w:val="single" w:sz="12" w:space="0" w:color="auto"/>
              <w:right w:val="single" w:sz="12" w:space="0" w:color="auto"/>
            </w:tcBorders>
            <w:shd w:val="clear" w:color="000000" w:fill="FFFF00"/>
            <w:noWrap/>
            <w:hideMark/>
          </w:tcPr>
          <w:p w14:paraId="5721033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r>
      <w:tr w:rsidR="007F35A9" w:rsidRPr="00F83F56" w14:paraId="60BA433E" w14:textId="77777777" w:rsidTr="00DB645A">
        <w:trPr>
          <w:trHeight w:val="752"/>
        </w:trPr>
        <w:tc>
          <w:tcPr>
            <w:tcW w:w="3246" w:type="dxa"/>
            <w:tcBorders>
              <w:left w:val="single" w:sz="12" w:space="0" w:color="auto"/>
              <w:right w:val="single" w:sz="12" w:space="0" w:color="auto"/>
            </w:tcBorders>
            <w:shd w:val="clear" w:color="auto" w:fill="auto"/>
            <w:noWrap/>
            <w:hideMark/>
          </w:tcPr>
          <w:p w14:paraId="6EF8DCEA"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West of Chichester (Policy A6)</w:t>
            </w:r>
          </w:p>
        </w:tc>
        <w:tc>
          <w:tcPr>
            <w:tcW w:w="1559" w:type="dxa"/>
            <w:tcBorders>
              <w:left w:val="single" w:sz="12" w:space="0" w:color="auto"/>
            </w:tcBorders>
            <w:shd w:val="clear" w:color="auto" w:fill="auto"/>
            <w:noWrap/>
            <w:hideMark/>
          </w:tcPr>
          <w:p w14:paraId="5C3FDCFD"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1994" w:type="dxa"/>
            <w:shd w:val="clear" w:color="auto" w:fill="auto"/>
            <w:noWrap/>
            <w:hideMark/>
          </w:tcPr>
          <w:p w14:paraId="190DC9FA"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2117" w:type="dxa"/>
            <w:tcBorders>
              <w:right w:val="single" w:sz="12" w:space="0" w:color="auto"/>
            </w:tcBorders>
            <w:shd w:val="clear" w:color="auto" w:fill="auto"/>
            <w:noWrap/>
            <w:hideMark/>
          </w:tcPr>
          <w:p w14:paraId="410A3D28"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386 (45%)</w:t>
            </w:r>
          </w:p>
        </w:tc>
        <w:tc>
          <w:tcPr>
            <w:tcW w:w="1285" w:type="dxa"/>
            <w:tcBorders>
              <w:left w:val="single" w:sz="12" w:space="0" w:color="auto"/>
            </w:tcBorders>
            <w:shd w:val="clear" w:color="auto" w:fill="auto"/>
            <w:hideMark/>
          </w:tcPr>
          <w:p w14:paraId="40D9105B"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N/A - Wastewater re-routed to Tangmere</w:t>
            </w:r>
          </w:p>
        </w:tc>
        <w:tc>
          <w:tcPr>
            <w:tcW w:w="993" w:type="dxa"/>
            <w:shd w:val="clear" w:color="auto" w:fill="auto"/>
            <w:noWrap/>
            <w:hideMark/>
          </w:tcPr>
          <w:p w14:paraId="62555151"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504.08</w:t>
            </w:r>
          </w:p>
        </w:tc>
        <w:tc>
          <w:tcPr>
            <w:tcW w:w="992" w:type="dxa"/>
            <w:shd w:val="clear" w:color="auto" w:fill="auto"/>
            <w:noWrap/>
            <w:hideMark/>
          </w:tcPr>
          <w:p w14:paraId="7E1D7D98"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278.35</w:t>
            </w:r>
          </w:p>
        </w:tc>
        <w:tc>
          <w:tcPr>
            <w:tcW w:w="992" w:type="dxa"/>
            <w:tcBorders>
              <w:right w:val="single" w:sz="12" w:space="0" w:color="auto"/>
            </w:tcBorders>
            <w:shd w:val="clear" w:color="auto" w:fill="auto"/>
            <w:noWrap/>
            <w:hideMark/>
          </w:tcPr>
          <w:p w14:paraId="4C682302"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-225.73</w:t>
            </w:r>
          </w:p>
        </w:tc>
        <w:tc>
          <w:tcPr>
            <w:tcW w:w="1134" w:type="dxa"/>
            <w:tcBorders>
              <w:left w:val="single" w:sz="12" w:space="0" w:color="auto"/>
              <w:right w:val="single" w:sz="12" w:space="0" w:color="auto"/>
            </w:tcBorders>
            <w:shd w:val="clear" w:color="000000" w:fill="FFFF00"/>
            <w:noWrap/>
            <w:hideMark/>
          </w:tcPr>
          <w:p w14:paraId="5213E80E"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r>
      <w:tr w:rsidR="007F35A9" w:rsidRPr="00F83F56" w14:paraId="3C90DC18" w14:textId="77777777" w:rsidTr="00DB645A">
        <w:trPr>
          <w:trHeight w:val="702"/>
        </w:trPr>
        <w:tc>
          <w:tcPr>
            <w:tcW w:w="3246" w:type="dxa"/>
            <w:tcBorders>
              <w:left w:val="single" w:sz="12" w:space="0" w:color="auto"/>
              <w:right w:val="single" w:sz="12" w:space="0" w:color="auto"/>
            </w:tcBorders>
            <w:shd w:val="clear" w:color="auto" w:fill="auto"/>
            <w:noWrap/>
            <w:hideMark/>
          </w:tcPr>
          <w:p w14:paraId="64B2796A"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Westhampnett (Policy A9)</w:t>
            </w:r>
          </w:p>
        </w:tc>
        <w:tc>
          <w:tcPr>
            <w:tcW w:w="1559" w:type="dxa"/>
            <w:tcBorders>
              <w:left w:val="single" w:sz="12" w:space="0" w:color="auto"/>
            </w:tcBorders>
            <w:shd w:val="clear" w:color="auto" w:fill="auto"/>
            <w:noWrap/>
            <w:hideMark/>
          </w:tcPr>
          <w:p w14:paraId="2DE8B3D2"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1994" w:type="dxa"/>
            <w:shd w:val="clear" w:color="auto" w:fill="auto"/>
            <w:noWrap/>
            <w:hideMark/>
          </w:tcPr>
          <w:p w14:paraId="534750BC"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2117" w:type="dxa"/>
            <w:tcBorders>
              <w:right w:val="single" w:sz="12" w:space="0" w:color="auto"/>
            </w:tcBorders>
            <w:shd w:val="clear" w:color="auto" w:fill="auto"/>
            <w:noWrap/>
            <w:hideMark/>
          </w:tcPr>
          <w:p w14:paraId="71F1272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285" w:type="dxa"/>
            <w:tcBorders>
              <w:left w:val="single" w:sz="12" w:space="0" w:color="auto"/>
            </w:tcBorders>
            <w:shd w:val="clear" w:color="auto" w:fill="auto"/>
            <w:hideMark/>
          </w:tcPr>
          <w:p w14:paraId="4B779108"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N/A - Wastewater discharges to Tangmere</w:t>
            </w:r>
          </w:p>
        </w:tc>
        <w:tc>
          <w:tcPr>
            <w:tcW w:w="993" w:type="dxa"/>
            <w:shd w:val="clear" w:color="auto" w:fill="auto"/>
            <w:noWrap/>
            <w:hideMark/>
          </w:tcPr>
          <w:p w14:paraId="4503AA9C"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shd w:val="clear" w:color="auto" w:fill="auto"/>
            <w:noWrap/>
            <w:hideMark/>
          </w:tcPr>
          <w:p w14:paraId="38B5002F"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right w:val="single" w:sz="12" w:space="0" w:color="auto"/>
            </w:tcBorders>
            <w:shd w:val="clear" w:color="auto" w:fill="auto"/>
            <w:noWrap/>
            <w:hideMark/>
          </w:tcPr>
          <w:p w14:paraId="12D4D8EE"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134" w:type="dxa"/>
            <w:tcBorders>
              <w:left w:val="single" w:sz="12" w:space="0" w:color="auto"/>
              <w:right w:val="single" w:sz="12" w:space="0" w:color="auto"/>
            </w:tcBorders>
            <w:shd w:val="clear" w:color="000000" w:fill="FFFF00"/>
            <w:noWrap/>
            <w:hideMark/>
          </w:tcPr>
          <w:p w14:paraId="0A92CB6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r>
      <w:tr w:rsidR="007F35A9" w:rsidRPr="00F83F56" w14:paraId="7A0F652C" w14:textId="77777777" w:rsidTr="00DB645A">
        <w:trPr>
          <w:trHeight w:val="288"/>
        </w:trPr>
        <w:tc>
          <w:tcPr>
            <w:tcW w:w="3246" w:type="dxa"/>
            <w:tcBorders>
              <w:left w:val="single" w:sz="12" w:space="0" w:color="auto"/>
              <w:right w:val="single" w:sz="12" w:space="0" w:color="auto"/>
            </w:tcBorders>
            <w:shd w:val="clear" w:color="auto" w:fill="auto"/>
            <w:noWrap/>
            <w:hideMark/>
          </w:tcPr>
          <w:p w14:paraId="1C5863BB"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Bosham Highgrove Farm (Policy A11)</w:t>
            </w:r>
          </w:p>
        </w:tc>
        <w:tc>
          <w:tcPr>
            <w:tcW w:w="1559" w:type="dxa"/>
            <w:tcBorders>
              <w:left w:val="single" w:sz="12" w:space="0" w:color="auto"/>
            </w:tcBorders>
            <w:shd w:val="clear" w:color="auto" w:fill="auto"/>
            <w:noWrap/>
            <w:hideMark/>
          </w:tcPr>
          <w:p w14:paraId="05F6BCB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175 (58%)</w:t>
            </w:r>
          </w:p>
        </w:tc>
        <w:tc>
          <w:tcPr>
            <w:tcW w:w="1994" w:type="dxa"/>
            <w:shd w:val="clear" w:color="auto" w:fill="auto"/>
            <w:noWrap/>
            <w:hideMark/>
          </w:tcPr>
          <w:p w14:paraId="65B1E89B"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right w:val="single" w:sz="12" w:space="0" w:color="auto"/>
            </w:tcBorders>
            <w:shd w:val="clear" w:color="auto" w:fill="auto"/>
            <w:noWrap/>
            <w:hideMark/>
          </w:tcPr>
          <w:p w14:paraId="75356A62"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tcBorders>
            <w:shd w:val="clear" w:color="auto" w:fill="auto"/>
            <w:noWrap/>
            <w:hideMark/>
          </w:tcPr>
          <w:p w14:paraId="1D3F16E8"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131.78</w:t>
            </w:r>
          </w:p>
        </w:tc>
        <w:tc>
          <w:tcPr>
            <w:tcW w:w="993" w:type="dxa"/>
            <w:shd w:val="clear" w:color="auto" w:fill="auto"/>
            <w:noWrap/>
            <w:hideMark/>
          </w:tcPr>
          <w:p w14:paraId="185E8BF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179.01</w:t>
            </w:r>
          </w:p>
        </w:tc>
        <w:tc>
          <w:tcPr>
            <w:tcW w:w="992" w:type="dxa"/>
            <w:shd w:val="clear" w:color="auto" w:fill="auto"/>
            <w:noWrap/>
            <w:hideMark/>
          </w:tcPr>
          <w:p w14:paraId="7E2B3EDD"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87.78</w:t>
            </w:r>
          </w:p>
        </w:tc>
        <w:tc>
          <w:tcPr>
            <w:tcW w:w="992" w:type="dxa"/>
            <w:tcBorders>
              <w:right w:val="single" w:sz="12" w:space="0" w:color="auto"/>
            </w:tcBorders>
            <w:shd w:val="clear" w:color="auto" w:fill="auto"/>
            <w:noWrap/>
            <w:hideMark/>
          </w:tcPr>
          <w:p w14:paraId="5C17ABD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40.55</w:t>
            </w:r>
          </w:p>
        </w:tc>
        <w:tc>
          <w:tcPr>
            <w:tcW w:w="1134" w:type="dxa"/>
            <w:tcBorders>
              <w:left w:val="single" w:sz="12" w:space="0" w:color="auto"/>
              <w:right w:val="single" w:sz="12" w:space="0" w:color="auto"/>
            </w:tcBorders>
            <w:shd w:val="clear" w:color="000000" w:fill="FFFF00"/>
            <w:noWrap/>
            <w:hideMark/>
          </w:tcPr>
          <w:p w14:paraId="1327D47C"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48.66</w:t>
            </w:r>
          </w:p>
        </w:tc>
      </w:tr>
      <w:tr w:rsidR="007F35A9" w:rsidRPr="00F83F56" w14:paraId="2577289E" w14:textId="77777777" w:rsidTr="00DB645A">
        <w:trPr>
          <w:trHeight w:val="288"/>
        </w:trPr>
        <w:tc>
          <w:tcPr>
            <w:tcW w:w="3246" w:type="dxa"/>
            <w:tcBorders>
              <w:left w:val="single" w:sz="12" w:space="0" w:color="auto"/>
              <w:right w:val="single" w:sz="12" w:space="0" w:color="auto"/>
            </w:tcBorders>
            <w:shd w:val="clear" w:color="auto" w:fill="auto"/>
            <w:noWrap/>
            <w:hideMark/>
          </w:tcPr>
          <w:p w14:paraId="3BA937CE"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Chidham &amp; Hambrook (Policy A12)</w:t>
            </w:r>
          </w:p>
        </w:tc>
        <w:tc>
          <w:tcPr>
            <w:tcW w:w="1559" w:type="dxa"/>
            <w:tcBorders>
              <w:left w:val="single" w:sz="12" w:space="0" w:color="auto"/>
            </w:tcBorders>
            <w:shd w:val="clear" w:color="auto" w:fill="auto"/>
            <w:noWrap/>
            <w:hideMark/>
          </w:tcPr>
          <w:p w14:paraId="65CEA63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994" w:type="dxa"/>
            <w:shd w:val="clear" w:color="auto" w:fill="auto"/>
            <w:noWrap/>
            <w:hideMark/>
          </w:tcPr>
          <w:p w14:paraId="43CA5CCC"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right w:val="single" w:sz="12" w:space="0" w:color="auto"/>
            </w:tcBorders>
            <w:shd w:val="clear" w:color="auto" w:fill="auto"/>
            <w:noWrap/>
            <w:hideMark/>
          </w:tcPr>
          <w:p w14:paraId="4556E463"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tcBorders>
            <w:shd w:val="clear" w:color="auto" w:fill="auto"/>
            <w:noWrap/>
            <w:hideMark/>
          </w:tcPr>
          <w:p w14:paraId="3184817B"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3" w:type="dxa"/>
            <w:shd w:val="clear" w:color="auto" w:fill="auto"/>
            <w:noWrap/>
            <w:hideMark/>
          </w:tcPr>
          <w:p w14:paraId="43682B8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shd w:val="clear" w:color="auto" w:fill="auto"/>
            <w:noWrap/>
            <w:hideMark/>
          </w:tcPr>
          <w:p w14:paraId="0E5A4D02"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right w:val="single" w:sz="12" w:space="0" w:color="auto"/>
            </w:tcBorders>
            <w:shd w:val="clear" w:color="auto" w:fill="auto"/>
            <w:noWrap/>
            <w:hideMark/>
          </w:tcPr>
          <w:p w14:paraId="39490857"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134" w:type="dxa"/>
            <w:tcBorders>
              <w:left w:val="single" w:sz="12" w:space="0" w:color="auto"/>
              <w:right w:val="single" w:sz="12" w:space="0" w:color="auto"/>
            </w:tcBorders>
            <w:shd w:val="clear" w:color="000000" w:fill="FFFF00"/>
            <w:noWrap/>
            <w:hideMark/>
          </w:tcPr>
          <w:p w14:paraId="41D1B77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r>
      <w:tr w:rsidR="007F35A9" w:rsidRPr="00F83F56" w14:paraId="7E5FE0FC" w14:textId="77777777" w:rsidTr="00DB645A">
        <w:trPr>
          <w:trHeight w:val="288"/>
        </w:trPr>
        <w:tc>
          <w:tcPr>
            <w:tcW w:w="3246" w:type="dxa"/>
            <w:tcBorders>
              <w:left w:val="single" w:sz="12" w:space="0" w:color="auto"/>
              <w:right w:val="single" w:sz="12" w:space="0" w:color="auto"/>
            </w:tcBorders>
            <w:shd w:val="clear" w:color="auto" w:fill="auto"/>
            <w:noWrap/>
            <w:hideMark/>
          </w:tcPr>
          <w:p w14:paraId="675E0293"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Southbourne BLD (Policy A13)</w:t>
            </w:r>
          </w:p>
        </w:tc>
        <w:tc>
          <w:tcPr>
            <w:tcW w:w="1559" w:type="dxa"/>
            <w:tcBorders>
              <w:left w:val="single" w:sz="12" w:space="0" w:color="auto"/>
            </w:tcBorders>
            <w:shd w:val="clear" w:color="auto" w:fill="auto"/>
            <w:noWrap/>
            <w:hideMark/>
          </w:tcPr>
          <w:p w14:paraId="1C959EB1"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994" w:type="dxa"/>
            <w:shd w:val="clear" w:color="auto" w:fill="auto"/>
            <w:noWrap/>
            <w:hideMark/>
          </w:tcPr>
          <w:p w14:paraId="32F5A53F"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right w:val="single" w:sz="12" w:space="0" w:color="auto"/>
            </w:tcBorders>
            <w:shd w:val="clear" w:color="auto" w:fill="auto"/>
            <w:noWrap/>
            <w:hideMark/>
          </w:tcPr>
          <w:p w14:paraId="14D13D87"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tcBorders>
            <w:shd w:val="clear" w:color="auto" w:fill="auto"/>
            <w:noWrap/>
            <w:hideMark/>
          </w:tcPr>
          <w:p w14:paraId="3A321D2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3" w:type="dxa"/>
            <w:shd w:val="clear" w:color="auto" w:fill="auto"/>
            <w:noWrap/>
            <w:hideMark/>
          </w:tcPr>
          <w:p w14:paraId="2F94B14A"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shd w:val="clear" w:color="auto" w:fill="auto"/>
            <w:noWrap/>
            <w:hideMark/>
          </w:tcPr>
          <w:p w14:paraId="76623B19"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right w:val="single" w:sz="12" w:space="0" w:color="auto"/>
            </w:tcBorders>
            <w:shd w:val="clear" w:color="auto" w:fill="auto"/>
            <w:noWrap/>
            <w:hideMark/>
          </w:tcPr>
          <w:p w14:paraId="31821868"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134" w:type="dxa"/>
            <w:tcBorders>
              <w:left w:val="single" w:sz="12" w:space="0" w:color="auto"/>
              <w:right w:val="single" w:sz="12" w:space="0" w:color="auto"/>
            </w:tcBorders>
            <w:shd w:val="clear" w:color="000000" w:fill="FFFF00"/>
            <w:noWrap/>
            <w:hideMark/>
          </w:tcPr>
          <w:p w14:paraId="66EF1E07"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r>
      <w:tr w:rsidR="007F35A9" w:rsidRPr="00F83F56" w14:paraId="3DA4A785" w14:textId="77777777" w:rsidTr="00DB645A">
        <w:trPr>
          <w:trHeight w:val="349"/>
        </w:trPr>
        <w:tc>
          <w:tcPr>
            <w:tcW w:w="3246" w:type="dxa"/>
            <w:tcBorders>
              <w:left w:val="single" w:sz="12" w:space="0" w:color="auto"/>
              <w:bottom w:val="single" w:sz="12" w:space="0" w:color="auto"/>
              <w:right w:val="single" w:sz="12" w:space="0" w:color="auto"/>
            </w:tcBorders>
            <w:shd w:val="clear" w:color="auto" w:fill="auto"/>
            <w:hideMark/>
          </w:tcPr>
          <w:p w14:paraId="3F4719B6" w14:textId="77777777" w:rsidR="007F35A9" w:rsidRPr="00F83F56" w:rsidRDefault="007F35A9" w:rsidP="00DB645A">
            <w:pPr>
              <w:spacing w:after="0" w:line="240" w:lineRule="auto"/>
              <w:rPr>
                <w:rFonts w:ascii="Arial" w:eastAsia="Times New Roman" w:hAnsi="Arial" w:cs="Arial"/>
                <w:sz w:val="16"/>
                <w:szCs w:val="16"/>
                <w:lang w:eastAsia="en-GB"/>
              </w:rPr>
            </w:pPr>
            <w:r w:rsidRPr="00F83F56">
              <w:rPr>
                <w:rFonts w:ascii="Arial" w:eastAsia="Times New Roman" w:hAnsi="Arial" w:cs="Arial"/>
                <w:sz w:val="16"/>
                <w:szCs w:val="16"/>
                <w:lang w:eastAsia="en-GB"/>
              </w:rPr>
              <w:t xml:space="preserve">Southbourne BLD gypsy and traveller pitches and travelling </w:t>
            </w:r>
            <w:proofErr w:type="spellStart"/>
            <w:r w:rsidRPr="00F83F56">
              <w:rPr>
                <w:rFonts w:ascii="Arial" w:eastAsia="Times New Roman" w:hAnsi="Arial" w:cs="Arial"/>
                <w:sz w:val="16"/>
                <w:szCs w:val="16"/>
                <w:lang w:eastAsia="en-GB"/>
              </w:rPr>
              <w:t>showpeople</w:t>
            </w:r>
            <w:proofErr w:type="spellEnd"/>
            <w:r w:rsidRPr="00F83F56">
              <w:rPr>
                <w:rFonts w:ascii="Arial" w:eastAsia="Times New Roman" w:hAnsi="Arial" w:cs="Arial"/>
                <w:sz w:val="16"/>
                <w:szCs w:val="16"/>
                <w:lang w:eastAsia="en-GB"/>
              </w:rPr>
              <w:t xml:space="preserve"> (Policy A13)</w:t>
            </w:r>
          </w:p>
        </w:tc>
        <w:tc>
          <w:tcPr>
            <w:tcW w:w="1559" w:type="dxa"/>
            <w:tcBorders>
              <w:left w:val="single" w:sz="12" w:space="0" w:color="auto"/>
              <w:bottom w:val="single" w:sz="12" w:space="0" w:color="auto"/>
            </w:tcBorders>
            <w:shd w:val="clear" w:color="auto" w:fill="auto"/>
            <w:noWrap/>
            <w:hideMark/>
          </w:tcPr>
          <w:p w14:paraId="25B21FD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994" w:type="dxa"/>
            <w:tcBorders>
              <w:bottom w:val="single" w:sz="12" w:space="0" w:color="auto"/>
            </w:tcBorders>
            <w:shd w:val="clear" w:color="auto" w:fill="auto"/>
            <w:noWrap/>
            <w:hideMark/>
          </w:tcPr>
          <w:p w14:paraId="3D7BD125"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bottom w:val="single" w:sz="12" w:space="0" w:color="auto"/>
              <w:right w:val="single" w:sz="12" w:space="0" w:color="auto"/>
            </w:tcBorders>
            <w:shd w:val="clear" w:color="auto" w:fill="auto"/>
            <w:noWrap/>
            <w:hideMark/>
          </w:tcPr>
          <w:p w14:paraId="52135D12"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bottom w:val="single" w:sz="12" w:space="0" w:color="auto"/>
            </w:tcBorders>
            <w:shd w:val="clear" w:color="auto" w:fill="auto"/>
            <w:noWrap/>
            <w:hideMark/>
          </w:tcPr>
          <w:p w14:paraId="4BE6533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3" w:type="dxa"/>
            <w:tcBorders>
              <w:bottom w:val="single" w:sz="12" w:space="0" w:color="auto"/>
            </w:tcBorders>
            <w:shd w:val="clear" w:color="auto" w:fill="auto"/>
            <w:noWrap/>
            <w:hideMark/>
          </w:tcPr>
          <w:p w14:paraId="5E12DFA9"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bottom w:val="single" w:sz="12" w:space="0" w:color="auto"/>
            </w:tcBorders>
            <w:shd w:val="clear" w:color="auto" w:fill="auto"/>
            <w:noWrap/>
            <w:hideMark/>
          </w:tcPr>
          <w:p w14:paraId="151B3435"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bottom w:val="single" w:sz="12" w:space="0" w:color="auto"/>
              <w:right w:val="single" w:sz="12" w:space="0" w:color="auto"/>
            </w:tcBorders>
            <w:shd w:val="clear" w:color="auto" w:fill="auto"/>
            <w:noWrap/>
            <w:hideMark/>
          </w:tcPr>
          <w:p w14:paraId="4FAE989D"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134" w:type="dxa"/>
            <w:tcBorders>
              <w:left w:val="single" w:sz="12" w:space="0" w:color="auto"/>
              <w:right w:val="single" w:sz="12" w:space="0" w:color="auto"/>
            </w:tcBorders>
            <w:shd w:val="clear" w:color="000000" w:fill="FFFF00"/>
            <w:noWrap/>
            <w:hideMark/>
          </w:tcPr>
          <w:p w14:paraId="7821A42F"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r>
      <w:tr w:rsidR="007F35A9" w:rsidRPr="00F83F56" w14:paraId="1B69B02F" w14:textId="77777777" w:rsidTr="00DB645A">
        <w:trPr>
          <w:trHeight w:val="288"/>
        </w:trPr>
        <w:tc>
          <w:tcPr>
            <w:tcW w:w="13178" w:type="dxa"/>
            <w:gridSpan w:val="8"/>
            <w:tcBorders>
              <w:top w:val="single" w:sz="12" w:space="0" w:color="auto"/>
              <w:left w:val="single" w:sz="12" w:space="0" w:color="auto"/>
              <w:bottom w:val="single" w:sz="12" w:space="0" w:color="auto"/>
              <w:right w:val="single" w:sz="12" w:space="0" w:color="auto"/>
            </w:tcBorders>
            <w:shd w:val="clear" w:color="auto" w:fill="auto"/>
            <w:noWrap/>
            <w:hideMark/>
          </w:tcPr>
          <w:p w14:paraId="70BB6A5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b/>
                <w:bCs/>
                <w:color w:val="000000"/>
                <w:sz w:val="16"/>
                <w:szCs w:val="16"/>
                <w:lang w:eastAsia="en-GB"/>
              </w:rPr>
              <w:t>Parish Allocation:</w:t>
            </w: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60EA6676"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w:t>
            </w:r>
          </w:p>
        </w:tc>
      </w:tr>
      <w:tr w:rsidR="007F35A9" w:rsidRPr="00F83F56" w14:paraId="12B13A71" w14:textId="77777777" w:rsidTr="00DB645A">
        <w:trPr>
          <w:trHeight w:val="288"/>
        </w:trPr>
        <w:tc>
          <w:tcPr>
            <w:tcW w:w="3246" w:type="dxa"/>
            <w:tcBorders>
              <w:top w:val="single" w:sz="12" w:space="0" w:color="auto"/>
              <w:left w:val="single" w:sz="12" w:space="0" w:color="auto"/>
              <w:right w:val="single" w:sz="12" w:space="0" w:color="auto"/>
            </w:tcBorders>
            <w:shd w:val="clear" w:color="auto" w:fill="auto"/>
            <w:noWrap/>
            <w:hideMark/>
          </w:tcPr>
          <w:p w14:paraId="4098C375"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Fishbourne</w:t>
            </w:r>
          </w:p>
        </w:tc>
        <w:tc>
          <w:tcPr>
            <w:tcW w:w="1559" w:type="dxa"/>
            <w:tcBorders>
              <w:top w:val="single" w:sz="12" w:space="0" w:color="auto"/>
              <w:left w:val="single" w:sz="12" w:space="0" w:color="auto"/>
            </w:tcBorders>
            <w:shd w:val="clear" w:color="auto" w:fill="auto"/>
            <w:noWrap/>
            <w:hideMark/>
          </w:tcPr>
          <w:p w14:paraId="3F8F24D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994" w:type="dxa"/>
            <w:tcBorders>
              <w:top w:val="single" w:sz="12" w:space="0" w:color="auto"/>
            </w:tcBorders>
            <w:shd w:val="clear" w:color="auto" w:fill="auto"/>
            <w:noWrap/>
            <w:hideMark/>
          </w:tcPr>
          <w:p w14:paraId="71841A13"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top w:val="single" w:sz="12" w:space="0" w:color="auto"/>
              <w:right w:val="single" w:sz="12" w:space="0" w:color="auto"/>
            </w:tcBorders>
            <w:shd w:val="clear" w:color="auto" w:fill="auto"/>
            <w:noWrap/>
            <w:hideMark/>
          </w:tcPr>
          <w:p w14:paraId="73E934EC"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top w:val="single" w:sz="12" w:space="0" w:color="auto"/>
              <w:left w:val="single" w:sz="12" w:space="0" w:color="auto"/>
            </w:tcBorders>
            <w:shd w:val="clear" w:color="auto" w:fill="auto"/>
            <w:noWrap/>
            <w:hideMark/>
          </w:tcPr>
          <w:p w14:paraId="54A042D6"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3" w:type="dxa"/>
            <w:tcBorders>
              <w:top w:val="single" w:sz="12" w:space="0" w:color="auto"/>
            </w:tcBorders>
            <w:shd w:val="clear" w:color="auto" w:fill="auto"/>
            <w:noWrap/>
            <w:hideMark/>
          </w:tcPr>
          <w:p w14:paraId="2330E462"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top w:val="single" w:sz="12" w:space="0" w:color="auto"/>
            </w:tcBorders>
            <w:shd w:val="clear" w:color="auto" w:fill="auto"/>
            <w:noWrap/>
            <w:hideMark/>
          </w:tcPr>
          <w:p w14:paraId="25B658DF"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top w:val="single" w:sz="12" w:space="0" w:color="auto"/>
              <w:right w:val="single" w:sz="12" w:space="0" w:color="auto"/>
            </w:tcBorders>
            <w:shd w:val="clear" w:color="auto" w:fill="auto"/>
            <w:noWrap/>
            <w:hideMark/>
          </w:tcPr>
          <w:p w14:paraId="5F7C319C"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134" w:type="dxa"/>
            <w:tcBorders>
              <w:top w:val="single" w:sz="12" w:space="0" w:color="auto"/>
              <w:left w:val="single" w:sz="12" w:space="0" w:color="auto"/>
              <w:right w:val="single" w:sz="12" w:space="0" w:color="auto"/>
            </w:tcBorders>
            <w:shd w:val="clear" w:color="000000" w:fill="FFFF00"/>
            <w:noWrap/>
            <w:hideMark/>
          </w:tcPr>
          <w:p w14:paraId="3A881C4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r>
      <w:tr w:rsidR="007F35A9" w:rsidRPr="00F83F56" w14:paraId="740EAF51" w14:textId="77777777" w:rsidTr="00DB645A">
        <w:trPr>
          <w:trHeight w:val="288"/>
        </w:trPr>
        <w:tc>
          <w:tcPr>
            <w:tcW w:w="3246" w:type="dxa"/>
            <w:tcBorders>
              <w:left w:val="single" w:sz="12" w:space="0" w:color="auto"/>
              <w:bottom w:val="single" w:sz="12" w:space="0" w:color="auto"/>
              <w:right w:val="single" w:sz="12" w:space="0" w:color="auto"/>
            </w:tcBorders>
            <w:shd w:val="clear" w:color="auto" w:fill="auto"/>
            <w:noWrap/>
            <w:hideMark/>
          </w:tcPr>
          <w:p w14:paraId="341BBD72"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Westbourne</w:t>
            </w:r>
          </w:p>
        </w:tc>
        <w:tc>
          <w:tcPr>
            <w:tcW w:w="1559" w:type="dxa"/>
            <w:tcBorders>
              <w:left w:val="single" w:sz="12" w:space="0" w:color="auto"/>
              <w:bottom w:val="single" w:sz="12" w:space="0" w:color="auto"/>
            </w:tcBorders>
            <w:shd w:val="clear" w:color="auto" w:fill="auto"/>
            <w:noWrap/>
            <w:hideMark/>
          </w:tcPr>
          <w:p w14:paraId="273F815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994" w:type="dxa"/>
            <w:tcBorders>
              <w:bottom w:val="single" w:sz="12" w:space="0" w:color="auto"/>
            </w:tcBorders>
            <w:shd w:val="clear" w:color="auto" w:fill="auto"/>
            <w:noWrap/>
            <w:hideMark/>
          </w:tcPr>
          <w:p w14:paraId="4A512EDC"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bottom w:val="single" w:sz="12" w:space="0" w:color="auto"/>
              <w:right w:val="single" w:sz="12" w:space="0" w:color="auto"/>
            </w:tcBorders>
            <w:shd w:val="clear" w:color="auto" w:fill="auto"/>
            <w:noWrap/>
            <w:hideMark/>
          </w:tcPr>
          <w:p w14:paraId="277F825E"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bottom w:val="single" w:sz="12" w:space="0" w:color="auto"/>
            </w:tcBorders>
            <w:shd w:val="clear" w:color="auto" w:fill="auto"/>
            <w:noWrap/>
            <w:hideMark/>
          </w:tcPr>
          <w:p w14:paraId="61B91ED2"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3" w:type="dxa"/>
            <w:tcBorders>
              <w:bottom w:val="single" w:sz="12" w:space="0" w:color="auto"/>
            </w:tcBorders>
            <w:shd w:val="clear" w:color="auto" w:fill="auto"/>
            <w:noWrap/>
            <w:hideMark/>
          </w:tcPr>
          <w:p w14:paraId="15E053DB"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bottom w:val="single" w:sz="12" w:space="0" w:color="auto"/>
            </w:tcBorders>
            <w:shd w:val="clear" w:color="auto" w:fill="auto"/>
            <w:noWrap/>
            <w:hideMark/>
          </w:tcPr>
          <w:p w14:paraId="59FDABCF"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992" w:type="dxa"/>
            <w:tcBorders>
              <w:bottom w:val="single" w:sz="12" w:space="0" w:color="auto"/>
              <w:right w:val="single" w:sz="12" w:space="0" w:color="auto"/>
            </w:tcBorders>
            <w:shd w:val="clear" w:color="auto" w:fill="auto"/>
            <w:noWrap/>
            <w:hideMark/>
          </w:tcPr>
          <w:p w14:paraId="73B5075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c>
          <w:tcPr>
            <w:tcW w:w="1134" w:type="dxa"/>
            <w:tcBorders>
              <w:left w:val="single" w:sz="12" w:space="0" w:color="auto"/>
              <w:bottom w:val="single" w:sz="12" w:space="0" w:color="auto"/>
              <w:right w:val="single" w:sz="12" w:space="0" w:color="auto"/>
            </w:tcBorders>
            <w:shd w:val="clear" w:color="000000" w:fill="FFFF00"/>
            <w:noWrap/>
            <w:hideMark/>
          </w:tcPr>
          <w:p w14:paraId="02E70746"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w:t>
            </w:r>
          </w:p>
        </w:tc>
      </w:tr>
      <w:tr w:rsidR="007F35A9" w:rsidRPr="00F83F56" w14:paraId="36DCDD4F" w14:textId="77777777" w:rsidTr="00DB645A">
        <w:trPr>
          <w:trHeight w:val="288"/>
        </w:trPr>
        <w:tc>
          <w:tcPr>
            <w:tcW w:w="13178" w:type="dxa"/>
            <w:gridSpan w:val="8"/>
            <w:tcBorders>
              <w:top w:val="single" w:sz="12" w:space="0" w:color="auto"/>
              <w:left w:val="single" w:sz="12" w:space="0" w:color="auto"/>
              <w:bottom w:val="single" w:sz="12" w:space="0" w:color="auto"/>
              <w:right w:val="single" w:sz="12" w:space="0" w:color="auto"/>
            </w:tcBorders>
            <w:shd w:val="clear" w:color="auto" w:fill="auto"/>
            <w:noWrap/>
            <w:hideMark/>
          </w:tcPr>
          <w:p w14:paraId="72689AAE" w14:textId="77777777" w:rsidR="007F35A9" w:rsidRPr="00F83F56" w:rsidRDefault="007F35A9" w:rsidP="00DB645A">
            <w:pPr>
              <w:spacing w:after="0" w:line="240" w:lineRule="auto"/>
              <w:rPr>
                <w:rFonts w:ascii="Arial" w:eastAsia="Times New Roman" w:hAnsi="Arial" w:cs="Arial"/>
                <w:sz w:val="16"/>
                <w:szCs w:val="16"/>
                <w:lang w:eastAsia="en-GB"/>
              </w:rPr>
            </w:pPr>
            <w:r w:rsidRPr="00F83F56">
              <w:rPr>
                <w:rFonts w:ascii="Arial" w:eastAsia="Times New Roman" w:hAnsi="Arial" w:cs="Arial"/>
                <w:b/>
                <w:bCs/>
                <w:color w:val="000000"/>
                <w:sz w:val="16"/>
                <w:szCs w:val="16"/>
                <w:lang w:eastAsia="en-GB"/>
              </w:rPr>
              <w:t xml:space="preserve">Gypsy intensification sites: </w:t>
            </w: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3202F77A"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w:t>
            </w:r>
          </w:p>
        </w:tc>
      </w:tr>
      <w:tr w:rsidR="007F35A9" w:rsidRPr="00F83F56" w14:paraId="70E69DAA" w14:textId="77777777" w:rsidTr="00DB645A">
        <w:trPr>
          <w:trHeight w:val="288"/>
        </w:trPr>
        <w:tc>
          <w:tcPr>
            <w:tcW w:w="3246" w:type="dxa"/>
            <w:tcBorders>
              <w:top w:val="single" w:sz="12" w:space="0" w:color="auto"/>
              <w:left w:val="single" w:sz="12" w:space="0" w:color="auto"/>
              <w:right w:val="single" w:sz="12" w:space="0" w:color="auto"/>
            </w:tcBorders>
            <w:shd w:val="clear" w:color="auto" w:fill="auto"/>
            <w:noWrap/>
            <w:hideMark/>
          </w:tcPr>
          <w:p w14:paraId="5222FF4F"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xml:space="preserve">Tower View Nurseries, </w:t>
            </w:r>
            <w:proofErr w:type="spellStart"/>
            <w:r w:rsidRPr="00F83F56">
              <w:rPr>
                <w:rFonts w:ascii="Arial" w:eastAsia="Times New Roman" w:hAnsi="Arial" w:cs="Arial"/>
                <w:color w:val="000000"/>
                <w:sz w:val="16"/>
                <w:szCs w:val="16"/>
                <w:lang w:eastAsia="en-GB"/>
              </w:rPr>
              <w:t>Funtington</w:t>
            </w:r>
            <w:proofErr w:type="spellEnd"/>
          </w:p>
        </w:tc>
        <w:tc>
          <w:tcPr>
            <w:tcW w:w="1559" w:type="dxa"/>
            <w:tcBorders>
              <w:top w:val="single" w:sz="12" w:space="0" w:color="auto"/>
              <w:left w:val="single" w:sz="12" w:space="0" w:color="auto"/>
            </w:tcBorders>
            <w:shd w:val="clear" w:color="auto" w:fill="auto"/>
            <w:noWrap/>
            <w:hideMark/>
          </w:tcPr>
          <w:p w14:paraId="23A94AD9"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w:t>
            </w:r>
          </w:p>
        </w:tc>
        <w:tc>
          <w:tcPr>
            <w:tcW w:w="1994" w:type="dxa"/>
            <w:tcBorders>
              <w:top w:val="single" w:sz="12" w:space="0" w:color="auto"/>
            </w:tcBorders>
            <w:shd w:val="clear" w:color="auto" w:fill="auto"/>
            <w:noWrap/>
            <w:hideMark/>
          </w:tcPr>
          <w:p w14:paraId="30A935CF"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top w:val="single" w:sz="12" w:space="0" w:color="auto"/>
              <w:right w:val="single" w:sz="12" w:space="0" w:color="auto"/>
            </w:tcBorders>
            <w:shd w:val="clear" w:color="auto" w:fill="auto"/>
            <w:noWrap/>
            <w:hideMark/>
          </w:tcPr>
          <w:p w14:paraId="66820AE8"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top w:val="single" w:sz="12" w:space="0" w:color="auto"/>
              <w:left w:val="single" w:sz="12" w:space="0" w:color="auto"/>
            </w:tcBorders>
            <w:shd w:val="clear" w:color="auto" w:fill="auto"/>
            <w:noWrap/>
            <w:hideMark/>
          </w:tcPr>
          <w:p w14:paraId="25E955C7"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1.89</w:t>
            </w:r>
          </w:p>
        </w:tc>
        <w:tc>
          <w:tcPr>
            <w:tcW w:w="993" w:type="dxa"/>
            <w:tcBorders>
              <w:top w:val="single" w:sz="12" w:space="0" w:color="auto"/>
            </w:tcBorders>
            <w:shd w:val="clear" w:color="auto" w:fill="auto"/>
            <w:noWrap/>
            <w:hideMark/>
          </w:tcPr>
          <w:p w14:paraId="038C719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0.46</w:t>
            </w:r>
          </w:p>
        </w:tc>
        <w:tc>
          <w:tcPr>
            <w:tcW w:w="992" w:type="dxa"/>
            <w:tcBorders>
              <w:top w:val="single" w:sz="12" w:space="0" w:color="auto"/>
            </w:tcBorders>
            <w:shd w:val="clear" w:color="auto" w:fill="auto"/>
            <w:noWrap/>
            <w:hideMark/>
          </w:tcPr>
          <w:p w14:paraId="3DED529E"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0.46</w:t>
            </w:r>
          </w:p>
        </w:tc>
        <w:tc>
          <w:tcPr>
            <w:tcW w:w="992" w:type="dxa"/>
            <w:tcBorders>
              <w:top w:val="single" w:sz="12" w:space="0" w:color="auto"/>
              <w:right w:val="single" w:sz="12" w:space="0" w:color="auto"/>
            </w:tcBorders>
            <w:shd w:val="clear" w:color="auto" w:fill="auto"/>
            <w:noWrap/>
            <w:hideMark/>
          </w:tcPr>
          <w:p w14:paraId="54873ECE"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1.89</w:t>
            </w:r>
          </w:p>
        </w:tc>
        <w:tc>
          <w:tcPr>
            <w:tcW w:w="1134" w:type="dxa"/>
            <w:tcBorders>
              <w:top w:val="single" w:sz="12" w:space="0" w:color="auto"/>
              <w:left w:val="single" w:sz="12" w:space="0" w:color="auto"/>
              <w:right w:val="single" w:sz="12" w:space="0" w:color="auto"/>
            </w:tcBorders>
            <w:shd w:val="clear" w:color="000000" w:fill="FFFF00"/>
            <w:noWrap/>
            <w:hideMark/>
          </w:tcPr>
          <w:p w14:paraId="638142A5"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2.27</w:t>
            </w:r>
          </w:p>
        </w:tc>
      </w:tr>
      <w:tr w:rsidR="007F35A9" w:rsidRPr="00F83F56" w14:paraId="51C7CAC4" w14:textId="77777777" w:rsidTr="00DB645A">
        <w:trPr>
          <w:trHeight w:val="288"/>
        </w:trPr>
        <w:tc>
          <w:tcPr>
            <w:tcW w:w="3246" w:type="dxa"/>
            <w:tcBorders>
              <w:left w:val="single" w:sz="12" w:space="0" w:color="auto"/>
              <w:right w:val="single" w:sz="12" w:space="0" w:color="auto"/>
            </w:tcBorders>
            <w:shd w:val="clear" w:color="auto" w:fill="auto"/>
            <w:noWrap/>
            <w:hideMark/>
          </w:tcPr>
          <w:p w14:paraId="5A3B67E9"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Connors/Scant Road East</w:t>
            </w:r>
          </w:p>
        </w:tc>
        <w:tc>
          <w:tcPr>
            <w:tcW w:w="1559" w:type="dxa"/>
            <w:tcBorders>
              <w:left w:val="single" w:sz="12" w:space="0" w:color="auto"/>
            </w:tcBorders>
            <w:shd w:val="clear" w:color="auto" w:fill="auto"/>
            <w:noWrap/>
            <w:hideMark/>
          </w:tcPr>
          <w:p w14:paraId="340E37E0"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w:t>
            </w:r>
          </w:p>
        </w:tc>
        <w:tc>
          <w:tcPr>
            <w:tcW w:w="1994" w:type="dxa"/>
            <w:shd w:val="clear" w:color="auto" w:fill="auto"/>
            <w:noWrap/>
            <w:hideMark/>
          </w:tcPr>
          <w:p w14:paraId="20826B3D"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right w:val="single" w:sz="12" w:space="0" w:color="auto"/>
            </w:tcBorders>
            <w:shd w:val="clear" w:color="auto" w:fill="auto"/>
            <w:noWrap/>
            <w:hideMark/>
          </w:tcPr>
          <w:p w14:paraId="4658B4FD"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tcBorders>
            <w:shd w:val="clear" w:color="auto" w:fill="auto"/>
            <w:noWrap/>
            <w:hideMark/>
          </w:tcPr>
          <w:p w14:paraId="54241FBB"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1.89</w:t>
            </w:r>
          </w:p>
        </w:tc>
        <w:tc>
          <w:tcPr>
            <w:tcW w:w="993" w:type="dxa"/>
            <w:shd w:val="clear" w:color="auto" w:fill="auto"/>
            <w:noWrap/>
            <w:hideMark/>
          </w:tcPr>
          <w:p w14:paraId="08E23043"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0.456</w:t>
            </w:r>
          </w:p>
        </w:tc>
        <w:tc>
          <w:tcPr>
            <w:tcW w:w="992" w:type="dxa"/>
            <w:shd w:val="clear" w:color="auto" w:fill="auto"/>
            <w:noWrap/>
            <w:hideMark/>
          </w:tcPr>
          <w:p w14:paraId="68624052"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0.46</w:t>
            </w:r>
          </w:p>
        </w:tc>
        <w:tc>
          <w:tcPr>
            <w:tcW w:w="992" w:type="dxa"/>
            <w:tcBorders>
              <w:right w:val="single" w:sz="12" w:space="0" w:color="auto"/>
            </w:tcBorders>
            <w:shd w:val="clear" w:color="auto" w:fill="auto"/>
            <w:noWrap/>
            <w:hideMark/>
          </w:tcPr>
          <w:p w14:paraId="1C4A7CA8"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1.894</w:t>
            </w:r>
          </w:p>
        </w:tc>
        <w:tc>
          <w:tcPr>
            <w:tcW w:w="1134" w:type="dxa"/>
            <w:tcBorders>
              <w:left w:val="single" w:sz="12" w:space="0" w:color="auto"/>
              <w:right w:val="single" w:sz="12" w:space="0" w:color="auto"/>
            </w:tcBorders>
            <w:shd w:val="clear" w:color="000000" w:fill="FFFF00"/>
            <w:noWrap/>
            <w:hideMark/>
          </w:tcPr>
          <w:p w14:paraId="709CFDF6"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2.27</w:t>
            </w:r>
          </w:p>
        </w:tc>
      </w:tr>
      <w:tr w:rsidR="007F35A9" w:rsidRPr="00F83F56" w14:paraId="1AF6F163" w14:textId="77777777" w:rsidTr="00DB645A">
        <w:trPr>
          <w:trHeight w:val="300"/>
        </w:trPr>
        <w:tc>
          <w:tcPr>
            <w:tcW w:w="3246" w:type="dxa"/>
            <w:tcBorders>
              <w:left w:val="single" w:sz="12" w:space="0" w:color="auto"/>
              <w:right w:val="single" w:sz="12" w:space="0" w:color="auto"/>
            </w:tcBorders>
            <w:shd w:val="clear" w:color="auto" w:fill="auto"/>
            <w:noWrap/>
            <w:hideMark/>
          </w:tcPr>
          <w:p w14:paraId="78BA998A"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lastRenderedPageBreak/>
              <w:t>Sunrise, Southbourne</w:t>
            </w:r>
          </w:p>
        </w:tc>
        <w:tc>
          <w:tcPr>
            <w:tcW w:w="1559" w:type="dxa"/>
            <w:tcBorders>
              <w:left w:val="single" w:sz="12" w:space="0" w:color="auto"/>
            </w:tcBorders>
            <w:shd w:val="clear" w:color="auto" w:fill="auto"/>
            <w:noWrap/>
            <w:hideMark/>
          </w:tcPr>
          <w:p w14:paraId="29A14942"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w:t>
            </w:r>
          </w:p>
        </w:tc>
        <w:tc>
          <w:tcPr>
            <w:tcW w:w="1994" w:type="dxa"/>
            <w:shd w:val="clear" w:color="auto" w:fill="auto"/>
            <w:noWrap/>
            <w:hideMark/>
          </w:tcPr>
          <w:p w14:paraId="2B8421D9"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right w:val="single" w:sz="12" w:space="0" w:color="auto"/>
            </w:tcBorders>
            <w:shd w:val="clear" w:color="auto" w:fill="auto"/>
            <w:noWrap/>
            <w:hideMark/>
          </w:tcPr>
          <w:p w14:paraId="07135681"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tcBorders>
            <w:shd w:val="clear" w:color="auto" w:fill="auto"/>
            <w:noWrap/>
            <w:hideMark/>
          </w:tcPr>
          <w:p w14:paraId="0BEA5015"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1.89</w:t>
            </w:r>
          </w:p>
        </w:tc>
        <w:tc>
          <w:tcPr>
            <w:tcW w:w="993" w:type="dxa"/>
            <w:shd w:val="clear" w:color="auto" w:fill="auto"/>
            <w:noWrap/>
            <w:hideMark/>
          </w:tcPr>
          <w:p w14:paraId="370EF877"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0.43</w:t>
            </w:r>
          </w:p>
        </w:tc>
        <w:tc>
          <w:tcPr>
            <w:tcW w:w="992" w:type="dxa"/>
            <w:shd w:val="clear" w:color="auto" w:fill="auto"/>
            <w:noWrap/>
            <w:hideMark/>
          </w:tcPr>
          <w:p w14:paraId="545EC7F8"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0.43</w:t>
            </w:r>
          </w:p>
        </w:tc>
        <w:tc>
          <w:tcPr>
            <w:tcW w:w="992" w:type="dxa"/>
            <w:tcBorders>
              <w:right w:val="single" w:sz="12" w:space="0" w:color="auto"/>
            </w:tcBorders>
            <w:shd w:val="clear" w:color="auto" w:fill="auto"/>
            <w:noWrap/>
            <w:hideMark/>
          </w:tcPr>
          <w:p w14:paraId="532A4DA8"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1.89</w:t>
            </w:r>
          </w:p>
        </w:tc>
        <w:tc>
          <w:tcPr>
            <w:tcW w:w="1134" w:type="dxa"/>
            <w:tcBorders>
              <w:left w:val="single" w:sz="12" w:space="0" w:color="auto"/>
              <w:right w:val="single" w:sz="12" w:space="0" w:color="auto"/>
            </w:tcBorders>
            <w:shd w:val="clear" w:color="000000" w:fill="FFFF00"/>
            <w:noWrap/>
            <w:hideMark/>
          </w:tcPr>
          <w:p w14:paraId="18F21AB3"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2.27</w:t>
            </w:r>
          </w:p>
        </w:tc>
      </w:tr>
      <w:tr w:rsidR="007F35A9" w:rsidRPr="00F83F56" w14:paraId="1B48CABD" w14:textId="77777777" w:rsidTr="00DB645A">
        <w:trPr>
          <w:trHeight w:val="288"/>
        </w:trPr>
        <w:tc>
          <w:tcPr>
            <w:tcW w:w="3246" w:type="dxa"/>
            <w:tcBorders>
              <w:left w:val="single" w:sz="12" w:space="0" w:color="auto"/>
              <w:right w:val="single" w:sz="12" w:space="0" w:color="auto"/>
            </w:tcBorders>
            <w:shd w:val="clear" w:color="auto" w:fill="auto"/>
            <w:hideMark/>
          </w:tcPr>
          <w:p w14:paraId="0E972AD3"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Greenacre, Cemetery Lane, Westbourne</w:t>
            </w:r>
          </w:p>
        </w:tc>
        <w:tc>
          <w:tcPr>
            <w:tcW w:w="1559" w:type="dxa"/>
            <w:tcBorders>
              <w:left w:val="single" w:sz="12" w:space="0" w:color="auto"/>
            </w:tcBorders>
            <w:shd w:val="clear" w:color="auto" w:fill="auto"/>
            <w:noWrap/>
            <w:hideMark/>
          </w:tcPr>
          <w:p w14:paraId="58529B8B"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4</w:t>
            </w:r>
          </w:p>
        </w:tc>
        <w:tc>
          <w:tcPr>
            <w:tcW w:w="1994" w:type="dxa"/>
            <w:shd w:val="clear" w:color="auto" w:fill="auto"/>
            <w:noWrap/>
            <w:hideMark/>
          </w:tcPr>
          <w:p w14:paraId="74261ADB"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right w:val="single" w:sz="12" w:space="0" w:color="auto"/>
            </w:tcBorders>
            <w:shd w:val="clear" w:color="auto" w:fill="auto"/>
            <w:noWrap/>
            <w:hideMark/>
          </w:tcPr>
          <w:p w14:paraId="74E12AF5"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tcBorders>
            <w:shd w:val="clear" w:color="auto" w:fill="auto"/>
            <w:noWrap/>
            <w:hideMark/>
          </w:tcPr>
          <w:p w14:paraId="7D39EC51"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7.57</w:t>
            </w:r>
          </w:p>
        </w:tc>
        <w:tc>
          <w:tcPr>
            <w:tcW w:w="993" w:type="dxa"/>
            <w:shd w:val="clear" w:color="auto" w:fill="auto"/>
            <w:noWrap/>
            <w:hideMark/>
          </w:tcPr>
          <w:p w14:paraId="322BCE3F"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1.85</w:t>
            </w:r>
          </w:p>
        </w:tc>
        <w:tc>
          <w:tcPr>
            <w:tcW w:w="992" w:type="dxa"/>
            <w:shd w:val="clear" w:color="auto" w:fill="auto"/>
            <w:noWrap/>
            <w:hideMark/>
          </w:tcPr>
          <w:p w14:paraId="5594133D"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1.85</w:t>
            </w:r>
          </w:p>
        </w:tc>
        <w:tc>
          <w:tcPr>
            <w:tcW w:w="992" w:type="dxa"/>
            <w:tcBorders>
              <w:right w:val="single" w:sz="12" w:space="0" w:color="auto"/>
            </w:tcBorders>
            <w:shd w:val="clear" w:color="auto" w:fill="auto"/>
            <w:noWrap/>
            <w:hideMark/>
          </w:tcPr>
          <w:p w14:paraId="2CB2E886"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7.57</w:t>
            </w:r>
          </w:p>
        </w:tc>
        <w:tc>
          <w:tcPr>
            <w:tcW w:w="1134" w:type="dxa"/>
            <w:tcBorders>
              <w:left w:val="single" w:sz="12" w:space="0" w:color="auto"/>
              <w:right w:val="single" w:sz="12" w:space="0" w:color="auto"/>
            </w:tcBorders>
            <w:shd w:val="clear" w:color="000000" w:fill="FFFF00"/>
            <w:noWrap/>
            <w:hideMark/>
          </w:tcPr>
          <w:p w14:paraId="668F1C97"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9.08</w:t>
            </w:r>
          </w:p>
        </w:tc>
      </w:tr>
      <w:tr w:rsidR="007F35A9" w:rsidRPr="00F83F56" w14:paraId="7A018E2F" w14:textId="77777777" w:rsidTr="00DB645A">
        <w:trPr>
          <w:trHeight w:val="288"/>
        </w:trPr>
        <w:tc>
          <w:tcPr>
            <w:tcW w:w="3246" w:type="dxa"/>
            <w:tcBorders>
              <w:left w:val="single" w:sz="12" w:space="0" w:color="auto"/>
              <w:bottom w:val="single" w:sz="12" w:space="0" w:color="auto"/>
              <w:right w:val="single" w:sz="12" w:space="0" w:color="auto"/>
            </w:tcBorders>
            <w:shd w:val="clear" w:color="auto" w:fill="auto"/>
            <w:noWrap/>
            <w:hideMark/>
          </w:tcPr>
          <w:p w14:paraId="52966E21"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1559" w:type="dxa"/>
            <w:tcBorders>
              <w:left w:val="single" w:sz="12" w:space="0" w:color="auto"/>
              <w:bottom w:val="single" w:sz="12" w:space="0" w:color="auto"/>
            </w:tcBorders>
            <w:shd w:val="clear" w:color="auto" w:fill="auto"/>
            <w:noWrap/>
            <w:hideMark/>
          </w:tcPr>
          <w:p w14:paraId="700BCE0A"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994" w:type="dxa"/>
            <w:tcBorders>
              <w:bottom w:val="single" w:sz="12" w:space="0" w:color="auto"/>
            </w:tcBorders>
            <w:shd w:val="clear" w:color="auto" w:fill="auto"/>
            <w:noWrap/>
            <w:hideMark/>
          </w:tcPr>
          <w:p w14:paraId="0FEC3E9C"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2117" w:type="dxa"/>
            <w:tcBorders>
              <w:bottom w:val="single" w:sz="12" w:space="0" w:color="auto"/>
              <w:right w:val="single" w:sz="12" w:space="0" w:color="auto"/>
            </w:tcBorders>
            <w:shd w:val="clear" w:color="auto" w:fill="auto"/>
            <w:noWrap/>
            <w:hideMark/>
          </w:tcPr>
          <w:p w14:paraId="752AAC94"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bottom w:val="single" w:sz="12" w:space="0" w:color="auto"/>
            </w:tcBorders>
            <w:shd w:val="clear" w:color="auto" w:fill="auto"/>
            <w:noWrap/>
            <w:hideMark/>
          </w:tcPr>
          <w:p w14:paraId="012B95AB"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3" w:type="dxa"/>
            <w:tcBorders>
              <w:bottom w:val="single" w:sz="12" w:space="0" w:color="auto"/>
            </w:tcBorders>
            <w:shd w:val="clear" w:color="auto" w:fill="auto"/>
            <w:noWrap/>
            <w:hideMark/>
          </w:tcPr>
          <w:p w14:paraId="001963D1"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bottom w:val="single" w:sz="12" w:space="0" w:color="auto"/>
            </w:tcBorders>
            <w:shd w:val="clear" w:color="auto" w:fill="auto"/>
            <w:noWrap/>
            <w:hideMark/>
          </w:tcPr>
          <w:p w14:paraId="69170039"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bottom w:val="single" w:sz="12" w:space="0" w:color="auto"/>
              <w:right w:val="single" w:sz="12" w:space="0" w:color="auto"/>
            </w:tcBorders>
            <w:shd w:val="clear" w:color="auto" w:fill="auto"/>
            <w:noWrap/>
            <w:hideMark/>
          </w:tcPr>
          <w:p w14:paraId="327071FF"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134" w:type="dxa"/>
            <w:tcBorders>
              <w:left w:val="single" w:sz="12" w:space="0" w:color="auto"/>
              <w:bottom w:val="single" w:sz="12" w:space="0" w:color="auto"/>
              <w:right w:val="single" w:sz="12" w:space="0" w:color="auto"/>
            </w:tcBorders>
            <w:shd w:val="clear" w:color="000000" w:fill="FFFF00"/>
            <w:noWrap/>
            <w:hideMark/>
          </w:tcPr>
          <w:p w14:paraId="1ED2047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w:t>
            </w:r>
          </w:p>
        </w:tc>
      </w:tr>
      <w:tr w:rsidR="007F35A9" w:rsidRPr="00F83F56" w14:paraId="744ED1D0" w14:textId="77777777" w:rsidTr="00DB645A">
        <w:trPr>
          <w:trHeight w:val="450"/>
        </w:trPr>
        <w:tc>
          <w:tcPr>
            <w:tcW w:w="3246" w:type="dxa"/>
            <w:tcBorders>
              <w:top w:val="single" w:sz="12" w:space="0" w:color="auto"/>
              <w:left w:val="single" w:sz="12" w:space="0" w:color="auto"/>
              <w:bottom w:val="single" w:sz="12" w:space="0" w:color="auto"/>
              <w:right w:val="single" w:sz="12" w:space="0" w:color="auto"/>
            </w:tcBorders>
            <w:shd w:val="clear" w:color="auto" w:fill="auto"/>
            <w:hideMark/>
          </w:tcPr>
          <w:p w14:paraId="28B89C2F"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xml:space="preserve">Total no. of strategic dwellings planned to </w:t>
            </w:r>
            <w:proofErr w:type="gramStart"/>
            <w:r w:rsidRPr="00F83F56">
              <w:rPr>
                <w:rFonts w:ascii="Arial" w:eastAsia="Times New Roman" w:hAnsi="Arial" w:cs="Arial"/>
                <w:color w:val="000000"/>
                <w:sz w:val="16"/>
                <w:szCs w:val="16"/>
                <w:lang w:eastAsia="en-GB"/>
              </w:rPr>
              <w:t>discharged</w:t>
            </w:r>
            <w:proofErr w:type="gramEnd"/>
            <w:r w:rsidRPr="00F83F56">
              <w:rPr>
                <w:rFonts w:ascii="Arial" w:eastAsia="Times New Roman" w:hAnsi="Arial" w:cs="Arial"/>
                <w:color w:val="000000"/>
                <w:sz w:val="16"/>
                <w:szCs w:val="16"/>
                <w:lang w:eastAsia="en-GB"/>
              </w:rPr>
              <w:t xml:space="preserve"> into Chichester Harbour:</w:t>
            </w:r>
          </w:p>
        </w:tc>
        <w:tc>
          <w:tcPr>
            <w:tcW w:w="1559" w:type="dxa"/>
            <w:tcBorders>
              <w:top w:val="single" w:sz="12" w:space="0" w:color="auto"/>
              <w:left w:val="single" w:sz="12" w:space="0" w:color="auto"/>
              <w:bottom w:val="single" w:sz="12" w:space="0" w:color="auto"/>
            </w:tcBorders>
            <w:shd w:val="clear" w:color="auto" w:fill="auto"/>
            <w:noWrap/>
            <w:hideMark/>
          </w:tcPr>
          <w:p w14:paraId="4D4C7B55"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183</w:t>
            </w:r>
          </w:p>
        </w:tc>
        <w:tc>
          <w:tcPr>
            <w:tcW w:w="1994" w:type="dxa"/>
            <w:tcBorders>
              <w:top w:val="single" w:sz="12" w:space="0" w:color="auto"/>
              <w:bottom w:val="single" w:sz="12" w:space="0" w:color="auto"/>
            </w:tcBorders>
            <w:shd w:val="clear" w:color="auto" w:fill="auto"/>
            <w:noWrap/>
            <w:hideMark/>
          </w:tcPr>
          <w:p w14:paraId="0A2457EE"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2117" w:type="dxa"/>
            <w:tcBorders>
              <w:top w:val="single" w:sz="12" w:space="0" w:color="auto"/>
              <w:bottom w:val="single" w:sz="12" w:space="0" w:color="auto"/>
              <w:right w:val="single" w:sz="12" w:space="0" w:color="auto"/>
            </w:tcBorders>
            <w:shd w:val="clear" w:color="auto" w:fill="auto"/>
            <w:noWrap/>
            <w:hideMark/>
          </w:tcPr>
          <w:p w14:paraId="2F4DF617"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786</w:t>
            </w:r>
          </w:p>
        </w:tc>
        <w:tc>
          <w:tcPr>
            <w:tcW w:w="1285" w:type="dxa"/>
            <w:tcBorders>
              <w:top w:val="single" w:sz="12" w:space="0" w:color="auto"/>
              <w:left w:val="single" w:sz="12" w:space="0" w:color="auto"/>
              <w:bottom w:val="single" w:sz="12" w:space="0" w:color="auto"/>
            </w:tcBorders>
            <w:shd w:val="clear" w:color="auto" w:fill="auto"/>
            <w:noWrap/>
            <w:hideMark/>
          </w:tcPr>
          <w:p w14:paraId="5CE6A5C6"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993" w:type="dxa"/>
            <w:tcBorders>
              <w:top w:val="single" w:sz="12" w:space="0" w:color="auto"/>
              <w:bottom w:val="single" w:sz="12" w:space="0" w:color="auto"/>
            </w:tcBorders>
            <w:shd w:val="clear" w:color="auto" w:fill="auto"/>
            <w:noWrap/>
            <w:hideMark/>
          </w:tcPr>
          <w:p w14:paraId="17727978"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top w:val="single" w:sz="12" w:space="0" w:color="auto"/>
              <w:bottom w:val="single" w:sz="12" w:space="0" w:color="auto"/>
            </w:tcBorders>
            <w:shd w:val="clear" w:color="auto" w:fill="auto"/>
            <w:noWrap/>
            <w:hideMark/>
          </w:tcPr>
          <w:p w14:paraId="1DAAB096"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top w:val="single" w:sz="12" w:space="0" w:color="auto"/>
              <w:bottom w:val="single" w:sz="12" w:space="0" w:color="auto"/>
              <w:right w:val="single" w:sz="12" w:space="0" w:color="auto"/>
            </w:tcBorders>
            <w:shd w:val="clear" w:color="auto" w:fill="auto"/>
            <w:noWrap/>
            <w:hideMark/>
          </w:tcPr>
          <w:p w14:paraId="3845229D"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4F4DBCBF"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w:t>
            </w:r>
          </w:p>
        </w:tc>
      </w:tr>
      <w:tr w:rsidR="007F35A9" w:rsidRPr="00F83F56" w14:paraId="4730D26F" w14:textId="77777777" w:rsidTr="00DB645A">
        <w:trPr>
          <w:trHeight w:val="288"/>
        </w:trPr>
        <w:tc>
          <w:tcPr>
            <w:tcW w:w="3246" w:type="dxa"/>
            <w:tcBorders>
              <w:top w:val="single" w:sz="12" w:space="0" w:color="auto"/>
              <w:left w:val="single" w:sz="12" w:space="0" w:color="auto"/>
              <w:bottom w:val="single" w:sz="12" w:space="0" w:color="auto"/>
              <w:right w:val="single" w:sz="12" w:space="0" w:color="auto"/>
            </w:tcBorders>
            <w:shd w:val="clear" w:color="auto" w:fill="auto"/>
            <w:noWrap/>
            <w:hideMark/>
          </w:tcPr>
          <w:p w14:paraId="0ED3FE05" w14:textId="77777777" w:rsidR="007F35A9" w:rsidRPr="00F83F56" w:rsidRDefault="007F35A9" w:rsidP="00DB645A">
            <w:pPr>
              <w:spacing w:after="0" w:line="240" w:lineRule="auto"/>
              <w:rPr>
                <w:rFonts w:ascii="Arial" w:eastAsia="Times New Roman" w:hAnsi="Arial" w:cs="Arial"/>
                <w:color w:val="000000"/>
                <w:sz w:val="16"/>
                <w:szCs w:val="16"/>
                <w:lang w:eastAsia="en-GB"/>
              </w:rPr>
            </w:pPr>
          </w:p>
        </w:tc>
        <w:tc>
          <w:tcPr>
            <w:tcW w:w="1559" w:type="dxa"/>
            <w:tcBorders>
              <w:top w:val="single" w:sz="12" w:space="0" w:color="auto"/>
              <w:left w:val="single" w:sz="12" w:space="0" w:color="auto"/>
              <w:bottom w:val="single" w:sz="12" w:space="0" w:color="auto"/>
            </w:tcBorders>
            <w:shd w:val="clear" w:color="auto" w:fill="auto"/>
            <w:noWrap/>
            <w:hideMark/>
          </w:tcPr>
          <w:p w14:paraId="75C4B731"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994" w:type="dxa"/>
            <w:tcBorders>
              <w:top w:val="single" w:sz="12" w:space="0" w:color="auto"/>
              <w:bottom w:val="single" w:sz="12" w:space="0" w:color="auto"/>
            </w:tcBorders>
            <w:shd w:val="clear" w:color="auto" w:fill="auto"/>
            <w:noWrap/>
            <w:hideMark/>
          </w:tcPr>
          <w:p w14:paraId="16B4C78B"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2117" w:type="dxa"/>
            <w:tcBorders>
              <w:top w:val="single" w:sz="12" w:space="0" w:color="auto"/>
              <w:bottom w:val="single" w:sz="12" w:space="0" w:color="auto"/>
              <w:right w:val="single" w:sz="12" w:space="0" w:color="auto"/>
            </w:tcBorders>
            <w:shd w:val="clear" w:color="auto" w:fill="auto"/>
            <w:noWrap/>
            <w:hideMark/>
          </w:tcPr>
          <w:p w14:paraId="3057D2F9"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top w:val="single" w:sz="12" w:space="0" w:color="auto"/>
              <w:left w:val="single" w:sz="12" w:space="0" w:color="auto"/>
              <w:bottom w:val="single" w:sz="12" w:space="0" w:color="auto"/>
            </w:tcBorders>
            <w:shd w:val="clear" w:color="auto" w:fill="auto"/>
            <w:noWrap/>
            <w:hideMark/>
          </w:tcPr>
          <w:p w14:paraId="34456C21"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3" w:type="dxa"/>
            <w:tcBorders>
              <w:top w:val="single" w:sz="12" w:space="0" w:color="auto"/>
              <w:bottom w:val="single" w:sz="12" w:space="0" w:color="auto"/>
            </w:tcBorders>
            <w:shd w:val="clear" w:color="auto" w:fill="auto"/>
            <w:noWrap/>
            <w:hideMark/>
          </w:tcPr>
          <w:p w14:paraId="66520760"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top w:val="single" w:sz="12" w:space="0" w:color="auto"/>
              <w:bottom w:val="single" w:sz="12" w:space="0" w:color="auto"/>
            </w:tcBorders>
            <w:shd w:val="clear" w:color="auto" w:fill="auto"/>
            <w:noWrap/>
            <w:hideMark/>
          </w:tcPr>
          <w:p w14:paraId="73F1E276"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top w:val="single" w:sz="12" w:space="0" w:color="auto"/>
              <w:bottom w:val="single" w:sz="12" w:space="0" w:color="auto"/>
              <w:right w:val="single" w:sz="12" w:space="0" w:color="auto"/>
            </w:tcBorders>
            <w:shd w:val="clear" w:color="auto" w:fill="auto"/>
            <w:noWrap/>
            <w:hideMark/>
          </w:tcPr>
          <w:p w14:paraId="2189BAFC"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3BD7219A"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w:t>
            </w:r>
          </w:p>
        </w:tc>
      </w:tr>
      <w:tr w:rsidR="007F35A9" w:rsidRPr="00F83F56" w14:paraId="4BCD2370" w14:textId="77777777" w:rsidTr="00DB645A">
        <w:trPr>
          <w:trHeight w:val="288"/>
        </w:trPr>
        <w:tc>
          <w:tcPr>
            <w:tcW w:w="3246" w:type="dxa"/>
            <w:tcBorders>
              <w:top w:val="single" w:sz="12" w:space="0" w:color="auto"/>
              <w:left w:val="single" w:sz="12" w:space="0" w:color="auto"/>
              <w:bottom w:val="single" w:sz="12" w:space="0" w:color="auto"/>
              <w:right w:val="single" w:sz="12" w:space="0" w:color="auto"/>
            </w:tcBorders>
            <w:shd w:val="clear" w:color="000000" w:fill="FFFF00"/>
            <w:noWrap/>
            <w:hideMark/>
          </w:tcPr>
          <w:p w14:paraId="3705BCB9"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TOTAL Nitrogen Budget (Kg/N/</w:t>
            </w:r>
            <w:proofErr w:type="spellStart"/>
            <w:r w:rsidRPr="00F83F56">
              <w:rPr>
                <w:rFonts w:ascii="Arial" w:eastAsia="Times New Roman" w:hAnsi="Arial" w:cs="Arial"/>
                <w:b/>
                <w:bCs/>
                <w:color w:val="000000"/>
                <w:sz w:val="16"/>
                <w:szCs w:val="16"/>
                <w:lang w:eastAsia="en-GB"/>
              </w:rPr>
              <w:t>Yr</w:t>
            </w:r>
            <w:proofErr w:type="spellEnd"/>
            <w:r w:rsidRPr="00F83F56">
              <w:rPr>
                <w:rFonts w:ascii="Arial" w:eastAsia="Times New Roman" w:hAnsi="Arial" w:cs="Arial"/>
                <w:b/>
                <w:bCs/>
                <w:color w:val="000000"/>
                <w:sz w:val="16"/>
                <w:szCs w:val="16"/>
                <w:lang w:eastAsia="en-GB"/>
              </w:rPr>
              <w:t>)</w:t>
            </w:r>
          </w:p>
        </w:tc>
        <w:tc>
          <w:tcPr>
            <w:tcW w:w="1559" w:type="dxa"/>
            <w:tcBorders>
              <w:top w:val="single" w:sz="12" w:space="0" w:color="auto"/>
              <w:left w:val="single" w:sz="12" w:space="0" w:color="auto"/>
              <w:bottom w:val="single" w:sz="12" w:space="0" w:color="auto"/>
            </w:tcBorders>
            <w:shd w:val="clear" w:color="000000" w:fill="FFFF00"/>
            <w:noWrap/>
            <w:hideMark/>
          </w:tcPr>
          <w:p w14:paraId="7225DB39"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1994" w:type="dxa"/>
            <w:tcBorders>
              <w:top w:val="single" w:sz="12" w:space="0" w:color="auto"/>
              <w:bottom w:val="single" w:sz="12" w:space="0" w:color="auto"/>
            </w:tcBorders>
            <w:shd w:val="clear" w:color="000000" w:fill="FFFF00"/>
            <w:noWrap/>
            <w:hideMark/>
          </w:tcPr>
          <w:p w14:paraId="315807A1"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2117" w:type="dxa"/>
            <w:tcBorders>
              <w:top w:val="single" w:sz="12" w:space="0" w:color="auto"/>
              <w:bottom w:val="single" w:sz="12" w:space="0" w:color="auto"/>
              <w:right w:val="single" w:sz="12" w:space="0" w:color="auto"/>
            </w:tcBorders>
            <w:shd w:val="clear" w:color="000000" w:fill="FFFF00"/>
            <w:noWrap/>
            <w:hideMark/>
          </w:tcPr>
          <w:p w14:paraId="192970F3"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1285" w:type="dxa"/>
            <w:tcBorders>
              <w:top w:val="single" w:sz="12" w:space="0" w:color="auto"/>
              <w:left w:val="single" w:sz="12" w:space="0" w:color="auto"/>
              <w:bottom w:val="single" w:sz="12" w:space="0" w:color="auto"/>
            </w:tcBorders>
            <w:shd w:val="clear" w:color="000000" w:fill="FFFF00"/>
            <w:noWrap/>
            <w:hideMark/>
          </w:tcPr>
          <w:p w14:paraId="65DEDC5D"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993" w:type="dxa"/>
            <w:tcBorders>
              <w:top w:val="single" w:sz="12" w:space="0" w:color="auto"/>
              <w:bottom w:val="single" w:sz="12" w:space="0" w:color="auto"/>
            </w:tcBorders>
            <w:shd w:val="clear" w:color="000000" w:fill="FFFF00"/>
            <w:noWrap/>
            <w:hideMark/>
          </w:tcPr>
          <w:p w14:paraId="31B8BD91"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992" w:type="dxa"/>
            <w:tcBorders>
              <w:top w:val="single" w:sz="12" w:space="0" w:color="auto"/>
              <w:bottom w:val="single" w:sz="12" w:space="0" w:color="auto"/>
            </w:tcBorders>
            <w:shd w:val="clear" w:color="000000" w:fill="FFFF00"/>
            <w:noWrap/>
            <w:hideMark/>
          </w:tcPr>
          <w:p w14:paraId="174D3F17"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992" w:type="dxa"/>
            <w:tcBorders>
              <w:top w:val="single" w:sz="12" w:space="0" w:color="auto"/>
              <w:bottom w:val="single" w:sz="12" w:space="0" w:color="auto"/>
              <w:right w:val="single" w:sz="12" w:space="0" w:color="auto"/>
            </w:tcBorders>
            <w:shd w:val="clear" w:color="000000" w:fill="FFFF00"/>
            <w:noWrap/>
            <w:hideMark/>
          </w:tcPr>
          <w:p w14:paraId="097A1FEA"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1134" w:type="dxa"/>
            <w:tcBorders>
              <w:top w:val="single" w:sz="12" w:space="0" w:color="auto"/>
              <w:left w:val="single" w:sz="12" w:space="0" w:color="auto"/>
              <w:bottom w:val="single" w:sz="12" w:space="0" w:color="auto"/>
              <w:right w:val="single" w:sz="12" w:space="0" w:color="auto"/>
            </w:tcBorders>
            <w:shd w:val="clear" w:color="000000" w:fill="FFFF00"/>
            <w:noWrap/>
            <w:hideMark/>
          </w:tcPr>
          <w:p w14:paraId="2D26FD38"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64.55</w:t>
            </w:r>
          </w:p>
        </w:tc>
      </w:tr>
      <w:tr w:rsidR="007F35A9" w:rsidRPr="00F83F56" w14:paraId="5803E524" w14:textId="77777777" w:rsidTr="00DB645A">
        <w:trPr>
          <w:trHeight w:val="288"/>
        </w:trPr>
        <w:tc>
          <w:tcPr>
            <w:tcW w:w="4805" w:type="dxa"/>
            <w:gridSpan w:val="2"/>
            <w:tcBorders>
              <w:top w:val="single" w:sz="12" w:space="0" w:color="auto"/>
              <w:left w:val="single" w:sz="12" w:space="0" w:color="auto"/>
              <w:bottom w:val="single" w:sz="12" w:space="0" w:color="auto"/>
            </w:tcBorders>
            <w:shd w:val="clear" w:color="000000" w:fill="FFFF00"/>
            <w:noWrap/>
            <w:hideMark/>
          </w:tcPr>
          <w:p w14:paraId="4232C248"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Nutrient Budget for Anticipated Windfall (general housing)</w:t>
            </w:r>
          </w:p>
        </w:tc>
        <w:tc>
          <w:tcPr>
            <w:tcW w:w="1994" w:type="dxa"/>
            <w:tcBorders>
              <w:top w:val="single" w:sz="12" w:space="0" w:color="auto"/>
              <w:bottom w:val="single" w:sz="12" w:space="0" w:color="auto"/>
            </w:tcBorders>
            <w:shd w:val="clear" w:color="000000" w:fill="FFFF00"/>
            <w:noWrap/>
            <w:hideMark/>
          </w:tcPr>
          <w:p w14:paraId="30541A7A"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w:t>
            </w:r>
          </w:p>
        </w:tc>
        <w:tc>
          <w:tcPr>
            <w:tcW w:w="2117" w:type="dxa"/>
            <w:tcBorders>
              <w:top w:val="single" w:sz="12" w:space="0" w:color="auto"/>
              <w:bottom w:val="single" w:sz="12" w:space="0" w:color="auto"/>
              <w:right w:val="single" w:sz="12" w:space="0" w:color="auto"/>
            </w:tcBorders>
            <w:shd w:val="clear" w:color="000000" w:fill="FFFF00"/>
            <w:noWrap/>
            <w:hideMark/>
          </w:tcPr>
          <w:p w14:paraId="25887764"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w:t>
            </w:r>
          </w:p>
        </w:tc>
        <w:tc>
          <w:tcPr>
            <w:tcW w:w="1285" w:type="dxa"/>
            <w:tcBorders>
              <w:top w:val="single" w:sz="12" w:space="0" w:color="auto"/>
              <w:left w:val="single" w:sz="12" w:space="0" w:color="auto"/>
              <w:bottom w:val="single" w:sz="12" w:space="0" w:color="auto"/>
            </w:tcBorders>
            <w:shd w:val="clear" w:color="000000" w:fill="FFFF00"/>
            <w:noWrap/>
            <w:hideMark/>
          </w:tcPr>
          <w:p w14:paraId="7F58EC39"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w:t>
            </w:r>
          </w:p>
        </w:tc>
        <w:tc>
          <w:tcPr>
            <w:tcW w:w="993" w:type="dxa"/>
            <w:tcBorders>
              <w:top w:val="single" w:sz="12" w:space="0" w:color="auto"/>
              <w:bottom w:val="single" w:sz="12" w:space="0" w:color="auto"/>
            </w:tcBorders>
            <w:shd w:val="clear" w:color="000000" w:fill="FFFF00"/>
            <w:noWrap/>
            <w:hideMark/>
          </w:tcPr>
          <w:p w14:paraId="116B500E"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w:t>
            </w:r>
          </w:p>
        </w:tc>
        <w:tc>
          <w:tcPr>
            <w:tcW w:w="992" w:type="dxa"/>
            <w:tcBorders>
              <w:top w:val="single" w:sz="12" w:space="0" w:color="auto"/>
              <w:bottom w:val="single" w:sz="12" w:space="0" w:color="auto"/>
            </w:tcBorders>
            <w:shd w:val="clear" w:color="000000" w:fill="FFFF00"/>
            <w:noWrap/>
            <w:hideMark/>
          </w:tcPr>
          <w:p w14:paraId="5CEADA9D" w14:textId="77777777" w:rsidR="007F35A9" w:rsidRPr="00F83F56" w:rsidRDefault="007F35A9" w:rsidP="00DB645A">
            <w:pPr>
              <w:spacing w:after="0" w:line="240" w:lineRule="auto"/>
              <w:rPr>
                <w:rFonts w:ascii="Arial" w:eastAsia="Times New Roman" w:hAnsi="Arial" w:cs="Arial"/>
                <w:color w:val="000000"/>
                <w:sz w:val="16"/>
                <w:szCs w:val="16"/>
                <w:lang w:eastAsia="en-GB"/>
              </w:rPr>
            </w:pPr>
            <w:r w:rsidRPr="00F83F56">
              <w:rPr>
                <w:rFonts w:ascii="Arial" w:eastAsia="Times New Roman" w:hAnsi="Arial" w:cs="Arial"/>
                <w:color w:val="000000"/>
                <w:sz w:val="16"/>
                <w:szCs w:val="16"/>
                <w:lang w:eastAsia="en-GB"/>
              </w:rPr>
              <w:t> </w:t>
            </w:r>
          </w:p>
        </w:tc>
        <w:tc>
          <w:tcPr>
            <w:tcW w:w="992" w:type="dxa"/>
            <w:tcBorders>
              <w:top w:val="single" w:sz="12" w:space="0" w:color="auto"/>
              <w:bottom w:val="single" w:sz="12" w:space="0" w:color="auto"/>
              <w:right w:val="single" w:sz="12" w:space="0" w:color="auto"/>
            </w:tcBorders>
            <w:shd w:val="clear" w:color="000000" w:fill="FFFF00"/>
            <w:noWrap/>
            <w:hideMark/>
          </w:tcPr>
          <w:p w14:paraId="38D19559"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1134" w:type="dxa"/>
            <w:tcBorders>
              <w:top w:val="single" w:sz="12" w:space="0" w:color="auto"/>
              <w:left w:val="single" w:sz="12" w:space="0" w:color="auto"/>
              <w:right w:val="single" w:sz="12" w:space="0" w:color="auto"/>
            </w:tcBorders>
            <w:shd w:val="clear" w:color="000000" w:fill="FFFF00"/>
            <w:noWrap/>
            <w:hideMark/>
          </w:tcPr>
          <w:p w14:paraId="5B5B48C7"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64.27</w:t>
            </w:r>
          </w:p>
        </w:tc>
      </w:tr>
      <w:tr w:rsidR="007F35A9" w:rsidRPr="00F83F56" w14:paraId="0242794A" w14:textId="77777777" w:rsidTr="00DB645A">
        <w:trPr>
          <w:trHeight w:val="288"/>
        </w:trPr>
        <w:tc>
          <w:tcPr>
            <w:tcW w:w="6799" w:type="dxa"/>
            <w:gridSpan w:val="3"/>
            <w:tcBorders>
              <w:top w:val="single" w:sz="12" w:space="0" w:color="auto"/>
              <w:left w:val="single" w:sz="12" w:space="0" w:color="auto"/>
              <w:bottom w:val="single" w:sz="12" w:space="0" w:color="auto"/>
            </w:tcBorders>
            <w:shd w:val="clear" w:color="000000" w:fill="FFFF00"/>
            <w:noWrap/>
            <w:hideMark/>
          </w:tcPr>
          <w:p w14:paraId="287A70AB"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xml:space="preserve">TOTAL Nutrient Budget for Anticipated Windfall (gypsy and traveller and travelling </w:t>
            </w:r>
            <w:proofErr w:type="spellStart"/>
            <w:r w:rsidRPr="00F83F56">
              <w:rPr>
                <w:rFonts w:ascii="Arial" w:eastAsia="Times New Roman" w:hAnsi="Arial" w:cs="Arial"/>
                <w:b/>
                <w:bCs/>
                <w:color w:val="000000"/>
                <w:sz w:val="16"/>
                <w:szCs w:val="16"/>
                <w:lang w:eastAsia="en-GB"/>
              </w:rPr>
              <w:t>showpeople</w:t>
            </w:r>
            <w:proofErr w:type="spellEnd"/>
            <w:r w:rsidRPr="00F83F56">
              <w:rPr>
                <w:rFonts w:ascii="Arial" w:eastAsia="Times New Roman" w:hAnsi="Arial" w:cs="Arial"/>
                <w:b/>
                <w:bCs/>
                <w:color w:val="000000"/>
                <w:sz w:val="16"/>
                <w:szCs w:val="16"/>
                <w:lang w:eastAsia="en-GB"/>
              </w:rPr>
              <w:t>)</w:t>
            </w:r>
          </w:p>
        </w:tc>
        <w:tc>
          <w:tcPr>
            <w:tcW w:w="2117" w:type="dxa"/>
            <w:tcBorders>
              <w:top w:val="single" w:sz="12" w:space="0" w:color="auto"/>
              <w:bottom w:val="single" w:sz="12" w:space="0" w:color="auto"/>
              <w:right w:val="single" w:sz="12" w:space="0" w:color="auto"/>
            </w:tcBorders>
            <w:shd w:val="clear" w:color="000000" w:fill="FFFF00"/>
            <w:noWrap/>
            <w:hideMark/>
          </w:tcPr>
          <w:p w14:paraId="7C411ABF"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1285" w:type="dxa"/>
            <w:tcBorders>
              <w:top w:val="single" w:sz="12" w:space="0" w:color="auto"/>
              <w:left w:val="single" w:sz="12" w:space="0" w:color="auto"/>
              <w:bottom w:val="single" w:sz="12" w:space="0" w:color="auto"/>
            </w:tcBorders>
            <w:shd w:val="clear" w:color="000000" w:fill="FFFF00"/>
            <w:noWrap/>
            <w:hideMark/>
          </w:tcPr>
          <w:p w14:paraId="68AC0E4A"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993" w:type="dxa"/>
            <w:tcBorders>
              <w:top w:val="single" w:sz="12" w:space="0" w:color="auto"/>
              <w:bottom w:val="single" w:sz="12" w:space="0" w:color="auto"/>
            </w:tcBorders>
            <w:shd w:val="clear" w:color="000000" w:fill="FFFF00"/>
            <w:noWrap/>
            <w:hideMark/>
          </w:tcPr>
          <w:p w14:paraId="2BAD254B"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992" w:type="dxa"/>
            <w:tcBorders>
              <w:top w:val="single" w:sz="12" w:space="0" w:color="auto"/>
              <w:bottom w:val="single" w:sz="12" w:space="0" w:color="auto"/>
            </w:tcBorders>
            <w:shd w:val="clear" w:color="000000" w:fill="FFFF00"/>
            <w:noWrap/>
            <w:hideMark/>
          </w:tcPr>
          <w:p w14:paraId="2C7C841E"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992" w:type="dxa"/>
            <w:tcBorders>
              <w:top w:val="single" w:sz="12" w:space="0" w:color="auto"/>
              <w:bottom w:val="single" w:sz="12" w:space="0" w:color="auto"/>
              <w:right w:val="single" w:sz="12" w:space="0" w:color="auto"/>
            </w:tcBorders>
            <w:shd w:val="clear" w:color="000000" w:fill="FFFF00"/>
            <w:noWrap/>
            <w:hideMark/>
          </w:tcPr>
          <w:p w14:paraId="3FE52C85"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c>
          <w:tcPr>
            <w:tcW w:w="1134" w:type="dxa"/>
            <w:tcBorders>
              <w:top w:val="single" w:sz="12" w:space="0" w:color="auto"/>
              <w:left w:val="single" w:sz="12" w:space="0" w:color="auto"/>
              <w:right w:val="single" w:sz="12" w:space="0" w:color="auto"/>
            </w:tcBorders>
            <w:shd w:val="clear" w:color="000000" w:fill="FFFF00"/>
            <w:noWrap/>
            <w:hideMark/>
          </w:tcPr>
          <w:p w14:paraId="55E9B7F1"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121.66</w:t>
            </w:r>
          </w:p>
        </w:tc>
      </w:tr>
      <w:tr w:rsidR="007F35A9" w:rsidRPr="00F83F56" w14:paraId="7586DAFD" w14:textId="77777777" w:rsidTr="00DB645A">
        <w:trPr>
          <w:trHeight w:val="288"/>
        </w:trPr>
        <w:tc>
          <w:tcPr>
            <w:tcW w:w="3246" w:type="dxa"/>
            <w:tcBorders>
              <w:top w:val="single" w:sz="12" w:space="0" w:color="auto"/>
              <w:left w:val="single" w:sz="12" w:space="0" w:color="auto"/>
              <w:right w:val="single" w:sz="12" w:space="0" w:color="auto"/>
            </w:tcBorders>
            <w:shd w:val="clear" w:color="auto" w:fill="auto"/>
            <w:noWrap/>
            <w:hideMark/>
          </w:tcPr>
          <w:p w14:paraId="4B33AC1A"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p>
        </w:tc>
        <w:tc>
          <w:tcPr>
            <w:tcW w:w="1559" w:type="dxa"/>
            <w:tcBorders>
              <w:top w:val="single" w:sz="12" w:space="0" w:color="auto"/>
              <w:left w:val="single" w:sz="12" w:space="0" w:color="auto"/>
            </w:tcBorders>
            <w:shd w:val="clear" w:color="auto" w:fill="auto"/>
            <w:noWrap/>
            <w:hideMark/>
          </w:tcPr>
          <w:p w14:paraId="185E3F56"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994" w:type="dxa"/>
            <w:tcBorders>
              <w:top w:val="single" w:sz="12" w:space="0" w:color="auto"/>
            </w:tcBorders>
            <w:shd w:val="clear" w:color="auto" w:fill="auto"/>
            <w:noWrap/>
            <w:hideMark/>
          </w:tcPr>
          <w:p w14:paraId="72B08135"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2117" w:type="dxa"/>
            <w:tcBorders>
              <w:top w:val="single" w:sz="12" w:space="0" w:color="auto"/>
              <w:right w:val="single" w:sz="12" w:space="0" w:color="auto"/>
            </w:tcBorders>
            <w:shd w:val="clear" w:color="auto" w:fill="auto"/>
            <w:noWrap/>
            <w:hideMark/>
          </w:tcPr>
          <w:p w14:paraId="7859CC94"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top w:val="single" w:sz="12" w:space="0" w:color="auto"/>
              <w:left w:val="single" w:sz="12" w:space="0" w:color="auto"/>
            </w:tcBorders>
            <w:shd w:val="clear" w:color="auto" w:fill="auto"/>
            <w:noWrap/>
            <w:hideMark/>
          </w:tcPr>
          <w:p w14:paraId="280A538F"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3" w:type="dxa"/>
            <w:tcBorders>
              <w:top w:val="single" w:sz="12" w:space="0" w:color="auto"/>
            </w:tcBorders>
            <w:shd w:val="clear" w:color="auto" w:fill="auto"/>
            <w:noWrap/>
            <w:hideMark/>
          </w:tcPr>
          <w:p w14:paraId="2F34704A"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top w:val="single" w:sz="12" w:space="0" w:color="auto"/>
            </w:tcBorders>
            <w:shd w:val="clear" w:color="auto" w:fill="auto"/>
            <w:noWrap/>
            <w:hideMark/>
          </w:tcPr>
          <w:p w14:paraId="09C48A79"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right w:val="single" w:sz="12" w:space="0" w:color="auto"/>
            </w:tcBorders>
            <w:shd w:val="clear" w:color="auto" w:fill="auto"/>
            <w:noWrap/>
            <w:hideMark/>
          </w:tcPr>
          <w:p w14:paraId="5400F14A"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134" w:type="dxa"/>
            <w:tcBorders>
              <w:left w:val="single" w:sz="12" w:space="0" w:color="auto"/>
              <w:right w:val="single" w:sz="12" w:space="0" w:color="auto"/>
            </w:tcBorders>
            <w:shd w:val="clear" w:color="000000" w:fill="FFFF00"/>
            <w:noWrap/>
            <w:hideMark/>
          </w:tcPr>
          <w:p w14:paraId="4335799A"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 </w:t>
            </w:r>
          </w:p>
        </w:tc>
      </w:tr>
      <w:tr w:rsidR="007F35A9" w:rsidRPr="00F83F56" w14:paraId="3470BD3C" w14:textId="77777777" w:rsidTr="00DB645A">
        <w:trPr>
          <w:trHeight w:val="288"/>
        </w:trPr>
        <w:tc>
          <w:tcPr>
            <w:tcW w:w="3246" w:type="dxa"/>
            <w:tcBorders>
              <w:left w:val="single" w:sz="12" w:space="0" w:color="auto"/>
              <w:bottom w:val="single" w:sz="12" w:space="0" w:color="auto"/>
              <w:right w:val="single" w:sz="12" w:space="0" w:color="auto"/>
            </w:tcBorders>
            <w:shd w:val="clear" w:color="auto" w:fill="auto"/>
            <w:noWrap/>
            <w:hideMark/>
          </w:tcPr>
          <w:p w14:paraId="518C1824"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p>
        </w:tc>
        <w:tc>
          <w:tcPr>
            <w:tcW w:w="1559" w:type="dxa"/>
            <w:tcBorders>
              <w:left w:val="single" w:sz="12" w:space="0" w:color="auto"/>
              <w:bottom w:val="single" w:sz="12" w:space="0" w:color="auto"/>
            </w:tcBorders>
            <w:shd w:val="clear" w:color="auto" w:fill="auto"/>
            <w:noWrap/>
            <w:hideMark/>
          </w:tcPr>
          <w:p w14:paraId="0686FD37"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994" w:type="dxa"/>
            <w:tcBorders>
              <w:bottom w:val="single" w:sz="12" w:space="0" w:color="auto"/>
            </w:tcBorders>
            <w:shd w:val="clear" w:color="auto" w:fill="auto"/>
            <w:noWrap/>
            <w:hideMark/>
          </w:tcPr>
          <w:p w14:paraId="03ACDC2F"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2117" w:type="dxa"/>
            <w:tcBorders>
              <w:bottom w:val="single" w:sz="12" w:space="0" w:color="auto"/>
              <w:right w:val="single" w:sz="12" w:space="0" w:color="auto"/>
            </w:tcBorders>
            <w:shd w:val="clear" w:color="auto" w:fill="auto"/>
            <w:noWrap/>
            <w:hideMark/>
          </w:tcPr>
          <w:p w14:paraId="1987A934"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1285" w:type="dxa"/>
            <w:tcBorders>
              <w:left w:val="single" w:sz="12" w:space="0" w:color="auto"/>
              <w:bottom w:val="single" w:sz="12" w:space="0" w:color="auto"/>
            </w:tcBorders>
            <w:shd w:val="clear" w:color="auto" w:fill="auto"/>
            <w:noWrap/>
            <w:hideMark/>
          </w:tcPr>
          <w:p w14:paraId="0472F73A"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3" w:type="dxa"/>
            <w:tcBorders>
              <w:bottom w:val="single" w:sz="12" w:space="0" w:color="auto"/>
            </w:tcBorders>
            <w:shd w:val="clear" w:color="auto" w:fill="auto"/>
            <w:noWrap/>
            <w:hideMark/>
          </w:tcPr>
          <w:p w14:paraId="49831C8C"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bottom w:val="single" w:sz="12" w:space="0" w:color="auto"/>
            </w:tcBorders>
            <w:shd w:val="clear" w:color="auto" w:fill="auto"/>
            <w:noWrap/>
            <w:hideMark/>
          </w:tcPr>
          <w:p w14:paraId="45EB14B4" w14:textId="77777777" w:rsidR="007F35A9" w:rsidRPr="00F83F56" w:rsidRDefault="007F35A9" w:rsidP="00DB645A">
            <w:pPr>
              <w:spacing w:after="0" w:line="240" w:lineRule="auto"/>
              <w:rPr>
                <w:rFonts w:ascii="Arial" w:eastAsia="Times New Roman" w:hAnsi="Arial" w:cs="Arial"/>
                <w:sz w:val="16"/>
                <w:szCs w:val="16"/>
                <w:lang w:eastAsia="en-GB"/>
              </w:rPr>
            </w:pPr>
          </w:p>
        </w:tc>
        <w:tc>
          <w:tcPr>
            <w:tcW w:w="992" w:type="dxa"/>
            <w:tcBorders>
              <w:bottom w:val="single" w:sz="12" w:space="0" w:color="auto"/>
              <w:right w:val="single" w:sz="12" w:space="0" w:color="auto"/>
            </w:tcBorders>
            <w:shd w:val="clear" w:color="000000" w:fill="FFFF00"/>
            <w:noWrap/>
            <w:hideMark/>
          </w:tcPr>
          <w:p w14:paraId="6686222B"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TOTAL:</w:t>
            </w:r>
          </w:p>
        </w:tc>
        <w:tc>
          <w:tcPr>
            <w:tcW w:w="1134" w:type="dxa"/>
            <w:tcBorders>
              <w:left w:val="single" w:sz="12" w:space="0" w:color="auto"/>
              <w:bottom w:val="single" w:sz="12" w:space="0" w:color="auto"/>
              <w:right w:val="single" w:sz="12" w:space="0" w:color="auto"/>
            </w:tcBorders>
            <w:shd w:val="clear" w:color="000000" w:fill="FFFF00"/>
            <w:noWrap/>
            <w:hideMark/>
          </w:tcPr>
          <w:p w14:paraId="42D9B139" w14:textId="77777777" w:rsidR="007F35A9" w:rsidRPr="00F83F56" w:rsidRDefault="007F35A9" w:rsidP="00DB645A">
            <w:pPr>
              <w:spacing w:after="0" w:line="240" w:lineRule="auto"/>
              <w:rPr>
                <w:rFonts w:ascii="Arial" w:eastAsia="Times New Roman" w:hAnsi="Arial" w:cs="Arial"/>
                <w:b/>
                <w:bCs/>
                <w:color w:val="000000"/>
                <w:sz w:val="16"/>
                <w:szCs w:val="16"/>
                <w:lang w:eastAsia="en-GB"/>
              </w:rPr>
            </w:pPr>
            <w:r w:rsidRPr="00F83F56">
              <w:rPr>
                <w:rFonts w:ascii="Arial" w:eastAsia="Times New Roman" w:hAnsi="Arial" w:cs="Arial"/>
                <w:b/>
                <w:bCs/>
                <w:color w:val="000000"/>
                <w:sz w:val="16"/>
                <w:szCs w:val="16"/>
                <w:lang w:eastAsia="en-GB"/>
              </w:rPr>
              <w:t>250.48</w:t>
            </w:r>
          </w:p>
        </w:tc>
      </w:tr>
    </w:tbl>
    <w:p w14:paraId="6919B252" w14:textId="671CE859" w:rsidR="009D6DEB" w:rsidRPr="00F84797" w:rsidRDefault="009D6DEB" w:rsidP="000E0371">
      <w:pPr>
        <w:spacing w:after="160" w:line="259" w:lineRule="auto"/>
        <w:rPr>
          <w:rFonts w:ascii="Arial" w:hAnsi="Arial" w:cs="Arial"/>
          <w:b/>
          <w:bCs/>
          <w:sz w:val="24"/>
          <w:szCs w:val="24"/>
        </w:rPr>
      </w:pPr>
    </w:p>
    <w:sectPr w:rsidR="009D6DEB" w:rsidRPr="00F84797" w:rsidSect="00D64ECF">
      <w:pgSz w:w="16838" w:h="11906" w:orient="landscape"/>
      <w:pgMar w:top="1134" w:right="1134" w:bottom="1134" w:left="1134"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C3D6" w14:textId="77777777" w:rsidR="004016F1" w:rsidRDefault="004016F1" w:rsidP="004016F1">
      <w:pPr>
        <w:spacing w:after="0" w:line="240" w:lineRule="auto"/>
      </w:pPr>
      <w:r>
        <w:separator/>
      </w:r>
    </w:p>
  </w:endnote>
  <w:endnote w:type="continuationSeparator" w:id="0">
    <w:p w14:paraId="0AB2D286" w14:textId="77777777" w:rsidR="004016F1" w:rsidRDefault="004016F1" w:rsidP="00401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883691"/>
      <w:docPartObj>
        <w:docPartGallery w:val="Page Numbers (Bottom of Page)"/>
        <w:docPartUnique/>
      </w:docPartObj>
    </w:sdtPr>
    <w:sdtEndPr>
      <w:rPr>
        <w:rFonts w:ascii="Arial" w:hAnsi="Arial" w:cs="Arial"/>
        <w:sz w:val="20"/>
        <w:szCs w:val="20"/>
      </w:rPr>
    </w:sdtEndPr>
    <w:sdtContent>
      <w:p w14:paraId="7FABB7D3" w14:textId="22984A28" w:rsidR="00B30455" w:rsidRPr="00B30455" w:rsidRDefault="00B30455">
        <w:pPr>
          <w:pStyle w:val="Footer"/>
          <w:jc w:val="right"/>
          <w:rPr>
            <w:rFonts w:ascii="Arial" w:hAnsi="Arial" w:cs="Arial"/>
            <w:sz w:val="20"/>
            <w:szCs w:val="20"/>
          </w:rPr>
        </w:pPr>
        <w:r w:rsidRPr="00B30455">
          <w:rPr>
            <w:rFonts w:ascii="Arial" w:hAnsi="Arial" w:cs="Arial"/>
            <w:sz w:val="20"/>
            <w:szCs w:val="20"/>
          </w:rPr>
          <w:fldChar w:fldCharType="begin"/>
        </w:r>
        <w:r w:rsidRPr="00B30455">
          <w:rPr>
            <w:rFonts w:ascii="Arial" w:hAnsi="Arial" w:cs="Arial"/>
            <w:sz w:val="20"/>
            <w:szCs w:val="20"/>
          </w:rPr>
          <w:instrText>PAGE   \* MERGEFORMAT</w:instrText>
        </w:r>
        <w:r w:rsidRPr="00B30455">
          <w:rPr>
            <w:rFonts w:ascii="Arial" w:hAnsi="Arial" w:cs="Arial"/>
            <w:sz w:val="20"/>
            <w:szCs w:val="20"/>
          </w:rPr>
          <w:fldChar w:fldCharType="separate"/>
        </w:r>
        <w:r w:rsidRPr="00B30455">
          <w:rPr>
            <w:rFonts w:ascii="Arial" w:hAnsi="Arial" w:cs="Arial"/>
            <w:sz w:val="20"/>
            <w:szCs w:val="20"/>
          </w:rPr>
          <w:t>2</w:t>
        </w:r>
        <w:r w:rsidRPr="00B30455">
          <w:rPr>
            <w:rFonts w:ascii="Arial" w:hAnsi="Arial" w:cs="Arial"/>
            <w:sz w:val="20"/>
            <w:szCs w:val="20"/>
          </w:rPr>
          <w:fldChar w:fldCharType="end"/>
        </w:r>
      </w:p>
    </w:sdtContent>
  </w:sdt>
  <w:p w14:paraId="4F0086FE" w14:textId="77777777" w:rsidR="004016F1" w:rsidRDefault="004016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487217"/>
      <w:docPartObj>
        <w:docPartGallery w:val="Page Numbers (Bottom of Page)"/>
        <w:docPartUnique/>
      </w:docPartObj>
    </w:sdtPr>
    <w:sdtEndPr>
      <w:rPr>
        <w:rFonts w:ascii="Arial" w:hAnsi="Arial" w:cs="Arial"/>
        <w:sz w:val="20"/>
        <w:szCs w:val="20"/>
      </w:rPr>
    </w:sdtEndPr>
    <w:sdtContent>
      <w:p w14:paraId="22A31E84" w14:textId="5E398FE4" w:rsidR="007F35A9" w:rsidRPr="007F35A9" w:rsidRDefault="007F35A9">
        <w:pPr>
          <w:pStyle w:val="Footer"/>
          <w:jc w:val="right"/>
          <w:rPr>
            <w:rFonts w:ascii="Arial" w:hAnsi="Arial" w:cs="Arial"/>
            <w:sz w:val="20"/>
            <w:szCs w:val="20"/>
          </w:rPr>
        </w:pPr>
        <w:r w:rsidRPr="007F35A9">
          <w:rPr>
            <w:rFonts w:ascii="Arial" w:hAnsi="Arial" w:cs="Arial"/>
            <w:sz w:val="20"/>
            <w:szCs w:val="20"/>
          </w:rPr>
          <w:fldChar w:fldCharType="begin"/>
        </w:r>
        <w:r w:rsidRPr="007F35A9">
          <w:rPr>
            <w:rFonts w:ascii="Arial" w:hAnsi="Arial" w:cs="Arial"/>
            <w:sz w:val="20"/>
            <w:szCs w:val="20"/>
          </w:rPr>
          <w:instrText>PAGE   \* MERGEFORMAT</w:instrText>
        </w:r>
        <w:r w:rsidRPr="007F35A9">
          <w:rPr>
            <w:rFonts w:ascii="Arial" w:hAnsi="Arial" w:cs="Arial"/>
            <w:sz w:val="20"/>
            <w:szCs w:val="20"/>
          </w:rPr>
          <w:fldChar w:fldCharType="separate"/>
        </w:r>
        <w:r w:rsidRPr="007F35A9">
          <w:rPr>
            <w:rFonts w:ascii="Arial" w:hAnsi="Arial" w:cs="Arial"/>
            <w:sz w:val="20"/>
            <w:szCs w:val="20"/>
          </w:rPr>
          <w:t>2</w:t>
        </w:r>
        <w:r w:rsidRPr="007F35A9">
          <w:rPr>
            <w:rFonts w:ascii="Arial" w:hAnsi="Arial" w:cs="Arial"/>
            <w:sz w:val="20"/>
            <w:szCs w:val="20"/>
          </w:rPr>
          <w:fldChar w:fldCharType="end"/>
        </w:r>
      </w:p>
    </w:sdtContent>
  </w:sdt>
  <w:p w14:paraId="28E6593D" w14:textId="77777777" w:rsidR="007F35A9" w:rsidRDefault="007F3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CCA1" w14:textId="77777777" w:rsidR="004016F1" w:rsidRDefault="004016F1" w:rsidP="004016F1">
      <w:pPr>
        <w:spacing w:after="0" w:line="240" w:lineRule="auto"/>
      </w:pPr>
      <w:r>
        <w:separator/>
      </w:r>
    </w:p>
  </w:footnote>
  <w:footnote w:type="continuationSeparator" w:id="0">
    <w:p w14:paraId="369D3F18" w14:textId="77777777" w:rsidR="004016F1" w:rsidRDefault="004016F1" w:rsidP="00401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F182" w14:textId="77777777" w:rsidR="00B30455" w:rsidRPr="00F6432B" w:rsidRDefault="00B30455" w:rsidP="00B30455">
    <w:pPr>
      <w:pStyle w:val="Header"/>
      <w:tabs>
        <w:tab w:val="clear" w:pos="4513"/>
        <w:tab w:val="clear" w:pos="9026"/>
        <w:tab w:val="right" w:pos="10170"/>
      </w:tabs>
      <w:jc w:val="right"/>
      <w:rPr>
        <w:rFonts w:ascii="Arial" w:hAnsi="Arial" w:cs="Arial"/>
        <w:sz w:val="20"/>
        <w:szCs w:val="20"/>
      </w:rPr>
    </w:pPr>
    <w:r w:rsidRPr="00F6432B">
      <w:rPr>
        <w:rFonts w:ascii="Arial" w:hAnsi="Arial" w:cs="Arial"/>
        <w:sz w:val="20"/>
        <w:szCs w:val="20"/>
      </w:rPr>
      <w:t>Chichester Local Plan 2021 – 2039</w:t>
    </w:r>
  </w:p>
  <w:p w14:paraId="7CF5EAFB" w14:textId="7682F544" w:rsidR="00B30455" w:rsidRPr="00F6432B" w:rsidRDefault="00B30455" w:rsidP="00B30455">
    <w:pPr>
      <w:pStyle w:val="Header"/>
      <w:pBdr>
        <w:bottom w:val="single" w:sz="6" w:space="1" w:color="auto"/>
      </w:pBdr>
      <w:tabs>
        <w:tab w:val="clear" w:pos="4513"/>
        <w:tab w:val="clear" w:pos="9026"/>
      </w:tabs>
      <w:jc w:val="right"/>
      <w:rPr>
        <w:sz w:val="20"/>
        <w:szCs w:val="20"/>
      </w:rPr>
    </w:pPr>
    <w:r w:rsidRPr="00F6432B">
      <w:rPr>
        <w:rFonts w:ascii="Arial" w:hAnsi="Arial" w:cs="Arial"/>
        <w:sz w:val="20"/>
        <w:szCs w:val="20"/>
      </w:rPr>
      <w:tab/>
    </w:r>
    <w:r>
      <w:rPr>
        <w:rFonts w:ascii="Arial" w:hAnsi="Arial" w:cs="Arial"/>
        <w:sz w:val="20"/>
        <w:szCs w:val="20"/>
      </w:rPr>
      <w:t xml:space="preserve">Nutrient Budget </w:t>
    </w:r>
    <w:r w:rsidRPr="00F6432B">
      <w:rPr>
        <w:rFonts w:ascii="Arial" w:hAnsi="Arial" w:cs="Arial"/>
        <w:sz w:val="20"/>
        <w:szCs w:val="20"/>
      </w:rPr>
      <w:t>Background Paper</w:t>
    </w:r>
  </w:p>
  <w:p w14:paraId="01448876" w14:textId="77777777" w:rsidR="00B30455" w:rsidRDefault="00B30455" w:rsidP="00B30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5A9"/>
    <w:multiLevelType w:val="multilevel"/>
    <w:tmpl w:val="81E6B49C"/>
    <w:lvl w:ilvl="0">
      <w:start w:val="1"/>
      <w:numFmt w:val="decimal"/>
      <w:lvlText w:val="%1."/>
      <w:lvlJc w:val="left"/>
      <w:pPr>
        <w:ind w:left="720" w:hanging="720"/>
      </w:pPr>
      <w:rPr>
        <w:rFonts w:ascii="Arial" w:eastAsiaTheme="minorHAnsi" w:hAnsi="Arial" w:cs="Arial"/>
        <w:b/>
        <w:bCs w:val="0"/>
        <w:color w:val="0073CF"/>
        <w:sz w:val="32"/>
        <w:szCs w:val="32"/>
      </w:rPr>
    </w:lvl>
    <w:lvl w:ilvl="1">
      <w:start w:val="1"/>
      <w:numFmt w:val="decimal"/>
      <w:isLgl/>
      <w:lvlText w:val="%1.%2"/>
      <w:lvlJc w:val="left"/>
      <w:pPr>
        <w:ind w:left="360" w:hanging="360"/>
      </w:pPr>
      <w:rPr>
        <w:rFonts w:ascii="Arial" w:hAnsi="Arial" w:cs="Arial" w:hint="default"/>
        <w:b w:val="0"/>
        <w:bCs/>
        <w:i w:val="0"/>
        <w:iCs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i w:val="0"/>
        <w:iCs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B5371D"/>
    <w:multiLevelType w:val="multilevel"/>
    <w:tmpl w:val="676E6ED4"/>
    <w:lvl w:ilvl="0">
      <w:start w:val="1"/>
      <w:numFmt w:val="decimal"/>
      <w:pStyle w:val="1Bodytext"/>
      <w:lvlText w:val="%1"/>
      <w:lvlJc w:val="left"/>
      <w:pPr>
        <w:tabs>
          <w:tab w:val="num" w:pos="794"/>
        </w:tabs>
        <w:ind w:left="794" w:hanging="794"/>
      </w:pPr>
      <w:rPr>
        <w:rFonts w:ascii="Arial" w:hAnsi="Arial" w:hint="default"/>
        <w:b/>
        <w:bCs/>
        <w:i w:val="0"/>
        <w:iCs w:val="0"/>
        <w:color w:val="auto"/>
        <w:sz w:val="24"/>
        <w:szCs w:val="24"/>
        <w:u w:val="none"/>
      </w:rPr>
    </w:lvl>
    <w:lvl w:ilvl="1">
      <w:start w:val="1"/>
      <w:numFmt w:val="decimal"/>
      <w:pStyle w:val="11Bodytext"/>
      <w:lvlText w:val="%1.%2"/>
      <w:lvlJc w:val="left"/>
      <w:pPr>
        <w:tabs>
          <w:tab w:val="num" w:pos="2212"/>
        </w:tabs>
        <w:ind w:left="2212" w:hanging="794"/>
      </w:pPr>
      <w:rPr>
        <w:rFonts w:ascii="Arial" w:hAnsi="Arial" w:hint="default"/>
        <w:b w:val="0"/>
        <w:bCs w:val="0"/>
        <w:i w:val="0"/>
        <w:iCs w:val="0"/>
        <w:color w:val="000000" w:themeColor="text1"/>
        <w:sz w:val="24"/>
        <w:szCs w:val="24"/>
        <w:u w:val="none"/>
      </w:rPr>
    </w:lvl>
    <w:lvl w:ilvl="2">
      <w:start w:val="1"/>
      <w:numFmt w:val="decimal"/>
      <w:lvlRestart w:val="1"/>
      <w:lvlText w:val="%1.%2"/>
      <w:lvlJc w:val="left"/>
      <w:pPr>
        <w:tabs>
          <w:tab w:val="num" w:pos="794"/>
        </w:tabs>
        <w:ind w:left="794" w:hanging="794"/>
      </w:pPr>
      <w:rPr>
        <w:rFonts w:ascii="Arial" w:hAnsi="Arial" w:hint="default"/>
        <w:b w:val="0"/>
        <w:bCs w:val="0"/>
        <w:i w:val="0"/>
        <w:iCs w:val="0"/>
        <w:color w:val="auto"/>
        <w:sz w:val="20"/>
        <w:szCs w:val="20"/>
        <w:u w:val="none"/>
      </w:rPr>
    </w:lvl>
    <w:lvl w:ilvl="3">
      <w:start w:val="1"/>
      <w:numFmt w:val="decimal"/>
      <w:pStyle w:val="111Bodytext"/>
      <w:lvlText w:val="%1.%2.%4"/>
      <w:lvlJc w:val="left"/>
      <w:pPr>
        <w:ind w:left="1870" w:hanging="1728"/>
      </w:pPr>
      <w:rPr>
        <w:rFonts w:ascii="Arial" w:hAnsi="Arial" w:hint="default"/>
        <w:b w:val="0"/>
        <w:bCs w:val="0"/>
        <w:i w:val="0"/>
        <w:iCs w:val="0"/>
        <w:color w:val="auto"/>
        <w:sz w:val="20"/>
        <w:szCs w:val="20"/>
        <w:u w:val="none"/>
      </w:rPr>
    </w:lvl>
    <w:lvl w:ilvl="4">
      <w:start w:val="1"/>
      <w:numFmt w:val="decimal"/>
      <w:lvlText w:val="%1.%2.3"/>
      <w:lvlJc w:val="left"/>
      <w:pPr>
        <w:tabs>
          <w:tab w:val="num" w:pos="794"/>
        </w:tabs>
        <w:ind w:left="794" w:hanging="794"/>
      </w:pPr>
      <w:rPr>
        <w:rFonts w:ascii="Arial" w:hAnsi="Arial" w:hint="default"/>
        <w:b w:val="0"/>
        <w:bCs w:val="0"/>
        <w:i w:val="0"/>
        <w:iCs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655BB8"/>
    <w:multiLevelType w:val="hybridMultilevel"/>
    <w:tmpl w:val="B610F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D04FE"/>
    <w:multiLevelType w:val="hybridMultilevel"/>
    <w:tmpl w:val="5E7A0930"/>
    <w:lvl w:ilvl="0" w:tplc="0809000F">
      <w:start w:val="1"/>
      <w:numFmt w:val="decimal"/>
      <w:lvlText w:val="%1."/>
      <w:lvlJc w:val="left"/>
      <w:pPr>
        <w:ind w:left="1428" w:hanging="360"/>
      </w:p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4" w15:restartNumberingAfterBreak="0">
    <w:nsid w:val="1E002DFF"/>
    <w:multiLevelType w:val="hybridMultilevel"/>
    <w:tmpl w:val="90242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584335"/>
    <w:multiLevelType w:val="multilevel"/>
    <w:tmpl w:val="B1C2DFBE"/>
    <w:lvl w:ilvl="0">
      <w:start w:val="1"/>
      <w:numFmt w:val="decimal"/>
      <w:pStyle w:val="Tableheading"/>
      <w:lvlText w:val="Table %1:"/>
      <w:lvlJc w:val="left"/>
      <w:pPr>
        <w:ind w:left="927"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021"/>
        </w:tabs>
        <w:ind w:left="1021" w:hanging="1021"/>
      </w:pPr>
      <w:rPr>
        <w:rFonts w:ascii="Arial" w:hAnsi="Arial" w:hint="default"/>
        <w:b w:val="0"/>
        <w:bCs w:val="0"/>
        <w:i w:val="0"/>
        <w:iCs w:val="0"/>
        <w:color w:val="000000" w:themeColor="text1"/>
        <w:u w:val="none"/>
      </w:rPr>
    </w:lvl>
    <w:lvl w:ilvl="2">
      <w:start w:val="1"/>
      <w:numFmt w:val="decimal"/>
      <w:lvlText w:val="%1.%2.%3."/>
      <w:lvlJc w:val="left"/>
      <w:pPr>
        <w:tabs>
          <w:tab w:val="num" w:pos="1021"/>
        </w:tabs>
        <w:ind w:left="1021" w:hanging="1021"/>
      </w:pPr>
      <w:rPr>
        <w:rFonts w:ascii="Arial" w:hAnsi="Arial" w:hint="default"/>
        <w:b w:val="0"/>
        <w:bCs w:val="0"/>
        <w:i w:val="0"/>
        <w:iCs w:val="0"/>
        <w:color w:val="auto"/>
        <w:u w:val="none"/>
      </w:rPr>
    </w:lvl>
    <w:lvl w:ilvl="3">
      <w:start w:val="1"/>
      <w:numFmt w:val="decimal"/>
      <w:lvlText w:val="%1.%2.%3.%4."/>
      <w:lvlJc w:val="left"/>
      <w:pPr>
        <w:tabs>
          <w:tab w:val="num" w:pos="1021"/>
        </w:tabs>
        <w:ind w:left="1021" w:hanging="1021"/>
      </w:pPr>
      <w:rPr>
        <w:rFonts w:ascii="Arial" w:hAnsi="Arial" w:hint="default"/>
        <w:b w:val="0"/>
        <w:bCs w:val="0"/>
        <w:i w:val="0"/>
        <w:iCs w:val="0"/>
        <w:color w:val="auto"/>
        <w:u w:val="none"/>
      </w:rPr>
    </w:lvl>
    <w:lvl w:ilvl="4">
      <w:start w:val="1"/>
      <w:numFmt w:val="decimal"/>
      <w:lvlText w:val="%1.%2.%3.%4.%5."/>
      <w:lvlJc w:val="left"/>
      <w:pPr>
        <w:tabs>
          <w:tab w:val="num" w:pos="879"/>
        </w:tabs>
        <w:ind w:left="879" w:hanging="1021"/>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6" w15:restartNumberingAfterBreak="0">
    <w:nsid w:val="3BDC1ED6"/>
    <w:multiLevelType w:val="multilevel"/>
    <w:tmpl w:val="FB36DFB0"/>
    <w:lvl w:ilvl="0">
      <w:start w:val="1"/>
      <w:numFmt w:val="decimal"/>
      <w:lvlText w:val="%1."/>
      <w:lvlJc w:val="left"/>
      <w:pPr>
        <w:ind w:left="720" w:hanging="720"/>
      </w:pPr>
      <w:rPr>
        <w:rFonts w:ascii="Arial" w:eastAsiaTheme="minorHAnsi" w:hAnsi="Arial" w:cs="Arial"/>
        <w:b/>
        <w:bCs w:val="0"/>
        <w:sz w:val="24"/>
        <w:szCs w:val="24"/>
      </w:rPr>
    </w:lvl>
    <w:lvl w:ilvl="1">
      <w:start w:val="1"/>
      <w:numFmt w:val="decimal"/>
      <w:isLgl/>
      <w:lvlText w:val="%1.%2"/>
      <w:lvlJc w:val="left"/>
      <w:pPr>
        <w:ind w:left="360" w:hanging="360"/>
      </w:pPr>
      <w:rPr>
        <w:rFonts w:ascii="Arial" w:hAnsi="Arial" w:cs="Arial" w:hint="default"/>
        <w:b/>
        <w:bCs w:val="0"/>
        <w:i w:val="0"/>
        <w:i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4B34962"/>
    <w:multiLevelType w:val="hybridMultilevel"/>
    <w:tmpl w:val="DC3ECE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342F58"/>
    <w:multiLevelType w:val="hybridMultilevel"/>
    <w:tmpl w:val="DAD4A57A"/>
    <w:lvl w:ilvl="0" w:tplc="B0FC1FB0">
      <w:start w:val="1"/>
      <w:numFmt w:val="decimal"/>
      <w:lvlText w:val="%1."/>
      <w:lvlJc w:val="left"/>
      <w:pPr>
        <w:ind w:left="720" w:hanging="360"/>
      </w:pPr>
      <w:rPr>
        <w:color w:val="0073C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A4E14"/>
    <w:multiLevelType w:val="hybridMultilevel"/>
    <w:tmpl w:val="4B72D4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A813FB"/>
    <w:multiLevelType w:val="multilevel"/>
    <w:tmpl w:val="FB36DFB0"/>
    <w:lvl w:ilvl="0">
      <w:start w:val="1"/>
      <w:numFmt w:val="decimal"/>
      <w:lvlText w:val="%1."/>
      <w:lvlJc w:val="left"/>
      <w:pPr>
        <w:ind w:left="720" w:hanging="720"/>
      </w:pPr>
      <w:rPr>
        <w:rFonts w:ascii="Arial" w:eastAsiaTheme="minorHAnsi" w:hAnsi="Arial" w:cs="Arial"/>
        <w:b/>
        <w:bCs w:val="0"/>
        <w:sz w:val="24"/>
        <w:szCs w:val="24"/>
      </w:rPr>
    </w:lvl>
    <w:lvl w:ilvl="1">
      <w:start w:val="1"/>
      <w:numFmt w:val="decimal"/>
      <w:isLgl/>
      <w:lvlText w:val="%1.%2"/>
      <w:lvlJc w:val="left"/>
      <w:pPr>
        <w:ind w:left="360" w:hanging="360"/>
      </w:pPr>
      <w:rPr>
        <w:rFonts w:ascii="Arial" w:hAnsi="Arial" w:cs="Arial" w:hint="default"/>
        <w:b/>
        <w:bCs w:val="0"/>
        <w:i w:val="0"/>
        <w:i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FF04A4D"/>
    <w:multiLevelType w:val="multilevel"/>
    <w:tmpl w:val="4C025CC0"/>
    <w:lvl w:ilvl="0">
      <w:start w:val="1"/>
      <w:numFmt w:val="decimal"/>
      <w:lvlText w:val="%1."/>
      <w:lvlJc w:val="left"/>
      <w:pPr>
        <w:ind w:left="360" w:hanging="360"/>
      </w:pPr>
      <w:rPr>
        <w:rFonts w:hint="default"/>
        <w:color w:val="0073CF"/>
      </w:rPr>
    </w:lvl>
    <w:lvl w:ilvl="1">
      <w:start w:val="1"/>
      <w:numFmt w:val="decimal"/>
      <w:isLgl/>
      <w:lvlText w:val="%1.%2"/>
      <w:lvlJc w:val="left"/>
      <w:pPr>
        <w:ind w:left="570" w:hanging="570"/>
      </w:pPr>
      <w:rPr>
        <w:rFonts w:hint="default"/>
        <w:b w:val="0"/>
        <w:bCs w:val="0"/>
        <w:color w:val="auto"/>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463764743">
    <w:abstractNumId w:val="0"/>
  </w:num>
  <w:num w:numId="2" w16cid:durableId="1629702402">
    <w:abstractNumId w:val="1"/>
  </w:num>
  <w:num w:numId="3" w16cid:durableId="1043555609">
    <w:abstractNumId w:val="5"/>
  </w:num>
  <w:num w:numId="4" w16cid:durableId="3212017">
    <w:abstractNumId w:val="3"/>
  </w:num>
  <w:num w:numId="5" w16cid:durableId="1628703449">
    <w:abstractNumId w:val="10"/>
  </w:num>
  <w:num w:numId="6" w16cid:durableId="1678267425">
    <w:abstractNumId w:val="6"/>
  </w:num>
  <w:num w:numId="7" w16cid:durableId="1545870015">
    <w:abstractNumId w:val="8"/>
  </w:num>
  <w:num w:numId="8" w16cid:durableId="368341226">
    <w:abstractNumId w:val="2"/>
  </w:num>
  <w:num w:numId="9" w16cid:durableId="1787919042">
    <w:abstractNumId w:val="7"/>
  </w:num>
  <w:num w:numId="10" w16cid:durableId="1737389357">
    <w:abstractNumId w:val="4"/>
  </w:num>
  <w:num w:numId="11" w16cid:durableId="1122457607">
    <w:abstractNumId w:val="9"/>
  </w:num>
  <w:num w:numId="12" w16cid:durableId="20842550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C26489A-6287-4716-8AF2-36E47A280214}"/>
    <w:docVar w:name="dgnword-eventsink" w:val="399428136"/>
  </w:docVars>
  <w:rsids>
    <w:rsidRoot w:val="001D5330"/>
    <w:rsid w:val="00005616"/>
    <w:rsid w:val="00022799"/>
    <w:rsid w:val="00022CBB"/>
    <w:rsid w:val="00023315"/>
    <w:rsid w:val="00024EB2"/>
    <w:rsid w:val="00026815"/>
    <w:rsid w:val="000353AF"/>
    <w:rsid w:val="0004432F"/>
    <w:rsid w:val="0004671B"/>
    <w:rsid w:val="00070384"/>
    <w:rsid w:val="000A6883"/>
    <w:rsid w:val="000B48AF"/>
    <w:rsid w:val="000D1C60"/>
    <w:rsid w:val="000E0371"/>
    <w:rsid w:val="00117AD1"/>
    <w:rsid w:val="00123B28"/>
    <w:rsid w:val="001257D9"/>
    <w:rsid w:val="00142E2D"/>
    <w:rsid w:val="0014706A"/>
    <w:rsid w:val="0015283F"/>
    <w:rsid w:val="00157E9E"/>
    <w:rsid w:val="00163FEB"/>
    <w:rsid w:val="001708EA"/>
    <w:rsid w:val="001763CB"/>
    <w:rsid w:val="00193B95"/>
    <w:rsid w:val="00195C3D"/>
    <w:rsid w:val="001960ED"/>
    <w:rsid w:val="001D5330"/>
    <w:rsid w:val="001E53C4"/>
    <w:rsid w:val="00202647"/>
    <w:rsid w:val="0020492B"/>
    <w:rsid w:val="00210BA7"/>
    <w:rsid w:val="0021152A"/>
    <w:rsid w:val="00214077"/>
    <w:rsid w:val="00214773"/>
    <w:rsid w:val="00220895"/>
    <w:rsid w:val="00221E85"/>
    <w:rsid w:val="0022217B"/>
    <w:rsid w:val="00223956"/>
    <w:rsid w:val="00223DAC"/>
    <w:rsid w:val="00242183"/>
    <w:rsid w:val="0025322F"/>
    <w:rsid w:val="0026602D"/>
    <w:rsid w:val="00275EE5"/>
    <w:rsid w:val="00277FF8"/>
    <w:rsid w:val="00280782"/>
    <w:rsid w:val="002A3171"/>
    <w:rsid w:val="002A45DA"/>
    <w:rsid w:val="002B11E8"/>
    <w:rsid w:val="002C7213"/>
    <w:rsid w:val="002D1581"/>
    <w:rsid w:val="002E3C92"/>
    <w:rsid w:val="002F048F"/>
    <w:rsid w:val="002F0D9F"/>
    <w:rsid w:val="003041C6"/>
    <w:rsid w:val="003047FD"/>
    <w:rsid w:val="00305DE9"/>
    <w:rsid w:val="00315228"/>
    <w:rsid w:val="00340680"/>
    <w:rsid w:val="003767B3"/>
    <w:rsid w:val="003912F7"/>
    <w:rsid w:val="003A298D"/>
    <w:rsid w:val="003B2B0D"/>
    <w:rsid w:val="003E34EB"/>
    <w:rsid w:val="003F05B1"/>
    <w:rsid w:val="003F1C0E"/>
    <w:rsid w:val="003F339E"/>
    <w:rsid w:val="004016F1"/>
    <w:rsid w:val="00460125"/>
    <w:rsid w:val="00486A46"/>
    <w:rsid w:val="004A3CCC"/>
    <w:rsid w:val="004C6C40"/>
    <w:rsid w:val="004D004D"/>
    <w:rsid w:val="004E0BD4"/>
    <w:rsid w:val="00500540"/>
    <w:rsid w:val="0050513C"/>
    <w:rsid w:val="005155F8"/>
    <w:rsid w:val="00537F0F"/>
    <w:rsid w:val="00571B1F"/>
    <w:rsid w:val="005735C1"/>
    <w:rsid w:val="005913EA"/>
    <w:rsid w:val="005D0FA8"/>
    <w:rsid w:val="005E116B"/>
    <w:rsid w:val="00606ED4"/>
    <w:rsid w:val="00625A04"/>
    <w:rsid w:val="00625A33"/>
    <w:rsid w:val="00626DBB"/>
    <w:rsid w:val="00635A44"/>
    <w:rsid w:val="00642F5C"/>
    <w:rsid w:val="006452DC"/>
    <w:rsid w:val="006513DA"/>
    <w:rsid w:val="006745A0"/>
    <w:rsid w:val="006760C7"/>
    <w:rsid w:val="006C2813"/>
    <w:rsid w:val="006D136D"/>
    <w:rsid w:val="006E5F8C"/>
    <w:rsid w:val="006E6371"/>
    <w:rsid w:val="007056A5"/>
    <w:rsid w:val="00710251"/>
    <w:rsid w:val="00751D30"/>
    <w:rsid w:val="007655B8"/>
    <w:rsid w:val="007A145B"/>
    <w:rsid w:val="007B077C"/>
    <w:rsid w:val="007C094D"/>
    <w:rsid w:val="007F13E4"/>
    <w:rsid w:val="007F35A9"/>
    <w:rsid w:val="007F56D4"/>
    <w:rsid w:val="007F709D"/>
    <w:rsid w:val="008009E4"/>
    <w:rsid w:val="008022F9"/>
    <w:rsid w:val="00833ED2"/>
    <w:rsid w:val="0084314D"/>
    <w:rsid w:val="00843922"/>
    <w:rsid w:val="00851748"/>
    <w:rsid w:val="0087570A"/>
    <w:rsid w:val="008773DA"/>
    <w:rsid w:val="00881CAC"/>
    <w:rsid w:val="00887540"/>
    <w:rsid w:val="0089151C"/>
    <w:rsid w:val="00896652"/>
    <w:rsid w:val="008B11C0"/>
    <w:rsid w:val="008B7473"/>
    <w:rsid w:val="008D6FD8"/>
    <w:rsid w:val="008E3B33"/>
    <w:rsid w:val="008F7323"/>
    <w:rsid w:val="00901115"/>
    <w:rsid w:val="009031BF"/>
    <w:rsid w:val="00937850"/>
    <w:rsid w:val="00951D7E"/>
    <w:rsid w:val="009B3AF8"/>
    <w:rsid w:val="009B6EB6"/>
    <w:rsid w:val="009D2146"/>
    <w:rsid w:val="009D4F92"/>
    <w:rsid w:val="009D6DEB"/>
    <w:rsid w:val="009F0124"/>
    <w:rsid w:val="009F0CF3"/>
    <w:rsid w:val="00A0000D"/>
    <w:rsid w:val="00A35F36"/>
    <w:rsid w:val="00A6010C"/>
    <w:rsid w:val="00A6045D"/>
    <w:rsid w:val="00A60AD9"/>
    <w:rsid w:val="00A63347"/>
    <w:rsid w:val="00AA3920"/>
    <w:rsid w:val="00AA76A6"/>
    <w:rsid w:val="00AB088E"/>
    <w:rsid w:val="00AC6775"/>
    <w:rsid w:val="00AF7C07"/>
    <w:rsid w:val="00B0223D"/>
    <w:rsid w:val="00B26F4D"/>
    <w:rsid w:val="00B30455"/>
    <w:rsid w:val="00B31B4A"/>
    <w:rsid w:val="00B33FE2"/>
    <w:rsid w:val="00B365B7"/>
    <w:rsid w:val="00B7305E"/>
    <w:rsid w:val="00B76837"/>
    <w:rsid w:val="00B83E50"/>
    <w:rsid w:val="00B90EB6"/>
    <w:rsid w:val="00B93A70"/>
    <w:rsid w:val="00BA5066"/>
    <w:rsid w:val="00BB3B08"/>
    <w:rsid w:val="00BB580D"/>
    <w:rsid w:val="00BD63BC"/>
    <w:rsid w:val="00BF7447"/>
    <w:rsid w:val="00C15CF9"/>
    <w:rsid w:val="00C200A2"/>
    <w:rsid w:val="00C41E82"/>
    <w:rsid w:val="00C423ED"/>
    <w:rsid w:val="00C42B7E"/>
    <w:rsid w:val="00C575B4"/>
    <w:rsid w:val="00C57AFC"/>
    <w:rsid w:val="00C662D5"/>
    <w:rsid w:val="00CB435E"/>
    <w:rsid w:val="00CE222F"/>
    <w:rsid w:val="00CE2C42"/>
    <w:rsid w:val="00CF6304"/>
    <w:rsid w:val="00D015DF"/>
    <w:rsid w:val="00D22A95"/>
    <w:rsid w:val="00D24526"/>
    <w:rsid w:val="00D4345F"/>
    <w:rsid w:val="00D61AE6"/>
    <w:rsid w:val="00D64ECF"/>
    <w:rsid w:val="00D73BF3"/>
    <w:rsid w:val="00DB645A"/>
    <w:rsid w:val="00DC0385"/>
    <w:rsid w:val="00DC3AC9"/>
    <w:rsid w:val="00DD50B3"/>
    <w:rsid w:val="00DE2BBF"/>
    <w:rsid w:val="00DE7775"/>
    <w:rsid w:val="00E002A9"/>
    <w:rsid w:val="00E10CB5"/>
    <w:rsid w:val="00E30A4C"/>
    <w:rsid w:val="00E3745B"/>
    <w:rsid w:val="00E50758"/>
    <w:rsid w:val="00E806EB"/>
    <w:rsid w:val="00E95C98"/>
    <w:rsid w:val="00E964CB"/>
    <w:rsid w:val="00E96692"/>
    <w:rsid w:val="00EA54F7"/>
    <w:rsid w:val="00EB617D"/>
    <w:rsid w:val="00EC2766"/>
    <w:rsid w:val="00ED578C"/>
    <w:rsid w:val="00EE13CF"/>
    <w:rsid w:val="00EF0D9E"/>
    <w:rsid w:val="00EF27D1"/>
    <w:rsid w:val="00F07775"/>
    <w:rsid w:val="00F2788B"/>
    <w:rsid w:val="00F36E94"/>
    <w:rsid w:val="00F4228B"/>
    <w:rsid w:val="00F84797"/>
    <w:rsid w:val="00FA44DE"/>
    <w:rsid w:val="00FC59D3"/>
    <w:rsid w:val="00FC5AAE"/>
    <w:rsid w:val="00FD09E0"/>
    <w:rsid w:val="00FD7B3E"/>
    <w:rsid w:val="00FE73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AFD831"/>
  <w15:chartTrackingRefBased/>
  <w15:docId w15:val="{F720AD6E-7FAA-4A8F-8A08-3861F1B6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6A"/>
    <w:pPr>
      <w:spacing w:after="200" w:line="276" w:lineRule="auto"/>
    </w:pPr>
  </w:style>
  <w:style w:type="paragraph" w:styleId="Heading1">
    <w:name w:val="heading 1"/>
    <w:basedOn w:val="Normal"/>
    <w:next w:val="Normal"/>
    <w:link w:val="Heading1Char"/>
    <w:uiPriority w:val="9"/>
    <w:qFormat/>
    <w:rsid w:val="001960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1D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706A"/>
    <w:pPr>
      <w:ind w:left="720"/>
      <w:contextualSpacing/>
    </w:pPr>
  </w:style>
  <w:style w:type="table" w:customStyle="1" w:styleId="GLHearntable1">
    <w:name w:val="GL Hearn table 1"/>
    <w:basedOn w:val="TableNormal"/>
    <w:uiPriority w:val="99"/>
    <w:rsid w:val="0014706A"/>
    <w:pPr>
      <w:spacing w:after="0" w:line="220" w:lineRule="atLeast"/>
    </w:pPr>
    <w:rPr>
      <w:rFonts w:ascii="Arial" w:eastAsiaTheme="minorEastAsia" w:hAnsi="Arial" w:cs="Arial"/>
      <w:color w:val="000000" w:themeColor="text1"/>
      <w:sz w:val="18"/>
      <w:szCs w:val="20"/>
      <w:lang w:val="en-US" w:eastAsia="ja-JP"/>
    </w:rPr>
    <w:tblPr>
      <w:tblStyleRowBandSize w:val="1"/>
      <w:tblInd w:w="794" w:type="dxa"/>
      <w:tblBorders>
        <w:top w:val="single" w:sz="2" w:space="0" w:color="0093D5"/>
        <w:left w:val="single" w:sz="2" w:space="0" w:color="0093D5"/>
        <w:bottom w:val="single" w:sz="2" w:space="0" w:color="0093D5"/>
        <w:right w:val="single" w:sz="2" w:space="0" w:color="0093D5"/>
        <w:insideH w:val="single" w:sz="2" w:space="0" w:color="0093D5"/>
        <w:insideV w:val="single" w:sz="2" w:space="0" w:color="0093D5"/>
      </w:tblBorders>
    </w:tblPr>
    <w:tcPr>
      <w:shd w:val="clear" w:color="auto" w:fill="auto"/>
    </w:tcPr>
    <w:tblStylePr w:type="firstRow">
      <w:pPr>
        <w:jc w:val="left"/>
      </w:pPr>
      <w:rPr>
        <w:rFonts w:ascii="Arial" w:hAnsi="Arial"/>
        <w:b/>
        <w:color w:val="FFFFFF" w:themeColor="background1"/>
        <w:sz w:val="20"/>
        <w:u w:val="none"/>
      </w:rPr>
      <w:tblPr/>
      <w:tcPr>
        <w:shd w:val="clear" w:color="auto" w:fill="0093D5"/>
        <w:vAlign w:val="center"/>
      </w:tcPr>
    </w:tblStylePr>
    <w:tblStylePr w:type="lastRow">
      <w:rPr>
        <w:rFonts w:ascii="Arial" w:hAnsi="Arial"/>
        <w:b/>
        <w:sz w:val="18"/>
      </w:rPr>
      <w:tblPr/>
      <w:tcPr>
        <w:shd w:val="clear" w:color="auto" w:fill="99D4EE"/>
      </w:tcPr>
    </w:tblStylePr>
    <w:tblStylePr w:type="firstCol">
      <w:rPr>
        <w:rFonts w:ascii="Arial" w:hAnsi="Arial"/>
        <w:b/>
        <w:i w:val="0"/>
        <w:color w:val="000000" w:themeColor="text1"/>
        <w:sz w:val="18"/>
      </w:rPr>
    </w:tblStylePr>
    <w:tblStylePr w:type="band2Horz">
      <w:tblPr/>
      <w:tcPr>
        <w:shd w:val="clear" w:color="auto" w:fill="FBE4D5" w:themeFill="accent2" w:themeFillTint="33"/>
      </w:tcPr>
    </w:tblStylePr>
  </w:style>
  <w:style w:type="paragraph" w:customStyle="1" w:styleId="Tableheading">
    <w:name w:val="Table heading"/>
    <w:basedOn w:val="Normal"/>
    <w:next w:val="Normal"/>
    <w:qFormat/>
    <w:rsid w:val="0014706A"/>
    <w:pPr>
      <w:keepNext/>
      <w:numPr>
        <w:numId w:val="3"/>
      </w:numPr>
      <w:tabs>
        <w:tab w:val="left" w:pos="794"/>
        <w:tab w:val="left" w:pos="1843"/>
      </w:tabs>
      <w:spacing w:after="0" w:line="240" w:lineRule="atLeast"/>
      <w:ind w:hanging="76"/>
      <w:outlineLvl w:val="0"/>
    </w:pPr>
    <w:rPr>
      <w:rFonts w:eastAsiaTheme="minorEastAsia" w:cstheme="minorHAnsi"/>
      <w:b/>
      <w:color w:val="000000" w:themeColor="text1"/>
      <w:sz w:val="24"/>
      <w:szCs w:val="32"/>
      <w:lang w:eastAsia="ja-JP"/>
    </w:rPr>
  </w:style>
  <w:style w:type="paragraph" w:customStyle="1" w:styleId="11Bodytext">
    <w:name w:val="1.1 Body text"/>
    <w:basedOn w:val="Normal"/>
    <w:link w:val="11BodytextChar"/>
    <w:qFormat/>
    <w:rsid w:val="0014706A"/>
    <w:pPr>
      <w:numPr>
        <w:ilvl w:val="1"/>
        <w:numId w:val="2"/>
      </w:numPr>
      <w:tabs>
        <w:tab w:val="clear" w:pos="2212"/>
        <w:tab w:val="num" w:pos="794"/>
      </w:tabs>
      <w:spacing w:before="240" w:after="120" w:line="360" w:lineRule="auto"/>
      <w:ind w:left="794"/>
      <w:jc w:val="both"/>
    </w:pPr>
    <w:rPr>
      <w:rFonts w:eastAsiaTheme="minorEastAsia" w:cstheme="minorHAnsi"/>
      <w:bCs/>
      <w:color w:val="000000" w:themeColor="text1"/>
      <w:sz w:val="24"/>
      <w:szCs w:val="24"/>
      <w:lang w:eastAsia="ja-JP"/>
    </w:rPr>
  </w:style>
  <w:style w:type="character" w:customStyle="1" w:styleId="11BodytextChar">
    <w:name w:val="1.1 Body text Char"/>
    <w:basedOn w:val="DefaultParagraphFont"/>
    <w:link w:val="11Bodytext"/>
    <w:rsid w:val="0014706A"/>
    <w:rPr>
      <w:rFonts w:eastAsiaTheme="minorEastAsia" w:cstheme="minorHAnsi"/>
      <w:bCs/>
      <w:color w:val="000000" w:themeColor="text1"/>
      <w:sz w:val="24"/>
      <w:szCs w:val="24"/>
      <w:lang w:eastAsia="ja-JP"/>
    </w:rPr>
  </w:style>
  <w:style w:type="paragraph" w:customStyle="1" w:styleId="111Bodytext">
    <w:name w:val="1.1.1 Body text"/>
    <w:basedOn w:val="11Bodytext"/>
    <w:qFormat/>
    <w:rsid w:val="0014706A"/>
    <w:pPr>
      <w:numPr>
        <w:ilvl w:val="3"/>
      </w:numPr>
      <w:tabs>
        <w:tab w:val="num" w:pos="360"/>
      </w:tabs>
      <w:spacing w:after="0"/>
      <w:ind w:left="2880" w:hanging="360"/>
    </w:pPr>
    <w:rPr>
      <w:bCs w:val="0"/>
    </w:rPr>
  </w:style>
  <w:style w:type="paragraph" w:customStyle="1" w:styleId="1Bodytext">
    <w:name w:val="1 Body text"/>
    <w:basedOn w:val="Normal"/>
    <w:qFormat/>
    <w:rsid w:val="0014706A"/>
    <w:pPr>
      <w:numPr>
        <w:numId w:val="2"/>
      </w:numPr>
      <w:spacing w:before="240" w:after="0" w:line="240" w:lineRule="atLeast"/>
    </w:pPr>
    <w:rPr>
      <w:rFonts w:ascii="Arial" w:eastAsiaTheme="minorEastAsia" w:hAnsi="Arial" w:cs="Arial"/>
      <w:b/>
      <w:bCs/>
      <w:caps/>
      <w:color w:val="000000" w:themeColor="text1"/>
      <w:sz w:val="24"/>
      <w:szCs w:val="20"/>
      <w:lang w:eastAsia="ja-JP"/>
    </w:rPr>
  </w:style>
  <w:style w:type="paragraph" w:styleId="Header">
    <w:name w:val="header"/>
    <w:basedOn w:val="Normal"/>
    <w:link w:val="HeaderChar"/>
    <w:uiPriority w:val="99"/>
    <w:unhideWhenUsed/>
    <w:rsid w:val="00401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6F1"/>
  </w:style>
  <w:style w:type="paragraph" w:styleId="Footer">
    <w:name w:val="footer"/>
    <w:basedOn w:val="Normal"/>
    <w:link w:val="FooterChar"/>
    <w:uiPriority w:val="99"/>
    <w:unhideWhenUsed/>
    <w:rsid w:val="00401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6F1"/>
  </w:style>
  <w:style w:type="character" w:styleId="Hyperlink">
    <w:name w:val="Hyperlink"/>
    <w:basedOn w:val="DefaultParagraphFont"/>
    <w:uiPriority w:val="99"/>
    <w:unhideWhenUsed/>
    <w:rsid w:val="001708EA"/>
    <w:rPr>
      <w:color w:val="0563C1" w:themeColor="hyperlink"/>
      <w:u w:val="single"/>
    </w:rPr>
  </w:style>
  <w:style w:type="character" w:styleId="UnresolvedMention">
    <w:name w:val="Unresolved Mention"/>
    <w:basedOn w:val="DefaultParagraphFont"/>
    <w:uiPriority w:val="99"/>
    <w:semiHidden/>
    <w:unhideWhenUsed/>
    <w:rsid w:val="001708EA"/>
    <w:rPr>
      <w:color w:val="605E5C"/>
      <w:shd w:val="clear" w:color="auto" w:fill="E1DFDD"/>
    </w:rPr>
  </w:style>
  <w:style w:type="character" w:styleId="CommentReference">
    <w:name w:val="annotation reference"/>
    <w:basedOn w:val="DefaultParagraphFont"/>
    <w:uiPriority w:val="99"/>
    <w:semiHidden/>
    <w:unhideWhenUsed/>
    <w:rsid w:val="00EA54F7"/>
    <w:rPr>
      <w:sz w:val="16"/>
      <w:szCs w:val="16"/>
    </w:rPr>
  </w:style>
  <w:style w:type="paragraph" w:styleId="CommentText">
    <w:name w:val="annotation text"/>
    <w:basedOn w:val="Normal"/>
    <w:link w:val="CommentTextChar"/>
    <w:uiPriority w:val="99"/>
    <w:unhideWhenUsed/>
    <w:rsid w:val="00EA54F7"/>
    <w:pPr>
      <w:spacing w:line="240" w:lineRule="auto"/>
    </w:pPr>
    <w:rPr>
      <w:sz w:val="20"/>
      <w:szCs w:val="20"/>
    </w:rPr>
  </w:style>
  <w:style w:type="character" w:customStyle="1" w:styleId="CommentTextChar">
    <w:name w:val="Comment Text Char"/>
    <w:basedOn w:val="DefaultParagraphFont"/>
    <w:link w:val="CommentText"/>
    <w:uiPriority w:val="99"/>
    <w:rsid w:val="00EA54F7"/>
    <w:rPr>
      <w:sz w:val="20"/>
      <w:szCs w:val="20"/>
    </w:rPr>
  </w:style>
  <w:style w:type="paragraph" w:styleId="CommentSubject">
    <w:name w:val="annotation subject"/>
    <w:basedOn w:val="CommentText"/>
    <w:next w:val="CommentText"/>
    <w:link w:val="CommentSubjectChar"/>
    <w:uiPriority w:val="99"/>
    <w:semiHidden/>
    <w:unhideWhenUsed/>
    <w:rsid w:val="00EA54F7"/>
    <w:rPr>
      <w:b/>
      <w:bCs/>
    </w:rPr>
  </w:style>
  <w:style w:type="character" w:customStyle="1" w:styleId="CommentSubjectChar">
    <w:name w:val="Comment Subject Char"/>
    <w:basedOn w:val="CommentTextChar"/>
    <w:link w:val="CommentSubject"/>
    <w:uiPriority w:val="99"/>
    <w:semiHidden/>
    <w:rsid w:val="00EA54F7"/>
    <w:rPr>
      <w:b/>
      <w:bCs/>
      <w:sz w:val="20"/>
      <w:szCs w:val="20"/>
    </w:rPr>
  </w:style>
  <w:style w:type="paragraph" w:styleId="Revision">
    <w:name w:val="Revision"/>
    <w:hidden/>
    <w:uiPriority w:val="99"/>
    <w:semiHidden/>
    <w:rsid w:val="0087570A"/>
    <w:pPr>
      <w:spacing w:after="0" w:line="240" w:lineRule="auto"/>
    </w:pPr>
  </w:style>
  <w:style w:type="character" w:styleId="FollowedHyperlink">
    <w:name w:val="FollowedHyperlink"/>
    <w:basedOn w:val="DefaultParagraphFont"/>
    <w:uiPriority w:val="99"/>
    <w:semiHidden/>
    <w:unhideWhenUsed/>
    <w:rsid w:val="00751D30"/>
    <w:rPr>
      <w:color w:val="954F72" w:themeColor="followedHyperlink"/>
      <w:u w:val="single"/>
    </w:rPr>
  </w:style>
  <w:style w:type="character" w:customStyle="1" w:styleId="Heading1Char">
    <w:name w:val="Heading 1 Char"/>
    <w:basedOn w:val="DefaultParagraphFont"/>
    <w:link w:val="Heading1"/>
    <w:uiPriority w:val="9"/>
    <w:rsid w:val="001960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1D7E"/>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rsid w:val="00951D7E"/>
  </w:style>
  <w:style w:type="paragraph" w:styleId="TOC1">
    <w:name w:val="toc 1"/>
    <w:basedOn w:val="Normal"/>
    <w:next w:val="Normal"/>
    <w:autoRedefine/>
    <w:uiPriority w:val="39"/>
    <w:unhideWhenUsed/>
    <w:rsid w:val="005E116B"/>
    <w:pPr>
      <w:spacing w:after="100"/>
    </w:pPr>
  </w:style>
  <w:style w:type="paragraph" w:styleId="TOC2">
    <w:name w:val="toc 2"/>
    <w:basedOn w:val="Normal"/>
    <w:next w:val="Normal"/>
    <w:autoRedefine/>
    <w:uiPriority w:val="39"/>
    <w:unhideWhenUsed/>
    <w:rsid w:val="005E116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rfa.ceh.ac.uk/data/station/spatial/4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ndis.org.uk/soilscap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vironment.data.gov.uk/catchment-planning/ManagementCatchment/3004" TargetMode="External"/><Relationship Id="rId5" Type="http://schemas.openxmlformats.org/officeDocument/2006/relationships/webSettings" Target="webSettings.xml"/><Relationship Id="rId15" Type="http://schemas.openxmlformats.org/officeDocument/2006/relationships/hyperlink" Target="https://nrfa.ceh.ac.uk/data/station/spatial/42019" TargetMode="External"/><Relationship Id="rId10" Type="http://schemas.openxmlformats.org/officeDocument/2006/relationships/hyperlink" Target="https://www.chichester.gov.uk/localplanexaminationlibra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chester.gov.uk" TargetMode="External"/><Relationship Id="rId14" Type="http://schemas.openxmlformats.org/officeDocument/2006/relationships/hyperlink" Target="https://www.landis.org.uk/soilsc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91C54-CBE0-49FF-9CA3-61DAFB4A4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14</Pages>
  <Words>4023</Words>
  <Characters>22937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Anna-Marie Ferrier</dc:creator>
  <cp:keywords/>
  <dc:description/>
  <cp:lastModifiedBy>Gillian Stevens</cp:lastModifiedBy>
  <cp:revision>19</cp:revision>
  <dcterms:created xsi:type="dcterms:W3CDTF">2024-05-08T11:04:00Z</dcterms:created>
  <dcterms:modified xsi:type="dcterms:W3CDTF">2024-05-31T08:13:00Z</dcterms:modified>
</cp:coreProperties>
</file>