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BC82" w14:textId="77777777" w:rsidR="0020078A" w:rsidRDefault="0020078A" w:rsidP="0020078A">
      <w:pPr>
        <w:jc w:val="center"/>
        <w:rPr>
          <w:rFonts w:ascii="Arial" w:hAnsi="Arial" w:cs="Arial"/>
          <w:sz w:val="56"/>
          <w:szCs w:val="56"/>
        </w:rPr>
      </w:pPr>
    </w:p>
    <w:p w14:paraId="64FBA9FB" w14:textId="77777777" w:rsidR="0020078A" w:rsidRDefault="0020078A" w:rsidP="0020078A">
      <w:pPr>
        <w:jc w:val="center"/>
        <w:rPr>
          <w:rFonts w:ascii="Arial" w:hAnsi="Arial" w:cs="Arial"/>
          <w:sz w:val="56"/>
          <w:szCs w:val="56"/>
        </w:rPr>
      </w:pPr>
    </w:p>
    <w:p w14:paraId="25B4EB76" w14:textId="008D5FFE" w:rsidR="0020078A" w:rsidRDefault="0020078A" w:rsidP="0020078A">
      <w:pPr>
        <w:jc w:val="center"/>
        <w:rPr>
          <w:rFonts w:ascii="Arial" w:hAnsi="Arial" w:cs="Arial"/>
          <w:b/>
          <w:sz w:val="56"/>
          <w:szCs w:val="56"/>
        </w:rPr>
      </w:pPr>
      <w:bookmarkStart w:id="0" w:name="_Hlk166763551"/>
      <w:r>
        <w:rPr>
          <w:rFonts w:ascii="Arial" w:hAnsi="Arial" w:cs="Arial"/>
          <w:b/>
          <w:sz w:val="56"/>
          <w:szCs w:val="56"/>
        </w:rPr>
        <w:t>Chichester</w:t>
      </w:r>
      <w:r w:rsidR="00AB61F9">
        <w:rPr>
          <w:rFonts w:ascii="Arial" w:hAnsi="Arial" w:cs="Arial"/>
          <w:b/>
          <w:sz w:val="56"/>
          <w:szCs w:val="56"/>
        </w:rPr>
        <w:t xml:space="preserve"> Local Plan 2021 - 2039</w:t>
      </w:r>
    </w:p>
    <w:p w14:paraId="28B9C936" w14:textId="77777777" w:rsidR="0020078A" w:rsidRDefault="0020078A" w:rsidP="00AB61F9">
      <w:pPr>
        <w:jc w:val="right"/>
        <w:rPr>
          <w:rFonts w:ascii="Arial" w:hAnsi="Arial" w:cs="Arial"/>
          <w:b/>
          <w:sz w:val="56"/>
          <w:szCs w:val="56"/>
        </w:rPr>
      </w:pPr>
    </w:p>
    <w:p w14:paraId="7A68F10F" w14:textId="65E31635" w:rsidR="0020078A" w:rsidRPr="0020078A" w:rsidRDefault="0020078A" w:rsidP="0020078A">
      <w:pPr>
        <w:jc w:val="center"/>
        <w:rPr>
          <w:rFonts w:ascii="Arial" w:hAnsi="Arial" w:cs="Arial"/>
          <w:b/>
          <w:sz w:val="48"/>
          <w:szCs w:val="56"/>
        </w:rPr>
      </w:pPr>
      <w:r w:rsidRPr="0020078A">
        <w:rPr>
          <w:rFonts w:ascii="Arial" w:eastAsia="Times New Roman" w:hAnsi="Arial" w:cs="Arial"/>
          <w:noProof/>
          <w:sz w:val="16"/>
          <w:szCs w:val="24"/>
          <w:lang w:eastAsia="en-GB"/>
        </w:rPr>
        <w:drawing>
          <wp:anchor distT="0" distB="0" distL="114300" distR="114300" simplePos="0" relativeHeight="251657216" behindDoc="0" locked="0" layoutInCell="1" allowOverlap="1" wp14:anchorId="79996698" wp14:editId="20CDE232">
            <wp:simplePos x="0" y="0"/>
            <wp:positionH relativeFrom="margin">
              <wp:align>center</wp:align>
            </wp:positionH>
            <wp:positionV relativeFrom="margin">
              <wp:posOffset>4745355</wp:posOffset>
            </wp:positionV>
            <wp:extent cx="1533600" cy="1540800"/>
            <wp:effectExtent l="0" t="0" r="0" b="254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600" cy="1540800"/>
                    </a:xfrm>
                    <a:prstGeom prst="rect">
                      <a:avLst/>
                    </a:prstGeom>
                    <a:noFill/>
                  </pic:spPr>
                </pic:pic>
              </a:graphicData>
            </a:graphic>
            <wp14:sizeRelH relativeFrom="margin">
              <wp14:pctWidth>0</wp14:pctWidth>
            </wp14:sizeRelH>
            <wp14:sizeRelV relativeFrom="margin">
              <wp14:pctHeight>0</wp14:pctHeight>
            </wp14:sizeRelV>
          </wp:anchor>
        </w:drawing>
      </w:r>
      <w:r w:rsidRPr="0020078A">
        <w:rPr>
          <w:rFonts w:ascii="Arial" w:hAnsi="Arial" w:cs="Arial"/>
          <w:b/>
          <w:sz w:val="48"/>
          <w:szCs w:val="56"/>
        </w:rPr>
        <w:t>Settlement Hierarchy</w:t>
      </w:r>
      <w:r w:rsidR="00810362">
        <w:rPr>
          <w:rFonts w:ascii="Arial" w:hAnsi="Arial" w:cs="Arial"/>
          <w:b/>
          <w:sz w:val="48"/>
          <w:szCs w:val="56"/>
        </w:rPr>
        <w:t xml:space="preserve"> Update</w:t>
      </w:r>
    </w:p>
    <w:p w14:paraId="26F4C17D" w14:textId="77777777" w:rsidR="0020078A" w:rsidRPr="0020078A" w:rsidRDefault="0020078A" w:rsidP="0020078A">
      <w:pPr>
        <w:jc w:val="center"/>
        <w:rPr>
          <w:rFonts w:ascii="Arial" w:hAnsi="Arial" w:cs="Arial"/>
          <w:sz w:val="48"/>
          <w:szCs w:val="56"/>
        </w:rPr>
      </w:pPr>
      <w:r w:rsidRPr="0020078A">
        <w:rPr>
          <w:rFonts w:ascii="Arial" w:hAnsi="Arial" w:cs="Arial"/>
          <w:b/>
          <w:sz w:val="48"/>
          <w:szCs w:val="56"/>
        </w:rPr>
        <w:t xml:space="preserve">Background Paper </w:t>
      </w:r>
    </w:p>
    <w:p w14:paraId="16AFA7C3" w14:textId="77777777" w:rsidR="0020078A" w:rsidRPr="002C0A35" w:rsidRDefault="0020078A" w:rsidP="0020078A">
      <w:pPr>
        <w:rPr>
          <w:rFonts w:ascii="Arial" w:hAnsi="Arial" w:cs="Arial"/>
          <w:sz w:val="56"/>
          <w:szCs w:val="56"/>
        </w:rPr>
      </w:pPr>
    </w:p>
    <w:p w14:paraId="6BC3A506" w14:textId="77777777" w:rsidR="0020078A" w:rsidRPr="002C0A35" w:rsidRDefault="0020078A" w:rsidP="0020078A">
      <w:pPr>
        <w:rPr>
          <w:rFonts w:ascii="Arial" w:hAnsi="Arial" w:cs="Arial"/>
          <w:sz w:val="56"/>
          <w:szCs w:val="56"/>
        </w:rPr>
      </w:pPr>
    </w:p>
    <w:p w14:paraId="4B9ED86E" w14:textId="77777777" w:rsidR="0020078A" w:rsidRDefault="0020078A" w:rsidP="0020078A">
      <w:pPr>
        <w:rPr>
          <w:rFonts w:ascii="Arial" w:hAnsi="Arial" w:cs="Arial"/>
          <w:sz w:val="56"/>
          <w:szCs w:val="56"/>
        </w:rPr>
      </w:pPr>
    </w:p>
    <w:p w14:paraId="27E1DA8A" w14:textId="77777777" w:rsidR="0020078A" w:rsidRDefault="0020078A" w:rsidP="0020078A">
      <w:pPr>
        <w:rPr>
          <w:rFonts w:ascii="Arial" w:hAnsi="Arial" w:cs="Arial"/>
          <w:b/>
          <w:sz w:val="32"/>
          <w:szCs w:val="32"/>
        </w:rPr>
      </w:pPr>
    </w:p>
    <w:p w14:paraId="1E89AD29" w14:textId="77777777" w:rsidR="0020078A" w:rsidRDefault="0020078A" w:rsidP="0020078A"/>
    <w:p w14:paraId="22C4CD3F" w14:textId="77777777" w:rsidR="0020078A" w:rsidRDefault="0020078A" w:rsidP="0020078A"/>
    <w:p w14:paraId="7302AB12" w14:textId="77777777" w:rsidR="0020078A" w:rsidRDefault="0020078A" w:rsidP="0020078A"/>
    <w:p w14:paraId="4869D2CA" w14:textId="77777777" w:rsidR="0020078A" w:rsidRDefault="0020078A" w:rsidP="0020078A"/>
    <w:p w14:paraId="1EC875F6" w14:textId="77777777" w:rsidR="0020078A" w:rsidRDefault="0020078A" w:rsidP="0020078A"/>
    <w:p w14:paraId="1274A58A" w14:textId="77777777" w:rsidR="00413BC1" w:rsidRDefault="00413BC1" w:rsidP="0020078A">
      <w:bookmarkStart w:id="1" w:name="_Hlk166763471"/>
    </w:p>
    <w:p w14:paraId="758BC687" w14:textId="77777777" w:rsidR="00157EE6" w:rsidRDefault="00157EE6" w:rsidP="0020078A"/>
    <w:p w14:paraId="1B50A2B2" w14:textId="3F1BFFD6" w:rsidR="00282200" w:rsidRDefault="00737665" w:rsidP="0020078A">
      <w:pPr>
        <w:rPr>
          <w:rFonts w:ascii="Arial" w:hAnsi="Arial" w:cs="Arial"/>
          <w:b/>
          <w:sz w:val="32"/>
          <w:szCs w:val="32"/>
        </w:rPr>
      </w:pPr>
      <w:hyperlink r:id="rId9" w:history="1">
        <w:r w:rsidR="0020078A" w:rsidRPr="00CC2C28">
          <w:rPr>
            <w:rFonts w:ascii="Arial" w:eastAsia="Times New Roman" w:hAnsi="Arial" w:cs="Arial"/>
            <w:b/>
            <w:bCs/>
            <w:color w:val="0000FF"/>
            <w:sz w:val="32"/>
            <w:szCs w:val="32"/>
            <w:u w:val="single"/>
          </w:rPr>
          <w:t>www.chichester.gov.uk</w:t>
        </w:r>
      </w:hyperlink>
      <w:r w:rsidR="0020078A" w:rsidRPr="00CC2C28">
        <w:rPr>
          <w:rFonts w:ascii="Arial" w:eastAsia="Times New Roman" w:hAnsi="Arial" w:cs="Arial"/>
          <w:b/>
          <w:bCs/>
          <w:sz w:val="32"/>
          <w:szCs w:val="32"/>
        </w:rPr>
        <w:tab/>
      </w:r>
      <w:r w:rsidR="00157EE6">
        <w:rPr>
          <w:rFonts w:ascii="Arial" w:eastAsia="Times New Roman" w:hAnsi="Arial" w:cs="Arial"/>
          <w:b/>
          <w:bCs/>
          <w:sz w:val="32"/>
          <w:szCs w:val="32"/>
        </w:rPr>
        <w:tab/>
      </w:r>
      <w:r w:rsidR="00157EE6">
        <w:rPr>
          <w:rFonts w:ascii="Arial" w:eastAsia="Times New Roman" w:hAnsi="Arial" w:cs="Arial"/>
          <w:b/>
          <w:bCs/>
          <w:sz w:val="32"/>
          <w:szCs w:val="32"/>
        </w:rPr>
        <w:tab/>
      </w:r>
      <w:r w:rsidR="00157EE6">
        <w:rPr>
          <w:rFonts w:ascii="Arial" w:eastAsia="Times New Roman" w:hAnsi="Arial" w:cs="Arial"/>
          <w:b/>
          <w:bCs/>
          <w:sz w:val="32"/>
          <w:szCs w:val="32"/>
        </w:rPr>
        <w:tab/>
      </w:r>
      <w:r w:rsidR="00157EE6">
        <w:rPr>
          <w:rFonts w:ascii="Arial" w:eastAsia="Times New Roman" w:hAnsi="Arial" w:cs="Arial"/>
          <w:b/>
          <w:bCs/>
          <w:sz w:val="32"/>
          <w:szCs w:val="32"/>
        </w:rPr>
        <w:tab/>
      </w:r>
      <w:r w:rsidR="00157EE6">
        <w:rPr>
          <w:rFonts w:ascii="Arial" w:eastAsia="Times New Roman" w:hAnsi="Arial" w:cs="Arial"/>
          <w:b/>
          <w:bCs/>
          <w:sz w:val="32"/>
          <w:szCs w:val="32"/>
        </w:rPr>
        <w:tab/>
      </w:r>
      <w:r w:rsidR="00157EE6">
        <w:rPr>
          <w:rFonts w:ascii="Arial" w:eastAsia="Times New Roman" w:hAnsi="Arial" w:cs="Arial"/>
          <w:b/>
          <w:bCs/>
          <w:sz w:val="32"/>
          <w:szCs w:val="32"/>
        </w:rPr>
        <w:tab/>
      </w:r>
      <w:r w:rsidR="008E5153">
        <w:rPr>
          <w:rFonts w:ascii="Arial" w:eastAsia="Times New Roman" w:hAnsi="Arial" w:cs="Arial"/>
          <w:b/>
          <w:bCs/>
          <w:sz w:val="32"/>
          <w:szCs w:val="32"/>
        </w:rPr>
        <w:t xml:space="preserve">May </w:t>
      </w:r>
      <w:r w:rsidR="00810362">
        <w:rPr>
          <w:rFonts w:ascii="Arial" w:hAnsi="Arial" w:cs="Arial"/>
          <w:b/>
          <w:sz w:val="32"/>
          <w:szCs w:val="32"/>
        </w:rPr>
        <w:t>202</w:t>
      </w:r>
      <w:r w:rsidR="000B61B2">
        <w:rPr>
          <w:rFonts w:ascii="Arial" w:hAnsi="Arial" w:cs="Arial"/>
          <w:b/>
          <w:sz w:val="32"/>
          <w:szCs w:val="32"/>
        </w:rPr>
        <w:t>4</w:t>
      </w:r>
    </w:p>
    <w:bookmarkEnd w:id="1"/>
    <w:bookmarkEnd w:id="0"/>
    <w:p w14:paraId="6E3E1D62" w14:textId="77777777" w:rsidR="00282200" w:rsidRDefault="00282200">
      <w:pPr>
        <w:rPr>
          <w:rFonts w:ascii="Arial" w:hAnsi="Arial" w:cs="Arial"/>
          <w:b/>
          <w:sz w:val="32"/>
          <w:szCs w:val="32"/>
        </w:rPr>
      </w:pPr>
      <w:r>
        <w:rPr>
          <w:rFonts w:ascii="Arial" w:hAnsi="Arial" w:cs="Arial"/>
          <w:b/>
          <w:sz w:val="32"/>
          <w:szCs w:val="32"/>
        </w:rPr>
        <w:br w:type="page"/>
      </w:r>
    </w:p>
    <w:sdt>
      <w:sdtPr>
        <w:rPr>
          <w:rFonts w:ascii="Arial" w:eastAsiaTheme="minorHAnsi" w:hAnsi="Arial" w:cs="Arial"/>
          <w:color w:val="auto"/>
          <w:sz w:val="22"/>
          <w:szCs w:val="22"/>
          <w:lang w:val="en-GB"/>
        </w:rPr>
        <w:id w:val="1513642755"/>
        <w:docPartObj>
          <w:docPartGallery w:val="Table of Contents"/>
          <w:docPartUnique/>
        </w:docPartObj>
      </w:sdtPr>
      <w:sdtEndPr>
        <w:rPr>
          <w:rFonts w:asciiTheme="minorHAnsi" w:hAnsiTheme="minorHAnsi" w:cstheme="minorBidi"/>
          <w:b/>
          <w:bCs/>
          <w:noProof/>
          <w:sz w:val="24"/>
          <w:szCs w:val="24"/>
        </w:rPr>
      </w:sdtEndPr>
      <w:sdtContent>
        <w:p w14:paraId="3CB490E8" w14:textId="6C7C2BA7" w:rsidR="00282200" w:rsidRPr="00413BC1" w:rsidRDefault="00282200" w:rsidP="0051495C">
          <w:pPr>
            <w:pStyle w:val="TOCHeading"/>
            <w:spacing w:after="240"/>
            <w:rPr>
              <w:rFonts w:ascii="Arial" w:hAnsi="Arial" w:cs="Arial"/>
              <w:b/>
              <w:bCs/>
              <w:color w:val="auto"/>
              <w:sz w:val="28"/>
              <w:szCs w:val="28"/>
            </w:rPr>
          </w:pPr>
          <w:r w:rsidRPr="0051495C">
            <w:rPr>
              <w:rFonts w:ascii="Arial" w:hAnsi="Arial" w:cs="Arial"/>
              <w:b/>
              <w:bCs/>
              <w:color w:val="0073CF"/>
              <w:sz w:val="28"/>
              <w:szCs w:val="28"/>
            </w:rPr>
            <w:t>Contents</w:t>
          </w:r>
        </w:p>
        <w:p w14:paraId="152108D2" w14:textId="32105911" w:rsidR="00CF523A" w:rsidRPr="00CF523A" w:rsidRDefault="00282200">
          <w:pPr>
            <w:pStyle w:val="TOC1"/>
            <w:tabs>
              <w:tab w:val="left" w:pos="440"/>
              <w:tab w:val="right" w:leader="dot" w:pos="9628"/>
            </w:tabs>
            <w:rPr>
              <w:rFonts w:ascii="Arial" w:eastAsiaTheme="minorEastAsia" w:hAnsi="Arial" w:cs="Arial"/>
              <w:noProof/>
              <w:kern w:val="2"/>
              <w:sz w:val="24"/>
              <w:szCs w:val="24"/>
              <w:lang w:eastAsia="en-GB"/>
              <w14:ligatures w14:val="standardContextual"/>
            </w:rPr>
          </w:pPr>
          <w:r w:rsidRPr="00413BC1">
            <w:rPr>
              <w:rFonts w:ascii="Arial" w:hAnsi="Arial" w:cs="Arial"/>
              <w:sz w:val="24"/>
              <w:szCs w:val="24"/>
            </w:rPr>
            <w:fldChar w:fldCharType="begin"/>
          </w:r>
          <w:r w:rsidRPr="00413BC1">
            <w:rPr>
              <w:rFonts w:ascii="Arial" w:hAnsi="Arial" w:cs="Arial"/>
              <w:sz w:val="24"/>
              <w:szCs w:val="24"/>
            </w:rPr>
            <w:instrText xml:space="preserve"> TOC \o "1-3" \h \z \u </w:instrText>
          </w:r>
          <w:r w:rsidRPr="00413BC1">
            <w:rPr>
              <w:rFonts w:ascii="Arial" w:hAnsi="Arial" w:cs="Arial"/>
              <w:sz w:val="24"/>
              <w:szCs w:val="24"/>
            </w:rPr>
            <w:fldChar w:fldCharType="separate"/>
          </w:r>
          <w:hyperlink w:anchor="_Toc167289629" w:history="1">
            <w:r w:rsidR="00CF523A" w:rsidRPr="00CF523A">
              <w:rPr>
                <w:rStyle w:val="Hyperlink"/>
                <w:rFonts w:ascii="Arial" w:hAnsi="Arial" w:cs="Arial"/>
                <w:noProof/>
                <w:sz w:val="24"/>
                <w:szCs w:val="24"/>
              </w:rPr>
              <w:t>1.</w:t>
            </w:r>
            <w:r w:rsidR="00CF523A" w:rsidRPr="00CF523A">
              <w:rPr>
                <w:rFonts w:ascii="Arial" w:eastAsiaTheme="minorEastAsia" w:hAnsi="Arial" w:cs="Arial"/>
                <w:noProof/>
                <w:kern w:val="2"/>
                <w:sz w:val="24"/>
                <w:szCs w:val="24"/>
                <w:lang w:eastAsia="en-GB"/>
                <w14:ligatures w14:val="standardContextual"/>
              </w:rPr>
              <w:tab/>
            </w:r>
            <w:r w:rsidR="00CF523A" w:rsidRPr="00CF523A">
              <w:rPr>
                <w:rStyle w:val="Hyperlink"/>
                <w:rFonts w:ascii="Arial" w:hAnsi="Arial" w:cs="Arial"/>
                <w:noProof/>
                <w:sz w:val="24"/>
                <w:szCs w:val="24"/>
              </w:rPr>
              <w:t>Introduction</w:t>
            </w:r>
            <w:r w:rsidR="00CF523A" w:rsidRPr="00CF523A">
              <w:rPr>
                <w:rFonts w:ascii="Arial" w:hAnsi="Arial" w:cs="Arial"/>
                <w:noProof/>
                <w:webHidden/>
                <w:sz w:val="24"/>
                <w:szCs w:val="24"/>
              </w:rPr>
              <w:tab/>
            </w:r>
            <w:r w:rsidR="00CF523A" w:rsidRPr="00CF523A">
              <w:rPr>
                <w:rFonts w:ascii="Arial" w:hAnsi="Arial" w:cs="Arial"/>
                <w:noProof/>
                <w:webHidden/>
                <w:sz w:val="24"/>
                <w:szCs w:val="24"/>
              </w:rPr>
              <w:fldChar w:fldCharType="begin"/>
            </w:r>
            <w:r w:rsidR="00CF523A" w:rsidRPr="00CF523A">
              <w:rPr>
                <w:rFonts w:ascii="Arial" w:hAnsi="Arial" w:cs="Arial"/>
                <w:noProof/>
                <w:webHidden/>
                <w:sz w:val="24"/>
                <w:szCs w:val="24"/>
              </w:rPr>
              <w:instrText xml:space="preserve"> PAGEREF _Toc167289629 \h </w:instrText>
            </w:r>
            <w:r w:rsidR="00CF523A" w:rsidRPr="00CF523A">
              <w:rPr>
                <w:rFonts w:ascii="Arial" w:hAnsi="Arial" w:cs="Arial"/>
                <w:noProof/>
                <w:webHidden/>
                <w:sz w:val="24"/>
                <w:szCs w:val="24"/>
              </w:rPr>
            </w:r>
            <w:r w:rsidR="00CF523A" w:rsidRPr="00CF523A">
              <w:rPr>
                <w:rFonts w:ascii="Arial" w:hAnsi="Arial" w:cs="Arial"/>
                <w:noProof/>
                <w:webHidden/>
                <w:sz w:val="24"/>
                <w:szCs w:val="24"/>
              </w:rPr>
              <w:fldChar w:fldCharType="separate"/>
            </w:r>
            <w:r w:rsidR="00CF523A" w:rsidRPr="00CF523A">
              <w:rPr>
                <w:rFonts w:ascii="Arial" w:hAnsi="Arial" w:cs="Arial"/>
                <w:noProof/>
                <w:webHidden/>
                <w:sz w:val="24"/>
                <w:szCs w:val="24"/>
              </w:rPr>
              <w:t>1</w:t>
            </w:r>
            <w:r w:rsidR="00CF523A" w:rsidRPr="00CF523A">
              <w:rPr>
                <w:rFonts w:ascii="Arial" w:hAnsi="Arial" w:cs="Arial"/>
                <w:noProof/>
                <w:webHidden/>
                <w:sz w:val="24"/>
                <w:szCs w:val="24"/>
              </w:rPr>
              <w:fldChar w:fldCharType="end"/>
            </w:r>
          </w:hyperlink>
        </w:p>
        <w:p w14:paraId="2F5C11F8" w14:textId="340655F4" w:rsidR="00CF523A" w:rsidRPr="00CF523A" w:rsidRDefault="00737665">
          <w:pPr>
            <w:pStyle w:val="TOC1"/>
            <w:tabs>
              <w:tab w:val="left" w:pos="440"/>
              <w:tab w:val="right" w:leader="dot" w:pos="9628"/>
            </w:tabs>
            <w:rPr>
              <w:rFonts w:ascii="Arial" w:eastAsiaTheme="minorEastAsia" w:hAnsi="Arial" w:cs="Arial"/>
              <w:noProof/>
              <w:kern w:val="2"/>
              <w:sz w:val="24"/>
              <w:szCs w:val="24"/>
              <w:lang w:eastAsia="en-GB"/>
              <w14:ligatures w14:val="standardContextual"/>
            </w:rPr>
          </w:pPr>
          <w:hyperlink w:anchor="_Toc167289630" w:history="1">
            <w:r w:rsidR="00CF523A" w:rsidRPr="00CF523A">
              <w:rPr>
                <w:rStyle w:val="Hyperlink"/>
                <w:rFonts w:ascii="Arial" w:hAnsi="Arial" w:cs="Arial"/>
                <w:noProof/>
                <w:sz w:val="24"/>
                <w:szCs w:val="24"/>
              </w:rPr>
              <w:t>2.</w:t>
            </w:r>
            <w:r w:rsidR="00CF523A" w:rsidRPr="00CF523A">
              <w:rPr>
                <w:rFonts w:ascii="Arial" w:eastAsiaTheme="minorEastAsia" w:hAnsi="Arial" w:cs="Arial"/>
                <w:noProof/>
                <w:kern w:val="2"/>
                <w:sz w:val="24"/>
                <w:szCs w:val="24"/>
                <w:lang w:eastAsia="en-GB"/>
                <w14:ligatures w14:val="standardContextual"/>
              </w:rPr>
              <w:tab/>
            </w:r>
            <w:r w:rsidR="00CF523A" w:rsidRPr="00CF523A">
              <w:rPr>
                <w:rStyle w:val="Hyperlink"/>
                <w:rFonts w:ascii="Arial" w:hAnsi="Arial" w:cs="Arial"/>
                <w:noProof/>
                <w:sz w:val="24"/>
                <w:szCs w:val="24"/>
              </w:rPr>
              <w:t>Planning Policy Context</w:t>
            </w:r>
            <w:r w:rsidR="00CF523A" w:rsidRPr="00CF523A">
              <w:rPr>
                <w:rFonts w:ascii="Arial" w:hAnsi="Arial" w:cs="Arial"/>
                <w:noProof/>
                <w:webHidden/>
                <w:sz w:val="24"/>
                <w:szCs w:val="24"/>
              </w:rPr>
              <w:tab/>
            </w:r>
            <w:r w:rsidR="00CF523A" w:rsidRPr="00CF523A">
              <w:rPr>
                <w:rFonts w:ascii="Arial" w:hAnsi="Arial" w:cs="Arial"/>
                <w:noProof/>
                <w:webHidden/>
                <w:sz w:val="24"/>
                <w:szCs w:val="24"/>
              </w:rPr>
              <w:fldChar w:fldCharType="begin"/>
            </w:r>
            <w:r w:rsidR="00CF523A" w:rsidRPr="00CF523A">
              <w:rPr>
                <w:rFonts w:ascii="Arial" w:hAnsi="Arial" w:cs="Arial"/>
                <w:noProof/>
                <w:webHidden/>
                <w:sz w:val="24"/>
                <w:szCs w:val="24"/>
              </w:rPr>
              <w:instrText xml:space="preserve"> PAGEREF _Toc167289630 \h </w:instrText>
            </w:r>
            <w:r w:rsidR="00CF523A" w:rsidRPr="00CF523A">
              <w:rPr>
                <w:rFonts w:ascii="Arial" w:hAnsi="Arial" w:cs="Arial"/>
                <w:noProof/>
                <w:webHidden/>
                <w:sz w:val="24"/>
                <w:szCs w:val="24"/>
              </w:rPr>
            </w:r>
            <w:r w:rsidR="00CF523A" w:rsidRPr="00CF523A">
              <w:rPr>
                <w:rFonts w:ascii="Arial" w:hAnsi="Arial" w:cs="Arial"/>
                <w:noProof/>
                <w:webHidden/>
                <w:sz w:val="24"/>
                <w:szCs w:val="24"/>
              </w:rPr>
              <w:fldChar w:fldCharType="separate"/>
            </w:r>
            <w:r w:rsidR="00CF523A" w:rsidRPr="00CF523A">
              <w:rPr>
                <w:rFonts w:ascii="Arial" w:hAnsi="Arial" w:cs="Arial"/>
                <w:noProof/>
                <w:webHidden/>
                <w:sz w:val="24"/>
                <w:szCs w:val="24"/>
              </w:rPr>
              <w:t>1</w:t>
            </w:r>
            <w:r w:rsidR="00CF523A" w:rsidRPr="00CF523A">
              <w:rPr>
                <w:rFonts w:ascii="Arial" w:hAnsi="Arial" w:cs="Arial"/>
                <w:noProof/>
                <w:webHidden/>
                <w:sz w:val="24"/>
                <w:szCs w:val="24"/>
              </w:rPr>
              <w:fldChar w:fldCharType="end"/>
            </w:r>
          </w:hyperlink>
        </w:p>
        <w:p w14:paraId="7A2A1AFA" w14:textId="1D887118" w:rsidR="00CF523A" w:rsidRPr="00CF523A" w:rsidRDefault="00737665">
          <w:pPr>
            <w:pStyle w:val="TOC1"/>
            <w:tabs>
              <w:tab w:val="left" w:pos="440"/>
              <w:tab w:val="right" w:leader="dot" w:pos="9628"/>
            </w:tabs>
            <w:rPr>
              <w:rFonts w:ascii="Arial" w:eastAsiaTheme="minorEastAsia" w:hAnsi="Arial" w:cs="Arial"/>
              <w:noProof/>
              <w:kern w:val="2"/>
              <w:sz w:val="24"/>
              <w:szCs w:val="24"/>
              <w:lang w:eastAsia="en-GB"/>
              <w14:ligatures w14:val="standardContextual"/>
            </w:rPr>
          </w:pPr>
          <w:hyperlink w:anchor="_Toc167289631" w:history="1">
            <w:r w:rsidR="00CF523A" w:rsidRPr="00CF523A">
              <w:rPr>
                <w:rStyle w:val="Hyperlink"/>
                <w:rFonts w:ascii="Arial" w:hAnsi="Arial" w:cs="Arial"/>
                <w:noProof/>
                <w:sz w:val="24"/>
                <w:szCs w:val="24"/>
              </w:rPr>
              <w:t>3.</w:t>
            </w:r>
            <w:r w:rsidR="00CF523A" w:rsidRPr="00CF523A">
              <w:rPr>
                <w:rFonts w:ascii="Arial" w:eastAsiaTheme="minorEastAsia" w:hAnsi="Arial" w:cs="Arial"/>
                <w:noProof/>
                <w:kern w:val="2"/>
                <w:sz w:val="24"/>
                <w:szCs w:val="24"/>
                <w:lang w:eastAsia="en-GB"/>
                <w14:ligatures w14:val="standardContextual"/>
              </w:rPr>
              <w:tab/>
            </w:r>
            <w:r w:rsidR="00CF523A" w:rsidRPr="00CF523A">
              <w:rPr>
                <w:rStyle w:val="Hyperlink"/>
                <w:rFonts w:ascii="Arial" w:hAnsi="Arial" w:cs="Arial"/>
                <w:noProof/>
                <w:sz w:val="24"/>
                <w:szCs w:val="24"/>
              </w:rPr>
              <w:t>Settlement Hierarchy Background</w:t>
            </w:r>
            <w:r w:rsidR="00CF523A" w:rsidRPr="00CF523A">
              <w:rPr>
                <w:rFonts w:ascii="Arial" w:hAnsi="Arial" w:cs="Arial"/>
                <w:noProof/>
                <w:webHidden/>
                <w:sz w:val="24"/>
                <w:szCs w:val="24"/>
              </w:rPr>
              <w:tab/>
            </w:r>
            <w:r w:rsidR="00CF523A" w:rsidRPr="00CF523A">
              <w:rPr>
                <w:rFonts w:ascii="Arial" w:hAnsi="Arial" w:cs="Arial"/>
                <w:noProof/>
                <w:webHidden/>
                <w:sz w:val="24"/>
                <w:szCs w:val="24"/>
              </w:rPr>
              <w:fldChar w:fldCharType="begin"/>
            </w:r>
            <w:r w:rsidR="00CF523A" w:rsidRPr="00CF523A">
              <w:rPr>
                <w:rFonts w:ascii="Arial" w:hAnsi="Arial" w:cs="Arial"/>
                <w:noProof/>
                <w:webHidden/>
                <w:sz w:val="24"/>
                <w:szCs w:val="24"/>
              </w:rPr>
              <w:instrText xml:space="preserve"> PAGEREF _Toc167289631 \h </w:instrText>
            </w:r>
            <w:r w:rsidR="00CF523A" w:rsidRPr="00CF523A">
              <w:rPr>
                <w:rFonts w:ascii="Arial" w:hAnsi="Arial" w:cs="Arial"/>
                <w:noProof/>
                <w:webHidden/>
                <w:sz w:val="24"/>
                <w:szCs w:val="24"/>
              </w:rPr>
            </w:r>
            <w:r w:rsidR="00CF523A" w:rsidRPr="00CF523A">
              <w:rPr>
                <w:rFonts w:ascii="Arial" w:hAnsi="Arial" w:cs="Arial"/>
                <w:noProof/>
                <w:webHidden/>
                <w:sz w:val="24"/>
                <w:szCs w:val="24"/>
              </w:rPr>
              <w:fldChar w:fldCharType="separate"/>
            </w:r>
            <w:r w:rsidR="00CF523A" w:rsidRPr="00CF523A">
              <w:rPr>
                <w:rFonts w:ascii="Arial" w:hAnsi="Arial" w:cs="Arial"/>
                <w:noProof/>
                <w:webHidden/>
                <w:sz w:val="24"/>
                <w:szCs w:val="24"/>
              </w:rPr>
              <w:t>4</w:t>
            </w:r>
            <w:r w:rsidR="00CF523A" w:rsidRPr="00CF523A">
              <w:rPr>
                <w:rFonts w:ascii="Arial" w:hAnsi="Arial" w:cs="Arial"/>
                <w:noProof/>
                <w:webHidden/>
                <w:sz w:val="24"/>
                <w:szCs w:val="24"/>
              </w:rPr>
              <w:fldChar w:fldCharType="end"/>
            </w:r>
          </w:hyperlink>
        </w:p>
        <w:p w14:paraId="3C59D864" w14:textId="1844F941" w:rsidR="00CF523A" w:rsidRPr="00CF523A" w:rsidRDefault="00737665">
          <w:pPr>
            <w:pStyle w:val="TOC1"/>
            <w:tabs>
              <w:tab w:val="left" w:pos="440"/>
              <w:tab w:val="right" w:leader="dot" w:pos="9628"/>
            </w:tabs>
            <w:rPr>
              <w:rFonts w:ascii="Arial" w:eastAsiaTheme="minorEastAsia" w:hAnsi="Arial" w:cs="Arial"/>
              <w:noProof/>
              <w:kern w:val="2"/>
              <w:sz w:val="24"/>
              <w:szCs w:val="24"/>
              <w:lang w:eastAsia="en-GB"/>
              <w14:ligatures w14:val="standardContextual"/>
            </w:rPr>
          </w:pPr>
          <w:hyperlink w:anchor="_Toc167289632" w:history="1">
            <w:r w:rsidR="00CF523A" w:rsidRPr="00CF523A">
              <w:rPr>
                <w:rStyle w:val="Hyperlink"/>
                <w:rFonts w:ascii="Arial" w:hAnsi="Arial" w:cs="Arial"/>
                <w:noProof/>
                <w:sz w:val="24"/>
                <w:szCs w:val="24"/>
              </w:rPr>
              <w:t>4.</w:t>
            </w:r>
            <w:r w:rsidR="00CF523A" w:rsidRPr="00CF523A">
              <w:rPr>
                <w:rFonts w:ascii="Arial" w:eastAsiaTheme="minorEastAsia" w:hAnsi="Arial" w:cs="Arial"/>
                <w:noProof/>
                <w:kern w:val="2"/>
                <w:sz w:val="24"/>
                <w:szCs w:val="24"/>
                <w:lang w:eastAsia="en-GB"/>
                <w14:ligatures w14:val="standardContextual"/>
              </w:rPr>
              <w:tab/>
            </w:r>
            <w:r w:rsidR="00CF523A" w:rsidRPr="00CF523A">
              <w:rPr>
                <w:rStyle w:val="Hyperlink"/>
                <w:rFonts w:ascii="Arial" w:hAnsi="Arial" w:cs="Arial"/>
                <w:noProof/>
                <w:sz w:val="24"/>
                <w:szCs w:val="24"/>
              </w:rPr>
              <w:t>Assessment of settlement sustainability</w:t>
            </w:r>
            <w:r w:rsidR="00CF523A" w:rsidRPr="00CF523A">
              <w:rPr>
                <w:rFonts w:ascii="Arial" w:hAnsi="Arial" w:cs="Arial"/>
                <w:noProof/>
                <w:webHidden/>
                <w:sz w:val="24"/>
                <w:szCs w:val="24"/>
              </w:rPr>
              <w:tab/>
            </w:r>
            <w:r w:rsidR="00CF523A" w:rsidRPr="00CF523A">
              <w:rPr>
                <w:rFonts w:ascii="Arial" w:hAnsi="Arial" w:cs="Arial"/>
                <w:noProof/>
                <w:webHidden/>
                <w:sz w:val="24"/>
                <w:szCs w:val="24"/>
              </w:rPr>
              <w:fldChar w:fldCharType="begin"/>
            </w:r>
            <w:r w:rsidR="00CF523A" w:rsidRPr="00CF523A">
              <w:rPr>
                <w:rFonts w:ascii="Arial" w:hAnsi="Arial" w:cs="Arial"/>
                <w:noProof/>
                <w:webHidden/>
                <w:sz w:val="24"/>
                <w:szCs w:val="24"/>
              </w:rPr>
              <w:instrText xml:space="preserve"> PAGEREF _Toc167289632 \h </w:instrText>
            </w:r>
            <w:r w:rsidR="00CF523A" w:rsidRPr="00CF523A">
              <w:rPr>
                <w:rFonts w:ascii="Arial" w:hAnsi="Arial" w:cs="Arial"/>
                <w:noProof/>
                <w:webHidden/>
                <w:sz w:val="24"/>
                <w:szCs w:val="24"/>
              </w:rPr>
            </w:r>
            <w:r w:rsidR="00CF523A" w:rsidRPr="00CF523A">
              <w:rPr>
                <w:rFonts w:ascii="Arial" w:hAnsi="Arial" w:cs="Arial"/>
                <w:noProof/>
                <w:webHidden/>
                <w:sz w:val="24"/>
                <w:szCs w:val="24"/>
              </w:rPr>
              <w:fldChar w:fldCharType="separate"/>
            </w:r>
            <w:r w:rsidR="00CF523A" w:rsidRPr="00CF523A">
              <w:rPr>
                <w:rFonts w:ascii="Arial" w:hAnsi="Arial" w:cs="Arial"/>
                <w:noProof/>
                <w:webHidden/>
                <w:sz w:val="24"/>
                <w:szCs w:val="24"/>
              </w:rPr>
              <w:t>4</w:t>
            </w:r>
            <w:r w:rsidR="00CF523A" w:rsidRPr="00CF523A">
              <w:rPr>
                <w:rFonts w:ascii="Arial" w:hAnsi="Arial" w:cs="Arial"/>
                <w:noProof/>
                <w:webHidden/>
                <w:sz w:val="24"/>
                <w:szCs w:val="24"/>
              </w:rPr>
              <w:fldChar w:fldCharType="end"/>
            </w:r>
          </w:hyperlink>
        </w:p>
        <w:p w14:paraId="5DCF39A3" w14:textId="7062E56F" w:rsidR="00CF523A" w:rsidRPr="00CF523A" w:rsidRDefault="00737665">
          <w:pPr>
            <w:pStyle w:val="TOC1"/>
            <w:tabs>
              <w:tab w:val="left" w:pos="440"/>
              <w:tab w:val="right" w:leader="dot" w:pos="9628"/>
            </w:tabs>
            <w:rPr>
              <w:rFonts w:ascii="Arial" w:eastAsiaTheme="minorEastAsia" w:hAnsi="Arial" w:cs="Arial"/>
              <w:noProof/>
              <w:kern w:val="2"/>
              <w:sz w:val="24"/>
              <w:szCs w:val="24"/>
              <w:lang w:eastAsia="en-GB"/>
              <w14:ligatures w14:val="standardContextual"/>
            </w:rPr>
          </w:pPr>
          <w:hyperlink w:anchor="_Toc167289633" w:history="1">
            <w:r w:rsidR="00CF523A" w:rsidRPr="00CF523A">
              <w:rPr>
                <w:rStyle w:val="Hyperlink"/>
                <w:rFonts w:ascii="Arial" w:hAnsi="Arial" w:cs="Arial"/>
                <w:noProof/>
                <w:sz w:val="24"/>
                <w:szCs w:val="24"/>
              </w:rPr>
              <w:t>5.</w:t>
            </w:r>
            <w:r w:rsidR="00CF523A" w:rsidRPr="00CF523A">
              <w:rPr>
                <w:rFonts w:ascii="Arial" w:eastAsiaTheme="minorEastAsia" w:hAnsi="Arial" w:cs="Arial"/>
                <w:noProof/>
                <w:kern w:val="2"/>
                <w:sz w:val="24"/>
                <w:szCs w:val="24"/>
                <w:lang w:eastAsia="en-GB"/>
                <w14:ligatures w14:val="standardContextual"/>
              </w:rPr>
              <w:tab/>
            </w:r>
            <w:r w:rsidR="00CF523A" w:rsidRPr="00CF523A">
              <w:rPr>
                <w:rStyle w:val="Hyperlink"/>
                <w:rFonts w:ascii="Arial" w:hAnsi="Arial" w:cs="Arial"/>
                <w:noProof/>
                <w:sz w:val="24"/>
                <w:szCs w:val="24"/>
              </w:rPr>
              <w:t>Settlement Hierarchy</w:t>
            </w:r>
            <w:r w:rsidR="00CF523A" w:rsidRPr="00CF523A">
              <w:rPr>
                <w:rFonts w:ascii="Arial" w:hAnsi="Arial" w:cs="Arial"/>
                <w:noProof/>
                <w:webHidden/>
                <w:sz w:val="24"/>
                <w:szCs w:val="24"/>
              </w:rPr>
              <w:tab/>
            </w:r>
            <w:r w:rsidR="00CF523A" w:rsidRPr="00CF523A">
              <w:rPr>
                <w:rFonts w:ascii="Arial" w:hAnsi="Arial" w:cs="Arial"/>
                <w:noProof/>
                <w:webHidden/>
                <w:sz w:val="24"/>
                <w:szCs w:val="24"/>
              </w:rPr>
              <w:fldChar w:fldCharType="begin"/>
            </w:r>
            <w:r w:rsidR="00CF523A" w:rsidRPr="00CF523A">
              <w:rPr>
                <w:rFonts w:ascii="Arial" w:hAnsi="Arial" w:cs="Arial"/>
                <w:noProof/>
                <w:webHidden/>
                <w:sz w:val="24"/>
                <w:szCs w:val="24"/>
              </w:rPr>
              <w:instrText xml:space="preserve"> PAGEREF _Toc167289633 \h </w:instrText>
            </w:r>
            <w:r w:rsidR="00CF523A" w:rsidRPr="00CF523A">
              <w:rPr>
                <w:rFonts w:ascii="Arial" w:hAnsi="Arial" w:cs="Arial"/>
                <w:noProof/>
                <w:webHidden/>
                <w:sz w:val="24"/>
                <w:szCs w:val="24"/>
              </w:rPr>
            </w:r>
            <w:r w:rsidR="00CF523A" w:rsidRPr="00CF523A">
              <w:rPr>
                <w:rFonts w:ascii="Arial" w:hAnsi="Arial" w:cs="Arial"/>
                <w:noProof/>
                <w:webHidden/>
                <w:sz w:val="24"/>
                <w:szCs w:val="24"/>
              </w:rPr>
              <w:fldChar w:fldCharType="separate"/>
            </w:r>
            <w:r w:rsidR="00CF523A" w:rsidRPr="00CF523A">
              <w:rPr>
                <w:rFonts w:ascii="Arial" w:hAnsi="Arial" w:cs="Arial"/>
                <w:noProof/>
                <w:webHidden/>
                <w:sz w:val="24"/>
                <w:szCs w:val="24"/>
              </w:rPr>
              <w:t>7</w:t>
            </w:r>
            <w:r w:rsidR="00CF523A" w:rsidRPr="00CF523A">
              <w:rPr>
                <w:rFonts w:ascii="Arial" w:hAnsi="Arial" w:cs="Arial"/>
                <w:noProof/>
                <w:webHidden/>
                <w:sz w:val="24"/>
                <w:szCs w:val="24"/>
              </w:rPr>
              <w:fldChar w:fldCharType="end"/>
            </w:r>
          </w:hyperlink>
        </w:p>
        <w:p w14:paraId="71E2FCBA" w14:textId="0D36F352" w:rsidR="00CF523A" w:rsidRPr="00CF523A" w:rsidRDefault="00737665">
          <w:pPr>
            <w:pStyle w:val="TOC1"/>
            <w:tabs>
              <w:tab w:val="left" w:pos="440"/>
              <w:tab w:val="right" w:leader="dot" w:pos="9628"/>
            </w:tabs>
            <w:rPr>
              <w:rFonts w:ascii="Arial" w:eastAsiaTheme="minorEastAsia" w:hAnsi="Arial" w:cs="Arial"/>
              <w:noProof/>
              <w:kern w:val="2"/>
              <w:sz w:val="24"/>
              <w:szCs w:val="24"/>
              <w:lang w:eastAsia="en-GB"/>
              <w14:ligatures w14:val="standardContextual"/>
            </w:rPr>
          </w:pPr>
          <w:hyperlink w:anchor="_Toc167289634" w:history="1">
            <w:r w:rsidR="00CF523A" w:rsidRPr="00CF523A">
              <w:rPr>
                <w:rStyle w:val="Hyperlink"/>
                <w:rFonts w:ascii="Arial" w:hAnsi="Arial" w:cs="Arial"/>
                <w:noProof/>
                <w:sz w:val="24"/>
                <w:szCs w:val="24"/>
              </w:rPr>
              <w:t>6.</w:t>
            </w:r>
            <w:r w:rsidR="00CF523A" w:rsidRPr="00CF523A">
              <w:rPr>
                <w:rFonts w:ascii="Arial" w:eastAsiaTheme="minorEastAsia" w:hAnsi="Arial" w:cs="Arial"/>
                <w:noProof/>
                <w:kern w:val="2"/>
                <w:sz w:val="24"/>
                <w:szCs w:val="24"/>
                <w:lang w:eastAsia="en-GB"/>
                <w14:ligatures w14:val="standardContextual"/>
              </w:rPr>
              <w:tab/>
            </w:r>
            <w:r w:rsidR="00CF523A" w:rsidRPr="00CF523A">
              <w:rPr>
                <w:rStyle w:val="Hyperlink"/>
                <w:rFonts w:ascii="Arial" w:hAnsi="Arial" w:cs="Arial"/>
                <w:noProof/>
                <w:sz w:val="24"/>
                <w:szCs w:val="24"/>
              </w:rPr>
              <w:t>Proposed Settlement Hierarchy</w:t>
            </w:r>
            <w:r w:rsidR="00CF523A" w:rsidRPr="00CF523A">
              <w:rPr>
                <w:rFonts w:ascii="Arial" w:hAnsi="Arial" w:cs="Arial"/>
                <w:noProof/>
                <w:webHidden/>
                <w:sz w:val="24"/>
                <w:szCs w:val="24"/>
              </w:rPr>
              <w:tab/>
            </w:r>
            <w:r w:rsidR="00CF523A" w:rsidRPr="00CF523A">
              <w:rPr>
                <w:rFonts w:ascii="Arial" w:hAnsi="Arial" w:cs="Arial"/>
                <w:noProof/>
                <w:webHidden/>
                <w:sz w:val="24"/>
                <w:szCs w:val="24"/>
              </w:rPr>
              <w:fldChar w:fldCharType="begin"/>
            </w:r>
            <w:r w:rsidR="00CF523A" w:rsidRPr="00CF523A">
              <w:rPr>
                <w:rFonts w:ascii="Arial" w:hAnsi="Arial" w:cs="Arial"/>
                <w:noProof/>
                <w:webHidden/>
                <w:sz w:val="24"/>
                <w:szCs w:val="24"/>
              </w:rPr>
              <w:instrText xml:space="preserve"> PAGEREF _Toc167289634 \h </w:instrText>
            </w:r>
            <w:r w:rsidR="00CF523A" w:rsidRPr="00CF523A">
              <w:rPr>
                <w:rFonts w:ascii="Arial" w:hAnsi="Arial" w:cs="Arial"/>
                <w:noProof/>
                <w:webHidden/>
                <w:sz w:val="24"/>
                <w:szCs w:val="24"/>
              </w:rPr>
            </w:r>
            <w:r w:rsidR="00CF523A" w:rsidRPr="00CF523A">
              <w:rPr>
                <w:rFonts w:ascii="Arial" w:hAnsi="Arial" w:cs="Arial"/>
                <w:noProof/>
                <w:webHidden/>
                <w:sz w:val="24"/>
                <w:szCs w:val="24"/>
              </w:rPr>
              <w:fldChar w:fldCharType="separate"/>
            </w:r>
            <w:r w:rsidR="00CF523A" w:rsidRPr="00CF523A">
              <w:rPr>
                <w:rFonts w:ascii="Arial" w:hAnsi="Arial" w:cs="Arial"/>
                <w:noProof/>
                <w:webHidden/>
                <w:sz w:val="24"/>
                <w:szCs w:val="24"/>
              </w:rPr>
              <w:t>9</w:t>
            </w:r>
            <w:r w:rsidR="00CF523A" w:rsidRPr="00CF523A">
              <w:rPr>
                <w:rFonts w:ascii="Arial" w:hAnsi="Arial" w:cs="Arial"/>
                <w:noProof/>
                <w:webHidden/>
                <w:sz w:val="24"/>
                <w:szCs w:val="24"/>
              </w:rPr>
              <w:fldChar w:fldCharType="end"/>
            </w:r>
          </w:hyperlink>
        </w:p>
        <w:p w14:paraId="2C065598" w14:textId="407AE143" w:rsidR="00CF523A" w:rsidRPr="00CF523A" w:rsidRDefault="00737665">
          <w:pPr>
            <w:pStyle w:val="TOC1"/>
            <w:tabs>
              <w:tab w:val="right" w:leader="dot" w:pos="9628"/>
            </w:tabs>
            <w:rPr>
              <w:rFonts w:ascii="Arial" w:eastAsiaTheme="minorEastAsia" w:hAnsi="Arial" w:cs="Arial"/>
              <w:noProof/>
              <w:kern w:val="2"/>
              <w:sz w:val="24"/>
              <w:szCs w:val="24"/>
              <w:lang w:eastAsia="en-GB"/>
              <w14:ligatures w14:val="standardContextual"/>
            </w:rPr>
          </w:pPr>
          <w:hyperlink w:anchor="_Toc167289635" w:history="1">
            <w:r w:rsidR="00CF523A" w:rsidRPr="00CF523A">
              <w:rPr>
                <w:rStyle w:val="Hyperlink"/>
                <w:rFonts w:ascii="Arial" w:hAnsi="Arial" w:cs="Arial"/>
                <w:noProof/>
                <w:sz w:val="24"/>
                <w:szCs w:val="24"/>
              </w:rPr>
              <w:t>Appendix 1: Table of availability of services and facilities by Plan Area settlements</w:t>
            </w:r>
            <w:r w:rsidR="00CF523A" w:rsidRPr="00CF523A">
              <w:rPr>
                <w:rFonts w:ascii="Arial" w:hAnsi="Arial" w:cs="Arial"/>
                <w:noProof/>
                <w:webHidden/>
                <w:sz w:val="24"/>
                <w:szCs w:val="24"/>
              </w:rPr>
              <w:tab/>
            </w:r>
            <w:r w:rsidR="00CF523A" w:rsidRPr="00CF523A">
              <w:rPr>
                <w:rFonts w:ascii="Arial" w:hAnsi="Arial" w:cs="Arial"/>
                <w:noProof/>
                <w:webHidden/>
                <w:sz w:val="24"/>
                <w:szCs w:val="24"/>
              </w:rPr>
              <w:fldChar w:fldCharType="begin"/>
            </w:r>
            <w:r w:rsidR="00CF523A" w:rsidRPr="00CF523A">
              <w:rPr>
                <w:rFonts w:ascii="Arial" w:hAnsi="Arial" w:cs="Arial"/>
                <w:noProof/>
                <w:webHidden/>
                <w:sz w:val="24"/>
                <w:szCs w:val="24"/>
              </w:rPr>
              <w:instrText xml:space="preserve"> PAGEREF _Toc167289635 \h </w:instrText>
            </w:r>
            <w:r w:rsidR="00CF523A" w:rsidRPr="00CF523A">
              <w:rPr>
                <w:rFonts w:ascii="Arial" w:hAnsi="Arial" w:cs="Arial"/>
                <w:noProof/>
                <w:webHidden/>
                <w:sz w:val="24"/>
                <w:szCs w:val="24"/>
              </w:rPr>
            </w:r>
            <w:r w:rsidR="00CF523A" w:rsidRPr="00CF523A">
              <w:rPr>
                <w:rFonts w:ascii="Arial" w:hAnsi="Arial" w:cs="Arial"/>
                <w:noProof/>
                <w:webHidden/>
                <w:sz w:val="24"/>
                <w:szCs w:val="24"/>
              </w:rPr>
              <w:fldChar w:fldCharType="separate"/>
            </w:r>
            <w:r w:rsidR="00CF523A" w:rsidRPr="00CF523A">
              <w:rPr>
                <w:rFonts w:ascii="Arial" w:hAnsi="Arial" w:cs="Arial"/>
                <w:noProof/>
                <w:webHidden/>
                <w:sz w:val="24"/>
                <w:szCs w:val="24"/>
              </w:rPr>
              <w:t>10</w:t>
            </w:r>
            <w:r w:rsidR="00CF523A" w:rsidRPr="00CF523A">
              <w:rPr>
                <w:rFonts w:ascii="Arial" w:hAnsi="Arial" w:cs="Arial"/>
                <w:noProof/>
                <w:webHidden/>
                <w:sz w:val="24"/>
                <w:szCs w:val="24"/>
              </w:rPr>
              <w:fldChar w:fldCharType="end"/>
            </w:r>
          </w:hyperlink>
        </w:p>
        <w:p w14:paraId="0A0E82F6" w14:textId="4AF15DF2" w:rsidR="00CF523A" w:rsidRPr="00CF523A" w:rsidRDefault="00737665">
          <w:pPr>
            <w:pStyle w:val="TOC1"/>
            <w:tabs>
              <w:tab w:val="right" w:leader="dot" w:pos="9628"/>
            </w:tabs>
            <w:rPr>
              <w:rFonts w:ascii="Arial" w:eastAsiaTheme="minorEastAsia" w:hAnsi="Arial" w:cs="Arial"/>
              <w:noProof/>
              <w:kern w:val="2"/>
              <w:sz w:val="24"/>
              <w:szCs w:val="24"/>
              <w:lang w:eastAsia="en-GB"/>
              <w14:ligatures w14:val="standardContextual"/>
            </w:rPr>
          </w:pPr>
          <w:hyperlink w:anchor="_Toc167289636" w:history="1">
            <w:r w:rsidR="00CF523A" w:rsidRPr="00CF523A">
              <w:rPr>
                <w:rStyle w:val="Hyperlink"/>
                <w:rFonts w:ascii="Arial" w:hAnsi="Arial" w:cs="Arial"/>
                <w:noProof/>
                <w:sz w:val="24"/>
                <w:szCs w:val="24"/>
              </w:rPr>
              <w:t>Appendix 2: Change in availability of services and facilities 2018 – 2023</w:t>
            </w:r>
            <w:r w:rsidR="00CF523A" w:rsidRPr="00CF523A">
              <w:rPr>
                <w:rFonts w:ascii="Arial" w:hAnsi="Arial" w:cs="Arial"/>
                <w:noProof/>
                <w:webHidden/>
                <w:sz w:val="24"/>
                <w:szCs w:val="24"/>
              </w:rPr>
              <w:tab/>
            </w:r>
            <w:r w:rsidR="00CF523A" w:rsidRPr="00CF523A">
              <w:rPr>
                <w:rFonts w:ascii="Arial" w:hAnsi="Arial" w:cs="Arial"/>
                <w:noProof/>
                <w:webHidden/>
                <w:sz w:val="24"/>
                <w:szCs w:val="24"/>
              </w:rPr>
              <w:fldChar w:fldCharType="begin"/>
            </w:r>
            <w:r w:rsidR="00CF523A" w:rsidRPr="00CF523A">
              <w:rPr>
                <w:rFonts w:ascii="Arial" w:hAnsi="Arial" w:cs="Arial"/>
                <w:noProof/>
                <w:webHidden/>
                <w:sz w:val="24"/>
                <w:szCs w:val="24"/>
              </w:rPr>
              <w:instrText xml:space="preserve"> PAGEREF _Toc167289636 \h </w:instrText>
            </w:r>
            <w:r w:rsidR="00CF523A" w:rsidRPr="00CF523A">
              <w:rPr>
                <w:rFonts w:ascii="Arial" w:hAnsi="Arial" w:cs="Arial"/>
                <w:noProof/>
                <w:webHidden/>
                <w:sz w:val="24"/>
                <w:szCs w:val="24"/>
              </w:rPr>
            </w:r>
            <w:r w:rsidR="00CF523A" w:rsidRPr="00CF523A">
              <w:rPr>
                <w:rFonts w:ascii="Arial" w:hAnsi="Arial" w:cs="Arial"/>
                <w:noProof/>
                <w:webHidden/>
                <w:sz w:val="24"/>
                <w:szCs w:val="24"/>
              </w:rPr>
              <w:fldChar w:fldCharType="separate"/>
            </w:r>
            <w:r w:rsidR="00CF523A" w:rsidRPr="00CF523A">
              <w:rPr>
                <w:rFonts w:ascii="Arial" w:hAnsi="Arial" w:cs="Arial"/>
                <w:noProof/>
                <w:webHidden/>
                <w:sz w:val="24"/>
                <w:szCs w:val="24"/>
              </w:rPr>
              <w:t>11</w:t>
            </w:r>
            <w:r w:rsidR="00CF523A" w:rsidRPr="00CF523A">
              <w:rPr>
                <w:rFonts w:ascii="Arial" w:hAnsi="Arial" w:cs="Arial"/>
                <w:noProof/>
                <w:webHidden/>
                <w:sz w:val="24"/>
                <w:szCs w:val="24"/>
              </w:rPr>
              <w:fldChar w:fldCharType="end"/>
            </w:r>
          </w:hyperlink>
        </w:p>
        <w:p w14:paraId="7627E6D9" w14:textId="69C2C991" w:rsidR="00282200" w:rsidRPr="00413BC1" w:rsidRDefault="00282200">
          <w:pPr>
            <w:rPr>
              <w:sz w:val="24"/>
              <w:szCs w:val="24"/>
            </w:rPr>
          </w:pPr>
          <w:r w:rsidRPr="00413BC1">
            <w:rPr>
              <w:rFonts w:ascii="Arial" w:hAnsi="Arial" w:cs="Arial"/>
              <w:b/>
              <w:bCs/>
              <w:noProof/>
              <w:sz w:val="24"/>
              <w:szCs w:val="24"/>
            </w:rPr>
            <w:fldChar w:fldCharType="end"/>
          </w:r>
        </w:p>
      </w:sdtContent>
    </w:sdt>
    <w:p w14:paraId="69DDC0B2" w14:textId="5FFA2FA9" w:rsidR="00282200" w:rsidRDefault="00282200">
      <w:pPr>
        <w:rPr>
          <w:rFonts w:ascii="Arial" w:hAnsi="Arial" w:cs="Arial"/>
          <w:b/>
          <w:sz w:val="32"/>
          <w:szCs w:val="32"/>
        </w:rPr>
      </w:pPr>
      <w:r>
        <w:rPr>
          <w:rFonts w:ascii="Arial" w:hAnsi="Arial" w:cs="Arial"/>
          <w:b/>
          <w:sz w:val="32"/>
          <w:szCs w:val="32"/>
        </w:rPr>
        <w:br w:type="page"/>
      </w:r>
    </w:p>
    <w:p w14:paraId="1C03585D" w14:textId="77777777" w:rsidR="00753285" w:rsidRDefault="00753285" w:rsidP="0020078A">
      <w:pPr>
        <w:rPr>
          <w:rFonts w:ascii="Arial" w:hAnsi="Arial" w:cs="Arial"/>
          <w:b/>
          <w:sz w:val="32"/>
          <w:szCs w:val="32"/>
        </w:rPr>
        <w:sectPr w:rsidR="00753285" w:rsidSect="00157EE6">
          <w:headerReference w:type="default" r:id="rId10"/>
          <w:footerReference w:type="default" r:id="rId11"/>
          <w:pgSz w:w="11906" w:h="16838"/>
          <w:pgMar w:top="1134" w:right="1134" w:bottom="1134" w:left="1134" w:header="708" w:footer="454" w:gutter="0"/>
          <w:pgNumType w:start="1"/>
          <w:cols w:space="708"/>
          <w:titlePg/>
          <w:docGrid w:linePitch="360"/>
        </w:sectPr>
      </w:pPr>
    </w:p>
    <w:p w14:paraId="20343256" w14:textId="27D461F3" w:rsidR="003D438B" w:rsidRPr="0051495C" w:rsidRDefault="007C3C9F" w:rsidP="0037209B">
      <w:pPr>
        <w:pStyle w:val="Heading1"/>
        <w:numPr>
          <w:ilvl w:val="0"/>
          <w:numId w:val="1"/>
        </w:numPr>
        <w:spacing w:after="240"/>
        <w:rPr>
          <w:rFonts w:ascii="Arial" w:hAnsi="Arial" w:cs="Arial"/>
          <w:b/>
          <w:bCs/>
          <w:color w:val="0073CF"/>
          <w:sz w:val="28"/>
          <w:szCs w:val="28"/>
        </w:rPr>
      </w:pPr>
      <w:bookmarkStart w:id="4" w:name="_Toc167289629"/>
      <w:r w:rsidRPr="0051495C">
        <w:rPr>
          <w:rFonts w:ascii="Arial" w:hAnsi="Arial" w:cs="Arial"/>
          <w:b/>
          <w:bCs/>
          <w:color w:val="0073CF"/>
          <w:sz w:val="28"/>
          <w:szCs w:val="28"/>
        </w:rPr>
        <w:lastRenderedPageBreak/>
        <w:t>Introduction</w:t>
      </w:r>
      <w:bookmarkEnd w:id="4"/>
    </w:p>
    <w:p w14:paraId="6C16845C" w14:textId="15006AA3" w:rsidR="008C7E7F" w:rsidRDefault="00AB61F9" w:rsidP="003C2C42">
      <w:pPr>
        <w:pStyle w:val="ListParagraph"/>
        <w:numPr>
          <w:ilvl w:val="1"/>
          <w:numId w:val="1"/>
        </w:numPr>
        <w:ind w:left="720" w:hanging="720"/>
        <w:jc w:val="both"/>
        <w:rPr>
          <w:rFonts w:ascii="Arial" w:hAnsi="Arial" w:cs="Arial"/>
          <w:sz w:val="24"/>
          <w:szCs w:val="24"/>
        </w:rPr>
      </w:pPr>
      <w:r>
        <w:rPr>
          <w:rFonts w:ascii="Arial" w:hAnsi="Arial" w:cs="Arial"/>
          <w:sz w:val="24"/>
          <w:szCs w:val="24"/>
        </w:rPr>
        <w:t>Chichester District Council is in the process of preparing the Chichester Local Plan 2021 – 2039</w:t>
      </w:r>
      <w:r w:rsidR="00627E36">
        <w:rPr>
          <w:rFonts w:ascii="Arial" w:hAnsi="Arial" w:cs="Arial"/>
          <w:sz w:val="24"/>
          <w:szCs w:val="24"/>
        </w:rPr>
        <w:t>, which will cover those parts of the district outside of the South Downs National Park</w:t>
      </w:r>
      <w:r>
        <w:rPr>
          <w:rFonts w:ascii="Arial" w:hAnsi="Arial" w:cs="Arial"/>
          <w:sz w:val="24"/>
          <w:szCs w:val="24"/>
        </w:rPr>
        <w:t xml:space="preserve">. </w:t>
      </w:r>
      <w:r w:rsidR="007C3C9F" w:rsidRPr="003D438B">
        <w:rPr>
          <w:rFonts w:ascii="Arial" w:hAnsi="Arial" w:cs="Arial"/>
          <w:sz w:val="24"/>
          <w:szCs w:val="24"/>
        </w:rPr>
        <w:t>Th</w:t>
      </w:r>
      <w:r w:rsidR="003C2C42">
        <w:rPr>
          <w:rFonts w:ascii="Arial" w:hAnsi="Arial" w:cs="Arial"/>
          <w:sz w:val="24"/>
          <w:szCs w:val="24"/>
        </w:rPr>
        <w:t xml:space="preserve">is </w:t>
      </w:r>
      <w:r>
        <w:rPr>
          <w:rFonts w:ascii="Arial" w:hAnsi="Arial" w:cs="Arial"/>
          <w:sz w:val="24"/>
          <w:szCs w:val="24"/>
        </w:rPr>
        <w:t xml:space="preserve">background </w:t>
      </w:r>
      <w:r w:rsidR="007C3C9F" w:rsidRPr="003D438B">
        <w:rPr>
          <w:rFonts w:ascii="Arial" w:hAnsi="Arial" w:cs="Arial"/>
          <w:sz w:val="24"/>
          <w:szCs w:val="24"/>
        </w:rPr>
        <w:t xml:space="preserve">paper </w:t>
      </w:r>
      <w:r w:rsidR="003C2C42">
        <w:rPr>
          <w:rFonts w:ascii="Arial" w:hAnsi="Arial" w:cs="Arial"/>
          <w:sz w:val="24"/>
          <w:szCs w:val="24"/>
        </w:rPr>
        <w:t xml:space="preserve">has been prepared to support the emerging Local Plan and specifically the </w:t>
      </w:r>
      <w:r w:rsidR="000746F7">
        <w:rPr>
          <w:rFonts w:ascii="Arial" w:hAnsi="Arial" w:cs="Arial"/>
          <w:sz w:val="24"/>
          <w:szCs w:val="24"/>
        </w:rPr>
        <w:t>P</w:t>
      </w:r>
      <w:r w:rsidR="003C2C42">
        <w:rPr>
          <w:rFonts w:ascii="Arial" w:hAnsi="Arial" w:cs="Arial"/>
          <w:sz w:val="24"/>
          <w:szCs w:val="24"/>
        </w:rPr>
        <w:t>lan’s settlement hierarchy.</w:t>
      </w:r>
    </w:p>
    <w:p w14:paraId="54071941" w14:textId="77777777" w:rsidR="003C2C42" w:rsidRDefault="003C2C42" w:rsidP="003C2C42">
      <w:pPr>
        <w:pStyle w:val="ListParagraph"/>
        <w:jc w:val="both"/>
        <w:rPr>
          <w:rFonts w:ascii="Arial" w:hAnsi="Arial" w:cs="Arial"/>
          <w:sz w:val="24"/>
          <w:szCs w:val="24"/>
        </w:rPr>
      </w:pPr>
    </w:p>
    <w:p w14:paraId="3AC37DBE" w14:textId="52F02A21" w:rsidR="008C7E7F" w:rsidRDefault="007C3C9F" w:rsidP="00B62944">
      <w:pPr>
        <w:pStyle w:val="ListParagraph"/>
        <w:numPr>
          <w:ilvl w:val="1"/>
          <w:numId w:val="1"/>
        </w:numPr>
        <w:ind w:left="720" w:hanging="720"/>
        <w:jc w:val="both"/>
        <w:rPr>
          <w:rFonts w:ascii="Arial" w:hAnsi="Arial" w:cs="Arial"/>
          <w:sz w:val="24"/>
          <w:szCs w:val="24"/>
        </w:rPr>
      </w:pPr>
      <w:r w:rsidRPr="008C7E7F">
        <w:rPr>
          <w:rFonts w:ascii="Arial" w:hAnsi="Arial" w:cs="Arial"/>
          <w:sz w:val="24"/>
          <w:szCs w:val="24"/>
        </w:rPr>
        <w:t>The</w:t>
      </w:r>
      <w:r w:rsidR="003C2C42">
        <w:rPr>
          <w:rFonts w:ascii="Arial" w:hAnsi="Arial" w:cs="Arial"/>
          <w:sz w:val="24"/>
          <w:szCs w:val="24"/>
        </w:rPr>
        <w:t xml:space="preserve"> </w:t>
      </w:r>
      <w:r w:rsidRPr="008C7E7F">
        <w:rPr>
          <w:rFonts w:ascii="Arial" w:hAnsi="Arial" w:cs="Arial"/>
          <w:sz w:val="24"/>
          <w:szCs w:val="24"/>
        </w:rPr>
        <w:t xml:space="preserve">settlement hierarchy </w:t>
      </w:r>
      <w:r w:rsidR="00350A9F" w:rsidRPr="008C7E7F">
        <w:rPr>
          <w:rFonts w:ascii="Arial" w:hAnsi="Arial" w:cs="Arial"/>
          <w:sz w:val="24"/>
          <w:szCs w:val="24"/>
        </w:rPr>
        <w:t>inform</w:t>
      </w:r>
      <w:r w:rsidR="007A315E">
        <w:rPr>
          <w:rFonts w:ascii="Arial" w:hAnsi="Arial" w:cs="Arial"/>
          <w:sz w:val="24"/>
          <w:szCs w:val="24"/>
        </w:rPr>
        <w:t>s</w:t>
      </w:r>
      <w:r w:rsidR="00350A9F" w:rsidRPr="008C7E7F">
        <w:rPr>
          <w:rFonts w:ascii="Arial" w:hAnsi="Arial" w:cs="Arial"/>
          <w:sz w:val="24"/>
          <w:szCs w:val="24"/>
        </w:rPr>
        <w:t xml:space="preserve"> the spatial distribution across the plan area and</w:t>
      </w:r>
      <w:r w:rsidR="00F662D9">
        <w:rPr>
          <w:rFonts w:ascii="Arial" w:hAnsi="Arial" w:cs="Arial"/>
          <w:sz w:val="24"/>
          <w:szCs w:val="24"/>
        </w:rPr>
        <w:t xml:space="preserve"> the delivery of </w:t>
      </w:r>
      <w:r w:rsidR="00350A9F" w:rsidRPr="008C7E7F">
        <w:rPr>
          <w:rFonts w:ascii="Arial" w:hAnsi="Arial" w:cs="Arial"/>
          <w:sz w:val="24"/>
          <w:szCs w:val="24"/>
        </w:rPr>
        <w:t xml:space="preserve">development that supports the needs of individual communities. Generally larger settlements </w:t>
      </w:r>
      <w:r w:rsidRPr="008C7E7F">
        <w:rPr>
          <w:rFonts w:ascii="Arial" w:hAnsi="Arial" w:cs="Arial"/>
          <w:sz w:val="24"/>
          <w:szCs w:val="24"/>
        </w:rPr>
        <w:t>have the best access to a wide range of services, facilities and employment opportunities</w:t>
      </w:r>
      <w:r w:rsidR="00350A9F" w:rsidRPr="008C7E7F">
        <w:rPr>
          <w:rFonts w:ascii="Arial" w:hAnsi="Arial" w:cs="Arial"/>
          <w:sz w:val="24"/>
          <w:szCs w:val="24"/>
        </w:rPr>
        <w:t xml:space="preserve"> and </w:t>
      </w:r>
      <w:proofErr w:type="gramStart"/>
      <w:r w:rsidR="00350A9F" w:rsidRPr="008C7E7F">
        <w:rPr>
          <w:rFonts w:ascii="Arial" w:hAnsi="Arial" w:cs="Arial"/>
          <w:sz w:val="24"/>
          <w:szCs w:val="24"/>
        </w:rPr>
        <w:t>are able to</w:t>
      </w:r>
      <w:proofErr w:type="gramEnd"/>
      <w:r w:rsidR="00350A9F" w:rsidRPr="008C7E7F">
        <w:rPr>
          <w:rFonts w:ascii="Arial" w:hAnsi="Arial" w:cs="Arial"/>
          <w:sz w:val="24"/>
          <w:szCs w:val="24"/>
        </w:rPr>
        <w:t xml:space="preserve"> accommodate higher levels of growth</w:t>
      </w:r>
      <w:r w:rsidRPr="008C7E7F">
        <w:rPr>
          <w:rFonts w:ascii="Arial" w:hAnsi="Arial" w:cs="Arial"/>
          <w:sz w:val="24"/>
          <w:szCs w:val="24"/>
        </w:rPr>
        <w:t xml:space="preserve">. </w:t>
      </w:r>
    </w:p>
    <w:p w14:paraId="00782040" w14:textId="77777777" w:rsidR="008C7E7F" w:rsidRPr="008C7E7F" w:rsidRDefault="008C7E7F" w:rsidP="008C7E7F">
      <w:pPr>
        <w:pStyle w:val="ListParagraph"/>
        <w:rPr>
          <w:rFonts w:ascii="Arial" w:hAnsi="Arial" w:cs="Arial"/>
          <w:sz w:val="24"/>
          <w:szCs w:val="24"/>
        </w:rPr>
      </w:pPr>
    </w:p>
    <w:p w14:paraId="7CA6AFFF" w14:textId="628D1F6F" w:rsidR="003B41C4" w:rsidRPr="0096746C" w:rsidRDefault="007C3C9F" w:rsidP="003A5E34">
      <w:pPr>
        <w:pStyle w:val="ListParagraph"/>
        <w:numPr>
          <w:ilvl w:val="1"/>
          <w:numId w:val="1"/>
        </w:numPr>
        <w:ind w:left="720" w:hanging="720"/>
        <w:jc w:val="both"/>
        <w:rPr>
          <w:rFonts w:ascii="Arial" w:hAnsi="Arial" w:cs="Arial"/>
          <w:sz w:val="24"/>
          <w:szCs w:val="24"/>
        </w:rPr>
      </w:pPr>
      <w:r w:rsidRPr="0096746C">
        <w:rPr>
          <w:rFonts w:ascii="Arial" w:hAnsi="Arial" w:cs="Arial"/>
          <w:sz w:val="24"/>
          <w:szCs w:val="24"/>
        </w:rPr>
        <w:t xml:space="preserve">This </w:t>
      </w:r>
      <w:r w:rsidR="003B41C4" w:rsidRPr="0096746C">
        <w:rPr>
          <w:rFonts w:ascii="Arial" w:hAnsi="Arial" w:cs="Arial"/>
          <w:sz w:val="24"/>
          <w:szCs w:val="24"/>
        </w:rPr>
        <w:t>Background P</w:t>
      </w:r>
      <w:r w:rsidRPr="0096746C">
        <w:rPr>
          <w:rFonts w:ascii="Arial" w:hAnsi="Arial" w:cs="Arial"/>
          <w:sz w:val="24"/>
          <w:szCs w:val="24"/>
        </w:rPr>
        <w:t xml:space="preserve">aper sets out the </w:t>
      </w:r>
      <w:r w:rsidR="001E2CEC" w:rsidRPr="0096746C">
        <w:rPr>
          <w:rFonts w:ascii="Arial" w:hAnsi="Arial" w:cs="Arial"/>
          <w:sz w:val="24"/>
          <w:szCs w:val="24"/>
        </w:rPr>
        <w:t xml:space="preserve">approach taken to </w:t>
      </w:r>
      <w:r w:rsidR="00487115" w:rsidRPr="0096746C">
        <w:rPr>
          <w:rFonts w:ascii="Arial" w:hAnsi="Arial" w:cs="Arial"/>
          <w:sz w:val="24"/>
          <w:szCs w:val="24"/>
        </w:rPr>
        <w:t xml:space="preserve">categorising settlements in the plan area and grouping together those that have similar characteristics in terms of </w:t>
      </w:r>
      <w:r w:rsidR="00FE5D70" w:rsidRPr="0096746C">
        <w:rPr>
          <w:rFonts w:ascii="Arial" w:hAnsi="Arial" w:cs="Arial"/>
          <w:sz w:val="24"/>
          <w:szCs w:val="24"/>
        </w:rPr>
        <w:t>the availability of, and accessibility to, services and facilities.</w:t>
      </w:r>
      <w:r w:rsidR="0096746C" w:rsidRPr="0096746C">
        <w:rPr>
          <w:rFonts w:ascii="Arial" w:hAnsi="Arial" w:cs="Arial"/>
          <w:sz w:val="24"/>
          <w:szCs w:val="24"/>
        </w:rPr>
        <w:t xml:space="preserve"> </w:t>
      </w:r>
      <w:r w:rsidR="003B41C4" w:rsidRPr="0096746C">
        <w:rPr>
          <w:rFonts w:ascii="Arial" w:hAnsi="Arial" w:cs="Arial"/>
          <w:sz w:val="24"/>
          <w:szCs w:val="24"/>
        </w:rPr>
        <w:t xml:space="preserve">It is not the role of the </w:t>
      </w:r>
      <w:r w:rsidR="00E66C25" w:rsidRPr="0096746C">
        <w:rPr>
          <w:rFonts w:ascii="Arial" w:hAnsi="Arial" w:cs="Arial"/>
          <w:sz w:val="24"/>
          <w:szCs w:val="24"/>
        </w:rPr>
        <w:t xml:space="preserve">Background Paper to determine the development capacity of each settlement or to provide a quantum of new development each settlement should accommodate. The </w:t>
      </w:r>
      <w:r w:rsidR="00D77A4B" w:rsidRPr="0096746C">
        <w:rPr>
          <w:rFonts w:ascii="Arial" w:hAnsi="Arial" w:cs="Arial"/>
          <w:sz w:val="24"/>
          <w:szCs w:val="24"/>
        </w:rPr>
        <w:t>overall level of new development directed to individual settlements will be determined through the Local Plan, taking account of the settlement hierarchy assessment and various other evidence studies.</w:t>
      </w:r>
    </w:p>
    <w:p w14:paraId="76CA0939" w14:textId="77777777" w:rsidR="00B34383" w:rsidRPr="00B34383" w:rsidRDefault="00B34383" w:rsidP="00B34383">
      <w:pPr>
        <w:pStyle w:val="ListParagraph"/>
        <w:rPr>
          <w:rFonts w:ascii="Arial" w:hAnsi="Arial" w:cs="Arial"/>
          <w:sz w:val="24"/>
          <w:szCs w:val="24"/>
        </w:rPr>
      </w:pPr>
    </w:p>
    <w:p w14:paraId="29171D41" w14:textId="01B01F64" w:rsidR="00B34383" w:rsidRDefault="00B34383" w:rsidP="00C8492B">
      <w:pPr>
        <w:pStyle w:val="ListParagraph"/>
        <w:numPr>
          <w:ilvl w:val="1"/>
          <w:numId w:val="1"/>
        </w:numPr>
        <w:ind w:left="720" w:hanging="720"/>
        <w:jc w:val="both"/>
        <w:rPr>
          <w:rFonts w:ascii="Arial" w:hAnsi="Arial" w:cs="Arial"/>
          <w:sz w:val="24"/>
          <w:szCs w:val="24"/>
        </w:rPr>
      </w:pPr>
      <w:r>
        <w:rPr>
          <w:rFonts w:ascii="Arial" w:hAnsi="Arial" w:cs="Arial"/>
          <w:sz w:val="24"/>
          <w:szCs w:val="24"/>
        </w:rPr>
        <w:t xml:space="preserve">The Background Paper </w:t>
      </w:r>
      <w:r w:rsidR="00E10819">
        <w:rPr>
          <w:rFonts w:ascii="Arial" w:hAnsi="Arial" w:cs="Arial"/>
          <w:sz w:val="24"/>
          <w:szCs w:val="24"/>
        </w:rPr>
        <w:t>assesses the availability and accessibility of services and facilities and</w:t>
      </w:r>
      <w:r>
        <w:rPr>
          <w:rFonts w:ascii="Arial" w:hAnsi="Arial" w:cs="Arial"/>
          <w:sz w:val="24"/>
          <w:szCs w:val="24"/>
        </w:rPr>
        <w:t xml:space="preserve"> whether there has been any change </w:t>
      </w:r>
      <w:r w:rsidRPr="009F61A1">
        <w:rPr>
          <w:rFonts w:ascii="Arial" w:hAnsi="Arial" w:cs="Arial"/>
          <w:sz w:val="24"/>
          <w:szCs w:val="24"/>
        </w:rPr>
        <w:t xml:space="preserve">since the last </w:t>
      </w:r>
      <w:r>
        <w:rPr>
          <w:rFonts w:ascii="Arial" w:hAnsi="Arial" w:cs="Arial"/>
          <w:sz w:val="24"/>
          <w:szCs w:val="24"/>
        </w:rPr>
        <w:t>update</w:t>
      </w:r>
      <w:r w:rsidRPr="009F61A1">
        <w:rPr>
          <w:rFonts w:ascii="Arial" w:hAnsi="Arial" w:cs="Arial"/>
          <w:sz w:val="24"/>
          <w:szCs w:val="24"/>
        </w:rPr>
        <w:t xml:space="preserve"> in December 2018.</w:t>
      </w:r>
      <w:r>
        <w:rPr>
          <w:rFonts w:ascii="Arial" w:hAnsi="Arial" w:cs="Arial"/>
          <w:sz w:val="24"/>
          <w:szCs w:val="24"/>
        </w:rPr>
        <w:t xml:space="preserve"> It does not assess </w:t>
      </w:r>
      <w:r w:rsidR="00C900C3">
        <w:rPr>
          <w:rFonts w:ascii="Arial" w:hAnsi="Arial" w:cs="Arial"/>
          <w:sz w:val="24"/>
          <w:szCs w:val="24"/>
        </w:rPr>
        <w:t>existing capacity or where improvements are required to accommodate growth, that is undertaken through the Infrastructure Delivery Plan</w:t>
      </w:r>
      <w:r w:rsidR="001559C8">
        <w:rPr>
          <w:rFonts w:ascii="Arial" w:hAnsi="Arial" w:cs="Arial"/>
          <w:sz w:val="24"/>
          <w:szCs w:val="24"/>
        </w:rPr>
        <w:t xml:space="preserve"> (IN01)</w:t>
      </w:r>
      <w:r w:rsidR="00C900C3">
        <w:rPr>
          <w:rFonts w:ascii="Arial" w:hAnsi="Arial" w:cs="Arial"/>
          <w:sz w:val="24"/>
          <w:szCs w:val="24"/>
        </w:rPr>
        <w:t>.</w:t>
      </w:r>
    </w:p>
    <w:p w14:paraId="6880ACBC" w14:textId="080D840E" w:rsidR="00D77A4B" w:rsidRPr="00D77A4B" w:rsidRDefault="00D77A4B" w:rsidP="00D77A4B">
      <w:pPr>
        <w:pStyle w:val="ListParagraph"/>
        <w:rPr>
          <w:rFonts w:ascii="Arial" w:hAnsi="Arial" w:cs="Arial"/>
          <w:sz w:val="24"/>
          <w:szCs w:val="24"/>
        </w:rPr>
      </w:pPr>
    </w:p>
    <w:p w14:paraId="68A20DDA" w14:textId="5AFBD14B" w:rsidR="00AB61F9" w:rsidRDefault="00AB61F9" w:rsidP="00C17B10">
      <w:pPr>
        <w:pStyle w:val="ListParagraph"/>
        <w:numPr>
          <w:ilvl w:val="1"/>
          <w:numId w:val="1"/>
        </w:numPr>
        <w:ind w:left="720" w:hanging="720"/>
        <w:jc w:val="both"/>
        <w:rPr>
          <w:rFonts w:ascii="Arial" w:hAnsi="Arial" w:cs="Arial"/>
          <w:sz w:val="24"/>
          <w:szCs w:val="24"/>
        </w:rPr>
      </w:pPr>
      <w:r>
        <w:rPr>
          <w:rFonts w:ascii="Arial" w:hAnsi="Arial" w:cs="Arial"/>
          <w:sz w:val="24"/>
          <w:szCs w:val="24"/>
        </w:rPr>
        <w:t xml:space="preserve">The paper is one of several background papers, which set out the evidence that has been used to inform the council’s approach to the preparation of the new Local Plan. </w:t>
      </w:r>
      <w:r w:rsidR="0016242C">
        <w:rPr>
          <w:rFonts w:ascii="Arial" w:hAnsi="Arial" w:cs="Arial"/>
          <w:sz w:val="24"/>
          <w:szCs w:val="24"/>
        </w:rPr>
        <w:t xml:space="preserve">For a full understanding of the direction and decisions that have been taken in developing the Local Plan, and in particular the distribution of housing, this paper should be read in conjunction with the separate Housing </w:t>
      </w:r>
      <w:r w:rsidR="008E5153">
        <w:rPr>
          <w:rFonts w:ascii="Arial" w:hAnsi="Arial" w:cs="Arial"/>
          <w:sz w:val="24"/>
          <w:szCs w:val="24"/>
        </w:rPr>
        <w:t xml:space="preserve">Distribution </w:t>
      </w:r>
      <w:r w:rsidR="0016242C">
        <w:rPr>
          <w:rFonts w:ascii="Arial" w:hAnsi="Arial" w:cs="Arial"/>
          <w:sz w:val="24"/>
          <w:szCs w:val="24"/>
        </w:rPr>
        <w:t>Background Paper</w:t>
      </w:r>
      <w:r w:rsidR="008E5153">
        <w:rPr>
          <w:rFonts w:ascii="Arial" w:hAnsi="Arial" w:cs="Arial"/>
          <w:sz w:val="24"/>
          <w:szCs w:val="24"/>
        </w:rPr>
        <w:t xml:space="preserve"> (</w:t>
      </w:r>
      <w:r w:rsidR="001559C8">
        <w:rPr>
          <w:rFonts w:ascii="Arial" w:hAnsi="Arial" w:cs="Arial"/>
          <w:sz w:val="24"/>
          <w:szCs w:val="24"/>
        </w:rPr>
        <w:t>BP10</w:t>
      </w:r>
      <w:r w:rsidR="008E5153">
        <w:rPr>
          <w:rFonts w:ascii="Arial" w:hAnsi="Arial" w:cs="Arial"/>
          <w:sz w:val="24"/>
          <w:szCs w:val="24"/>
        </w:rPr>
        <w:t>)</w:t>
      </w:r>
      <w:r w:rsidR="0016242C">
        <w:rPr>
          <w:rFonts w:ascii="Arial" w:hAnsi="Arial" w:cs="Arial"/>
          <w:sz w:val="24"/>
          <w:szCs w:val="24"/>
        </w:rPr>
        <w:t xml:space="preserve">. </w:t>
      </w:r>
    </w:p>
    <w:p w14:paraId="15B37776" w14:textId="77777777" w:rsidR="0016242C" w:rsidRPr="0016242C" w:rsidRDefault="0016242C" w:rsidP="0016242C">
      <w:pPr>
        <w:pStyle w:val="ListParagraph"/>
        <w:rPr>
          <w:rFonts w:ascii="Arial" w:hAnsi="Arial" w:cs="Arial"/>
          <w:sz w:val="24"/>
          <w:szCs w:val="24"/>
        </w:rPr>
      </w:pPr>
    </w:p>
    <w:p w14:paraId="72E26C97" w14:textId="6A252A80" w:rsidR="00C075BB" w:rsidRPr="00C075BB" w:rsidRDefault="00C075BB" w:rsidP="00C075BB">
      <w:pPr>
        <w:pStyle w:val="ListParagraph"/>
        <w:numPr>
          <w:ilvl w:val="1"/>
          <w:numId w:val="1"/>
        </w:numPr>
        <w:ind w:left="720" w:hanging="720"/>
        <w:jc w:val="both"/>
        <w:rPr>
          <w:rFonts w:ascii="Arial" w:hAnsi="Arial" w:cs="Arial"/>
          <w:color w:val="0000FF" w:themeColor="hyperlink"/>
          <w:sz w:val="24"/>
          <w:szCs w:val="24"/>
          <w:u w:val="single"/>
        </w:rPr>
      </w:pPr>
      <w:r w:rsidRPr="00C075BB">
        <w:rPr>
          <w:rFonts w:ascii="Arial" w:hAnsi="Arial" w:cs="Arial"/>
          <w:sz w:val="24"/>
          <w:szCs w:val="24"/>
        </w:rPr>
        <w:t xml:space="preserve">The background papers and related evidence are available on the council website at </w:t>
      </w:r>
      <w:hyperlink r:id="rId12" w:history="1">
        <w:r w:rsidRPr="00C075BB">
          <w:rPr>
            <w:rStyle w:val="Hyperlink"/>
            <w:rFonts w:ascii="Arial" w:hAnsi="Arial" w:cs="Arial"/>
            <w:sz w:val="24"/>
            <w:szCs w:val="24"/>
          </w:rPr>
          <w:t>www.chichester.gov.uk/localplanexaminationlibrary</w:t>
        </w:r>
      </w:hyperlink>
      <w:r w:rsidRPr="00C075BB">
        <w:rPr>
          <w:rFonts w:ascii="Arial" w:hAnsi="Arial" w:cs="Arial"/>
          <w:sz w:val="24"/>
          <w:szCs w:val="24"/>
        </w:rPr>
        <w:t>.</w:t>
      </w:r>
      <w:r>
        <w:rPr>
          <w:rFonts w:ascii="Arial" w:hAnsi="Arial" w:cs="Arial"/>
          <w:sz w:val="24"/>
          <w:szCs w:val="24"/>
        </w:rPr>
        <w:t xml:space="preserve"> </w:t>
      </w:r>
      <w:r w:rsidRPr="00C075BB">
        <w:rPr>
          <w:rFonts w:ascii="Arial" w:hAnsi="Arial" w:cs="Arial"/>
          <w:sz w:val="24"/>
          <w:szCs w:val="24"/>
        </w:rPr>
        <w:t xml:space="preserve">This background paper may be </w:t>
      </w:r>
      <w:proofErr w:type="gramStart"/>
      <w:r w:rsidRPr="00C075BB">
        <w:rPr>
          <w:rFonts w:ascii="Arial" w:hAnsi="Arial" w:cs="Arial"/>
          <w:sz w:val="24"/>
          <w:szCs w:val="24"/>
        </w:rPr>
        <w:t>reviewed</w:t>
      </w:r>
      <w:proofErr w:type="gramEnd"/>
      <w:r w:rsidRPr="00C075BB">
        <w:rPr>
          <w:rFonts w:ascii="Arial" w:hAnsi="Arial" w:cs="Arial"/>
          <w:sz w:val="24"/>
          <w:szCs w:val="24"/>
        </w:rPr>
        <w:t xml:space="preserve"> and updates issued during the examination of the Local Plan.</w:t>
      </w:r>
    </w:p>
    <w:p w14:paraId="18F8906A" w14:textId="6F30D48F" w:rsidR="008C7E7F" w:rsidRPr="0051495C" w:rsidRDefault="009F61A1" w:rsidP="0037209B">
      <w:pPr>
        <w:pStyle w:val="Heading1"/>
        <w:numPr>
          <w:ilvl w:val="0"/>
          <w:numId w:val="1"/>
        </w:numPr>
        <w:spacing w:after="240"/>
        <w:rPr>
          <w:rFonts w:ascii="Arial" w:hAnsi="Arial" w:cs="Arial"/>
          <w:b/>
          <w:bCs/>
          <w:color w:val="0073CF"/>
          <w:sz w:val="28"/>
          <w:szCs w:val="28"/>
          <w:u w:val="single"/>
        </w:rPr>
      </w:pPr>
      <w:bookmarkStart w:id="5" w:name="_Toc167289630"/>
      <w:r w:rsidRPr="0051495C">
        <w:rPr>
          <w:rFonts w:ascii="Arial" w:hAnsi="Arial" w:cs="Arial"/>
          <w:b/>
          <w:bCs/>
          <w:color w:val="0073CF"/>
          <w:sz w:val="28"/>
          <w:szCs w:val="28"/>
        </w:rPr>
        <w:t xml:space="preserve">Planning </w:t>
      </w:r>
      <w:r w:rsidR="008C6FBE" w:rsidRPr="0051495C">
        <w:rPr>
          <w:rFonts w:ascii="Arial" w:hAnsi="Arial" w:cs="Arial"/>
          <w:b/>
          <w:bCs/>
          <w:color w:val="0073CF"/>
          <w:sz w:val="28"/>
          <w:szCs w:val="28"/>
        </w:rPr>
        <w:t>Policy</w:t>
      </w:r>
      <w:r w:rsidR="00885D8D" w:rsidRPr="0051495C">
        <w:rPr>
          <w:rFonts w:ascii="Arial" w:hAnsi="Arial" w:cs="Arial"/>
          <w:b/>
          <w:bCs/>
          <w:color w:val="0073CF"/>
          <w:sz w:val="28"/>
          <w:szCs w:val="28"/>
        </w:rPr>
        <w:t xml:space="preserve"> Context</w:t>
      </w:r>
      <w:bookmarkEnd w:id="5"/>
    </w:p>
    <w:p w14:paraId="22D4A456" w14:textId="2DF9B6FA" w:rsidR="008C7E7F" w:rsidRPr="00282200" w:rsidRDefault="008C7E7F" w:rsidP="0037209B">
      <w:pPr>
        <w:rPr>
          <w:rFonts w:ascii="Arial" w:hAnsi="Arial" w:cs="Arial"/>
          <w:i/>
          <w:iCs/>
          <w:sz w:val="24"/>
          <w:szCs w:val="24"/>
        </w:rPr>
      </w:pPr>
      <w:r w:rsidRPr="00282200">
        <w:rPr>
          <w:rFonts w:ascii="Arial" w:hAnsi="Arial" w:cs="Arial"/>
          <w:b/>
          <w:i/>
          <w:iCs/>
          <w:sz w:val="24"/>
          <w:szCs w:val="24"/>
        </w:rPr>
        <w:tab/>
      </w:r>
      <w:r w:rsidR="00AB4DDE" w:rsidRPr="00282200">
        <w:rPr>
          <w:rFonts w:ascii="Arial" w:hAnsi="Arial" w:cs="Arial"/>
          <w:i/>
          <w:iCs/>
          <w:sz w:val="24"/>
          <w:szCs w:val="24"/>
        </w:rPr>
        <w:t>N</w:t>
      </w:r>
      <w:r w:rsidR="00885D8D" w:rsidRPr="00282200">
        <w:rPr>
          <w:rFonts w:ascii="Arial" w:hAnsi="Arial" w:cs="Arial"/>
          <w:i/>
          <w:iCs/>
          <w:sz w:val="24"/>
          <w:szCs w:val="24"/>
        </w:rPr>
        <w:t xml:space="preserve">ational </w:t>
      </w:r>
      <w:r w:rsidR="00AB4DDE" w:rsidRPr="00282200">
        <w:rPr>
          <w:rFonts w:ascii="Arial" w:hAnsi="Arial" w:cs="Arial"/>
          <w:i/>
          <w:iCs/>
          <w:sz w:val="24"/>
          <w:szCs w:val="24"/>
        </w:rPr>
        <w:t>P</w:t>
      </w:r>
      <w:r w:rsidR="00885D8D" w:rsidRPr="00282200">
        <w:rPr>
          <w:rFonts w:ascii="Arial" w:hAnsi="Arial" w:cs="Arial"/>
          <w:i/>
          <w:iCs/>
          <w:sz w:val="24"/>
          <w:szCs w:val="24"/>
        </w:rPr>
        <w:t xml:space="preserve">lanning </w:t>
      </w:r>
      <w:r w:rsidR="00AB4DDE" w:rsidRPr="00282200">
        <w:rPr>
          <w:rFonts w:ascii="Arial" w:hAnsi="Arial" w:cs="Arial"/>
          <w:i/>
          <w:iCs/>
          <w:sz w:val="24"/>
          <w:szCs w:val="24"/>
        </w:rPr>
        <w:t>P</w:t>
      </w:r>
      <w:r w:rsidR="00885D8D" w:rsidRPr="00282200">
        <w:rPr>
          <w:rFonts w:ascii="Arial" w:hAnsi="Arial" w:cs="Arial"/>
          <w:i/>
          <w:iCs/>
          <w:sz w:val="24"/>
          <w:szCs w:val="24"/>
        </w:rPr>
        <w:t>olicy</w:t>
      </w:r>
    </w:p>
    <w:p w14:paraId="6D2CE029" w14:textId="5285C064" w:rsidR="006245CD" w:rsidRDefault="00F06657" w:rsidP="00DC28DD">
      <w:pPr>
        <w:pStyle w:val="ListParagraph"/>
        <w:numPr>
          <w:ilvl w:val="1"/>
          <w:numId w:val="1"/>
        </w:numPr>
        <w:ind w:left="720" w:hanging="720"/>
        <w:jc w:val="both"/>
        <w:rPr>
          <w:rFonts w:ascii="Arial" w:hAnsi="Arial" w:cs="Arial"/>
          <w:sz w:val="24"/>
          <w:szCs w:val="24"/>
        </w:rPr>
      </w:pPr>
      <w:r w:rsidRPr="00F06657">
        <w:rPr>
          <w:rFonts w:ascii="Arial" w:hAnsi="Arial" w:cs="Arial"/>
          <w:sz w:val="24"/>
          <w:szCs w:val="24"/>
        </w:rPr>
        <w:lastRenderedPageBreak/>
        <w:t xml:space="preserve">National planning policy is set out within the </w:t>
      </w:r>
      <w:r>
        <w:rPr>
          <w:rFonts w:ascii="Arial" w:hAnsi="Arial" w:cs="Arial"/>
          <w:sz w:val="24"/>
          <w:szCs w:val="24"/>
        </w:rPr>
        <w:t>N</w:t>
      </w:r>
      <w:r w:rsidRPr="00F06657">
        <w:rPr>
          <w:rFonts w:ascii="Arial" w:hAnsi="Arial" w:cs="Arial"/>
          <w:sz w:val="24"/>
          <w:szCs w:val="24"/>
        </w:rPr>
        <w:t xml:space="preserve">ational </w:t>
      </w:r>
      <w:r>
        <w:rPr>
          <w:rFonts w:ascii="Arial" w:hAnsi="Arial" w:cs="Arial"/>
          <w:sz w:val="24"/>
          <w:szCs w:val="24"/>
        </w:rPr>
        <w:t>P</w:t>
      </w:r>
      <w:r w:rsidRPr="00F06657">
        <w:rPr>
          <w:rFonts w:ascii="Arial" w:hAnsi="Arial" w:cs="Arial"/>
          <w:sz w:val="24"/>
          <w:szCs w:val="24"/>
        </w:rPr>
        <w:t xml:space="preserve">lanning </w:t>
      </w:r>
      <w:r>
        <w:rPr>
          <w:rFonts w:ascii="Arial" w:hAnsi="Arial" w:cs="Arial"/>
          <w:sz w:val="24"/>
          <w:szCs w:val="24"/>
        </w:rPr>
        <w:t>P</w:t>
      </w:r>
      <w:r w:rsidRPr="00F06657">
        <w:rPr>
          <w:rFonts w:ascii="Arial" w:hAnsi="Arial" w:cs="Arial"/>
          <w:sz w:val="24"/>
          <w:szCs w:val="24"/>
        </w:rPr>
        <w:t xml:space="preserve">olicy </w:t>
      </w:r>
      <w:r>
        <w:rPr>
          <w:rFonts w:ascii="Arial" w:hAnsi="Arial" w:cs="Arial"/>
          <w:sz w:val="24"/>
          <w:szCs w:val="24"/>
        </w:rPr>
        <w:t>F</w:t>
      </w:r>
      <w:r w:rsidRPr="00F06657">
        <w:rPr>
          <w:rFonts w:ascii="Arial" w:hAnsi="Arial" w:cs="Arial"/>
          <w:sz w:val="24"/>
          <w:szCs w:val="24"/>
        </w:rPr>
        <w:t xml:space="preserve">ramework </w:t>
      </w:r>
      <w:r>
        <w:rPr>
          <w:rFonts w:ascii="Arial" w:hAnsi="Arial" w:cs="Arial"/>
          <w:sz w:val="24"/>
          <w:szCs w:val="24"/>
        </w:rPr>
        <w:t>(N</w:t>
      </w:r>
      <w:r w:rsidRPr="00F06657">
        <w:rPr>
          <w:rFonts w:ascii="Arial" w:hAnsi="Arial" w:cs="Arial"/>
          <w:sz w:val="24"/>
          <w:szCs w:val="24"/>
        </w:rPr>
        <w:t>PPF</w:t>
      </w:r>
      <w:r>
        <w:rPr>
          <w:rFonts w:ascii="Arial" w:hAnsi="Arial" w:cs="Arial"/>
          <w:sz w:val="24"/>
          <w:szCs w:val="24"/>
        </w:rPr>
        <w:t>)</w:t>
      </w:r>
      <w:r w:rsidR="0068417A">
        <w:rPr>
          <w:rFonts w:ascii="Arial" w:hAnsi="Arial" w:cs="Arial"/>
          <w:sz w:val="24"/>
          <w:szCs w:val="24"/>
        </w:rPr>
        <w:t xml:space="preserve"> </w:t>
      </w:r>
      <w:r w:rsidR="000264C9">
        <w:rPr>
          <w:rFonts w:ascii="Arial" w:hAnsi="Arial" w:cs="Arial"/>
          <w:sz w:val="24"/>
          <w:szCs w:val="24"/>
        </w:rPr>
        <w:t xml:space="preserve">and </w:t>
      </w:r>
      <w:r w:rsidRPr="00F06657">
        <w:rPr>
          <w:rFonts w:ascii="Arial" w:hAnsi="Arial" w:cs="Arial"/>
          <w:sz w:val="24"/>
          <w:szCs w:val="24"/>
        </w:rPr>
        <w:t>the accompanying national planning practi</w:t>
      </w:r>
      <w:r w:rsidR="000264C9">
        <w:rPr>
          <w:rFonts w:ascii="Arial" w:hAnsi="Arial" w:cs="Arial"/>
          <w:sz w:val="24"/>
          <w:szCs w:val="24"/>
        </w:rPr>
        <w:t>c</w:t>
      </w:r>
      <w:r w:rsidRPr="00F06657">
        <w:rPr>
          <w:rFonts w:ascii="Arial" w:hAnsi="Arial" w:cs="Arial"/>
          <w:sz w:val="24"/>
          <w:szCs w:val="24"/>
        </w:rPr>
        <w:t xml:space="preserve">e guidance </w:t>
      </w:r>
      <w:r>
        <w:rPr>
          <w:rFonts w:ascii="Arial" w:hAnsi="Arial" w:cs="Arial"/>
          <w:sz w:val="24"/>
          <w:szCs w:val="24"/>
        </w:rPr>
        <w:t>(</w:t>
      </w:r>
      <w:r w:rsidRPr="00F06657">
        <w:rPr>
          <w:rFonts w:ascii="Arial" w:hAnsi="Arial" w:cs="Arial"/>
          <w:sz w:val="24"/>
          <w:szCs w:val="24"/>
        </w:rPr>
        <w:t>PPG</w:t>
      </w:r>
      <w:r>
        <w:rPr>
          <w:rFonts w:ascii="Arial" w:hAnsi="Arial" w:cs="Arial"/>
          <w:sz w:val="24"/>
          <w:szCs w:val="24"/>
        </w:rPr>
        <w:t>)</w:t>
      </w:r>
      <w:r w:rsidR="00234770">
        <w:rPr>
          <w:rFonts w:ascii="Arial" w:hAnsi="Arial" w:cs="Arial"/>
          <w:sz w:val="24"/>
          <w:szCs w:val="24"/>
        </w:rPr>
        <w:t>.</w:t>
      </w:r>
      <w:r w:rsidR="006245CD">
        <w:rPr>
          <w:rFonts w:ascii="Arial" w:hAnsi="Arial" w:cs="Arial"/>
          <w:sz w:val="24"/>
          <w:szCs w:val="24"/>
        </w:rPr>
        <w:t xml:space="preserve"> The NPPF was updated on 19 December 2023, however, under paragraph 230 plans that have reached Regulation 19 of the Town and Country Planning (Local Planning) (England) Regulations 2012 (pre-submission) stage on or before the 19 March 2024 will be examined under the relevant previous section of the NPPF. This means that the changes to the NPPF are not applicable to the council’s approach. All references to the NPPF are related to the 2021 version, which will be used as the basis for the examination of the plan.</w:t>
      </w:r>
      <w:r w:rsidR="00234770">
        <w:rPr>
          <w:rFonts w:ascii="Arial" w:hAnsi="Arial" w:cs="Arial"/>
          <w:sz w:val="24"/>
          <w:szCs w:val="24"/>
        </w:rPr>
        <w:t xml:space="preserve"> </w:t>
      </w:r>
    </w:p>
    <w:p w14:paraId="3DA1158F" w14:textId="77777777" w:rsidR="006245CD" w:rsidRDefault="006245CD" w:rsidP="006245CD">
      <w:pPr>
        <w:pStyle w:val="ListParagraph"/>
        <w:jc w:val="both"/>
        <w:rPr>
          <w:rFonts w:ascii="Arial" w:hAnsi="Arial" w:cs="Arial"/>
          <w:sz w:val="24"/>
          <w:szCs w:val="24"/>
        </w:rPr>
      </w:pPr>
    </w:p>
    <w:p w14:paraId="196C60F6" w14:textId="37EF80D9" w:rsidR="00F06657" w:rsidRDefault="00234770" w:rsidP="00DC28DD">
      <w:pPr>
        <w:pStyle w:val="ListParagraph"/>
        <w:numPr>
          <w:ilvl w:val="1"/>
          <w:numId w:val="1"/>
        </w:numPr>
        <w:ind w:left="720" w:hanging="720"/>
        <w:jc w:val="both"/>
        <w:rPr>
          <w:rFonts w:ascii="Arial" w:hAnsi="Arial" w:cs="Arial"/>
          <w:sz w:val="24"/>
          <w:szCs w:val="24"/>
        </w:rPr>
      </w:pPr>
      <w:r>
        <w:rPr>
          <w:rFonts w:ascii="Arial" w:hAnsi="Arial" w:cs="Arial"/>
          <w:sz w:val="24"/>
          <w:szCs w:val="24"/>
        </w:rPr>
        <w:t xml:space="preserve">Neither the NPPF </w:t>
      </w:r>
      <w:r w:rsidR="007D57B6">
        <w:rPr>
          <w:rFonts w:ascii="Arial" w:hAnsi="Arial" w:cs="Arial"/>
          <w:sz w:val="24"/>
          <w:szCs w:val="24"/>
        </w:rPr>
        <w:t>n</w:t>
      </w:r>
      <w:r>
        <w:rPr>
          <w:rFonts w:ascii="Arial" w:hAnsi="Arial" w:cs="Arial"/>
          <w:sz w:val="24"/>
          <w:szCs w:val="24"/>
        </w:rPr>
        <w:t xml:space="preserve">or PPG </w:t>
      </w:r>
      <w:r w:rsidR="007013FB">
        <w:rPr>
          <w:rFonts w:ascii="Arial" w:hAnsi="Arial" w:cs="Arial"/>
          <w:sz w:val="24"/>
          <w:szCs w:val="24"/>
        </w:rPr>
        <w:t>provide specific advice on the production of settlement hierarchies but do provide some broad principles</w:t>
      </w:r>
      <w:r w:rsidR="007D57B6">
        <w:rPr>
          <w:rFonts w:ascii="Arial" w:hAnsi="Arial" w:cs="Arial"/>
          <w:sz w:val="24"/>
          <w:szCs w:val="24"/>
        </w:rPr>
        <w:t xml:space="preserve"> that should be considered when looking at the establishment of a settlement hierarchy and assessment methodology</w:t>
      </w:r>
      <w:r w:rsidR="007013FB">
        <w:rPr>
          <w:rFonts w:ascii="Arial" w:hAnsi="Arial" w:cs="Arial"/>
          <w:sz w:val="24"/>
          <w:szCs w:val="24"/>
        </w:rPr>
        <w:t>.</w:t>
      </w:r>
      <w:r w:rsidR="007D57B6">
        <w:rPr>
          <w:rFonts w:ascii="Arial" w:hAnsi="Arial" w:cs="Arial"/>
          <w:sz w:val="24"/>
          <w:szCs w:val="24"/>
        </w:rPr>
        <w:t xml:space="preserve"> Paragraphs from the NPPF of </w:t>
      </w:r>
      <w:proofErr w:type="gramStart"/>
      <w:r w:rsidR="007D57B6">
        <w:rPr>
          <w:rFonts w:ascii="Arial" w:hAnsi="Arial" w:cs="Arial"/>
          <w:sz w:val="24"/>
          <w:szCs w:val="24"/>
        </w:rPr>
        <w:t>particular relevance</w:t>
      </w:r>
      <w:proofErr w:type="gramEnd"/>
      <w:r w:rsidR="007D57B6">
        <w:rPr>
          <w:rFonts w:ascii="Arial" w:hAnsi="Arial" w:cs="Arial"/>
          <w:sz w:val="24"/>
          <w:szCs w:val="24"/>
        </w:rPr>
        <w:t xml:space="preserve"> are set out below.</w:t>
      </w:r>
    </w:p>
    <w:p w14:paraId="73CE9EE6" w14:textId="58B2CA6D" w:rsidR="00D77A4B" w:rsidRDefault="00D77A4B" w:rsidP="00D77A4B">
      <w:pPr>
        <w:pStyle w:val="ListParagraph"/>
        <w:jc w:val="center"/>
        <w:rPr>
          <w:rFonts w:ascii="Arial" w:hAnsi="Arial" w:cs="Arial"/>
          <w:sz w:val="24"/>
          <w:szCs w:val="24"/>
        </w:rPr>
      </w:pPr>
    </w:p>
    <w:tbl>
      <w:tblPr>
        <w:tblStyle w:val="TableGrid"/>
        <w:tblW w:w="0" w:type="auto"/>
        <w:tblInd w:w="720" w:type="dxa"/>
        <w:shd w:val="clear" w:color="auto" w:fill="DAEEF3" w:themeFill="accent5" w:themeFillTint="33"/>
        <w:tblLook w:val="04A0" w:firstRow="1" w:lastRow="0" w:firstColumn="1" w:lastColumn="0" w:noHBand="0" w:noVBand="1"/>
      </w:tblPr>
      <w:tblGrid>
        <w:gridCol w:w="9134"/>
      </w:tblGrid>
      <w:tr w:rsidR="007D57B6" w:rsidRPr="006245CD" w14:paraId="360768CA" w14:textId="77777777" w:rsidTr="001F5A47">
        <w:tc>
          <w:tcPr>
            <w:tcW w:w="9674" w:type="dxa"/>
            <w:shd w:val="clear" w:color="auto" w:fill="DAEEF3" w:themeFill="accent5" w:themeFillTint="33"/>
          </w:tcPr>
          <w:p w14:paraId="397DB968" w14:textId="15C7D862" w:rsidR="00F57CE5" w:rsidRPr="006245CD" w:rsidRDefault="00F57CE5" w:rsidP="00057A92">
            <w:pPr>
              <w:pStyle w:val="ListParagraph"/>
              <w:ind w:left="0"/>
              <w:jc w:val="both"/>
              <w:rPr>
                <w:rFonts w:ascii="Arial" w:hAnsi="Arial" w:cs="Arial"/>
                <w:b/>
                <w:bCs/>
              </w:rPr>
            </w:pPr>
            <w:r w:rsidRPr="006245CD">
              <w:rPr>
                <w:rFonts w:ascii="Arial" w:hAnsi="Arial" w:cs="Arial"/>
                <w:b/>
                <w:bCs/>
              </w:rPr>
              <w:t>NPPF</w:t>
            </w:r>
          </w:p>
          <w:p w14:paraId="2515E8D2" w14:textId="77777777" w:rsidR="00F57CE5" w:rsidRPr="006245CD" w:rsidRDefault="00F57CE5" w:rsidP="00057A92">
            <w:pPr>
              <w:pStyle w:val="ListParagraph"/>
              <w:ind w:left="0"/>
              <w:jc w:val="both"/>
              <w:rPr>
                <w:rFonts w:ascii="Arial" w:hAnsi="Arial" w:cs="Arial"/>
                <w:b/>
                <w:bCs/>
              </w:rPr>
            </w:pPr>
          </w:p>
          <w:p w14:paraId="7462BC60" w14:textId="78E90419" w:rsidR="007D57B6" w:rsidRPr="006245CD" w:rsidRDefault="007D57B6" w:rsidP="00057A92">
            <w:pPr>
              <w:pStyle w:val="ListParagraph"/>
              <w:ind w:left="0"/>
              <w:jc w:val="both"/>
              <w:rPr>
                <w:rFonts w:ascii="Arial" w:hAnsi="Arial" w:cs="Arial"/>
              </w:rPr>
            </w:pPr>
            <w:r w:rsidRPr="006245CD">
              <w:rPr>
                <w:rFonts w:ascii="Arial" w:hAnsi="Arial" w:cs="Arial"/>
              </w:rPr>
              <w:t xml:space="preserve">Paragraph 8 states that the planning system should seek to support strong, </w:t>
            </w:r>
            <w:proofErr w:type="gramStart"/>
            <w:r w:rsidRPr="006245CD">
              <w:rPr>
                <w:rFonts w:ascii="Arial" w:hAnsi="Arial" w:cs="Arial"/>
              </w:rPr>
              <w:t>vibrant</w:t>
            </w:r>
            <w:proofErr w:type="gramEnd"/>
            <w:r w:rsidRPr="006245CD">
              <w:rPr>
                <w:rFonts w:ascii="Arial" w:hAnsi="Arial" w:cs="Arial"/>
              </w:rPr>
              <w:t xml:space="preserve"> and healthy communities by ensuring that a sufficient number and range of homes can be provided, by fostering well-designed beautiful and safe places with accessible services and open spaces that reflect current and future needs and support communities’ health, social and cultural well-being.</w:t>
            </w:r>
          </w:p>
          <w:p w14:paraId="0B8B4C1B" w14:textId="77777777" w:rsidR="007D57B6" w:rsidRPr="006245CD" w:rsidRDefault="007D57B6" w:rsidP="00057A92">
            <w:pPr>
              <w:pStyle w:val="ListParagraph"/>
              <w:ind w:left="0"/>
              <w:jc w:val="both"/>
              <w:rPr>
                <w:rFonts w:ascii="Arial" w:hAnsi="Arial" w:cs="Arial"/>
              </w:rPr>
            </w:pPr>
          </w:p>
          <w:p w14:paraId="190CCDEB" w14:textId="52C88836" w:rsidR="007D57B6" w:rsidRPr="006245CD" w:rsidRDefault="00F57CE5" w:rsidP="007D57B6">
            <w:pPr>
              <w:jc w:val="both"/>
              <w:rPr>
                <w:rFonts w:ascii="Arial" w:hAnsi="Arial" w:cs="Arial"/>
              </w:rPr>
            </w:pPr>
            <w:r w:rsidRPr="006245CD">
              <w:rPr>
                <w:rFonts w:ascii="Arial" w:hAnsi="Arial" w:cs="Arial"/>
              </w:rPr>
              <w:t xml:space="preserve">Paragraph 9 </w:t>
            </w:r>
            <w:r w:rsidR="007D57B6" w:rsidRPr="006245CD">
              <w:rPr>
                <w:rFonts w:ascii="Arial" w:hAnsi="Arial" w:cs="Arial"/>
              </w:rPr>
              <w:t xml:space="preserve">outlines that: </w:t>
            </w:r>
            <w:r w:rsidR="007D57B6" w:rsidRPr="006245CD">
              <w:rPr>
                <w:rFonts w:ascii="Arial" w:hAnsi="Arial" w:cs="Arial"/>
                <w:i/>
                <w:iCs/>
              </w:rPr>
              <w:t>‘Planning policies and decisions should play an active role in guiding development towards sustainable solutions, but in doing so should take local circumstances into account, to reflect the character, needs and opportunities of each area.’</w:t>
            </w:r>
          </w:p>
          <w:p w14:paraId="4C25CA7A" w14:textId="77777777" w:rsidR="007D57B6" w:rsidRPr="006245CD" w:rsidRDefault="007D57B6" w:rsidP="00057A92">
            <w:pPr>
              <w:pStyle w:val="ListParagraph"/>
              <w:ind w:left="0"/>
              <w:jc w:val="both"/>
              <w:rPr>
                <w:rFonts w:ascii="Arial" w:hAnsi="Arial" w:cs="Arial"/>
              </w:rPr>
            </w:pPr>
          </w:p>
          <w:p w14:paraId="60D58B80" w14:textId="3324D0FE" w:rsidR="007D57B6" w:rsidRPr="006245CD" w:rsidRDefault="00F57CE5" w:rsidP="00F57CE5">
            <w:pPr>
              <w:jc w:val="both"/>
              <w:rPr>
                <w:rFonts w:ascii="Arial" w:hAnsi="Arial" w:cs="Arial"/>
              </w:rPr>
            </w:pPr>
            <w:r w:rsidRPr="006245CD">
              <w:rPr>
                <w:rFonts w:ascii="Arial" w:hAnsi="Arial" w:cs="Arial"/>
              </w:rPr>
              <w:t>P</w:t>
            </w:r>
            <w:r w:rsidR="007D57B6" w:rsidRPr="006245CD">
              <w:rPr>
                <w:rFonts w:ascii="Arial" w:hAnsi="Arial" w:cs="Arial"/>
              </w:rPr>
              <w:t>lanning should actively manage patterns of growth (paragraph 10</w:t>
            </w:r>
            <w:r w:rsidR="008D37AC" w:rsidRPr="006245CD">
              <w:rPr>
                <w:rFonts w:ascii="Arial" w:hAnsi="Arial" w:cs="Arial"/>
              </w:rPr>
              <w:t>5</w:t>
            </w:r>
            <w:r w:rsidR="007D57B6" w:rsidRPr="006245CD">
              <w:rPr>
                <w:rFonts w:ascii="Arial" w:hAnsi="Arial" w:cs="Arial"/>
              </w:rPr>
              <w:t>):</w:t>
            </w:r>
          </w:p>
          <w:p w14:paraId="7B559DE4" w14:textId="77777777" w:rsidR="007D57B6" w:rsidRPr="006245CD" w:rsidRDefault="007D57B6" w:rsidP="00F57CE5">
            <w:pPr>
              <w:pStyle w:val="ListParagraph"/>
              <w:numPr>
                <w:ilvl w:val="0"/>
                <w:numId w:val="8"/>
              </w:numPr>
              <w:jc w:val="both"/>
              <w:rPr>
                <w:rFonts w:ascii="Arial" w:hAnsi="Arial" w:cs="Arial"/>
              </w:rPr>
            </w:pPr>
            <w:r w:rsidRPr="006245CD">
              <w:rPr>
                <w:rFonts w:ascii="Arial" w:hAnsi="Arial" w:cs="Arial"/>
              </w:rPr>
              <w:t>to focus significant development in locations which are or can be made sustainable; and</w:t>
            </w:r>
          </w:p>
          <w:p w14:paraId="1E971F5A" w14:textId="77777777" w:rsidR="007D57B6" w:rsidRPr="006245CD" w:rsidRDefault="007D57B6" w:rsidP="00F57CE5">
            <w:pPr>
              <w:pStyle w:val="ListParagraph"/>
              <w:numPr>
                <w:ilvl w:val="0"/>
                <w:numId w:val="8"/>
              </w:numPr>
              <w:jc w:val="both"/>
              <w:rPr>
                <w:rFonts w:ascii="Arial" w:hAnsi="Arial" w:cs="Arial"/>
              </w:rPr>
            </w:pPr>
            <w:r w:rsidRPr="006245CD">
              <w:rPr>
                <w:rFonts w:ascii="Arial" w:hAnsi="Arial" w:cs="Arial"/>
              </w:rPr>
              <w:t>to recognise that opportunities to maximise sustainable transport solutions will vary between urban and rural areas.</w:t>
            </w:r>
          </w:p>
          <w:p w14:paraId="12379BE1" w14:textId="77777777" w:rsidR="00F57CE5" w:rsidRPr="006245CD" w:rsidRDefault="00F57CE5" w:rsidP="00F57CE5">
            <w:pPr>
              <w:jc w:val="both"/>
              <w:rPr>
                <w:rFonts w:ascii="Arial" w:hAnsi="Arial" w:cs="Arial"/>
              </w:rPr>
            </w:pPr>
          </w:p>
          <w:p w14:paraId="269A8C59" w14:textId="7F12C55F" w:rsidR="007D57B6" w:rsidRPr="006245CD" w:rsidRDefault="007D57B6" w:rsidP="00F57CE5">
            <w:pPr>
              <w:jc w:val="both"/>
              <w:rPr>
                <w:rFonts w:ascii="Arial" w:hAnsi="Arial" w:cs="Arial"/>
              </w:rPr>
            </w:pPr>
            <w:r w:rsidRPr="006245CD">
              <w:rPr>
                <w:rFonts w:ascii="Arial" w:hAnsi="Arial" w:cs="Arial"/>
              </w:rPr>
              <w:t xml:space="preserve">To promote sustainable development in rural areas, housing should be located where it will enhance or maintain the vitality of rural communities. It goes on to state that planning policies should identify opportunities for villages to grow and thrive, especially where this will support local services. Where there are groups of smaller settlements, development in one village may support services in a village nearby (paragraph </w:t>
            </w:r>
            <w:r w:rsidR="008D37AC" w:rsidRPr="006245CD">
              <w:rPr>
                <w:rFonts w:ascii="Arial" w:hAnsi="Arial" w:cs="Arial"/>
              </w:rPr>
              <w:t>79</w:t>
            </w:r>
            <w:r w:rsidRPr="006245CD">
              <w:rPr>
                <w:rFonts w:ascii="Arial" w:hAnsi="Arial" w:cs="Arial"/>
              </w:rPr>
              <w:t>).</w:t>
            </w:r>
          </w:p>
          <w:p w14:paraId="49DA75AB" w14:textId="77777777" w:rsidR="00F57CE5" w:rsidRPr="006245CD" w:rsidRDefault="00F57CE5" w:rsidP="00F57CE5">
            <w:pPr>
              <w:jc w:val="both"/>
              <w:rPr>
                <w:rFonts w:ascii="Arial" w:hAnsi="Arial" w:cs="Arial"/>
              </w:rPr>
            </w:pPr>
          </w:p>
          <w:p w14:paraId="12070535" w14:textId="19AFE7FD" w:rsidR="007D57B6" w:rsidRPr="006245CD" w:rsidRDefault="007D57B6" w:rsidP="00F57CE5">
            <w:pPr>
              <w:jc w:val="both"/>
              <w:rPr>
                <w:rFonts w:ascii="Arial" w:hAnsi="Arial" w:cs="Arial"/>
              </w:rPr>
            </w:pPr>
            <w:r w:rsidRPr="006245CD">
              <w:rPr>
                <w:rFonts w:ascii="Arial" w:hAnsi="Arial" w:cs="Arial"/>
              </w:rPr>
              <w:t xml:space="preserve">New housing development should be avoided in isolated locations except </w:t>
            </w:r>
            <w:proofErr w:type="gramStart"/>
            <w:r w:rsidRPr="006245CD">
              <w:rPr>
                <w:rFonts w:ascii="Arial" w:hAnsi="Arial" w:cs="Arial"/>
              </w:rPr>
              <w:t>in particular circumstances</w:t>
            </w:r>
            <w:proofErr w:type="gramEnd"/>
            <w:r w:rsidRPr="006245CD">
              <w:rPr>
                <w:rFonts w:ascii="Arial" w:hAnsi="Arial" w:cs="Arial"/>
              </w:rPr>
              <w:t xml:space="preserve"> (paragraph 8</w:t>
            </w:r>
            <w:r w:rsidR="008D37AC" w:rsidRPr="006245CD">
              <w:rPr>
                <w:rFonts w:ascii="Arial" w:hAnsi="Arial" w:cs="Arial"/>
              </w:rPr>
              <w:t>4</w:t>
            </w:r>
            <w:r w:rsidRPr="006245CD">
              <w:rPr>
                <w:rFonts w:ascii="Arial" w:hAnsi="Arial" w:cs="Arial"/>
              </w:rPr>
              <w:t>).</w:t>
            </w:r>
          </w:p>
          <w:p w14:paraId="18DB369B" w14:textId="77777777" w:rsidR="00F57CE5" w:rsidRPr="006245CD" w:rsidRDefault="00F57CE5" w:rsidP="00F57CE5">
            <w:pPr>
              <w:jc w:val="both"/>
              <w:rPr>
                <w:rFonts w:ascii="Arial" w:hAnsi="Arial" w:cs="Arial"/>
              </w:rPr>
            </w:pPr>
          </w:p>
          <w:p w14:paraId="5D8EA8F0" w14:textId="62A7A1CC" w:rsidR="007D57B6" w:rsidRPr="006245CD" w:rsidRDefault="007D57B6" w:rsidP="00F57CE5">
            <w:pPr>
              <w:jc w:val="both"/>
              <w:rPr>
                <w:rFonts w:ascii="Arial" w:hAnsi="Arial" w:cs="Arial"/>
              </w:rPr>
            </w:pPr>
            <w:r w:rsidRPr="006245CD">
              <w:rPr>
                <w:rFonts w:ascii="Arial" w:hAnsi="Arial" w:cs="Arial"/>
              </w:rPr>
              <w:t xml:space="preserve">Planning policies should ensure the retention and development of accessible local services and community facilities, such as local shops, meeting places, sports venues, open space, cultural buildings, public </w:t>
            </w:r>
            <w:proofErr w:type="gramStart"/>
            <w:r w:rsidRPr="006245CD">
              <w:rPr>
                <w:rFonts w:ascii="Arial" w:hAnsi="Arial" w:cs="Arial"/>
              </w:rPr>
              <w:t>houses</w:t>
            </w:r>
            <w:proofErr w:type="gramEnd"/>
            <w:r w:rsidRPr="006245CD">
              <w:rPr>
                <w:rFonts w:ascii="Arial" w:hAnsi="Arial" w:cs="Arial"/>
              </w:rPr>
              <w:t xml:space="preserve"> and places of worship (paragraph 8</w:t>
            </w:r>
            <w:r w:rsidR="008D37AC" w:rsidRPr="006245CD">
              <w:rPr>
                <w:rFonts w:ascii="Arial" w:hAnsi="Arial" w:cs="Arial"/>
              </w:rPr>
              <w:t>4</w:t>
            </w:r>
            <w:r w:rsidRPr="006245CD">
              <w:rPr>
                <w:rFonts w:ascii="Arial" w:hAnsi="Arial" w:cs="Arial"/>
              </w:rPr>
              <w:t>).</w:t>
            </w:r>
          </w:p>
          <w:p w14:paraId="57AE9612" w14:textId="77777777" w:rsidR="00F57CE5" w:rsidRPr="006245CD" w:rsidRDefault="00F57CE5" w:rsidP="00F57CE5">
            <w:pPr>
              <w:jc w:val="both"/>
              <w:rPr>
                <w:rFonts w:ascii="Arial" w:hAnsi="Arial" w:cs="Arial"/>
              </w:rPr>
            </w:pPr>
          </w:p>
          <w:p w14:paraId="17410FCA" w14:textId="452AC33B" w:rsidR="007D57B6" w:rsidRPr="006245CD" w:rsidRDefault="007D57B6" w:rsidP="00F57CE5">
            <w:pPr>
              <w:jc w:val="both"/>
              <w:rPr>
                <w:rFonts w:ascii="Arial" w:hAnsi="Arial" w:cs="Arial"/>
              </w:rPr>
            </w:pPr>
            <w:r w:rsidRPr="006245CD">
              <w:rPr>
                <w:rFonts w:ascii="Arial" w:hAnsi="Arial" w:cs="Arial"/>
              </w:rPr>
              <w:t>Planning policies should ensure an integrated approach to considering the location of housing, economic uses and community facilities and services (paragraph 9</w:t>
            </w:r>
            <w:r w:rsidR="008D37AC" w:rsidRPr="006245CD">
              <w:rPr>
                <w:rFonts w:ascii="Arial" w:hAnsi="Arial" w:cs="Arial"/>
              </w:rPr>
              <w:t>3</w:t>
            </w:r>
            <w:r w:rsidRPr="006245CD">
              <w:rPr>
                <w:rFonts w:ascii="Arial" w:hAnsi="Arial" w:cs="Arial"/>
              </w:rPr>
              <w:t>).</w:t>
            </w:r>
          </w:p>
        </w:tc>
      </w:tr>
    </w:tbl>
    <w:p w14:paraId="7DDB78B2" w14:textId="15843B56" w:rsidR="007D57B6" w:rsidRDefault="007D57B6" w:rsidP="00057A92">
      <w:pPr>
        <w:pStyle w:val="ListParagraph"/>
        <w:jc w:val="both"/>
        <w:rPr>
          <w:rFonts w:ascii="Arial" w:hAnsi="Arial" w:cs="Arial"/>
          <w:sz w:val="24"/>
          <w:szCs w:val="24"/>
        </w:rPr>
      </w:pPr>
    </w:p>
    <w:p w14:paraId="6507A3E0" w14:textId="7A2ECD6F" w:rsidR="005E4DEB" w:rsidRPr="00B56C46" w:rsidRDefault="00F06657" w:rsidP="00403DB0">
      <w:pPr>
        <w:pStyle w:val="ListParagraph"/>
        <w:numPr>
          <w:ilvl w:val="1"/>
          <w:numId w:val="1"/>
        </w:numPr>
        <w:ind w:left="720" w:hanging="720"/>
        <w:jc w:val="both"/>
        <w:rPr>
          <w:rFonts w:ascii="Arial" w:hAnsi="Arial" w:cs="Arial"/>
          <w:sz w:val="24"/>
          <w:szCs w:val="24"/>
        </w:rPr>
      </w:pPr>
      <w:r w:rsidRPr="00B56C46">
        <w:rPr>
          <w:rFonts w:ascii="Arial" w:hAnsi="Arial" w:cs="Arial"/>
          <w:sz w:val="24"/>
          <w:szCs w:val="24"/>
        </w:rPr>
        <w:lastRenderedPageBreak/>
        <w:t>The accompanying guidance in the PPG</w:t>
      </w:r>
      <w:r w:rsidR="00B56C46">
        <w:rPr>
          <w:rFonts w:ascii="Arial" w:hAnsi="Arial" w:cs="Arial"/>
          <w:sz w:val="24"/>
          <w:szCs w:val="24"/>
        </w:rPr>
        <w:t xml:space="preserve"> </w:t>
      </w:r>
      <w:r w:rsidR="00B56C46" w:rsidRPr="00B56C46">
        <w:rPr>
          <w:rFonts w:ascii="Arial" w:hAnsi="Arial" w:cs="Arial"/>
          <w:sz w:val="24"/>
          <w:szCs w:val="24"/>
        </w:rPr>
        <w:t xml:space="preserve">in respect of </w:t>
      </w:r>
      <w:r w:rsidR="00057A92" w:rsidRPr="00B56C46">
        <w:rPr>
          <w:rFonts w:ascii="Arial" w:hAnsi="Arial" w:cs="Arial"/>
          <w:sz w:val="24"/>
          <w:szCs w:val="24"/>
        </w:rPr>
        <w:t>rural housing</w:t>
      </w:r>
      <w:r w:rsidR="00057A92" w:rsidRPr="00B56C46">
        <w:rPr>
          <w:rStyle w:val="FootnoteReference"/>
          <w:rFonts w:ascii="Arial" w:hAnsi="Arial" w:cs="Arial"/>
          <w:i/>
          <w:iCs/>
          <w:color w:val="0B0C0C"/>
          <w:sz w:val="24"/>
          <w:szCs w:val="24"/>
          <w:shd w:val="clear" w:color="auto" w:fill="FFFFFF"/>
        </w:rPr>
        <w:footnoteReference w:id="1"/>
      </w:r>
      <w:r w:rsidR="00B56C46">
        <w:rPr>
          <w:rFonts w:ascii="Arial" w:hAnsi="Arial" w:cs="Arial"/>
          <w:sz w:val="24"/>
          <w:szCs w:val="24"/>
        </w:rPr>
        <w:t xml:space="preserve">, </w:t>
      </w:r>
      <w:r w:rsidR="00057A92" w:rsidRPr="00B56C46">
        <w:rPr>
          <w:rFonts w:ascii="Arial" w:hAnsi="Arial" w:cs="Arial"/>
          <w:sz w:val="24"/>
          <w:szCs w:val="24"/>
        </w:rPr>
        <w:t xml:space="preserve">recognises the </w:t>
      </w:r>
      <w:proofErr w:type="gramStart"/>
      <w:r w:rsidR="00057A92" w:rsidRPr="00B56C46">
        <w:rPr>
          <w:rFonts w:ascii="Arial" w:hAnsi="Arial" w:cs="Arial"/>
          <w:sz w:val="24"/>
          <w:szCs w:val="24"/>
        </w:rPr>
        <w:t>particular issues</w:t>
      </w:r>
      <w:proofErr w:type="gramEnd"/>
      <w:r w:rsidR="00057A92" w:rsidRPr="00B56C46">
        <w:rPr>
          <w:rFonts w:ascii="Arial" w:hAnsi="Arial" w:cs="Arial"/>
          <w:sz w:val="24"/>
          <w:szCs w:val="24"/>
        </w:rPr>
        <w:t xml:space="preserve"> facing rural areas in terms of housing supply and affordability and the role of housing in supporting the broader sustainability of villages and smaller settlements. It goes on to state</w:t>
      </w:r>
      <w:r w:rsidRPr="00B56C46">
        <w:rPr>
          <w:rFonts w:ascii="Arial" w:hAnsi="Arial" w:cs="Arial"/>
          <w:sz w:val="24"/>
          <w:szCs w:val="24"/>
        </w:rPr>
        <w:t xml:space="preserve"> ‘</w:t>
      </w:r>
      <w:r w:rsidRPr="00B56C46">
        <w:rPr>
          <w:rFonts w:ascii="Arial" w:hAnsi="Arial" w:cs="Arial"/>
          <w:i/>
          <w:iCs/>
          <w:color w:val="0B0C0C"/>
          <w:sz w:val="24"/>
          <w:szCs w:val="24"/>
          <w:shd w:val="clear" w:color="auto" w:fill="FFFFFF"/>
        </w:rPr>
        <w:t>A wide range of settlements can play a role in delivering sustainable development in rural areas, so blanket policies restricting housing development in some types of settlement will need to be supported by robust evidence of their appropriateness’.</w:t>
      </w:r>
    </w:p>
    <w:p w14:paraId="19C2CED3" w14:textId="77777777" w:rsidR="006245CD" w:rsidRDefault="006245CD" w:rsidP="005E4DEB">
      <w:pPr>
        <w:pStyle w:val="ListParagraph"/>
        <w:jc w:val="both"/>
        <w:rPr>
          <w:rFonts w:ascii="Arial" w:hAnsi="Arial" w:cs="Arial"/>
          <w:sz w:val="24"/>
          <w:szCs w:val="24"/>
        </w:rPr>
      </w:pPr>
    </w:p>
    <w:p w14:paraId="4641C3B9" w14:textId="206B1E9B" w:rsidR="005E4DEB" w:rsidRDefault="005E4DEB" w:rsidP="00903D35">
      <w:pPr>
        <w:pStyle w:val="ListParagraph"/>
        <w:jc w:val="both"/>
        <w:rPr>
          <w:rFonts w:ascii="Arial" w:hAnsi="Arial" w:cs="Arial"/>
          <w:i/>
          <w:iCs/>
          <w:sz w:val="24"/>
          <w:szCs w:val="24"/>
        </w:rPr>
      </w:pPr>
      <w:r w:rsidRPr="00282200">
        <w:rPr>
          <w:rFonts w:ascii="Arial" w:hAnsi="Arial" w:cs="Arial"/>
          <w:i/>
          <w:iCs/>
          <w:sz w:val="24"/>
          <w:szCs w:val="24"/>
        </w:rPr>
        <w:t>Local Planning Policy</w:t>
      </w:r>
    </w:p>
    <w:p w14:paraId="0D2AA2BA" w14:textId="77777777" w:rsidR="0037209B" w:rsidRPr="00282200" w:rsidRDefault="0037209B" w:rsidP="00903D35">
      <w:pPr>
        <w:pStyle w:val="ListParagraph"/>
        <w:jc w:val="both"/>
        <w:rPr>
          <w:rFonts w:ascii="Arial" w:hAnsi="Arial" w:cs="Arial"/>
          <w:i/>
          <w:iCs/>
          <w:sz w:val="24"/>
          <w:szCs w:val="24"/>
        </w:rPr>
      </w:pPr>
    </w:p>
    <w:p w14:paraId="18B54527" w14:textId="0D7013B9" w:rsidR="00422A99" w:rsidRDefault="008621F9" w:rsidP="007918C6">
      <w:pPr>
        <w:pStyle w:val="ListParagraph"/>
        <w:numPr>
          <w:ilvl w:val="1"/>
          <w:numId w:val="1"/>
        </w:numPr>
        <w:ind w:left="720" w:hanging="720"/>
        <w:jc w:val="both"/>
        <w:rPr>
          <w:rFonts w:ascii="Arial" w:hAnsi="Arial" w:cs="Arial"/>
          <w:sz w:val="24"/>
          <w:szCs w:val="24"/>
        </w:rPr>
      </w:pPr>
      <w:r>
        <w:rPr>
          <w:rFonts w:ascii="Arial" w:hAnsi="Arial" w:cs="Arial"/>
          <w:sz w:val="24"/>
          <w:szCs w:val="24"/>
        </w:rPr>
        <w:t>T</w:t>
      </w:r>
      <w:r w:rsidR="005E4DEB">
        <w:rPr>
          <w:rFonts w:ascii="Arial" w:hAnsi="Arial" w:cs="Arial"/>
          <w:sz w:val="24"/>
          <w:szCs w:val="24"/>
        </w:rPr>
        <w:t xml:space="preserve">he adopted Chichester Local Plan: Key Policies 2014 – 2029 sets out the current settlement hierarchy </w:t>
      </w:r>
      <w:r>
        <w:rPr>
          <w:rFonts w:ascii="Arial" w:hAnsi="Arial" w:cs="Arial"/>
          <w:sz w:val="24"/>
          <w:szCs w:val="24"/>
        </w:rPr>
        <w:t>based on four classifications</w:t>
      </w:r>
      <w:r w:rsidR="00422A99">
        <w:rPr>
          <w:rFonts w:ascii="Arial" w:hAnsi="Arial" w:cs="Arial"/>
          <w:sz w:val="24"/>
          <w:szCs w:val="24"/>
        </w:rPr>
        <w:t>:</w:t>
      </w:r>
    </w:p>
    <w:p w14:paraId="6CFDFA51" w14:textId="266C4A7C" w:rsidR="00422A99" w:rsidRPr="00490025" w:rsidRDefault="00422A99" w:rsidP="00422A99">
      <w:pPr>
        <w:pStyle w:val="ListParagraph"/>
        <w:numPr>
          <w:ilvl w:val="0"/>
          <w:numId w:val="4"/>
        </w:numPr>
        <w:jc w:val="both"/>
        <w:rPr>
          <w:rFonts w:ascii="Arial" w:hAnsi="Arial" w:cs="Arial"/>
          <w:sz w:val="26"/>
          <w:szCs w:val="26"/>
        </w:rPr>
      </w:pPr>
      <w:r w:rsidRPr="005062E2">
        <w:rPr>
          <w:rFonts w:ascii="Arial" w:hAnsi="Arial" w:cs="Arial"/>
          <w:b/>
          <w:bCs/>
          <w:sz w:val="24"/>
          <w:szCs w:val="24"/>
        </w:rPr>
        <w:t>Chichester city sub regional centre</w:t>
      </w:r>
      <w:r w:rsidRPr="00422A99">
        <w:rPr>
          <w:rFonts w:ascii="Arial" w:hAnsi="Arial" w:cs="Arial"/>
          <w:sz w:val="24"/>
          <w:szCs w:val="24"/>
        </w:rPr>
        <w:t xml:space="preserve"> providing a wide range of higher order services and facilities</w:t>
      </w:r>
      <w:r w:rsidR="00490025">
        <w:rPr>
          <w:rFonts w:ascii="Arial" w:hAnsi="Arial" w:cs="Arial"/>
          <w:sz w:val="24"/>
          <w:szCs w:val="24"/>
        </w:rPr>
        <w:t xml:space="preserve"> </w:t>
      </w:r>
      <w:r w:rsidR="00490025" w:rsidRPr="00490025">
        <w:rPr>
          <w:rFonts w:ascii="Arial" w:hAnsi="Arial" w:cs="Arial"/>
          <w:sz w:val="24"/>
          <w:szCs w:val="24"/>
        </w:rPr>
        <w:t xml:space="preserve">– employment, shopping, education, health, entertainment, </w:t>
      </w:r>
      <w:proofErr w:type="gramStart"/>
      <w:r w:rsidR="00490025" w:rsidRPr="00490025">
        <w:rPr>
          <w:rFonts w:ascii="Arial" w:hAnsi="Arial" w:cs="Arial"/>
          <w:sz w:val="24"/>
          <w:szCs w:val="24"/>
        </w:rPr>
        <w:t>arts</w:t>
      </w:r>
      <w:proofErr w:type="gramEnd"/>
      <w:r w:rsidR="00490025" w:rsidRPr="00490025">
        <w:rPr>
          <w:rFonts w:ascii="Arial" w:hAnsi="Arial" w:cs="Arial"/>
          <w:sz w:val="24"/>
          <w:szCs w:val="24"/>
        </w:rPr>
        <w:t xml:space="preserve"> and culture – serving a wide catchment area extending outside the plan area.</w:t>
      </w:r>
    </w:p>
    <w:p w14:paraId="61A36C67" w14:textId="3646AD3B" w:rsidR="00422A99" w:rsidRDefault="00422A99" w:rsidP="00422A99">
      <w:pPr>
        <w:pStyle w:val="ListParagraph"/>
        <w:numPr>
          <w:ilvl w:val="0"/>
          <w:numId w:val="4"/>
        </w:numPr>
        <w:jc w:val="both"/>
        <w:rPr>
          <w:rFonts w:ascii="Arial" w:hAnsi="Arial" w:cs="Arial"/>
          <w:sz w:val="24"/>
          <w:szCs w:val="24"/>
        </w:rPr>
      </w:pPr>
      <w:r w:rsidRPr="005062E2">
        <w:rPr>
          <w:rFonts w:ascii="Arial" w:hAnsi="Arial" w:cs="Arial"/>
          <w:b/>
          <w:bCs/>
          <w:sz w:val="24"/>
          <w:szCs w:val="24"/>
        </w:rPr>
        <w:t>Settlement hubs</w:t>
      </w:r>
      <w:r w:rsidRPr="00422A99">
        <w:rPr>
          <w:rFonts w:ascii="Arial" w:hAnsi="Arial" w:cs="Arial"/>
          <w:sz w:val="24"/>
          <w:szCs w:val="24"/>
        </w:rPr>
        <w:t xml:space="preserve"> </w:t>
      </w:r>
      <w:r w:rsidR="005062E2">
        <w:rPr>
          <w:rFonts w:ascii="Arial" w:hAnsi="Arial" w:cs="Arial"/>
          <w:sz w:val="24"/>
          <w:szCs w:val="24"/>
        </w:rPr>
        <w:t>are</w:t>
      </w:r>
      <w:r w:rsidRPr="00422A99">
        <w:rPr>
          <w:rFonts w:ascii="Arial" w:hAnsi="Arial" w:cs="Arial"/>
          <w:sz w:val="24"/>
          <w:szCs w:val="24"/>
        </w:rPr>
        <w:t xml:space="preserve"> secondary service centres providing a reasonable range of employment</w:t>
      </w:r>
      <w:r w:rsidR="005062E2">
        <w:rPr>
          <w:rFonts w:ascii="Arial" w:hAnsi="Arial" w:cs="Arial"/>
          <w:sz w:val="24"/>
          <w:szCs w:val="24"/>
        </w:rPr>
        <w:t>,</w:t>
      </w:r>
      <w:r w:rsidRPr="00422A99">
        <w:rPr>
          <w:rFonts w:ascii="Arial" w:hAnsi="Arial" w:cs="Arial"/>
          <w:sz w:val="24"/>
          <w:szCs w:val="24"/>
        </w:rPr>
        <w:t xml:space="preserve"> retail</w:t>
      </w:r>
      <w:r w:rsidR="005062E2">
        <w:rPr>
          <w:rFonts w:ascii="Arial" w:hAnsi="Arial" w:cs="Arial"/>
          <w:sz w:val="24"/>
          <w:szCs w:val="24"/>
        </w:rPr>
        <w:t>,</w:t>
      </w:r>
      <w:r w:rsidRPr="00422A99">
        <w:rPr>
          <w:rFonts w:ascii="Arial" w:hAnsi="Arial" w:cs="Arial"/>
          <w:sz w:val="24"/>
          <w:szCs w:val="24"/>
        </w:rPr>
        <w:t xml:space="preserve"> social and community facilities serving </w:t>
      </w:r>
      <w:r w:rsidR="005062E2">
        <w:rPr>
          <w:rFonts w:ascii="Arial" w:hAnsi="Arial" w:cs="Arial"/>
          <w:sz w:val="24"/>
          <w:szCs w:val="24"/>
        </w:rPr>
        <w:t xml:space="preserve">the </w:t>
      </w:r>
      <w:r w:rsidRPr="00422A99">
        <w:rPr>
          <w:rFonts w:ascii="Arial" w:hAnsi="Arial" w:cs="Arial"/>
          <w:sz w:val="24"/>
          <w:szCs w:val="24"/>
        </w:rPr>
        <w:t>settlement and local catchment areas</w:t>
      </w:r>
      <w:r w:rsidR="008675D7">
        <w:rPr>
          <w:rFonts w:ascii="Arial" w:hAnsi="Arial" w:cs="Arial"/>
          <w:sz w:val="24"/>
          <w:szCs w:val="24"/>
        </w:rPr>
        <w:t>.</w:t>
      </w:r>
    </w:p>
    <w:p w14:paraId="109B3684" w14:textId="7AB300E8" w:rsidR="00422A99" w:rsidRDefault="005062E2" w:rsidP="00422A99">
      <w:pPr>
        <w:pStyle w:val="ListParagraph"/>
        <w:numPr>
          <w:ilvl w:val="0"/>
          <w:numId w:val="4"/>
        </w:numPr>
        <w:jc w:val="both"/>
        <w:rPr>
          <w:rFonts w:ascii="Arial" w:hAnsi="Arial" w:cs="Arial"/>
          <w:sz w:val="24"/>
          <w:szCs w:val="24"/>
        </w:rPr>
      </w:pPr>
      <w:r w:rsidRPr="005062E2">
        <w:rPr>
          <w:rFonts w:ascii="Arial" w:hAnsi="Arial" w:cs="Arial"/>
          <w:b/>
          <w:bCs/>
          <w:sz w:val="24"/>
          <w:szCs w:val="24"/>
        </w:rPr>
        <w:t>Service</w:t>
      </w:r>
      <w:r w:rsidR="00422A99" w:rsidRPr="005062E2">
        <w:rPr>
          <w:rFonts w:ascii="Arial" w:hAnsi="Arial" w:cs="Arial"/>
          <w:b/>
          <w:bCs/>
          <w:sz w:val="24"/>
          <w:szCs w:val="24"/>
        </w:rPr>
        <w:t xml:space="preserve"> villages</w:t>
      </w:r>
      <w:r w:rsidR="00422A99" w:rsidRPr="00422A99">
        <w:rPr>
          <w:rFonts w:ascii="Arial" w:hAnsi="Arial" w:cs="Arial"/>
          <w:sz w:val="24"/>
          <w:szCs w:val="24"/>
        </w:rPr>
        <w:t xml:space="preserve"> provide a reasonable range of basics facilities</w:t>
      </w:r>
      <w:r w:rsidR="00422A99">
        <w:rPr>
          <w:rFonts w:ascii="Arial" w:hAnsi="Arial" w:cs="Arial"/>
          <w:sz w:val="24"/>
          <w:szCs w:val="24"/>
        </w:rPr>
        <w:t xml:space="preserve"> </w:t>
      </w:r>
      <w:r w:rsidR="00422A99" w:rsidRPr="00422A99">
        <w:rPr>
          <w:rFonts w:ascii="Arial" w:hAnsi="Arial" w:cs="Arial"/>
          <w:sz w:val="24"/>
          <w:szCs w:val="24"/>
        </w:rPr>
        <w:t xml:space="preserve">to meet the everyday needs of </w:t>
      </w:r>
      <w:proofErr w:type="gramStart"/>
      <w:r w:rsidR="00422A99" w:rsidRPr="00422A99">
        <w:rPr>
          <w:rFonts w:ascii="Arial" w:hAnsi="Arial" w:cs="Arial"/>
          <w:sz w:val="24"/>
          <w:szCs w:val="24"/>
        </w:rPr>
        <w:t>local residents</w:t>
      </w:r>
      <w:proofErr w:type="gramEnd"/>
      <w:r w:rsidR="00422A99" w:rsidRPr="00422A99">
        <w:rPr>
          <w:rFonts w:ascii="Arial" w:hAnsi="Arial" w:cs="Arial"/>
          <w:sz w:val="24"/>
          <w:szCs w:val="24"/>
        </w:rPr>
        <w:t>, or villages that provide fewer of these facilities but th</w:t>
      </w:r>
      <w:r>
        <w:rPr>
          <w:rFonts w:ascii="Arial" w:hAnsi="Arial" w:cs="Arial"/>
          <w:sz w:val="24"/>
          <w:szCs w:val="24"/>
        </w:rPr>
        <w:t>at have</w:t>
      </w:r>
      <w:r w:rsidR="00422A99" w:rsidRPr="00422A99">
        <w:rPr>
          <w:rFonts w:ascii="Arial" w:hAnsi="Arial" w:cs="Arial"/>
          <w:sz w:val="24"/>
          <w:szCs w:val="24"/>
        </w:rPr>
        <w:t xml:space="preserve"> reasonable access to them in nearby settlements</w:t>
      </w:r>
      <w:r w:rsidR="008675D7">
        <w:rPr>
          <w:rFonts w:ascii="Arial" w:hAnsi="Arial" w:cs="Arial"/>
          <w:sz w:val="24"/>
          <w:szCs w:val="24"/>
        </w:rPr>
        <w:t>.</w:t>
      </w:r>
    </w:p>
    <w:p w14:paraId="31292DF8" w14:textId="5FD8DBFE" w:rsidR="005062E2" w:rsidRDefault="005062E2" w:rsidP="00422A99">
      <w:pPr>
        <w:pStyle w:val="ListParagraph"/>
        <w:numPr>
          <w:ilvl w:val="0"/>
          <w:numId w:val="4"/>
        </w:numPr>
        <w:jc w:val="both"/>
        <w:rPr>
          <w:rFonts w:ascii="Arial" w:hAnsi="Arial" w:cs="Arial"/>
          <w:sz w:val="24"/>
          <w:szCs w:val="24"/>
        </w:rPr>
      </w:pPr>
      <w:r w:rsidRPr="005062E2">
        <w:rPr>
          <w:rFonts w:ascii="Arial" w:hAnsi="Arial" w:cs="Arial"/>
          <w:b/>
          <w:bCs/>
          <w:sz w:val="24"/>
          <w:szCs w:val="24"/>
        </w:rPr>
        <w:t>Rest of plan area</w:t>
      </w:r>
      <w:r w:rsidRPr="005062E2">
        <w:rPr>
          <w:rFonts w:ascii="Arial" w:hAnsi="Arial" w:cs="Arial"/>
          <w:sz w:val="24"/>
          <w:szCs w:val="24"/>
        </w:rPr>
        <w:t xml:space="preserve"> includes the countryside and other small villages</w:t>
      </w:r>
      <w:r w:rsidR="00490025">
        <w:rPr>
          <w:rFonts w:ascii="Arial" w:hAnsi="Arial" w:cs="Arial"/>
          <w:sz w:val="24"/>
          <w:szCs w:val="24"/>
        </w:rPr>
        <w:t>, h</w:t>
      </w:r>
      <w:r w:rsidRPr="005062E2">
        <w:rPr>
          <w:rFonts w:ascii="Arial" w:hAnsi="Arial" w:cs="Arial"/>
          <w:sz w:val="24"/>
          <w:szCs w:val="24"/>
        </w:rPr>
        <w:t xml:space="preserve">amlets </w:t>
      </w:r>
      <w:r w:rsidR="00490025">
        <w:rPr>
          <w:rFonts w:ascii="Arial" w:hAnsi="Arial" w:cs="Arial"/>
          <w:sz w:val="24"/>
          <w:szCs w:val="24"/>
        </w:rPr>
        <w:t xml:space="preserve">or other scattered development </w:t>
      </w:r>
      <w:r w:rsidRPr="005062E2">
        <w:rPr>
          <w:rFonts w:ascii="Arial" w:hAnsi="Arial" w:cs="Arial"/>
          <w:sz w:val="24"/>
          <w:szCs w:val="24"/>
        </w:rPr>
        <w:t>which have poor access to facilities.</w:t>
      </w:r>
    </w:p>
    <w:p w14:paraId="086DECE2" w14:textId="77777777" w:rsidR="00490025" w:rsidRPr="00422A99" w:rsidRDefault="00490025" w:rsidP="00490025">
      <w:pPr>
        <w:pStyle w:val="ListParagraph"/>
        <w:ind w:left="1080"/>
        <w:jc w:val="both"/>
        <w:rPr>
          <w:rFonts w:ascii="Arial" w:hAnsi="Arial" w:cs="Arial"/>
          <w:sz w:val="24"/>
          <w:szCs w:val="24"/>
        </w:rPr>
      </w:pPr>
    </w:p>
    <w:p w14:paraId="4E9D58BC" w14:textId="6712D00B" w:rsidR="008621F9" w:rsidRDefault="008621F9" w:rsidP="007918C6">
      <w:pPr>
        <w:pStyle w:val="ListParagraph"/>
        <w:numPr>
          <w:ilvl w:val="1"/>
          <w:numId w:val="1"/>
        </w:numPr>
        <w:ind w:left="720" w:hanging="720"/>
        <w:jc w:val="both"/>
        <w:rPr>
          <w:rFonts w:ascii="Arial" w:hAnsi="Arial" w:cs="Arial"/>
          <w:sz w:val="24"/>
          <w:szCs w:val="24"/>
        </w:rPr>
      </w:pPr>
      <w:r>
        <w:rPr>
          <w:rFonts w:ascii="Arial" w:hAnsi="Arial" w:cs="Arial"/>
          <w:sz w:val="24"/>
          <w:szCs w:val="24"/>
        </w:rPr>
        <w:t xml:space="preserve">Policy </w:t>
      </w:r>
      <w:r w:rsidR="00EC0E39">
        <w:rPr>
          <w:rFonts w:ascii="Arial" w:hAnsi="Arial" w:cs="Arial"/>
          <w:sz w:val="24"/>
          <w:szCs w:val="24"/>
        </w:rPr>
        <w:t xml:space="preserve">2 (Development Strategy and Settlement Hierarchy) </w:t>
      </w:r>
      <w:r w:rsidR="007B393C">
        <w:rPr>
          <w:rFonts w:ascii="Arial" w:hAnsi="Arial" w:cs="Arial"/>
          <w:sz w:val="24"/>
          <w:szCs w:val="24"/>
        </w:rPr>
        <w:t>sets out which settlements fall into each tier of the settlement hierarchy and indicates the scale and type of development that will be provided in the different settlements.</w:t>
      </w:r>
    </w:p>
    <w:p w14:paraId="4B687235" w14:textId="77777777" w:rsidR="007B393C" w:rsidRDefault="007B393C" w:rsidP="007B393C">
      <w:pPr>
        <w:pStyle w:val="ListParagraph"/>
        <w:jc w:val="both"/>
        <w:rPr>
          <w:rFonts w:ascii="Arial" w:hAnsi="Arial" w:cs="Arial"/>
          <w:sz w:val="24"/>
          <w:szCs w:val="24"/>
        </w:rPr>
      </w:pPr>
    </w:p>
    <w:p w14:paraId="1DC3B539" w14:textId="4A173B11" w:rsidR="00C470E3" w:rsidRDefault="00C470E3" w:rsidP="007918C6">
      <w:pPr>
        <w:pStyle w:val="ListParagraph"/>
        <w:numPr>
          <w:ilvl w:val="1"/>
          <w:numId w:val="1"/>
        </w:numPr>
        <w:ind w:left="720" w:hanging="720"/>
        <w:jc w:val="both"/>
        <w:rPr>
          <w:rFonts w:ascii="Arial" w:hAnsi="Arial" w:cs="Arial"/>
          <w:sz w:val="24"/>
          <w:szCs w:val="24"/>
        </w:rPr>
      </w:pPr>
      <w:r w:rsidRPr="00C470E3">
        <w:rPr>
          <w:rFonts w:ascii="Arial" w:hAnsi="Arial" w:cs="Arial"/>
          <w:sz w:val="24"/>
          <w:szCs w:val="24"/>
        </w:rPr>
        <w:t xml:space="preserve">In the adopted </w:t>
      </w:r>
      <w:r w:rsidR="009056E9">
        <w:rPr>
          <w:rFonts w:ascii="Arial" w:hAnsi="Arial" w:cs="Arial"/>
          <w:sz w:val="24"/>
          <w:szCs w:val="24"/>
        </w:rPr>
        <w:t>L</w:t>
      </w:r>
      <w:r w:rsidRPr="00C470E3">
        <w:rPr>
          <w:rFonts w:ascii="Arial" w:hAnsi="Arial" w:cs="Arial"/>
          <w:sz w:val="24"/>
          <w:szCs w:val="24"/>
        </w:rPr>
        <w:t xml:space="preserve">ocal </w:t>
      </w:r>
      <w:r w:rsidR="009056E9">
        <w:rPr>
          <w:rFonts w:ascii="Arial" w:hAnsi="Arial" w:cs="Arial"/>
          <w:sz w:val="24"/>
          <w:szCs w:val="24"/>
        </w:rPr>
        <w:t>P</w:t>
      </w:r>
      <w:r w:rsidRPr="00C470E3">
        <w:rPr>
          <w:rFonts w:ascii="Arial" w:hAnsi="Arial" w:cs="Arial"/>
          <w:sz w:val="24"/>
          <w:szCs w:val="24"/>
        </w:rPr>
        <w:t>lan</w:t>
      </w:r>
      <w:r w:rsidR="009056E9">
        <w:rPr>
          <w:rFonts w:ascii="Arial" w:hAnsi="Arial" w:cs="Arial"/>
          <w:sz w:val="24"/>
          <w:szCs w:val="24"/>
        </w:rPr>
        <w:t>,</w:t>
      </w:r>
      <w:r w:rsidRPr="00C470E3">
        <w:rPr>
          <w:rFonts w:ascii="Arial" w:hAnsi="Arial" w:cs="Arial"/>
          <w:sz w:val="24"/>
          <w:szCs w:val="24"/>
        </w:rPr>
        <w:t xml:space="preserve"> the classification of settlements within the hierarchy is based on their existing characteristics and intended role through the plan</w:t>
      </w:r>
      <w:r>
        <w:rPr>
          <w:rFonts w:ascii="Arial" w:hAnsi="Arial" w:cs="Arial"/>
          <w:sz w:val="24"/>
          <w:szCs w:val="24"/>
        </w:rPr>
        <w:t xml:space="preserve"> period</w:t>
      </w:r>
      <w:r w:rsidRPr="00C470E3">
        <w:rPr>
          <w:rFonts w:ascii="Arial" w:hAnsi="Arial" w:cs="Arial"/>
          <w:sz w:val="24"/>
          <w:szCs w:val="24"/>
        </w:rPr>
        <w:t>.</w:t>
      </w:r>
      <w:r>
        <w:rPr>
          <w:rFonts w:ascii="Arial" w:hAnsi="Arial" w:cs="Arial"/>
          <w:sz w:val="24"/>
          <w:szCs w:val="24"/>
        </w:rPr>
        <w:t xml:space="preserve"> </w:t>
      </w:r>
      <w:r w:rsidRPr="00C470E3">
        <w:rPr>
          <w:rFonts w:ascii="Arial" w:hAnsi="Arial" w:cs="Arial"/>
          <w:sz w:val="24"/>
          <w:szCs w:val="24"/>
        </w:rPr>
        <w:t xml:space="preserve">It takes account of </w:t>
      </w:r>
      <w:proofErr w:type="gramStart"/>
      <w:r w:rsidRPr="00C470E3">
        <w:rPr>
          <w:rFonts w:ascii="Arial" w:hAnsi="Arial" w:cs="Arial"/>
          <w:sz w:val="24"/>
          <w:szCs w:val="24"/>
        </w:rPr>
        <w:t>a number of</w:t>
      </w:r>
      <w:proofErr w:type="gramEnd"/>
      <w:r w:rsidRPr="00C470E3">
        <w:rPr>
          <w:rFonts w:ascii="Arial" w:hAnsi="Arial" w:cs="Arial"/>
          <w:sz w:val="24"/>
          <w:szCs w:val="24"/>
        </w:rPr>
        <w:t xml:space="preserve"> factors including the availability of services and facilities, levels of accessibility and public transport, settlement size and character, </w:t>
      </w:r>
      <w:r>
        <w:rPr>
          <w:rFonts w:ascii="Arial" w:hAnsi="Arial" w:cs="Arial"/>
          <w:sz w:val="24"/>
          <w:szCs w:val="24"/>
        </w:rPr>
        <w:t>identified</w:t>
      </w:r>
      <w:r w:rsidRPr="00C470E3">
        <w:rPr>
          <w:rFonts w:ascii="Arial" w:hAnsi="Arial" w:cs="Arial"/>
          <w:sz w:val="24"/>
          <w:szCs w:val="24"/>
        </w:rPr>
        <w:t xml:space="preserve"> infrastructure and environmental constraints and potential land availability</w:t>
      </w:r>
      <w:r>
        <w:rPr>
          <w:rFonts w:ascii="Arial" w:hAnsi="Arial" w:cs="Arial"/>
          <w:sz w:val="24"/>
          <w:szCs w:val="24"/>
        </w:rPr>
        <w:t>. The adopted Plan recognises that s</w:t>
      </w:r>
      <w:r w:rsidRPr="00C470E3">
        <w:rPr>
          <w:rFonts w:ascii="Arial" w:hAnsi="Arial" w:cs="Arial"/>
          <w:sz w:val="24"/>
          <w:szCs w:val="24"/>
        </w:rPr>
        <w:t xml:space="preserve">ome </w:t>
      </w:r>
      <w:r>
        <w:rPr>
          <w:rFonts w:ascii="Arial" w:hAnsi="Arial" w:cs="Arial"/>
          <w:sz w:val="24"/>
          <w:szCs w:val="24"/>
        </w:rPr>
        <w:t>S</w:t>
      </w:r>
      <w:r w:rsidRPr="00C470E3">
        <w:rPr>
          <w:rFonts w:ascii="Arial" w:hAnsi="Arial" w:cs="Arial"/>
          <w:sz w:val="24"/>
          <w:szCs w:val="24"/>
        </w:rPr>
        <w:t xml:space="preserve">ettlement </w:t>
      </w:r>
      <w:r>
        <w:rPr>
          <w:rFonts w:ascii="Arial" w:hAnsi="Arial" w:cs="Arial"/>
          <w:sz w:val="24"/>
          <w:szCs w:val="24"/>
        </w:rPr>
        <w:t>H</w:t>
      </w:r>
      <w:r w:rsidRPr="00C470E3">
        <w:rPr>
          <w:rFonts w:ascii="Arial" w:hAnsi="Arial" w:cs="Arial"/>
          <w:sz w:val="24"/>
          <w:szCs w:val="24"/>
        </w:rPr>
        <w:t xml:space="preserve">ubs or </w:t>
      </w:r>
      <w:r>
        <w:rPr>
          <w:rFonts w:ascii="Arial" w:hAnsi="Arial" w:cs="Arial"/>
          <w:sz w:val="24"/>
          <w:szCs w:val="24"/>
        </w:rPr>
        <w:t>S</w:t>
      </w:r>
      <w:r w:rsidRPr="00C470E3">
        <w:rPr>
          <w:rFonts w:ascii="Arial" w:hAnsi="Arial" w:cs="Arial"/>
          <w:sz w:val="24"/>
          <w:szCs w:val="24"/>
        </w:rPr>
        <w:t xml:space="preserve">ervice </w:t>
      </w:r>
      <w:r>
        <w:rPr>
          <w:rFonts w:ascii="Arial" w:hAnsi="Arial" w:cs="Arial"/>
          <w:sz w:val="24"/>
          <w:szCs w:val="24"/>
        </w:rPr>
        <w:t>V</w:t>
      </w:r>
      <w:r w:rsidRPr="00C470E3">
        <w:rPr>
          <w:rFonts w:ascii="Arial" w:hAnsi="Arial" w:cs="Arial"/>
          <w:sz w:val="24"/>
          <w:szCs w:val="24"/>
        </w:rPr>
        <w:t>illages require the plan</w:t>
      </w:r>
      <w:r>
        <w:rPr>
          <w:rFonts w:ascii="Arial" w:hAnsi="Arial" w:cs="Arial"/>
          <w:sz w:val="24"/>
          <w:szCs w:val="24"/>
        </w:rPr>
        <w:t>ned</w:t>
      </w:r>
      <w:r w:rsidRPr="00C470E3">
        <w:rPr>
          <w:rFonts w:ascii="Arial" w:hAnsi="Arial" w:cs="Arial"/>
          <w:sz w:val="24"/>
          <w:szCs w:val="24"/>
        </w:rPr>
        <w:t xml:space="preserve"> provision of additional infrastructure and facilities </w:t>
      </w:r>
      <w:proofErr w:type="gramStart"/>
      <w:r w:rsidRPr="00C470E3">
        <w:rPr>
          <w:rFonts w:ascii="Arial" w:hAnsi="Arial" w:cs="Arial"/>
          <w:sz w:val="24"/>
          <w:szCs w:val="24"/>
        </w:rPr>
        <w:t>in order to</w:t>
      </w:r>
      <w:proofErr w:type="gramEnd"/>
      <w:r w:rsidRPr="00C470E3">
        <w:rPr>
          <w:rFonts w:ascii="Arial" w:hAnsi="Arial" w:cs="Arial"/>
          <w:sz w:val="24"/>
          <w:szCs w:val="24"/>
        </w:rPr>
        <w:t xml:space="preserve"> fully meet the settlement hierarchy definition during the plan</w:t>
      </w:r>
      <w:r w:rsidR="00AF0B25">
        <w:rPr>
          <w:rFonts w:ascii="Arial" w:hAnsi="Arial" w:cs="Arial"/>
          <w:sz w:val="24"/>
          <w:szCs w:val="24"/>
        </w:rPr>
        <w:t>,</w:t>
      </w:r>
      <w:r>
        <w:rPr>
          <w:rFonts w:ascii="Arial" w:hAnsi="Arial" w:cs="Arial"/>
          <w:sz w:val="24"/>
          <w:szCs w:val="24"/>
        </w:rPr>
        <w:t xml:space="preserve"> with Tangmere identified as needing </w:t>
      </w:r>
      <w:r w:rsidRPr="00C470E3">
        <w:rPr>
          <w:rFonts w:ascii="Arial" w:hAnsi="Arial" w:cs="Arial"/>
          <w:sz w:val="24"/>
          <w:szCs w:val="24"/>
        </w:rPr>
        <w:t xml:space="preserve">additional investment in the form of new local facilities, employment opportunities and improved public transport provision to develop its status as a </w:t>
      </w:r>
      <w:r>
        <w:rPr>
          <w:rFonts w:ascii="Arial" w:hAnsi="Arial" w:cs="Arial"/>
          <w:sz w:val="24"/>
          <w:szCs w:val="24"/>
        </w:rPr>
        <w:t>S</w:t>
      </w:r>
      <w:r w:rsidRPr="00C470E3">
        <w:rPr>
          <w:rFonts w:ascii="Arial" w:hAnsi="Arial" w:cs="Arial"/>
          <w:sz w:val="24"/>
          <w:szCs w:val="24"/>
        </w:rPr>
        <w:t xml:space="preserve">ettlement </w:t>
      </w:r>
      <w:r>
        <w:rPr>
          <w:rFonts w:ascii="Arial" w:hAnsi="Arial" w:cs="Arial"/>
          <w:sz w:val="24"/>
          <w:szCs w:val="24"/>
        </w:rPr>
        <w:t>H</w:t>
      </w:r>
      <w:r w:rsidRPr="00C470E3">
        <w:rPr>
          <w:rFonts w:ascii="Arial" w:hAnsi="Arial" w:cs="Arial"/>
          <w:sz w:val="24"/>
          <w:szCs w:val="24"/>
        </w:rPr>
        <w:t>ub.</w:t>
      </w:r>
    </w:p>
    <w:p w14:paraId="0B392857" w14:textId="58DFB1BD" w:rsidR="00C470E3" w:rsidRDefault="00C470E3" w:rsidP="00C470E3">
      <w:pPr>
        <w:pStyle w:val="ListParagraph"/>
        <w:jc w:val="both"/>
        <w:rPr>
          <w:rFonts w:ascii="Arial" w:hAnsi="Arial" w:cs="Arial"/>
          <w:sz w:val="24"/>
          <w:szCs w:val="24"/>
        </w:rPr>
      </w:pPr>
    </w:p>
    <w:p w14:paraId="51096F0E" w14:textId="7F3B3741" w:rsidR="005E4DEB" w:rsidRDefault="00490025" w:rsidP="007918C6">
      <w:pPr>
        <w:pStyle w:val="ListParagraph"/>
        <w:numPr>
          <w:ilvl w:val="1"/>
          <w:numId w:val="1"/>
        </w:numPr>
        <w:ind w:left="720" w:hanging="720"/>
        <w:jc w:val="both"/>
        <w:rPr>
          <w:rFonts w:ascii="Arial" w:hAnsi="Arial" w:cs="Arial"/>
          <w:sz w:val="24"/>
          <w:szCs w:val="24"/>
        </w:rPr>
      </w:pPr>
      <w:r>
        <w:rPr>
          <w:rFonts w:ascii="Arial" w:hAnsi="Arial" w:cs="Arial"/>
          <w:sz w:val="24"/>
          <w:szCs w:val="24"/>
        </w:rPr>
        <w:t xml:space="preserve">The Issues and Options consultation </w:t>
      </w:r>
      <w:r w:rsidR="002237EB">
        <w:rPr>
          <w:rFonts w:ascii="Arial" w:hAnsi="Arial" w:cs="Arial"/>
          <w:sz w:val="24"/>
          <w:szCs w:val="24"/>
        </w:rPr>
        <w:t xml:space="preserve">(June 2017) sought views on the settlement hierarchy categories and whether they should be carried forward as part of </w:t>
      </w:r>
      <w:r w:rsidR="002237EB">
        <w:rPr>
          <w:rFonts w:ascii="Arial" w:hAnsi="Arial" w:cs="Arial"/>
          <w:sz w:val="24"/>
          <w:szCs w:val="24"/>
        </w:rPr>
        <w:lastRenderedPageBreak/>
        <w:t>reviewing the Local Plan</w:t>
      </w:r>
      <w:r w:rsidR="004261DE">
        <w:rPr>
          <w:rFonts w:ascii="Arial" w:hAnsi="Arial" w:cs="Arial"/>
          <w:sz w:val="24"/>
          <w:szCs w:val="24"/>
        </w:rPr>
        <w:t>;</w:t>
      </w:r>
      <w:r w:rsidR="002237EB">
        <w:rPr>
          <w:rFonts w:ascii="Arial" w:hAnsi="Arial" w:cs="Arial"/>
          <w:sz w:val="24"/>
          <w:szCs w:val="24"/>
        </w:rPr>
        <w:t xml:space="preserve"> if there were any settlements that should be added, </w:t>
      </w:r>
      <w:proofErr w:type="gramStart"/>
      <w:r w:rsidR="002237EB">
        <w:rPr>
          <w:rFonts w:ascii="Arial" w:hAnsi="Arial" w:cs="Arial"/>
          <w:sz w:val="24"/>
          <w:szCs w:val="24"/>
        </w:rPr>
        <w:t>removed</w:t>
      </w:r>
      <w:proofErr w:type="gramEnd"/>
      <w:r w:rsidR="002237EB">
        <w:rPr>
          <w:rFonts w:ascii="Arial" w:hAnsi="Arial" w:cs="Arial"/>
          <w:sz w:val="24"/>
          <w:szCs w:val="24"/>
        </w:rPr>
        <w:t xml:space="preserve"> or changed to a different category</w:t>
      </w:r>
      <w:r w:rsidR="004261DE">
        <w:rPr>
          <w:rFonts w:ascii="Arial" w:hAnsi="Arial" w:cs="Arial"/>
          <w:sz w:val="24"/>
          <w:szCs w:val="24"/>
        </w:rPr>
        <w:t>;</w:t>
      </w:r>
      <w:r w:rsidR="002237EB">
        <w:rPr>
          <w:rFonts w:ascii="Arial" w:hAnsi="Arial" w:cs="Arial"/>
          <w:sz w:val="24"/>
          <w:szCs w:val="24"/>
        </w:rPr>
        <w:t xml:space="preserve"> and if neighbouring settlements in the same parish should continue to be treated as one Service Village.</w:t>
      </w:r>
    </w:p>
    <w:p w14:paraId="45C62B3C" w14:textId="77777777" w:rsidR="002237EB" w:rsidRDefault="002237EB" w:rsidP="002237EB">
      <w:pPr>
        <w:pStyle w:val="ListParagraph"/>
        <w:jc w:val="both"/>
        <w:rPr>
          <w:rFonts w:ascii="Arial" w:hAnsi="Arial" w:cs="Arial"/>
          <w:sz w:val="24"/>
          <w:szCs w:val="24"/>
        </w:rPr>
      </w:pPr>
    </w:p>
    <w:p w14:paraId="1C205D45" w14:textId="7841E665" w:rsidR="005E4DEB" w:rsidRPr="006245CD" w:rsidRDefault="002237EB" w:rsidP="007B52BF">
      <w:pPr>
        <w:pStyle w:val="ListParagraph"/>
        <w:numPr>
          <w:ilvl w:val="1"/>
          <w:numId w:val="1"/>
        </w:numPr>
        <w:ind w:left="720" w:hanging="720"/>
        <w:jc w:val="both"/>
        <w:rPr>
          <w:rFonts w:ascii="Arial" w:hAnsi="Arial" w:cs="Arial"/>
          <w:sz w:val="24"/>
          <w:szCs w:val="24"/>
        </w:rPr>
      </w:pPr>
      <w:r w:rsidRPr="00076D9A">
        <w:rPr>
          <w:rFonts w:ascii="Arial" w:hAnsi="Arial" w:cs="Arial"/>
          <w:color w:val="000000" w:themeColor="text1"/>
          <w:sz w:val="24"/>
          <w:szCs w:val="24"/>
        </w:rPr>
        <w:t xml:space="preserve">From the responses to the consultation there was </w:t>
      </w:r>
      <w:r w:rsidR="004261DE" w:rsidRPr="00076D9A">
        <w:rPr>
          <w:rFonts w:ascii="Arial" w:hAnsi="Arial" w:cs="Arial"/>
          <w:color w:val="000000" w:themeColor="text1"/>
          <w:sz w:val="24"/>
          <w:szCs w:val="24"/>
        </w:rPr>
        <w:t xml:space="preserve">significant support </w:t>
      </w:r>
      <w:r w:rsidR="00984CAB">
        <w:rPr>
          <w:rFonts w:ascii="Arial" w:hAnsi="Arial" w:cs="Arial"/>
          <w:color w:val="000000" w:themeColor="text1"/>
          <w:sz w:val="24"/>
          <w:szCs w:val="24"/>
        </w:rPr>
        <w:t>for</w:t>
      </w:r>
      <w:r w:rsidR="004261DE" w:rsidRPr="00076D9A">
        <w:rPr>
          <w:rFonts w:ascii="Arial" w:hAnsi="Arial" w:cs="Arial"/>
          <w:color w:val="000000" w:themeColor="text1"/>
          <w:sz w:val="24"/>
          <w:szCs w:val="24"/>
        </w:rPr>
        <w:t xml:space="preserve"> the settlement hierarchy approach </w:t>
      </w:r>
      <w:r w:rsidR="00984CAB">
        <w:rPr>
          <w:rFonts w:ascii="Arial" w:hAnsi="Arial" w:cs="Arial"/>
          <w:color w:val="000000" w:themeColor="text1"/>
          <w:sz w:val="24"/>
          <w:szCs w:val="24"/>
        </w:rPr>
        <w:t xml:space="preserve">and the four settlement categories </w:t>
      </w:r>
      <w:r w:rsidR="004261DE" w:rsidRPr="00076D9A">
        <w:rPr>
          <w:rFonts w:ascii="Arial" w:hAnsi="Arial" w:cs="Arial"/>
          <w:color w:val="000000" w:themeColor="text1"/>
          <w:sz w:val="24"/>
          <w:szCs w:val="24"/>
        </w:rPr>
        <w:t xml:space="preserve">continuing although </w:t>
      </w:r>
      <w:proofErr w:type="gramStart"/>
      <w:r w:rsidR="004261DE" w:rsidRPr="00076D9A">
        <w:rPr>
          <w:rFonts w:ascii="Arial" w:hAnsi="Arial" w:cs="Arial"/>
          <w:color w:val="000000" w:themeColor="text1"/>
          <w:sz w:val="24"/>
          <w:szCs w:val="24"/>
        </w:rPr>
        <w:t>a number of</w:t>
      </w:r>
      <w:proofErr w:type="gramEnd"/>
      <w:r w:rsidR="004261DE" w:rsidRPr="00076D9A">
        <w:rPr>
          <w:rFonts w:ascii="Arial" w:hAnsi="Arial" w:cs="Arial"/>
          <w:color w:val="000000" w:themeColor="text1"/>
          <w:sz w:val="24"/>
          <w:szCs w:val="24"/>
        </w:rPr>
        <w:t xml:space="preserve"> respondents questioned the classification of a particular settlement. Comment was also made that in determining an appropriate scale of development the ability of a settlement to absorb development should also be considered</w:t>
      </w:r>
      <w:r w:rsidR="00101BB5">
        <w:rPr>
          <w:rFonts w:ascii="Arial" w:hAnsi="Arial" w:cs="Arial"/>
          <w:color w:val="000000" w:themeColor="text1"/>
          <w:sz w:val="24"/>
          <w:szCs w:val="24"/>
        </w:rPr>
        <w:t>.</w:t>
      </w:r>
      <w:r w:rsidR="00413BC1">
        <w:rPr>
          <w:rFonts w:ascii="Arial" w:hAnsi="Arial" w:cs="Arial"/>
          <w:color w:val="000000" w:themeColor="text1"/>
          <w:sz w:val="24"/>
          <w:szCs w:val="24"/>
        </w:rPr>
        <w:t xml:space="preserve"> </w:t>
      </w:r>
      <w:r w:rsidR="00101BB5">
        <w:rPr>
          <w:rFonts w:ascii="Arial" w:hAnsi="Arial" w:cs="Arial"/>
          <w:color w:val="000000" w:themeColor="text1"/>
          <w:sz w:val="24"/>
          <w:szCs w:val="24"/>
        </w:rPr>
        <w:t xml:space="preserve">Some respondents suggested that whilst a range of services was important to ensure a settlement was sustainable, if it lacked </w:t>
      </w:r>
      <w:proofErr w:type="gramStart"/>
      <w:r w:rsidR="00101BB5">
        <w:rPr>
          <w:rFonts w:ascii="Arial" w:hAnsi="Arial" w:cs="Arial"/>
          <w:color w:val="000000" w:themeColor="text1"/>
          <w:sz w:val="24"/>
          <w:szCs w:val="24"/>
        </w:rPr>
        <w:t>these consideration</w:t>
      </w:r>
      <w:proofErr w:type="gramEnd"/>
      <w:r w:rsidR="00101BB5">
        <w:rPr>
          <w:rFonts w:ascii="Arial" w:hAnsi="Arial" w:cs="Arial"/>
          <w:color w:val="000000" w:themeColor="text1"/>
          <w:sz w:val="24"/>
          <w:szCs w:val="24"/>
        </w:rPr>
        <w:t xml:space="preserve"> should </w:t>
      </w:r>
      <w:r w:rsidR="009056E9">
        <w:rPr>
          <w:rFonts w:ascii="Arial" w:hAnsi="Arial" w:cs="Arial"/>
          <w:color w:val="000000" w:themeColor="text1"/>
          <w:sz w:val="24"/>
          <w:szCs w:val="24"/>
        </w:rPr>
        <w:t xml:space="preserve">nevertheless </w:t>
      </w:r>
      <w:r w:rsidR="00101BB5">
        <w:rPr>
          <w:rFonts w:ascii="Arial" w:hAnsi="Arial" w:cs="Arial"/>
          <w:color w:val="000000" w:themeColor="text1"/>
          <w:sz w:val="24"/>
          <w:szCs w:val="24"/>
        </w:rPr>
        <w:t xml:space="preserve">be given to </w:t>
      </w:r>
      <w:r w:rsidR="00076D9A" w:rsidRPr="00076D9A">
        <w:rPr>
          <w:rFonts w:ascii="Arial" w:hAnsi="Arial" w:cs="Arial"/>
          <w:color w:val="000000" w:themeColor="text1"/>
          <w:sz w:val="24"/>
          <w:szCs w:val="24"/>
        </w:rPr>
        <w:t xml:space="preserve">development </w:t>
      </w:r>
      <w:r w:rsidR="009F032E">
        <w:rPr>
          <w:rFonts w:ascii="Arial" w:hAnsi="Arial" w:cs="Arial"/>
          <w:color w:val="000000" w:themeColor="text1"/>
          <w:sz w:val="24"/>
          <w:szCs w:val="24"/>
        </w:rPr>
        <w:t xml:space="preserve">which </w:t>
      </w:r>
      <w:r w:rsidR="00076D9A" w:rsidRPr="00076D9A">
        <w:rPr>
          <w:rFonts w:ascii="Arial" w:hAnsi="Arial" w:cs="Arial"/>
          <w:color w:val="000000" w:themeColor="text1"/>
          <w:sz w:val="24"/>
          <w:szCs w:val="24"/>
        </w:rPr>
        <w:t>would bring community and economic benefits.</w:t>
      </w:r>
    </w:p>
    <w:p w14:paraId="14E42981" w14:textId="5D3725CD" w:rsidR="00076D9A" w:rsidRDefault="00076D9A" w:rsidP="007B52BF">
      <w:pPr>
        <w:pStyle w:val="ListParagraph"/>
        <w:numPr>
          <w:ilvl w:val="1"/>
          <w:numId w:val="1"/>
        </w:numPr>
        <w:ind w:left="720" w:hanging="720"/>
        <w:jc w:val="both"/>
        <w:rPr>
          <w:rFonts w:ascii="Arial" w:hAnsi="Arial" w:cs="Arial"/>
          <w:sz w:val="24"/>
          <w:szCs w:val="24"/>
        </w:rPr>
      </w:pPr>
      <w:r>
        <w:rPr>
          <w:rFonts w:ascii="Arial" w:hAnsi="Arial" w:cs="Arial"/>
          <w:sz w:val="24"/>
          <w:szCs w:val="24"/>
        </w:rPr>
        <w:t>At Preferred Approach stage</w:t>
      </w:r>
      <w:r w:rsidR="00604637">
        <w:rPr>
          <w:rFonts w:ascii="Arial" w:hAnsi="Arial" w:cs="Arial"/>
          <w:sz w:val="24"/>
          <w:szCs w:val="24"/>
        </w:rPr>
        <w:t xml:space="preserve"> </w:t>
      </w:r>
      <w:r w:rsidR="001846E1">
        <w:rPr>
          <w:rFonts w:ascii="Arial" w:hAnsi="Arial" w:cs="Arial"/>
          <w:sz w:val="24"/>
          <w:szCs w:val="24"/>
        </w:rPr>
        <w:t xml:space="preserve">(February 2019) </w:t>
      </w:r>
      <w:r w:rsidR="00FB1BB9">
        <w:rPr>
          <w:rFonts w:ascii="Arial" w:hAnsi="Arial" w:cs="Arial"/>
          <w:sz w:val="24"/>
          <w:szCs w:val="24"/>
        </w:rPr>
        <w:t>there was continued support for the settlement hierarchy.</w:t>
      </w:r>
      <w:r w:rsidR="00413BC1">
        <w:rPr>
          <w:rFonts w:ascii="Arial" w:hAnsi="Arial" w:cs="Arial"/>
          <w:sz w:val="24"/>
          <w:szCs w:val="24"/>
        </w:rPr>
        <w:t xml:space="preserve"> </w:t>
      </w:r>
      <w:r w:rsidR="00C44BC6">
        <w:rPr>
          <w:rFonts w:ascii="Arial" w:hAnsi="Arial" w:cs="Arial"/>
          <w:sz w:val="24"/>
          <w:szCs w:val="24"/>
        </w:rPr>
        <w:t xml:space="preserve">Although </w:t>
      </w:r>
      <w:proofErr w:type="gramStart"/>
      <w:r w:rsidR="001846E1">
        <w:rPr>
          <w:rFonts w:ascii="Arial" w:hAnsi="Arial" w:cs="Arial"/>
          <w:sz w:val="24"/>
          <w:szCs w:val="24"/>
        </w:rPr>
        <w:t>a number of</w:t>
      </w:r>
      <w:proofErr w:type="gramEnd"/>
      <w:r w:rsidR="001846E1">
        <w:rPr>
          <w:rFonts w:ascii="Arial" w:hAnsi="Arial" w:cs="Arial"/>
          <w:sz w:val="24"/>
          <w:szCs w:val="24"/>
        </w:rPr>
        <w:t xml:space="preserve"> suggestions for additional service villages </w:t>
      </w:r>
      <w:r w:rsidR="00C44BC6">
        <w:rPr>
          <w:rFonts w:ascii="Arial" w:hAnsi="Arial" w:cs="Arial"/>
          <w:sz w:val="24"/>
          <w:szCs w:val="24"/>
        </w:rPr>
        <w:t>were made</w:t>
      </w:r>
      <w:r w:rsidR="009056E9">
        <w:rPr>
          <w:rFonts w:ascii="Arial" w:hAnsi="Arial" w:cs="Arial"/>
          <w:sz w:val="24"/>
          <w:szCs w:val="24"/>
        </w:rPr>
        <w:t>, it was considered that</w:t>
      </w:r>
      <w:r w:rsidR="00C44BC6">
        <w:rPr>
          <w:rFonts w:ascii="Arial" w:hAnsi="Arial" w:cs="Arial"/>
          <w:sz w:val="24"/>
          <w:szCs w:val="24"/>
        </w:rPr>
        <w:t xml:space="preserve"> there was </w:t>
      </w:r>
      <w:r w:rsidR="001846E1">
        <w:rPr>
          <w:rFonts w:ascii="Arial" w:hAnsi="Arial" w:cs="Arial"/>
          <w:sz w:val="24"/>
          <w:szCs w:val="24"/>
        </w:rPr>
        <w:t xml:space="preserve">insufficient justification </w:t>
      </w:r>
      <w:r w:rsidR="00C44BC6">
        <w:rPr>
          <w:rFonts w:ascii="Arial" w:hAnsi="Arial" w:cs="Arial"/>
          <w:sz w:val="24"/>
          <w:szCs w:val="24"/>
        </w:rPr>
        <w:t xml:space="preserve">put forward </w:t>
      </w:r>
      <w:r w:rsidR="001846E1">
        <w:rPr>
          <w:rFonts w:ascii="Arial" w:hAnsi="Arial" w:cs="Arial"/>
          <w:sz w:val="24"/>
          <w:szCs w:val="24"/>
        </w:rPr>
        <w:t>for changing the hierarchy.</w:t>
      </w:r>
    </w:p>
    <w:p w14:paraId="5DC38F0D" w14:textId="77777777" w:rsidR="00137B15" w:rsidRPr="00137B15" w:rsidRDefault="00137B15" w:rsidP="00137B15">
      <w:pPr>
        <w:pStyle w:val="ListParagraph"/>
        <w:rPr>
          <w:rFonts w:ascii="Arial" w:hAnsi="Arial" w:cs="Arial"/>
          <w:sz w:val="24"/>
          <w:szCs w:val="24"/>
        </w:rPr>
      </w:pPr>
    </w:p>
    <w:p w14:paraId="216FEC28" w14:textId="7032987D" w:rsidR="00137B15" w:rsidRDefault="00137B15" w:rsidP="007B52BF">
      <w:pPr>
        <w:pStyle w:val="ListParagraph"/>
        <w:numPr>
          <w:ilvl w:val="1"/>
          <w:numId w:val="1"/>
        </w:numPr>
        <w:ind w:left="720" w:hanging="720"/>
        <w:jc w:val="both"/>
        <w:rPr>
          <w:rFonts w:ascii="Arial" w:hAnsi="Arial" w:cs="Arial"/>
          <w:sz w:val="24"/>
          <w:szCs w:val="24"/>
        </w:rPr>
      </w:pPr>
      <w:r>
        <w:rPr>
          <w:rFonts w:ascii="Arial" w:hAnsi="Arial" w:cs="Arial"/>
          <w:sz w:val="24"/>
          <w:szCs w:val="24"/>
        </w:rPr>
        <w:t xml:space="preserve">The settlement hierarchy </w:t>
      </w:r>
      <w:r w:rsidR="009F032E">
        <w:rPr>
          <w:rFonts w:ascii="Arial" w:hAnsi="Arial" w:cs="Arial"/>
          <w:sz w:val="24"/>
          <w:szCs w:val="24"/>
        </w:rPr>
        <w:t xml:space="preserve">in </w:t>
      </w:r>
      <w:r>
        <w:rPr>
          <w:rFonts w:ascii="Arial" w:hAnsi="Arial" w:cs="Arial"/>
          <w:sz w:val="24"/>
          <w:szCs w:val="24"/>
        </w:rPr>
        <w:t xml:space="preserve">the </w:t>
      </w:r>
      <w:r w:rsidR="000746F7">
        <w:rPr>
          <w:rFonts w:ascii="Arial" w:hAnsi="Arial" w:cs="Arial"/>
          <w:sz w:val="24"/>
          <w:szCs w:val="24"/>
        </w:rPr>
        <w:t xml:space="preserve">Chichester </w:t>
      </w:r>
      <w:r>
        <w:rPr>
          <w:rFonts w:ascii="Arial" w:hAnsi="Arial" w:cs="Arial"/>
          <w:sz w:val="24"/>
          <w:szCs w:val="24"/>
        </w:rPr>
        <w:t>Local Pla</w:t>
      </w:r>
      <w:r w:rsidR="009F032E">
        <w:rPr>
          <w:rFonts w:ascii="Arial" w:hAnsi="Arial" w:cs="Arial"/>
          <w:sz w:val="24"/>
          <w:szCs w:val="24"/>
        </w:rPr>
        <w:t xml:space="preserve">n </w:t>
      </w:r>
      <w:r w:rsidR="000746F7">
        <w:rPr>
          <w:rFonts w:ascii="Arial" w:hAnsi="Arial" w:cs="Arial"/>
          <w:sz w:val="24"/>
          <w:szCs w:val="24"/>
        </w:rPr>
        <w:t xml:space="preserve">2021 – 2039: Proposed Submission </w:t>
      </w:r>
      <w:r w:rsidR="009F032E">
        <w:rPr>
          <w:rFonts w:ascii="Arial" w:hAnsi="Arial" w:cs="Arial"/>
          <w:sz w:val="24"/>
          <w:szCs w:val="24"/>
        </w:rPr>
        <w:t>retai</w:t>
      </w:r>
      <w:r w:rsidR="000746F7">
        <w:rPr>
          <w:rFonts w:ascii="Arial" w:hAnsi="Arial" w:cs="Arial"/>
          <w:sz w:val="24"/>
          <w:szCs w:val="24"/>
        </w:rPr>
        <w:t>ns</w:t>
      </w:r>
      <w:r w:rsidR="009F032E">
        <w:rPr>
          <w:rFonts w:ascii="Arial" w:hAnsi="Arial" w:cs="Arial"/>
          <w:sz w:val="24"/>
          <w:szCs w:val="24"/>
        </w:rPr>
        <w:t xml:space="preserve"> the four settlement categories, with the role of each settlement within the hierarchy based on the presence of certain facilities and services</w:t>
      </w:r>
      <w:r>
        <w:rPr>
          <w:rFonts w:ascii="Arial" w:hAnsi="Arial" w:cs="Arial"/>
          <w:sz w:val="24"/>
          <w:szCs w:val="24"/>
        </w:rPr>
        <w:t xml:space="preserve">. </w:t>
      </w:r>
    </w:p>
    <w:p w14:paraId="0AC8EBD9" w14:textId="77777777" w:rsidR="00137B15" w:rsidRPr="00137B15" w:rsidRDefault="00137B15" w:rsidP="00137B15">
      <w:pPr>
        <w:pStyle w:val="ListParagraph"/>
        <w:rPr>
          <w:rFonts w:ascii="Arial" w:hAnsi="Arial" w:cs="Arial"/>
          <w:sz w:val="24"/>
          <w:szCs w:val="24"/>
        </w:rPr>
      </w:pPr>
    </w:p>
    <w:p w14:paraId="6E9088F4" w14:textId="77777777" w:rsidR="005E4DEB" w:rsidRPr="005E4DEB" w:rsidRDefault="005E4DEB" w:rsidP="005E4DEB">
      <w:pPr>
        <w:pStyle w:val="ListParagraph"/>
        <w:numPr>
          <w:ilvl w:val="0"/>
          <w:numId w:val="3"/>
        </w:numPr>
        <w:jc w:val="both"/>
        <w:rPr>
          <w:rFonts w:ascii="Arial" w:hAnsi="Arial" w:cs="Arial"/>
          <w:bCs/>
          <w:vanish/>
          <w:sz w:val="24"/>
          <w:szCs w:val="24"/>
        </w:rPr>
      </w:pPr>
    </w:p>
    <w:p w14:paraId="4F88F538" w14:textId="77777777" w:rsidR="005E4DEB" w:rsidRPr="005E4DEB" w:rsidRDefault="005E4DEB" w:rsidP="005E4DEB">
      <w:pPr>
        <w:pStyle w:val="ListParagraph"/>
        <w:numPr>
          <w:ilvl w:val="0"/>
          <w:numId w:val="3"/>
        </w:numPr>
        <w:jc w:val="both"/>
        <w:rPr>
          <w:rFonts w:ascii="Arial" w:hAnsi="Arial" w:cs="Arial"/>
          <w:bCs/>
          <w:vanish/>
          <w:sz w:val="24"/>
          <w:szCs w:val="24"/>
        </w:rPr>
      </w:pPr>
    </w:p>
    <w:p w14:paraId="76963B25" w14:textId="77777777" w:rsidR="005E4DEB" w:rsidRPr="005E4DEB" w:rsidRDefault="005E4DEB" w:rsidP="005E4DEB">
      <w:pPr>
        <w:pStyle w:val="ListParagraph"/>
        <w:numPr>
          <w:ilvl w:val="1"/>
          <w:numId w:val="3"/>
        </w:numPr>
        <w:jc w:val="both"/>
        <w:rPr>
          <w:rFonts w:ascii="Arial" w:hAnsi="Arial" w:cs="Arial"/>
          <w:bCs/>
          <w:vanish/>
          <w:sz w:val="24"/>
          <w:szCs w:val="24"/>
        </w:rPr>
      </w:pPr>
    </w:p>
    <w:p w14:paraId="39A8D8E7" w14:textId="77777777" w:rsidR="005E4DEB" w:rsidRPr="005E4DEB" w:rsidRDefault="005E4DEB" w:rsidP="005E4DEB">
      <w:pPr>
        <w:pStyle w:val="ListParagraph"/>
        <w:numPr>
          <w:ilvl w:val="1"/>
          <w:numId w:val="3"/>
        </w:numPr>
        <w:jc w:val="both"/>
        <w:rPr>
          <w:rFonts w:ascii="Arial" w:hAnsi="Arial" w:cs="Arial"/>
          <w:bCs/>
          <w:vanish/>
          <w:sz w:val="24"/>
          <w:szCs w:val="24"/>
        </w:rPr>
      </w:pPr>
    </w:p>
    <w:p w14:paraId="1A21CDEA" w14:textId="77777777" w:rsidR="005E4DEB" w:rsidRPr="005E4DEB" w:rsidRDefault="005E4DEB" w:rsidP="005E4DEB">
      <w:pPr>
        <w:pStyle w:val="ListParagraph"/>
        <w:numPr>
          <w:ilvl w:val="1"/>
          <w:numId w:val="3"/>
        </w:numPr>
        <w:jc w:val="both"/>
        <w:rPr>
          <w:rFonts w:ascii="Arial" w:hAnsi="Arial" w:cs="Arial"/>
          <w:bCs/>
          <w:vanish/>
          <w:sz w:val="24"/>
          <w:szCs w:val="24"/>
        </w:rPr>
      </w:pPr>
    </w:p>
    <w:p w14:paraId="2DE31557" w14:textId="7B06BE20" w:rsidR="0084255F" w:rsidRPr="0037209B" w:rsidRDefault="00CE483A" w:rsidP="00413BC1">
      <w:pPr>
        <w:pStyle w:val="Heading1"/>
        <w:numPr>
          <w:ilvl w:val="0"/>
          <w:numId w:val="3"/>
        </w:numPr>
        <w:ind w:left="709" w:hanging="709"/>
        <w:rPr>
          <w:rFonts w:ascii="Arial" w:hAnsi="Arial" w:cs="Arial"/>
          <w:b/>
          <w:bCs/>
          <w:color w:val="17365D" w:themeColor="text2" w:themeShade="BF"/>
          <w:sz w:val="28"/>
          <w:szCs w:val="28"/>
        </w:rPr>
      </w:pPr>
      <w:bookmarkStart w:id="6" w:name="_Toc167289631"/>
      <w:r w:rsidRPr="0051495C">
        <w:rPr>
          <w:rFonts w:ascii="Arial" w:hAnsi="Arial" w:cs="Arial"/>
          <w:b/>
          <w:bCs/>
          <w:color w:val="0073CF"/>
          <w:sz w:val="28"/>
          <w:szCs w:val="28"/>
        </w:rPr>
        <w:t>Settlement Hierarchy Background</w:t>
      </w:r>
      <w:bookmarkEnd w:id="6"/>
    </w:p>
    <w:p w14:paraId="667D5523" w14:textId="77777777" w:rsidR="0037209B" w:rsidRDefault="0037209B" w:rsidP="0037209B">
      <w:pPr>
        <w:pStyle w:val="ListParagraph"/>
        <w:jc w:val="both"/>
        <w:outlineLvl w:val="0"/>
        <w:rPr>
          <w:rFonts w:ascii="Arial" w:hAnsi="Arial" w:cs="Arial"/>
          <w:b/>
          <w:sz w:val="24"/>
          <w:szCs w:val="24"/>
        </w:rPr>
      </w:pPr>
    </w:p>
    <w:p w14:paraId="060E964E" w14:textId="77777777" w:rsidR="0037209B" w:rsidRPr="0037209B" w:rsidRDefault="0037209B" w:rsidP="0037209B">
      <w:pPr>
        <w:pStyle w:val="ListParagraph"/>
        <w:numPr>
          <w:ilvl w:val="0"/>
          <w:numId w:val="1"/>
        </w:numPr>
        <w:jc w:val="both"/>
        <w:rPr>
          <w:rFonts w:ascii="Arial" w:hAnsi="Arial" w:cs="Arial"/>
          <w:vanish/>
          <w:sz w:val="24"/>
          <w:szCs w:val="24"/>
        </w:rPr>
      </w:pPr>
    </w:p>
    <w:p w14:paraId="3DE715C4" w14:textId="1330AE20" w:rsidR="00A37180" w:rsidRDefault="008C6FBE" w:rsidP="0037209B">
      <w:pPr>
        <w:pStyle w:val="ListParagraph"/>
        <w:numPr>
          <w:ilvl w:val="1"/>
          <w:numId w:val="1"/>
        </w:numPr>
        <w:ind w:left="720" w:hanging="720"/>
        <w:jc w:val="both"/>
        <w:rPr>
          <w:rFonts w:ascii="Arial" w:hAnsi="Arial" w:cs="Arial"/>
          <w:sz w:val="24"/>
          <w:szCs w:val="24"/>
        </w:rPr>
      </w:pPr>
      <w:r w:rsidRPr="0084255F">
        <w:rPr>
          <w:rFonts w:ascii="Arial" w:hAnsi="Arial" w:cs="Arial"/>
          <w:sz w:val="24"/>
          <w:szCs w:val="24"/>
        </w:rPr>
        <w:t xml:space="preserve">The settlement hierarchy </w:t>
      </w:r>
      <w:r w:rsidR="003914F0">
        <w:rPr>
          <w:rFonts w:ascii="Arial" w:hAnsi="Arial" w:cs="Arial"/>
          <w:sz w:val="24"/>
          <w:szCs w:val="24"/>
        </w:rPr>
        <w:t>guides the location and d</w:t>
      </w:r>
      <w:r w:rsidRPr="0084255F">
        <w:rPr>
          <w:rFonts w:ascii="Arial" w:hAnsi="Arial" w:cs="Arial"/>
          <w:sz w:val="24"/>
          <w:szCs w:val="24"/>
        </w:rPr>
        <w:t xml:space="preserve">istribution of growth and distinguishes between </w:t>
      </w:r>
      <w:r w:rsidRPr="0037209B">
        <w:rPr>
          <w:rFonts w:ascii="Arial" w:hAnsi="Arial" w:cs="Arial"/>
          <w:bCs/>
          <w:sz w:val="24"/>
          <w:szCs w:val="24"/>
        </w:rPr>
        <w:t>those</w:t>
      </w:r>
      <w:r w:rsidRPr="0084255F">
        <w:rPr>
          <w:rFonts w:ascii="Arial" w:hAnsi="Arial" w:cs="Arial"/>
          <w:sz w:val="24"/>
          <w:szCs w:val="24"/>
        </w:rPr>
        <w:t xml:space="preserve"> settlements that are considered the most sustainable (they have the best range of facilities and accessibility) from the least sustainable settlements. </w:t>
      </w:r>
      <w:r w:rsidR="003914F0">
        <w:rPr>
          <w:rFonts w:ascii="Arial" w:hAnsi="Arial" w:cs="Arial"/>
          <w:sz w:val="24"/>
          <w:szCs w:val="24"/>
        </w:rPr>
        <w:t xml:space="preserve">Whilst the </w:t>
      </w:r>
      <w:r w:rsidRPr="0084255F">
        <w:rPr>
          <w:rFonts w:ascii="Arial" w:hAnsi="Arial" w:cs="Arial"/>
          <w:sz w:val="24"/>
          <w:szCs w:val="24"/>
        </w:rPr>
        <w:t xml:space="preserve">broad scale of development considered appropriate for each settlement </w:t>
      </w:r>
      <w:r w:rsidR="006C0CAF" w:rsidRPr="0084255F">
        <w:rPr>
          <w:rFonts w:ascii="Arial" w:hAnsi="Arial" w:cs="Arial"/>
          <w:sz w:val="24"/>
          <w:szCs w:val="24"/>
        </w:rPr>
        <w:t xml:space="preserve">is </w:t>
      </w:r>
      <w:r w:rsidRPr="0084255F">
        <w:rPr>
          <w:rFonts w:ascii="Arial" w:hAnsi="Arial" w:cs="Arial"/>
          <w:sz w:val="24"/>
          <w:szCs w:val="24"/>
        </w:rPr>
        <w:t>guided by its position within the hierarchy</w:t>
      </w:r>
      <w:r w:rsidR="003914F0">
        <w:rPr>
          <w:rFonts w:ascii="Arial" w:hAnsi="Arial" w:cs="Arial"/>
          <w:sz w:val="24"/>
          <w:szCs w:val="24"/>
        </w:rPr>
        <w:t xml:space="preserve">, there </w:t>
      </w:r>
      <w:r w:rsidR="003914F0" w:rsidRPr="003914F0">
        <w:rPr>
          <w:rFonts w:ascii="Arial" w:hAnsi="Arial" w:cs="Arial"/>
          <w:sz w:val="24"/>
          <w:szCs w:val="24"/>
        </w:rPr>
        <w:t>may</w:t>
      </w:r>
      <w:r w:rsidR="00101BB5">
        <w:rPr>
          <w:rFonts w:ascii="Arial" w:hAnsi="Arial" w:cs="Arial"/>
          <w:sz w:val="24"/>
          <w:szCs w:val="24"/>
        </w:rPr>
        <w:t xml:space="preserve"> </w:t>
      </w:r>
      <w:r w:rsidR="003914F0" w:rsidRPr="003914F0">
        <w:rPr>
          <w:rFonts w:ascii="Arial" w:hAnsi="Arial" w:cs="Arial"/>
          <w:sz w:val="24"/>
          <w:szCs w:val="24"/>
        </w:rPr>
        <w:t xml:space="preserve">be other factors that will influence the scale of development considered suitable </w:t>
      </w:r>
      <w:r w:rsidR="00101BB5">
        <w:rPr>
          <w:rFonts w:ascii="Arial" w:hAnsi="Arial" w:cs="Arial"/>
          <w:sz w:val="24"/>
          <w:szCs w:val="24"/>
        </w:rPr>
        <w:t xml:space="preserve">and appropriate </w:t>
      </w:r>
      <w:r w:rsidR="003914F0" w:rsidRPr="003914F0">
        <w:rPr>
          <w:rFonts w:ascii="Arial" w:hAnsi="Arial" w:cs="Arial"/>
          <w:sz w:val="24"/>
          <w:szCs w:val="24"/>
        </w:rPr>
        <w:t>for individual settlements.</w:t>
      </w:r>
      <w:r w:rsidR="00101BB5">
        <w:rPr>
          <w:rFonts w:ascii="Arial" w:hAnsi="Arial" w:cs="Arial"/>
          <w:sz w:val="24"/>
          <w:szCs w:val="24"/>
        </w:rPr>
        <w:t xml:space="preserve"> F</w:t>
      </w:r>
      <w:r w:rsidR="003914F0" w:rsidRPr="003914F0">
        <w:rPr>
          <w:rFonts w:ascii="Arial" w:hAnsi="Arial" w:cs="Arial"/>
          <w:sz w:val="24"/>
          <w:szCs w:val="24"/>
        </w:rPr>
        <w:t xml:space="preserve">or example, the availability of suitable sites within each </w:t>
      </w:r>
      <w:r w:rsidR="00101BB5">
        <w:rPr>
          <w:rFonts w:ascii="Arial" w:hAnsi="Arial" w:cs="Arial"/>
          <w:sz w:val="24"/>
          <w:szCs w:val="24"/>
        </w:rPr>
        <w:t>of the</w:t>
      </w:r>
      <w:r w:rsidR="003914F0" w:rsidRPr="003914F0">
        <w:rPr>
          <w:rFonts w:ascii="Arial" w:hAnsi="Arial" w:cs="Arial"/>
          <w:sz w:val="24"/>
          <w:szCs w:val="24"/>
        </w:rPr>
        <w:t xml:space="preserve"> settlements and </w:t>
      </w:r>
      <w:r w:rsidR="00A37180">
        <w:rPr>
          <w:rFonts w:ascii="Arial" w:hAnsi="Arial" w:cs="Arial"/>
          <w:sz w:val="24"/>
          <w:szCs w:val="24"/>
        </w:rPr>
        <w:t>transport, employment, environmental, landscape, heritage and flooding considerations also need to be assessed to determine the potential to accommodate growth.</w:t>
      </w:r>
    </w:p>
    <w:p w14:paraId="1D68A32B" w14:textId="7BD2B029" w:rsidR="00101BB5" w:rsidRDefault="00101BB5" w:rsidP="00101BB5">
      <w:pPr>
        <w:pStyle w:val="ListParagraph"/>
        <w:jc w:val="both"/>
        <w:rPr>
          <w:rFonts w:ascii="Arial" w:hAnsi="Arial" w:cs="Arial"/>
          <w:sz w:val="24"/>
          <w:szCs w:val="24"/>
        </w:rPr>
      </w:pPr>
    </w:p>
    <w:p w14:paraId="7F0BD803" w14:textId="4D94B7CC" w:rsidR="003914F0" w:rsidRPr="00101BB5" w:rsidRDefault="00101BB5" w:rsidP="0084255F">
      <w:pPr>
        <w:pStyle w:val="ListParagraph"/>
        <w:numPr>
          <w:ilvl w:val="1"/>
          <w:numId w:val="1"/>
        </w:numPr>
        <w:ind w:left="720" w:hanging="720"/>
        <w:jc w:val="both"/>
        <w:rPr>
          <w:rFonts w:ascii="Arial" w:hAnsi="Arial" w:cs="Arial"/>
          <w:bCs/>
          <w:sz w:val="24"/>
          <w:szCs w:val="24"/>
        </w:rPr>
      </w:pPr>
      <w:r w:rsidRPr="00101BB5">
        <w:rPr>
          <w:rFonts w:ascii="Arial" w:hAnsi="Arial" w:cs="Arial"/>
          <w:bCs/>
          <w:sz w:val="24"/>
          <w:szCs w:val="24"/>
        </w:rPr>
        <w:t xml:space="preserve">It will not follow, therefore, </w:t>
      </w:r>
      <w:r w:rsidR="00ED379E">
        <w:rPr>
          <w:rFonts w:ascii="Arial" w:hAnsi="Arial" w:cs="Arial"/>
          <w:bCs/>
          <w:sz w:val="24"/>
          <w:szCs w:val="24"/>
        </w:rPr>
        <w:t xml:space="preserve">that </w:t>
      </w:r>
      <w:r w:rsidRPr="00101BB5">
        <w:rPr>
          <w:rFonts w:ascii="Arial" w:hAnsi="Arial" w:cs="Arial"/>
          <w:bCs/>
          <w:sz w:val="24"/>
          <w:szCs w:val="24"/>
        </w:rPr>
        <w:t>every settlement within each category of the hierarchy will accommodate the same level of growth as opportunities for development w</w:t>
      </w:r>
      <w:r>
        <w:rPr>
          <w:rFonts w:ascii="Arial" w:hAnsi="Arial" w:cs="Arial"/>
          <w:bCs/>
          <w:sz w:val="24"/>
          <w:szCs w:val="24"/>
        </w:rPr>
        <w:t>ill va</w:t>
      </w:r>
      <w:r w:rsidRPr="00101BB5">
        <w:rPr>
          <w:rFonts w:ascii="Arial" w:hAnsi="Arial" w:cs="Arial"/>
          <w:bCs/>
          <w:sz w:val="24"/>
          <w:szCs w:val="24"/>
        </w:rPr>
        <w:t>ry</w:t>
      </w:r>
      <w:r w:rsidR="00ED379E">
        <w:rPr>
          <w:rFonts w:ascii="Arial" w:hAnsi="Arial" w:cs="Arial"/>
          <w:bCs/>
          <w:sz w:val="24"/>
          <w:szCs w:val="24"/>
        </w:rPr>
        <w:t xml:space="preserve">. </w:t>
      </w:r>
      <w:proofErr w:type="gramStart"/>
      <w:r w:rsidR="00ED379E">
        <w:rPr>
          <w:rFonts w:ascii="Arial" w:hAnsi="Arial" w:cs="Arial"/>
          <w:bCs/>
          <w:sz w:val="24"/>
          <w:szCs w:val="24"/>
        </w:rPr>
        <w:t>A</w:t>
      </w:r>
      <w:r w:rsidRPr="00101BB5">
        <w:rPr>
          <w:rFonts w:ascii="Arial" w:hAnsi="Arial" w:cs="Arial"/>
          <w:bCs/>
          <w:sz w:val="24"/>
          <w:szCs w:val="24"/>
        </w:rPr>
        <w:t xml:space="preserve"> number of</w:t>
      </w:r>
      <w:proofErr w:type="gramEnd"/>
      <w:r w:rsidRPr="00101BB5">
        <w:rPr>
          <w:rFonts w:ascii="Arial" w:hAnsi="Arial" w:cs="Arial"/>
          <w:bCs/>
          <w:sz w:val="24"/>
          <w:szCs w:val="24"/>
        </w:rPr>
        <w:t xml:space="preserve"> the smallest settlements in the </w:t>
      </w:r>
      <w:r>
        <w:rPr>
          <w:rFonts w:ascii="Arial" w:hAnsi="Arial" w:cs="Arial"/>
          <w:bCs/>
          <w:sz w:val="24"/>
          <w:szCs w:val="24"/>
        </w:rPr>
        <w:t>P</w:t>
      </w:r>
      <w:r w:rsidRPr="00101BB5">
        <w:rPr>
          <w:rFonts w:ascii="Arial" w:hAnsi="Arial" w:cs="Arial"/>
          <w:bCs/>
          <w:sz w:val="24"/>
          <w:szCs w:val="24"/>
        </w:rPr>
        <w:t xml:space="preserve">lan </w:t>
      </w:r>
      <w:r>
        <w:rPr>
          <w:rFonts w:ascii="Arial" w:hAnsi="Arial" w:cs="Arial"/>
          <w:bCs/>
          <w:sz w:val="24"/>
          <w:szCs w:val="24"/>
        </w:rPr>
        <w:t>A</w:t>
      </w:r>
      <w:r w:rsidRPr="00101BB5">
        <w:rPr>
          <w:rFonts w:ascii="Arial" w:hAnsi="Arial" w:cs="Arial"/>
          <w:bCs/>
          <w:sz w:val="24"/>
          <w:szCs w:val="24"/>
        </w:rPr>
        <w:t xml:space="preserve">rea with no services and facilities would not be considered appropriate </w:t>
      </w:r>
      <w:r>
        <w:rPr>
          <w:rFonts w:ascii="Arial" w:hAnsi="Arial" w:cs="Arial"/>
          <w:bCs/>
          <w:sz w:val="24"/>
          <w:szCs w:val="24"/>
        </w:rPr>
        <w:t>locations</w:t>
      </w:r>
      <w:r w:rsidRPr="00101BB5">
        <w:rPr>
          <w:rFonts w:ascii="Arial" w:hAnsi="Arial" w:cs="Arial"/>
          <w:bCs/>
          <w:sz w:val="24"/>
          <w:szCs w:val="24"/>
        </w:rPr>
        <w:t xml:space="preserve"> </w:t>
      </w:r>
      <w:r w:rsidR="00D51F04">
        <w:rPr>
          <w:rFonts w:ascii="Arial" w:hAnsi="Arial" w:cs="Arial"/>
          <w:bCs/>
          <w:sz w:val="24"/>
          <w:szCs w:val="24"/>
        </w:rPr>
        <w:t>for</w:t>
      </w:r>
      <w:r w:rsidRPr="00101BB5">
        <w:rPr>
          <w:rFonts w:ascii="Arial" w:hAnsi="Arial" w:cs="Arial"/>
          <w:bCs/>
          <w:sz w:val="24"/>
          <w:szCs w:val="24"/>
        </w:rPr>
        <w:t xml:space="preserve"> taking further development.</w:t>
      </w:r>
    </w:p>
    <w:p w14:paraId="303A2695" w14:textId="588327A2" w:rsidR="00167728" w:rsidRPr="0051495C" w:rsidRDefault="00ED379E" w:rsidP="0037209B">
      <w:pPr>
        <w:pStyle w:val="Heading1"/>
        <w:numPr>
          <w:ilvl w:val="0"/>
          <w:numId w:val="1"/>
        </w:numPr>
        <w:rPr>
          <w:rFonts w:ascii="Arial" w:hAnsi="Arial" w:cs="Arial"/>
          <w:b/>
          <w:bCs/>
          <w:color w:val="0073CF"/>
          <w:sz w:val="28"/>
          <w:szCs w:val="28"/>
        </w:rPr>
      </w:pPr>
      <w:bookmarkStart w:id="7" w:name="_Toc167289632"/>
      <w:r w:rsidRPr="0051495C">
        <w:rPr>
          <w:rFonts w:ascii="Arial" w:hAnsi="Arial" w:cs="Arial"/>
          <w:b/>
          <w:bCs/>
          <w:color w:val="0073CF"/>
          <w:sz w:val="28"/>
          <w:szCs w:val="28"/>
        </w:rPr>
        <w:t>Assessment of settlement sustainability</w:t>
      </w:r>
      <w:bookmarkEnd w:id="7"/>
    </w:p>
    <w:p w14:paraId="64D0861B" w14:textId="77777777" w:rsidR="0037209B" w:rsidRPr="00167728" w:rsidRDefault="0037209B" w:rsidP="0037209B">
      <w:pPr>
        <w:pStyle w:val="ListParagraph"/>
        <w:outlineLvl w:val="0"/>
        <w:rPr>
          <w:rFonts w:ascii="Arial" w:hAnsi="Arial" w:cs="Arial"/>
          <w:b/>
          <w:bCs/>
          <w:sz w:val="24"/>
          <w:szCs w:val="24"/>
        </w:rPr>
      </w:pPr>
    </w:p>
    <w:p w14:paraId="53716A68" w14:textId="02060653" w:rsidR="00F2654F" w:rsidRPr="00F664EB" w:rsidRDefault="00C44BC6" w:rsidP="0084255F">
      <w:pPr>
        <w:pStyle w:val="ListParagraph"/>
        <w:numPr>
          <w:ilvl w:val="1"/>
          <w:numId w:val="1"/>
        </w:numPr>
        <w:ind w:left="720" w:hanging="720"/>
        <w:jc w:val="both"/>
        <w:rPr>
          <w:rFonts w:ascii="Arial" w:hAnsi="Arial" w:cs="Arial"/>
          <w:b/>
          <w:sz w:val="24"/>
          <w:szCs w:val="24"/>
        </w:rPr>
      </w:pPr>
      <w:r>
        <w:rPr>
          <w:rFonts w:ascii="Arial" w:hAnsi="Arial" w:cs="Arial"/>
          <w:bCs/>
          <w:sz w:val="24"/>
          <w:szCs w:val="24"/>
        </w:rPr>
        <w:lastRenderedPageBreak/>
        <w:t xml:space="preserve">There </w:t>
      </w:r>
      <w:r w:rsidR="005B3969">
        <w:rPr>
          <w:rFonts w:ascii="Arial" w:hAnsi="Arial" w:cs="Arial"/>
          <w:bCs/>
          <w:sz w:val="24"/>
          <w:szCs w:val="24"/>
        </w:rPr>
        <w:t xml:space="preserve">is no prescribed methodology for defining the service role of a settlement nor </w:t>
      </w:r>
      <w:r w:rsidR="006642DD">
        <w:rPr>
          <w:rFonts w:ascii="Arial" w:hAnsi="Arial" w:cs="Arial"/>
          <w:bCs/>
          <w:sz w:val="24"/>
          <w:szCs w:val="24"/>
        </w:rPr>
        <w:t xml:space="preserve">are </w:t>
      </w:r>
      <w:r w:rsidR="005B3969">
        <w:rPr>
          <w:rFonts w:ascii="Arial" w:hAnsi="Arial" w:cs="Arial"/>
          <w:bCs/>
          <w:sz w:val="24"/>
          <w:szCs w:val="24"/>
        </w:rPr>
        <w:t xml:space="preserve">there any </w:t>
      </w:r>
      <w:r>
        <w:rPr>
          <w:rFonts w:ascii="Arial" w:hAnsi="Arial" w:cs="Arial"/>
          <w:bCs/>
          <w:sz w:val="24"/>
          <w:szCs w:val="24"/>
        </w:rPr>
        <w:t xml:space="preserve">national guidelines </w:t>
      </w:r>
      <w:r w:rsidR="005B3969">
        <w:rPr>
          <w:rFonts w:ascii="Arial" w:hAnsi="Arial" w:cs="Arial"/>
          <w:bCs/>
          <w:sz w:val="24"/>
          <w:szCs w:val="24"/>
        </w:rPr>
        <w:t xml:space="preserve">on what </w:t>
      </w:r>
      <w:r>
        <w:rPr>
          <w:rFonts w:ascii="Arial" w:hAnsi="Arial" w:cs="Arial"/>
          <w:bCs/>
          <w:sz w:val="24"/>
          <w:szCs w:val="24"/>
        </w:rPr>
        <w:t>services and facilities a settlement should have to be considered sustainable.</w:t>
      </w:r>
      <w:r w:rsidR="00413BC1">
        <w:rPr>
          <w:rFonts w:ascii="Arial" w:hAnsi="Arial" w:cs="Arial"/>
          <w:bCs/>
          <w:sz w:val="24"/>
          <w:szCs w:val="24"/>
        </w:rPr>
        <w:t xml:space="preserve"> </w:t>
      </w:r>
      <w:r>
        <w:rPr>
          <w:rFonts w:ascii="Arial" w:hAnsi="Arial" w:cs="Arial"/>
          <w:bCs/>
          <w:sz w:val="24"/>
          <w:szCs w:val="24"/>
        </w:rPr>
        <w:t xml:space="preserve">However, as noted in </w:t>
      </w:r>
      <w:r w:rsidR="00A37180">
        <w:rPr>
          <w:rFonts w:ascii="Arial" w:hAnsi="Arial" w:cs="Arial"/>
          <w:bCs/>
          <w:sz w:val="24"/>
          <w:szCs w:val="24"/>
        </w:rPr>
        <w:t xml:space="preserve">section 2 </w:t>
      </w:r>
      <w:r>
        <w:rPr>
          <w:rFonts w:ascii="Arial" w:hAnsi="Arial" w:cs="Arial"/>
          <w:bCs/>
          <w:sz w:val="24"/>
          <w:szCs w:val="24"/>
        </w:rPr>
        <w:t xml:space="preserve">above, the NPPF indicates that planning policies should ensure the retention and development of a range of services and community facilities including local shops, meeting places, </w:t>
      </w:r>
      <w:r w:rsidR="004E0DDF">
        <w:rPr>
          <w:rFonts w:ascii="Arial" w:hAnsi="Arial" w:cs="Arial"/>
          <w:bCs/>
          <w:sz w:val="24"/>
          <w:szCs w:val="24"/>
        </w:rPr>
        <w:t>o</w:t>
      </w:r>
      <w:r w:rsidRPr="000264C9">
        <w:rPr>
          <w:rFonts w:ascii="Arial" w:hAnsi="Arial" w:cs="Arial"/>
          <w:sz w:val="24"/>
          <w:szCs w:val="24"/>
        </w:rPr>
        <w:t xml:space="preserve">pen space, public </w:t>
      </w:r>
      <w:proofErr w:type="gramStart"/>
      <w:r w:rsidRPr="000264C9">
        <w:rPr>
          <w:rFonts w:ascii="Arial" w:hAnsi="Arial" w:cs="Arial"/>
          <w:sz w:val="24"/>
          <w:szCs w:val="24"/>
        </w:rPr>
        <w:t>houses</w:t>
      </w:r>
      <w:proofErr w:type="gramEnd"/>
      <w:r w:rsidRPr="000264C9">
        <w:rPr>
          <w:rFonts w:ascii="Arial" w:hAnsi="Arial" w:cs="Arial"/>
          <w:sz w:val="24"/>
          <w:szCs w:val="24"/>
        </w:rPr>
        <w:t xml:space="preserve"> and places of worship</w:t>
      </w:r>
      <w:r>
        <w:rPr>
          <w:rFonts w:ascii="Arial" w:hAnsi="Arial" w:cs="Arial"/>
          <w:sz w:val="24"/>
          <w:szCs w:val="24"/>
        </w:rPr>
        <w:t>.</w:t>
      </w:r>
      <w:r w:rsidR="00413BC1">
        <w:rPr>
          <w:rFonts w:ascii="Arial" w:hAnsi="Arial" w:cs="Arial"/>
          <w:sz w:val="24"/>
          <w:szCs w:val="24"/>
        </w:rPr>
        <w:t xml:space="preserve"> </w:t>
      </w:r>
      <w:r w:rsidR="00E52351">
        <w:rPr>
          <w:rFonts w:ascii="Arial" w:hAnsi="Arial" w:cs="Arial"/>
          <w:sz w:val="24"/>
          <w:szCs w:val="24"/>
        </w:rPr>
        <w:t xml:space="preserve">The assessment, therefore, looks at the availability of these </w:t>
      </w:r>
      <w:r w:rsidR="002C74A7">
        <w:rPr>
          <w:rFonts w:ascii="Arial" w:hAnsi="Arial" w:cs="Arial"/>
          <w:sz w:val="24"/>
          <w:szCs w:val="24"/>
        </w:rPr>
        <w:t>facilities together with education and health facilities.</w:t>
      </w:r>
      <w:r>
        <w:rPr>
          <w:rFonts w:ascii="Arial" w:hAnsi="Arial" w:cs="Arial"/>
          <w:sz w:val="24"/>
          <w:szCs w:val="24"/>
        </w:rPr>
        <w:t xml:space="preserve"> </w:t>
      </w:r>
    </w:p>
    <w:p w14:paraId="305191ED" w14:textId="77777777" w:rsidR="00F664EB" w:rsidRPr="00F664EB" w:rsidRDefault="00F664EB" w:rsidP="00F664EB">
      <w:pPr>
        <w:pStyle w:val="ListParagraph"/>
        <w:jc w:val="both"/>
        <w:rPr>
          <w:rFonts w:ascii="Arial" w:hAnsi="Arial" w:cs="Arial"/>
          <w:b/>
          <w:sz w:val="24"/>
          <w:szCs w:val="24"/>
        </w:rPr>
      </w:pPr>
    </w:p>
    <w:p w14:paraId="40339B1E" w14:textId="5A77E835" w:rsidR="00F664EB" w:rsidRPr="00F664EB" w:rsidRDefault="00F664EB" w:rsidP="00F664EB">
      <w:pPr>
        <w:pStyle w:val="ListParagraph"/>
        <w:numPr>
          <w:ilvl w:val="1"/>
          <w:numId w:val="1"/>
        </w:numPr>
        <w:ind w:left="720" w:hanging="720"/>
        <w:jc w:val="both"/>
        <w:rPr>
          <w:rFonts w:ascii="Arial" w:hAnsi="Arial" w:cs="Arial"/>
          <w:b/>
          <w:sz w:val="24"/>
          <w:szCs w:val="24"/>
        </w:rPr>
      </w:pPr>
      <w:r>
        <w:rPr>
          <w:rFonts w:ascii="Arial" w:hAnsi="Arial" w:cs="Arial"/>
          <w:sz w:val="24"/>
          <w:szCs w:val="24"/>
        </w:rPr>
        <w:t xml:space="preserve">As shopping habits continue to change, there has been a decline in the numbers of local shops in rural villages. Some larger </w:t>
      </w:r>
      <w:r w:rsidRPr="00F664EB">
        <w:rPr>
          <w:rFonts w:ascii="Arial" w:hAnsi="Arial" w:cs="Arial"/>
          <w:sz w:val="24"/>
          <w:szCs w:val="24"/>
        </w:rPr>
        <w:t>settlements provide a wide range of facilities and services, for example Chichester city, whereas more ru</w:t>
      </w:r>
      <w:r>
        <w:rPr>
          <w:rFonts w:ascii="Arial" w:hAnsi="Arial" w:cs="Arial"/>
          <w:sz w:val="24"/>
          <w:szCs w:val="24"/>
        </w:rPr>
        <w:t>ral</w:t>
      </w:r>
      <w:r w:rsidRPr="00F664EB">
        <w:rPr>
          <w:rFonts w:ascii="Arial" w:hAnsi="Arial" w:cs="Arial"/>
          <w:sz w:val="24"/>
          <w:szCs w:val="24"/>
        </w:rPr>
        <w:t xml:space="preserve"> settlements may have very few or none.</w:t>
      </w:r>
      <w:r>
        <w:rPr>
          <w:rFonts w:ascii="Arial" w:hAnsi="Arial" w:cs="Arial"/>
          <w:sz w:val="24"/>
          <w:szCs w:val="24"/>
        </w:rPr>
        <w:t xml:space="preserve"> In </w:t>
      </w:r>
      <w:r w:rsidRPr="00F664EB">
        <w:rPr>
          <w:rFonts w:ascii="Arial" w:hAnsi="Arial" w:cs="Arial"/>
          <w:sz w:val="24"/>
          <w:szCs w:val="24"/>
        </w:rPr>
        <w:t xml:space="preserve">these settlements, residents will usually rely on either </w:t>
      </w:r>
      <w:r>
        <w:rPr>
          <w:rFonts w:ascii="Arial" w:hAnsi="Arial" w:cs="Arial"/>
          <w:sz w:val="24"/>
          <w:szCs w:val="24"/>
        </w:rPr>
        <w:t>i</w:t>
      </w:r>
      <w:r w:rsidRPr="00F664EB">
        <w:rPr>
          <w:rFonts w:ascii="Arial" w:hAnsi="Arial" w:cs="Arial"/>
          <w:sz w:val="24"/>
          <w:szCs w:val="24"/>
        </w:rPr>
        <w:t>nternet shopping, or will travel to nearby villages or bigger towns in the plan area, for example Chichester, or beyond</w:t>
      </w:r>
      <w:r w:rsidR="00E10819">
        <w:rPr>
          <w:rFonts w:ascii="Arial" w:hAnsi="Arial" w:cs="Arial"/>
          <w:sz w:val="24"/>
          <w:szCs w:val="24"/>
        </w:rPr>
        <w:t>,</w:t>
      </w:r>
      <w:r w:rsidRPr="00F664EB">
        <w:rPr>
          <w:rFonts w:ascii="Arial" w:hAnsi="Arial" w:cs="Arial"/>
          <w:sz w:val="24"/>
          <w:szCs w:val="24"/>
        </w:rPr>
        <w:t xml:space="preserve"> for example </w:t>
      </w:r>
      <w:r w:rsidR="00C933B6">
        <w:rPr>
          <w:rFonts w:ascii="Arial" w:hAnsi="Arial" w:cs="Arial"/>
          <w:sz w:val="24"/>
          <w:szCs w:val="24"/>
        </w:rPr>
        <w:t xml:space="preserve">in the north east of the plan area </w:t>
      </w:r>
      <w:r w:rsidRPr="00F664EB">
        <w:rPr>
          <w:rFonts w:ascii="Arial" w:hAnsi="Arial" w:cs="Arial"/>
          <w:sz w:val="24"/>
          <w:szCs w:val="24"/>
        </w:rPr>
        <w:t xml:space="preserve">to </w:t>
      </w:r>
      <w:r>
        <w:rPr>
          <w:rFonts w:ascii="Arial" w:hAnsi="Arial" w:cs="Arial"/>
          <w:sz w:val="24"/>
          <w:szCs w:val="24"/>
        </w:rPr>
        <w:t>B</w:t>
      </w:r>
      <w:r w:rsidRPr="00F664EB">
        <w:rPr>
          <w:rFonts w:ascii="Arial" w:hAnsi="Arial" w:cs="Arial"/>
          <w:sz w:val="24"/>
          <w:szCs w:val="24"/>
        </w:rPr>
        <w:t>illing</w:t>
      </w:r>
      <w:r>
        <w:rPr>
          <w:rFonts w:ascii="Arial" w:hAnsi="Arial" w:cs="Arial"/>
          <w:sz w:val="24"/>
          <w:szCs w:val="24"/>
        </w:rPr>
        <w:t>s</w:t>
      </w:r>
      <w:r w:rsidRPr="00F664EB">
        <w:rPr>
          <w:rFonts w:ascii="Arial" w:hAnsi="Arial" w:cs="Arial"/>
          <w:sz w:val="24"/>
          <w:szCs w:val="24"/>
        </w:rPr>
        <w:t>hurst.</w:t>
      </w:r>
    </w:p>
    <w:p w14:paraId="16D2A63E" w14:textId="77777777" w:rsidR="00F664EB" w:rsidRPr="009056E9" w:rsidRDefault="00F664EB" w:rsidP="00F664EB">
      <w:pPr>
        <w:pStyle w:val="ListParagraph"/>
        <w:jc w:val="both"/>
        <w:rPr>
          <w:rFonts w:ascii="Arial" w:hAnsi="Arial" w:cs="Arial"/>
          <w:b/>
          <w:sz w:val="24"/>
          <w:szCs w:val="24"/>
        </w:rPr>
      </w:pPr>
    </w:p>
    <w:p w14:paraId="2A4051EC" w14:textId="77777777" w:rsidR="00F664EB" w:rsidRPr="00D51F04" w:rsidRDefault="00F664EB" w:rsidP="00F664EB">
      <w:pPr>
        <w:pStyle w:val="ListParagraph"/>
        <w:numPr>
          <w:ilvl w:val="1"/>
          <w:numId w:val="1"/>
        </w:numPr>
        <w:ind w:left="720" w:hanging="720"/>
        <w:jc w:val="both"/>
        <w:rPr>
          <w:rFonts w:ascii="Arial" w:hAnsi="Arial" w:cs="Arial"/>
          <w:b/>
          <w:sz w:val="24"/>
          <w:szCs w:val="24"/>
        </w:rPr>
      </w:pPr>
      <w:r>
        <w:rPr>
          <w:rFonts w:ascii="Arial" w:hAnsi="Arial" w:cs="Arial"/>
          <w:bCs/>
          <w:sz w:val="24"/>
          <w:szCs w:val="24"/>
        </w:rPr>
        <w:t>The assessment focuses on:</w:t>
      </w:r>
    </w:p>
    <w:p w14:paraId="00938376" w14:textId="0001679D" w:rsidR="00F664EB" w:rsidRPr="00D51F04" w:rsidRDefault="00F664EB" w:rsidP="00F664EB">
      <w:pPr>
        <w:pStyle w:val="ListParagraph"/>
        <w:numPr>
          <w:ilvl w:val="0"/>
          <w:numId w:val="7"/>
        </w:numPr>
        <w:jc w:val="both"/>
        <w:rPr>
          <w:rFonts w:ascii="Arial" w:hAnsi="Arial" w:cs="Arial"/>
          <w:b/>
          <w:sz w:val="24"/>
          <w:szCs w:val="24"/>
        </w:rPr>
      </w:pPr>
      <w:r>
        <w:rPr>
          <w:rFonts w:ascii="Arial" w:hAnsi="Arial" w:cs="Arial"/>
          <w:bCs/>
          <w:sz w:val="24"/>
          <w:szCs w:val="24"/>
        </w:rPr>
        <w:t xml:space="preserve">the </w:t>
      </w:r>
      <w:r w:rsidR="00E10819">
        <w:rPr>
          <w:rFonts w:ascii="Arial" w:hAnsi="Arial" w:cs="Arial"/>
          <w:bCs/>
          <w:sz w:val="24"/>
          <w:szCs w:val="24"/>
        </w:rPr>
        <w:t>number</w:t>
      </w:r>
      <w:r>
        <w:rPr>
          <w:rFonts w:ascii="Arial" w:hAnsi="Arial" w:cs="Arial"/>
          <w:bCs/>
          <w:sz w:val="24"/>
          <w:szCs w:val="24"/>
        </w:rPr>
        <w:t xml:space="preserve"> of </w:t>
      </w:r>
      <w:r w:rsidR="00345A96">
        <w:rPr>
          <w:rFonts w:ascii="Arial" w:hAnsi="Arial" w:cs="Arial"/>
          <w:bCs/>
          <w:sz w:val="24"/>
          <w:szCs w:val="24"/>
        </w:rPr>
        <w:t xml:space="preserve">specific </w:t>
      </w:r>
      <w:r>
        <w:rPr>
          <w:rFonts w:ascii="Arial" w:hAnsi="Arial" w:cs="Arial"/>
          <w:bCs/>
          <w:sz w:val="24"/>
          <w:szCs w:val="24"/>
        </w:rPr>
        <w:t>services and facilities available in each settlement</w:t>
      </w:r>
    </w:p>
    <w:p w14:paraId="3626E63D" w14:textId="77777777" w:rsidR="00F664EB" w:rsidRPr="0037209B" w:rsidRDefault="00F664EB" w:rsidP="00F664EB">
      <w:pPr>
        <w:pStyle w:val="ListParagraph"/>
        <w:numPr>
          <w:ilvl w:val="0"/>
          <w:numId w:val="7"/>
        </w:numPr>
        <w:jc w:val="both"/>
        <w:rPr>
          <w:rFonts w:ascii="Arial" w:hAnsi="Arial" w:cs="Arial"/>
          <w:b/>
          <w:sz w:val="24"/>
          <w:szCs w:val="24"/>
        </w:rPr>
      </w:pPr>
      <w:r>
        <w:rPr>
          <w:rFonts w:ascii="Arial" w:hAnsi="Arial" w:cs="Arial"/>
          <w:bCs/>
          <w:sz w:val="24"/>
          <w:szCs w:val="24"/>
        </w:rPr>
        <w:t>public transport availability and frequency</w:t>
      </w:r>
    </w:p>
    <w:p w14:paraId="34E69D4A" w14:textId="77777777" w:rsidR="0037209B" w:rsidRPr="00167728" w:rsidRDefault="0037209B" w:rsidP="0037209B">
      <w:pPr>
        <w:pStyle w:val="ListParagraph"/>
        <w:ind w:left="1080"/>
        <w:jc w:val="both"/>
        <w:rPr>
          <w:rFonts w:ascii="Arial" w:hAnsi="Arial" w:cs="Arial"/>
          <w:b/>
          <w:sz w:val="24"/>
          <w:szCs w:val="24"/>
        </w:rPr>
      </w:pPr>
    </w:p>
    <w:p w14:paraId="1C6D6750" w14:textId="3C2D5899" w:rsidR="002C74A7" w:rsidRDefault="004E0DDF" w:rsidP="00713B9C">
      <w:pPr>
        <w:pStyle w:val="ListParagraph"/>
        <w:numPr>
          <w:ilvl w:val="1"/>
          <w:numId w:val="1"/>
        </w:numPr>
        <w:ind w:left="720" w:hanging="720"/>
        <w:jc w:val="both"/>
        <w:rPr>
          <w:rFonts w:ascii="Arial" w:hAnsi="Arial" w:cs="Arial"/>
          <w:sz w:val="24"/>
          <w:szCs w:val="24"/>
        </w:rPr>
      </w:pPr>
      <w:r w:rsidRPr="004B19A7">
        <w:rPr>
          <w:rFonts w:ascii="Arial" w:hAnsi="Arial" w:cs="Arial"/>
          <w:sz w:val="24"/>
          <w:szCs w:val="24"/>
        </w:rPr>
        <w:t xml:space="preserve">The </w:t>
      </w:r>
      <w:r w:rsidR="006642DD" w:rsidRPr="004B19A7">
        <w:rPr>
          <w:rFonts w:ascii="Arial" w:hAnsi="Arial" w:cs="Arial"/>
          <w:sz w:val="24"/>
          <w:szCs w:val="24"/>
        </w:rPr>
        <w:t>availability and frequency of public transport is a</w:t>
      </w:r>
      <w:r w:rsidR="00994162">
        <w:rPr>
          <w:rFonts w:ascii="Arial" w:hAnsi="Arial" w:cs="Arial"/>
          <w:sz w:val="24"/>
          <w:szCs w:val="24"/>
        </w:rPr>
        <w:t xml:space="preserve"> </w:t>
      </w:r>
      <w:r w:rsidR="006642DD" w:rsidRPr="004B19A7">
        <w:rPr>
          <w:rFonts w:ascii="Arial" w:hAnsi="Arial" w:cs="Arial"/>
          <w:sz w:val="24"/>
          <w:szCs w:val="24"/>
        </w:rPr>
        <w:t>factor in determining the most sustainable locations, particularly in providing a service as an alternative to the car to enable people in rural communities to access services and facilities such as shops, medical facilities, leisure activities and employment opportunities.</w:t>
      </w:r>
      <w:r w:rsidR="00413BC1">
        <w:rPr>
          <w:rFonts w:ascii="Arial" w:hAnsi="Arial" w:cs="Arial"/>
          <w:sz w:val="24"/>
          <w:szCs w:val="24"/>
        </w:rPr>
        <w:t xml:space="preserve"> </w:t>
      </w:r>
      <w:r w:rsidR="00A93440" w:rsidRPr="004B19A7">
        <w:rPr>
          <w:rFonts w:ascii="Arial" w:hAnsi="Arial" w:cs="Arial"/>
          <w:sz w:val="24"/>
          <w:szCs w:val="24"/>
        </w:rPr>
        <w:t xml:space="preserve">The assessment is made based on the </w:t>
      </w:r>
      <w:r w:rsidR="004F5598">
        <w:rPr>
          <w:rFonts w:ascii="Arial" w:hAnsi="Arial" w:cs="Arial"/>
          <w:sz w:val="24"/>
          <w:szCs w:val="24"/>
        </w:rPr>
        <w:t xml:space="preserve">availability of </w:t>
      </w:r>
      <w:r w:rsidR="00A93440" w:rsidRPr="004B19A7">
        <w:rPr>
          <w:rFonts w:ascii="Arial" w:hAnsi="Arial" w:cs="Arial"/>
          <w:sz w:val="24"/>
          <w:szCs w:val="24"/>
        </w:rPr>
        <w:t xml:space="preserve">a </w:t>
      </w:r>
      <w:r w:rsidR="004B19A7" w:rsidRPr="004B19A7">
        <w:rPr>
          <w:rFonts w:ascii="Arial" w:hAnsi="Arial" w:cs="Arial"/>
          <w:sz w:val="24"/>
          <w:szCs w:val="24"/>
        </w:rPr>
        <w:t>regular bus service</w:t>
      </w:r>
      <w:r w:rsidR="004F5598">
        <w:rPr>
          <w:rFonts w:ascii="Arial" w:hAnsi="Arial" w:cs="Arial"/>
          <w:sz w:val="24"/>
          <w:szCs w:val="24"/>
        </w:rPr>
        <w:t xml:space="preserve"> and service frequency</w:t>
      </w:r>
      <w:r w:rsidR="004B19A7" w:rsidRPr="004B19A7">
        <w:rPr>
          <w:rFonts w:ascii="Arial" w:hAnsi="Arial" w:cs="Arial"/>
          <w:sz w:val="24"/>
          <w:szCs w:val="24"/>
        </w:rPr>
        <w:t>.</w:t>
      </w:r>
      <w:r w:rsidR="004B19A7">
        <w:rPr>
          <w:rFonts w:ascii="Arial" w:hAnsi="Arial" w:cs="Arial"/>
          <w:sz w:val="24"/>
          <w:szCs w:val="24"/>
        </w:rPr>
        <w:t xml:space="preserve"> </w:t>
      </w:r>
    </w:p>
    <w:p w14:paraId="552B9B36" w14:textId="77777777" w:rsidR="009056E9" w:rsidRPr="009056E9" w:rsidRDefault="009056E9" w:rsidP="009056E9">
      <w:pPr>
        <w:pStyle w:val="ListParagraph"/>
        <w:rPr>
          <w:rFonts w:ascii="Arial" w:hAnsi="Arial" w:cs="Arial"/>
          <w:sz w:val="24"/>
          <w:szCs w:val="24"/>
        </w:rPr>
      </w:pPr>
    </w:p>
    <w:p w14:paraId="0815881C" w14:textId="3DC53AB3" w:rsidR="00A3223C" w:rsidRPr="004F07AC" w:rsidRDefault="009056E9" w:rsidP="004F07AC">
      <w:pPr>
        <w:pStyle w:val="ListParagraph"/>
        <w:numPr>
          <w:ilvl w:val="1"/>
          <w:numId w:val="1"/>
        </w:numPr>
        <w:ind w:left="720" w:hanging="720"/>
        <w:jc w:val="both"/>
        <w:rPr>
          <w:rFonts w:ascii="Arial" w:hAnsi="Arial" w:cs="Arial"/>
          <w:sz w:val="24"/>
          <w:szCs w:val="24"/>
        </w:rPr>
      </w:pPr>
      <w:r>
        <w:rPr>
          <w:rFonts w:ascii="Arial" w:hAnsi="Arial" w:cs="Arial"/>
          <w:bCs/>
          <w:sz w:val="24"/>
          <w:szCs w:val="24"/>
        </w:rPr>
        <w:t xml:space="preserve">Whilst not a determinative factor in the settlement hierarchy another </w:t>
      </w:r>
      <w:r w:rsidR="004F07AC">
        <w:rPr>
          <w:rFonts w:ascii="Arial" w:hAnsi="Arial" w:cs="Arial"/>
          <w:bCs/>
          <w:sz w:val="24"/>
          <w:szCs w:val="24"/>
        </w:rPr>
        <w:t>import</w:t>
      </w:r>
      <w:r w:rsidR="00994162">
        <w:rPr>
          <w:rFonts w:ascii="Arial" w:hAnsi="Arial" w:cs="Arial"/>
          <w:bCs/>
          <w:sz w:val="24"/>
          <w:szCs w:val="24"/>
        </w:rPr>
        <w:t>ant</w:t>
      </w:r>
      <w:r w:rsidR="004F07AC">
        <w:rPr>
          <w:rFonts w:ascii="Arial" w:hAnsi="Arial" w:cs="Arial"/>
          <w:bCs/>
          <w:sz w:val="24"/>
          <w:szCs w:val="24"/>
        </w:rPr>
        <w:t xml:space="preserve"> sustainability </w:t>
      </w:r>
      <w:r>
        <w:rPr>
          <w:rFonts w:ascii="Arial" w:hAnsi="Arial" w:cs="Arial"/>
          <w:bCs/>
          <w:sz w:val="24"/>
          <w:szCs w:val="24"/>
        </w:rPr>
        <w:t>consideration is the</w:t>
      </w:r>
      <w:r w:rsidR="004F07AC">
        <w:rPr>
          <w:rFonts w:ascii="Arial" w:hAnsi="Arial" w:cs="Arial"/>
          <w:bCs/>
          <w:sz w:val="24"/>
          <w:szCs w:val="24"/>
        </w:rPr>
        <w:t xml:space="preserve"> </w:t>
      </w:r>
      <w:proofErr w:type="gramStart"/>
      <w:r w:rsidR="004F07AC">
        <w:rPr>
          <w:rFonts w:ascii="Arial" w:hAnsi="Arial" w:cs="Arial"/>
          <w:bCs/>
          <w:sz w:val="24"/>
          <w:szCs w:val="24"/>
        </w:rPr>
        <w:t>close proximity</w:t>
      </w:r>
      <w:proofErr w:type="gramEnd"/>
      <w:r w:rsidR="004F07AC">
        <w:rPr>
          <w:rFonts w:ascii="Arial" w:hAnsi="Arial" w:cs="Arial"/>
          <w:bCs/>
          <w:sz w:val="24"/>
          <w:szCs w:val="24"/>
        </w:rPr>
        <w:t xml:space="preserve"> to a higher order settlement in terms of access to their level of facilities and service. There are some villages, which although they do not have many services or facilities within it, are relatively sustainable because of their access to facilities and services</w:t>
      </w:r>
      <w:r w:rsidR="004F5598">
        <w:rPr>
          <w:rFonts w:ascii="Arial" w:hAnsi="Arial" w:cs="Arial"/>
          <w:bCs/>
          <w:sz w:val="24"/>
          <w:szCs w:val="24"/>
        </w:rPr>
        <w:t xml:space="preserve"> in nearby settlements</w:t>
      </w:r>
      <w:r w:rsidR="004F07AC">
        <w:rPr>
          <w:rFonts w:ascii="Arial" w:hAnsi="Arial" w:cs="Arial"/>
          <w:bCs/>
          <w:sz w:val="24"/>
          <w:szCs w:val="24"/>
        </w:rPr>
        <w:t>.</w:t>
      </w:r>
    </w:p>
    <w:p w14:paraId="136A553F" w14:textId="77777777" w:rsidR="004F07AC" w:rsidRPr="004F07AC" w:rsidRDefault="004F07AC" w:rsidP="004F07AC">
      <w:pPr>
        <w:pStyle w:val="ListParagraph"/>
        <w:rPr>
          <w:rFonts w:ascii="Arial" w:hAnsi="Arial" w:cs="Arial"/>
          <w:sz w:val="24"/>
          <w:szCs w:val="24"/>
        </w:rPr>
      </w:pPr>
    </w:p>
    <w:p w14:paraId="43A2B3E6" w14:textId="5269CADB" w:rsidR="00A3223C" w:rsidRPr="0056093F" w:rsidRDefault="00A3223C" w:rsidP="00A3223C">
      <w:pPr>
        <w:pStyle w:val="ListParagraph"/>
        <w:numPr>
          <w:ilvl w:val="1"/>
          <w:numId w:val="1"/>
        </w:numPr>
        <w:ind w:left="720" w:hanging="720"/>
        <w:jc w:val="both"/>
        <w:rPr>
          <w:rFonts w:ascii="Arial" w:hAnsi="Arial" w:cs="Arial"/>
          <w:b/>
          <w:sz w:val="24"/>
          <w:szCs w:val="24"/>
        </w:rPr>
      </w:pPr>
      <w:r>
        <w:rPr>
          <w:rFonts w:ascii="Arial" w:hAnsi="Arial" w:cs="Arial"/>
          <w:bCs/>
          <w:sz w:val="24"/>
          <w:szCs w:val="24"/>
        </w:rPr>
        <w:t>It is important to note that settlements are assessed for their sustainability based upon the services and facilities they provide and not on the number of people who live there. For this reason, the consideration of population is for contextual purposes only and is not used to inform the final groupings/hierarchy of settlements.</w:t>
      </w:r>
    </w:p>
    <w:p w14:paraId="2367672B" w14:textId="77777777" w:rsidR="0056093F" w:rsidRPr="0056093F" w:rsidRDefault="0056093F" w:rsidP="0056093F">
      <w:pPr>
        <w:pStyle w:val="ListParagraph"/>
        <w:rPr>
          <w:rFonts w:ascii="Arial" w:hAnsi="Arial" w:cs="Arial"/>
          <w:b/>
          <w:sz w:val="24"/>
          <w:szCs w:val="24"/>
        </w:rPr>
      </w:pPr>
    </w:p>
    <w:p w14:paraId="6AC85B67" w14:textId="2A3A818F" w:rsidR="0056093F" w:rsidRPr="00B43961" w:rsidRDefault="0056093F" w:rsidP="00A3223C">
      <w:pPr>
        <w:pStyle w:val="ListParagraph"/>
        <w:numPr>
          <w:ilvl w:val="1"/>
          <w:numId w:val="1"/>
        </w:numPr>
        <w:ind w:left="720" w:hanging="720"/>
        <w:jc w:val="both"/>
        <w:rPr>
          <w:rFonts w:ascii="Arial" w:hAnsi="Arial" w:cs="Arial"/>
          <w:b/>
          <w:sz w:val="24"/>
          <w:szCs w:val="24"/>
        </w:rPr>
      </w:pPr>
      <w:r>
        <w:rPr>
          <w:rFonts w:ascii="Arial" w:hAnsi="Arial" w:cs="Arial"/>
          <w:bCs/>
          <w:sz w:val="24"/>
          <w:szCs w:val="24"/>
        </w:rPr>
        <w:t>The ranking of settlements uses a quantitative approach, allocating a score to a settlement based on how many of each type of facility and service are available in the settlement together with the frequency of a bus service (if any). This in turn enables the grouping/hierarchy of settlements.</w:t>
      </w:r>
      <w:r w:rsidR="00413BC1">
        <w:rPr>
          <w:rFonts w:ascii="Arial" w:hAnsi="Arial" w:cs="Arial"/>
          <w:bCs/>
          <w:sz w:val="24"/>
          <w:szCs w:val="24"/>
        </w:rPr>
        <w:t xml:space="preserve"> </w:t>
      </w:r>
      <w:r w:rsidR="00B43961">
        <w:rPr>
          <w:rFonts w:ascii="Arial" w:hAnsi="Arial" w:cs="Arial"/>
          <w:bCs/>
          <w:sz w:val="24"/>
          <w:szCs w:val="24"/>
        </w:rPr>
        <w:t xml:space="preserve">In addition to their existing characteristics, </w:t>
      </w:r>
      <w:r w:rsidR="00C52262">
        <w:rPr>
          <w:rFonts w:ascii="Arial" w:hAnsi="Arial" w:cs="Arial"/>
          <w:bCs/>
          <w:sz w:val="24"/>
          <w:szCs w:val="24"/>
        </w:rPr>
        <w:t xml:space="preserve">the classification of settlements within the hierarchy also takes </w:t>
      </w:r>
      <w:r w:rsidR="00C52262">
        <w:rPr>
          <w:rFonts w:ascii="Arial" w:hAnsi="Arial" w:cs="Arial"/>
          <w:bCs/>
          <w:sz w:val="24"/>
          <w:szCs w:val="24"/>
        </w:rPr>
        <w:lastRenderedPageBreak/>
        <w:t>account of t</w:t>
      </w:r>
      <w:r w:rsidR="00B43961">
        <w:rPr>
          <w:rFonts w:ascii="Arial" w:hAnsi="Arial" w:cs="Arial"/>
          <w:bCs/>
          <w:sz w:val="24"/>
          <w:szCs w:val="24"/>
        </w:rPr>
        <w:t>he future role of the settlement through the plan period, taking account of planned development</w:t>
      </w:r>
      <w:r w:rsidR="00C52262">
        <w:rPr>
          <w:rFonts w:ascii="Arial" w:hAnsi="Arial" w:cs="Arial"/>
          <w:bCs/>
          <w:sz w:val="24"/>
          <w:szCs w:val="24"/>
        </w:rPr>
        <w:t>.</w:t>
      </w:r>
      <w:r w:rsidR="003D6064">
        <w:rPr>
          <w:rFonts w:ascii="Arial" w:hAnsi="Arial" w:cs="Arial"/>
          <w:bCs/>
          <w:sz w:val="24"/>
          <w:szCs w:val="24"/>
        </w:rPr>
        <w:t xml:space="preserve"> </w:t>
      </w:r>
      <w:r>
        <w:rPr>
          <w:rFonts w:ascii="Arial" w:hAnsi="Arial" w:cs="Arial"/>
          <w:bCs/>
          <w:sz w:val="24"/>
          <w:szCs w:val="24"/>
        </w:rPr>
        <w:t>The scoring is not weighted to make a distinction between what could be a key service, for example a shop or primary school, and other facilities that could be considered less important.</w:t>
      </w:r>
    </w:p>
    <w:p w14:paraId="2BBD8798" w14:textId="77777777" w:rsidR="00B43961" w:rsidRPr="00B43961" w:rsidRDefault="00B43961" w:rsidP="00B43961">
      <w:pPr>
        <w:pStyle w:val="ListParagraph"/>
        <w:rPr>
          <w:rFonts w:ascii="Arial" w:hAnsi="Arial" w:cs="Arial"/>
          <w:b/>
          <w:sz w:val="24"/>
          <w:szCs w:val="24"/>
        </w:rPr>
      </w:pPr>
    </w:p>
    <w:p w14:paraId="3642B614" w14:textId="0D0DF623" w:rsidR="00E41DB9" w:rsidRPr="00F157F3" w:rsidRDefault="00E41DB9" w:rsidP="00A3223C">
      <w:pPr>
        <w:pStyle w:val="ListParagraph"/>
        <w:numPr>
          <w:ilvl w:val="1"/>
          <w:numId w:val="1"/>
        </w:numPr>
        <w:ind w:left="720" w:hanging="720"/>
        <w:jc w:val="both"/>
        <w:rPr>
          <w:rFonts w:ascii="Arial" w:hAnsi="Arial" w:cs="Arial"/>
          <w:b/>
          <w:sz w:val="24"/>
          <w:szCs w:val="24"/>
        </w:rPr>
      </w:pPr>
      <w:r>
        <w:rPr>
          <w:rFonts w:ascii="Arial" w:hAnsi="Arial" w:cs="Arial"/>
          <w:sz w:val="24"/>
          <w:szCs w:val="24"/>
        </w:rPr>
        <w:t>Table 1 below details the services and facilities each settlement has been assessed against.</w:t>
      </w:r>
    </w:p>
    <w:tbl>
      <w:tblPr>
        <w:tblStyle w:val="LightList-Accent4"/>
        <w:tblW w:w="0" w:type="auto"/>
        <w:tblInd w:w="828" w:type="dxa"/>
        <w:tblLook w:val="04A0" w:firstRow="1" w:lastRow="0" w:firstColumn="1" w:lastColumn="0" w:noHBand="0" w:noVBand="1"/>
      </w:tblPr>
      <w:tblGrid>
        <w:gridCol w:w="2194"/>
        <w:gridCol w:w="6832"/>
      </w:tblGrid>
      <w:tr w:rsidR="002C74A7" w:rsidRPr="002C74A7" w14:paraId="06F0207F" w14:textId="77777777" w:rsidTr="002C74A7">
        <w:trPr>
          <w:cnfStyle w:val="100000000000" w:firstRow="1" w:lastRow="0" w:firstColumn="0" w:lastColumn="0" w:oddVBand="0" w:evenVBand="0" w:oddHBand="0" w:evenHBand="0" w:firstRowFirstColumn="0" w:firstRowLastColumn="0" w:lastRowFirstColumn="0" w:lastRowLastColumn="0"/>
          <w:trHeight w:val="441"/>
          <w:tblHeader/>
        </w:trPr>
        <w:tc>
          <w:tcPr>
            <w:cnfStyle w:val="001000000000" w:firstRow="0" w:lastRow="0" w:firstColumn="1" w:lastColumn="0" w:oddVBand="0" w:evenVBand="0" w:oddHBand="0" w:evenHBand="0" w:firstRowFirstColumn="0" w:firstRowLastColumn="0" w:lastRowFirstColumn="0" w:lastRowLastColumn="0"/>
            <w:tcW w:w="2257" w:type="dxa"/>
          </w:tcPr>
          <w:p w14:paraId="61D45D4B" w14:textId="77777777" w:rsidR="002C74A7" w:rsidRPr="002C74A7" w:rsidRDefault="002C74A7" w:rsidP="008B479F">
            <w:pPr>
              <w:rPr>
                <w:rFonts w:ascii="Arial" w:hAnsi="Arial" w:cs="Arial"/>
                <w:b w:val="0"/>
                <w:sz w:val="20"/>
                <w:szCs w:val="20"/>
              </w:rPr>
            </w:pPr>
            <w:r w:rsidRPr="002C74A7">
              <w:rPr>
                <w:rFonts w:ascii="Arial" w:hAnsi="Arial" w:cs="Arial"/>
                <w:sz w:val="20"/>
                <w:szCs w:val="20"/>
              </w:rPr>
              <w:t>Criteria</w:t>
            </w:r>
          </w:p>
        </w:tc>
        <w:tc>
          <w:tcPr>
            <w:tcW w:w="7193" w:type="dxa"/>
          </w:tcPr>
          <w:p w14:paraId="2B0C0387" w14:textId="77777777" w:rsidR="002C74A7" w:rsidRPr="002C74A7" w:rsidRDefault="002C74A7" w:rsidP="008B479F">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2C74A7">
              <w:rPr>
                <w:rFonts w:ascii="Arial" w:hAnsi="Arial" w:cs="Arial"/>
                <w:sz w:val="20"/>
                <w:szCs w:val="20"/>
              </w:rPr>
              <w:t>Description</w:t>
            </w:r>
          </w:p>
        </w:tc>
      </w:tr>
      <w:tr w:rsidR="002C74A7" w:rsidRPr="002C74A7" w14:paraId="4D06D9D7" w14:textId="77777777" w:rsidTr="008B479F">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257" w:type="dxa"/>
          </w:tcPr>
          <w:p w14:paraId="19D0301F" w14:textId="77777777" w:rsidR="002C74A7" w:rsidRPr="002C74A7" w:rsidRDefault="002C74A7" w:rsidP="008B479F">
            <w:pPr>
              <w:rPr>
                <w:rFonts w:ascii="Arial" w:hAnsi="Arial" w:cs="Arial"/>
                <w:sz w:val="20"/>
                <w:szCs w:val="20"/>
              </w:rPr>
            </w:pPr>
            <w:r w:rsidRPr="002C74A7">
              <w:rPr>
                <w:rFonts w:ascii="Arial" w:hAnsi="Arial" w:cs="Arial"/>
                <w:sz w:val="20"/>
                <w:szCs w:val="20"/>
              </w:rPr>
              <w:t>Primary education</w:t>
            </w:r>
          </w:p>
        </w:tc>
        <w:tc>
          <w:tcPr>
            <w:tcW w:w="7193" w:type="dxa"/>
          </w:tcPr>
          <w:p w14:paraId="62D2D373" w14:textId="77777777" w:rsidR="002C74A7" w:rsidRPr="002C74A7" w:rsidRDefault="002C74A7" w:rsidP="008B47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74A7">
              <w:rPr>
                <w:rFonts w:ascii="Arial" w:hAnsi="Arial" w:cs="Arial"/>
                <w:sz w:val="20"/>
                <w:szCs w:val="20"/>
              </w:rPr>
              <w:t>Primary school within the settlement</w:t>
            </w:r>
          </w:p>
        </w:tc>
      </w:tr>
      <w:tr w:rsidR="002C74A7" w:rsidRPr="002C74A7" w14:paraId="7F2689C3" w14:textId="77777777" w:rsidTr="008B479F">
        <w:trPr>
          <w:trHeight w:val="417"/>
        </w:trPr>
        <w:tc>
          <w:tcPr>
            <w:cnfStyle w:val="001000000000" w:firstRow="0" w:lastRow="0" w:firstColumn="1" w:lastColumn="0" w:oddVBand="0" w:evenVBand="0" w:oddHBand="0" w:evenHBand="0" w:firstRowFirstColumn="0" w:firstRowLastColumn="0" w:lastRowFirstColumn="0" w:lastRowLastColumn="0"/>
            <w:tcW w:w="2257" w:type="dxa"/>
          </w:tcPr>
          <w:p w14:paraId="1ADFD8A3" w14:textId="77777777" w:rsidR="002C74A7" w:rsidRPr="002C74A7" w:rsidRDefault="002C74A7" w:rsidP="008B479F">
            <w:pPr>
              <w:rPr>
                <w:rFonts w:ascii="Arial" w:hAnsi="Arial" w:cs="Arial"/>
                <w:sz w:val="20"/>
                <w:szCs w:val="20"/>
              </w:rPr>
            </w:pPr>
            <w:r w:rsidRPr="002C74A7">
              <w:rPr>
                <w:rFonts w:ascii="Arial" w:hAnsi="Arial" w:cs="Arial"/>
                <w:sz w:val="20"/>
                <w:szCs w:val="20"/>
              </w:rPr>
              <w:t>Secondary education</w:t>
            </w:r>
          </w:p>
        </w:tc>
        <w:tc>
          <w:tcPr>
            <w:tcW w:w="7193" w:type="dxa"/>
          </w:tcPr>
          <w:p w14:paraId="18869C4A" w14:textId="77777777" w:rsidR="002C74A7" w:rsidRPr="002C74A7" w:rsidRDefault="002C74A7" w:rsidP="008B47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74A7">
              <w:rPr>
                <w:rFonts w:ascii="Arial" w:hAnsi="Arial" w:cs="Arial"/>
                <w:sz w:val="20"/>
                <w:szCs w:val="20"/>
              </w:rPr>
              <w:t>Secondary school within the settlement</w:t>
            </w:r>
          </w:p>
        </w:tc>
      </w:tr>
      <w:tr w:rsidR="002C74A7" w:rsidRPr="002C74A7" w14:paraId="12716FCA" w14:textId="77777777" w:rsidTr="008B479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57" w:type="dxa"/>
          </w:tcPr>
          <w:p w14:paraId="047FF79A" w14:textId="77777777" w:rsidR="002C74A7" w:rsidRPr="002C74A7" w:rsidRDefault="002C74A7" w:rsidP="008B479F">
            <w:pPr>
              <w:rPr>
                <w:rFonts w:ascii="Arial" w:hAnsi="Arial" w:cs="Arial"/>
                <w:sz w:val="20"/>
                <w:szCs w:val="20"/>
              </w:rPr>
            </w:pPr>
            <w:r w:rsidRPr="002C74A7">
              <w:rPr>
                <w:rFonts w:ascii="Arial" w:hAnsi="Arial" w:cs="Arial"/>
                <w:sz w:val="20"/>
                <w:szCs w:val="20"/>
              </w:rPr>
              <w:t>Health</w:t>
            </w:r>
          </w:p>
        </w:tc>
        <w:tc>
          <w:tcPr>
            <w:tcW w:w="7193" w:type="dxa"/>
          </w:tcPr>
          <w:p w14:paraId="3C4A88DE" w14:textId="77777777" w:rsidR="002C74A7" w:rsidRPr="002C74A7" w:rsidRDefault="002C74A7" w:rsidP="008B47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74A7">
              <w:rPr>
                <w:rFonts w:ascii="Arial" w:hAnsi="Arial" w:cs="Arial"/>
                <w:sz w:val="20"/>
                <w:szCs w:val="20"/>
              </w:rPr>
              <w:t>GP surgery within the settlement</w:t>
            </w:r>
          </w:p>
        </w:tc>
      </w:tr>
      <w:tr w:rsidR="002C74A7" w:rsidRPr="002C74A7" w14:paraId="312A969B" w14:textId="77777777" w:rsidTr="008B479F">
        <w:tc>
          <w:tcPr>
            <w:cnfStyle w:val="001000000000" w:firstRow="0" w:lastRow="0" w:firstColumn="1" w:lastColumn="0" w:oddVBand="0" w:evenVBand="0" w:oddHBand="0" w:evenHBand="0" w:firstRowFirstColumn="0" w:firstRowLastColumn="0" w:lastRowFirstColumn="0" w:lastRowLastColumn="0"/>
            <w:tcW w:w="2257" w:type="dxa"/>
          </w:tcPr>
          <w:p w14:paraId="24DA4245" w14:textId="77777777" w:rsidR="002C74A7" w:rsidRPr="002C74A7" w:rsidRDefault="002C74A7" w:rsidP="008B479F">
            <w:pPr>
              <w:rPr>
                <w:rFonts w:ascii="Arial" w:hAnsi="Arial" w:cs="Arial"/>
                <w:sz w:val="20"/>
                <w:szCs w:val="20"/>
              </w:rPr>
            </w:pPr>
            <w:r w:rsidRPr="002C74A7">
              <w:rPr>
                <w:rFonts w:ascii="Arial" w:hAnsi="Arial" w:cs="Arial"/>
                <w:sz w:val="20"/>
                <w:szCs w:val="20"/>
              </w:rPr>
              <w:t>Local shop</w:t>
            </w:r>
          </w:p>
        </w:tc>
        <w:tc>
          <w:tcPr>
            <w:tcW w:w="7193" w:type="dxa"/>
          </w:tcPr>
          <w:p w14:paraId="642D1925" w14:textId="77777777" w:rsidR="002C74A7" w:rsidRPr="002C74A7" w:rsidRDefault="002C74A7" w:rsidP="008B47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74A7">
              <w:rPr>
                <w:rFonts w:ascii="Arial" w:hAnsi="Arial" w:cs="Arial"/>
                <w:sz w:val="20"/>
                <w:szCs w:val="20"/>
              </w:rPr>
              <w:t>Access to a local store (village shop, newsagent, supermarket) within the settlement which sell fresh food</w:t>
            </w:r>
          </w:p>
        </w:tc>
      </w:tr>
      <w:tr w:rsidR="002C74A7" w:rsidRPr="002C74A7" w14:paraId="03904BA8" w14:textId="77777777" w:rsidTr="008B479F">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257" w:type="dxa"/>
          </w:tcPr>
          <w:p w14:paraId="49E07CF1" w14:textId="77777777" w:rsidR="002C74A7" w:rsidRPr="002C74A7" w:rsidRDefault="002C74A7" w:rsidP="008B479F">
            <w:pPr>
              <w:rPr>
                <w:rFonts w:ascii="Arial" w:hAnsi="Arial" w:cs="Arial"/>
                <w:sz w:val="20"/>
                <w:szCs w:val="20"/>
              </w:rPr>
            </w:pPr>
            <w:r w:rsidRPr="002C74A7">
              <w:rPr>
                <w:rFonts w:ascii="Arial" w:hAnsi="Arial" w:cs="Arial"/>
                <w:sz w:val="20"/>
                <w:szCs w:val="20"/>
              </w:rPr>
              <w:t>Public house</w:t>
            </w:r>
          </w:p>
        </w:tc>
        <w:tc>
          <w:tcPr>
            <w:tcW w:w="7193" w:type="dxa"/>
          </w:tcPr>
          <w:p w14:paraId="44261213" w14:textId="77777777" w:rsidR="002C74A7" w:rsidRPr="002C74A7" w:rsidRDefault="002C74A7" w:rsidP="008B47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74A7">
              <w:rPr>
                <w:rFonts w:ascii="Arial" w:hAnsi="Arial" w:cs="Arial"/>
                <w:sz w:val="20"/>
                <w:szCs w:val="20"/>
              </w:rPr>
              <w:t>A public house within the settlement</w:t>
            </w:r>
          </w:p>
        </w:tc>
      </w:tr>
      <w:tr w:rsidR="002C74A7" w:rsidRPr="002C74A7" w14:paraId="205F33AA" w14:textId="77777777" w:rsidTr="008B479F">
        <w:tc>
          <w:tcPr>
            <w:cnfStyle w:val="001000000000" w:firstRow="0" w:lastRow="0" w:firstColumn="1" w:lastColumn="0" w:oddVBand="0" w:evenVBand="0" w:oddHBand="0" w:evenHBand="0" w:firstRowFirstColumn="0" w:firstRowLastColumn="0" w:lastRowFirstColumn="0" w:lastRowLastColumn="0"/>
            <w:tcW w:w="2257" w:type="dxa"/>
          </w:tcPr>
          <w:p w14:paraId="51B31CF5" w14:textId="77777777" w:rsidR="002C74A7" w:rsidRPr="002C74A7" w:rsidRDefault="002C74A7" w:rsidP="008B479F">
            <w:pPr>
              <w:rPr>
                <w:rFonts w:ascii="Arial" w:hAnsi="Arial" w:cs="Arial"/>
                <w:sz w:val="20"/>
                <w:szCs w:val="20"/>
              </w:rPr>
            </w:pPr>
            <w:r w:rsidRPr="002C74A7">
              <w:rPr>
                <w:rFonts w:ascii="Arial" w:hAnsi="Arial" w:cs="Arial"/>
                <w:sz w:val="20"/>
                <w:szCs w:val="20"/>
              </w:rPr>
              <w:t>Community facility</w:t>
            </w:r>
          </w:p>
        </w:tc>
        <w:tc>
          <w:tcPr>
            <w:tcW w:w="7193" w:type="dxa"/>
          </w:tcPr>
          <w:p w14:paraId="5F6AD44B" w14:textId="77777777" w:rsidR="002C74A7" w:rsidRPr="002C74A7" w:rsidRDefault="002C74A7" w:rsidP="008B47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74A7">
              <w:rPr>
                <w:rFonts w:ascii="Arial" w:hAnsi="Arial" w:cs="Arial"/>
                <w:sz w:val="20"/>
                <w:szCs w:val="20"/>
              </w:rPr>
              <w:t>Built leisure/community facilities (village/church halls and community centres) within the settlement</w:t>
            </w:r>
          </w:p>
        </w:tc>
      </w:tr>
      <w:tr w:rsidR="002C74A7" w:rsidRPr="002C74A7" w14:paraId="5A1AB59C" w14:textId="77777777" w:rsidTr="008B4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7" w:type="dxa"/>
          </w:tcPr>
          <w:p w14:paraId="7F4DC23E" w14:textId="77777777" w:rsidR="002C74A7" w:rsidRPr="002C74A7" w:rsidRDefault="002C74A7" w:rsidP="008B479F">
            <w:pPr>
              <w:rPr>
                <w:rFonts w:ascii="Arial" w:hAnsi="Arial" w:cs="Arial"/>
                <w:sz w:val="20"/>
                <w:szCs w:val="20"/>
              </w:rPr>
            </w:pPr>
            <w:r w:rsidRPr="002C74A7">
              <w:rPr>
                <w:rFonts w:ascii="Arial" w:hAnsi="Arial" w:cs="Arial"/>
                <w:sz w:val="20"/>
                <w:szCs w:val="20"/>
              </w:rPr>
              <w:t>Outdoor community facility</w:t>
            </w:r>
          </w:p>
        </w:tc>
        <w:tc>
          <w:tcPr>
            <w:tcW w:w="7193" w:type="dxa"/>
          </w:tcPr>
          <w:p w14:paraId="6521BB48" w14:textId="77777777" w:rsidR="002C74A7" w:rsidRPr="002C74A7" w:rsidRDefault="002C74A7" w:rsidP="008B47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74A7">
              <w:rPr>
                <w:rFonts w:ascii="Arial" w:hAnsi="Arial" w:cs="Arial"/>
                <w:sz w:val="20"/>
                <w:szCs w:val="20"/>
              </w:rPr>
              <w:t>Outdoor leisure facilities (playing fields, play areas and village greens, for example) within the settlement</w:t>
            </w:r>
          </w:p>
        </w:tc>
      </w:tr>
      <w:tr w:rsidR="002C74A7" w:rsidRPr="002C74A7" w14:paraId="6B6F1042" w14:textId="77777777" w:rsidTr="008B479F">
        <w:trPr>
          <w:trHeight w:val="457"/>
        </w:trPr>
        <w:tc>
          <w:tcPr>
            <w:cnfStyle w:val="001000000000" w:firstRow="0" w:lastRow="0" w:firstColumn="1" w:lastColumn="0" w:oddVBand="0" w:evenVBand="0" w:oddHBand="0" w:evenHBand="0" w:firstRowFirstColumn="0" w:firstRowLastColumn="0" w:lastRowFirstColumn="0" w:lastRowLastColumn="0"/>
            <w:tcW w:w="2257" w:type="dxa"/>
          </w:tcPr>
          <w:p w14:paraId="4DB6168F" w14:textId="77777777" w:rsidR="002C74A7" w:rsidRPr="002C74A7" w:rsidRDefault="002C74A7" w:rsidP="008B479F">
            <w:pPr>
              <w:rPr>
                <w:rFonts w:ascii="Arial" w:hAnsi="Arial" w:cs="Arial"/>
                <w:sz w:val="20"/>
                <w:szCs w:val="20"/>
              </w:rPr>
            </w:pPr>
            <w:r w:rsidRPr="002C74A7">
              <w:rPr>
                <w:rFonts w:ascii="Arial" w:hAnsi="Arial" w:cs="Arial"/>
                <w:sz w:val="20"/>
                <w:szCs w:val="20"/>
              </w:rPr>
              <w:t>Place of worship</w:t>
            </w:r>
          </w:p>
        </w:tc>
        <w:tc>
          <w:tcPr>
            <w:tcW w:w="7193" w:type="dxa"/>
          </w:tcPr>
          <w:p w14:paraId="5D8C5393" w14:textId="77777777" w:rsidR="002C74A7" w:rsidRPr="002C74A7" w:rsidRDefault="002C74A7" w:rsidP="008B47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74A7">
              <w:rPr>
                <w:rFonts w:ascii="Arial" w:hAnsi="Arial" w:cs="Arial"/>
                <w:sz w:val="20"/>
                <w:szCs w:val="20"/>
              </w:rPr>
              <w:t>Church or other place of worship in the settlement</w:t>
            </w:r>
          </w:p>
        </w:tc>
      </w:tr>
      <w:tr w:rsidR="002C74A7" w:rsidRPr="002C74A7" w14:paraId="08E05E33" w14:textId="77777777" w:rsidTr="008B479F">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257" w:type="dxa"/>
          </w:tcPr>
          <w:p w14:paraId="1ECF965C" w14:textId="61C2A1EE" w:rsidR="002C74A7" w:rsidRPr="002C74A7" w:rsidRDefault="00124F65" w:rsidP="008B479F">
            <w:pPr>
              <w:rPr>
                <w:rFonts w:ascii="Arial" w:hAnsi="Arial" w:cs="Arial"/>
                <w:sz w:val="20"/>
                <w:szCs w:val="20"/>
              </w:rPr>
            </w:pPr>
            <w:r>
              <w:rPr>
                <w:rFonts w:ascii="Arial" w:hAnsi="Arial" w:cs="Arial"/>
                <w:sz w:val="20"/>
                <w:szCs w:val="20"/>
              </w:rPr>
              <w:t>Bus service</w:t>
            </w:r>
          </w:p>
        </w:tc>
        <w:tc>
          <w:tcPr>
            <w:tcW w:w="7193" w:type="dxa"/>
          </w:tcPr>
          <w:p w14:paraId="1CC80DEF" w14:textId="18D81264" w:rsidR="002C74A7" w:rsidRPr="002C74A7" w:rsidRDefault="00124F65" w:rsidP="008B47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w:t>
            </w:r>
            <w:r w:rsidR="002C74A7" w:rsidRPr="002C74A7">
              <w:rPr>
                <w:rFonts w:ascii="Arial" w:hAnsi="Arial" w:cs="Arial"/>
                <w:sz w:val="20"/>
                <w:szCs w:val="20"/>
              </w:rPr>
              <w:t xml:space="preserve">cored according to </w:t>
            </w:r>
            <w:r>
              <w:rPr>
                <w:rFonts w:ascii="Arial" w:hAnsi="Arial" w:cs="Arial"/>
                <w:sz w:val="20"/>
                <w:szCs w:val="20"/>
              </w:rPr>
              <w:t xml:space="preserve">frequency of bus </w:t>
            </w:r>
            <w:proofErr w:type="gramStart"/>
            <w:r>
              <w:rPr>
                <w:rFonts w:ascii="Arial" w:hAnsi="Arial" w:cs="Arial"/>
                <w:sz w:val="20"/>
                <w:szCs w:val="20"/>
              </w:rPr>
              <w:t>service</w:t>
            </w:r>
            <w:proofErr w:type="gramEnd"/>
          </w:p>
          <w:p w14:paraId="41CB3A61" w14:textId="77777777" w:rsidR="002C74A7" w:rsidRPr="002C74A7" w:rsidRDefault="002C74A7" w:rsidP="008B47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74A7">
              <w:rPr>
                <w:rFonts w:ascii="Arial" w:hAnsi="Arial" w:cs="Arial"/>
                <w:sz w:val="20"/>
                <w:szCs w:val="20"/>
              </w:rPr>
              <w:t>3 – bus route operating hourly (Monday to Saturday) or more frequently</w:t>
            </w:r>
          </w:p>
          <w:p w14:paraId="2C8B69B1" w14:textId="77777777" w:rsidR="002C74A7" w:rsidRPr="002C74A7" w:rsidRDefault="002C74A7" w:rsidP="008B47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74A7">
              <w:rPr>
                <w:rFonts w:ascii="Arial" w:hAnsi="Arial" w:cs="Arial"/>
                <w:sz w:val="20"/>
                <w:szCs w:val="20"/>
              </w:rPr>
              <w:t>2 – bus route which operates 4 or more services per day</w:t>
            </w:r>
          </w:p>
          <w:p w14:paraId="7B626597" w14:textId="77777777" w:rsidR="002C74A7" w:rsidRPr="002C74A7" w:rsidRDefault="002C74A7" w:rsidP="008B479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C74A7">
              <w:rPr>
                <w:rFonts w:ascii="Arial" w:hAnsi="Arial" w:cs="Arial"/>
                <w:sz w:val="20"/>
                <w:szCs w:val="20"/>
              </w:rPr>
              <w:t>1 – bus journey only once per day (Monday – Friday)</w:t>
            </w:r>
          </w:p>
        </w:tc>
      </w:tr>
      <w:tr w:rsidR="002C74A7" w:rsidRPr="002C74A7" w14:paraId="1D98B8A2" w14:textId="77777777" w:rsidTr="008B479F">
        <w:trPr>
          <w:trHeight w:val="457"/>
        </w:trPr>
        <w:tc>
          <w:tcPr>
            <w:cnfStyle w:val="001000000000" w:firstRow="0" w:lastRow="0" w:firstColumn="1" w:lastColumn="0" w:oddVBand="0" w:evenVBand="0" w:oddHBand="0" w:evenHBand="0" w:firstRowFirstColumn="0" w:firstRowLastColumn="0" w:lastRowFirstColumn="0" w:lastRowLastColumn="0"/>
            <w:tcW w:w="2257" w:type="dxa"/>
          </w:tcPr>
          <w:p w14:paraId="228A863F" w14:textId="77777777" w:rsidR="002C74A7" w:rsidRPr="002C74A7" w:rsidRDefault="002C74A7" w:rsidP="008B479F">
            <w:pPr>
              <w:rPr>
                <w:rFonts w:ascii="Arial" w:hAnsi="Arial" w:cs="Arial"/>
                <w:sz w:val="20"/>
                <w:szCs w:val="20"/>
              </w:rPr>
            </w:pPr>
            <w:r w:rsidRPr="002C74A7">
              <w:rPr>
                <w:rFonts w:ascii="Arial" w:hAnsi="Arial" w:cs="Arial"/>
                <w:sz w:val="20"/>
                <w:szCs w:val="20"/>
              </w:rPr>
              <w:t>Train station</w:t>
            </w:r>
          </w:p>
        </w:tc>
        <w:tc>
          <w:tcPr>
            <w:tcW w:w="7193" w:type="dxa"/>
          </w:tcPr>
          <w:p w14:paraId="374CEFCF" w14:textId="77777777" w:rsidR="002C74A7" w:rsidRPr="002C74A7" w:rsidRDefault="002C74A7" w:rsidP="008B479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C74A7">
              <w:rPr>
                <w:rFonts w:ascii="Arial" w:hAnsi="Arial" w:cs="Arial"/>
                <w:sz w:val="20"/>
                <w:szCs w:val="20"/>
              </w:rPr>
              <w:t xml:space="preserve">Train station within the settlement </w:t>
            </w:r>
          </w:p>
        </w:tc>
      </w:tr>
    </w:tbl>
    <w:p w14:paraId="35B0B994" w14:textId="77777777" w:rsidR="00D00973" w:rsidRDefault="00D00973" w:rsidP="002C74A7">
      <w:pPr>
        <w:pStyle w:val="ListParagraph"/>
        <w:jc w:val="both"/>
        <w:rPr>
          <w:rFonts w:ascii="Arial" w:hAnsi="Arial" w:cs="Arial"/>
          <w:b/>
          <w:bCs/>
          <w:sz w:val="24"/>
          <w:szCs w:val="24"/>
        </w:rPr>
      </w:pPr>
    </w:p>
    <w:p w14:paraId="0FB9B152" w14:textId="2276769A" w:rsidR="002C74A7" w:rsidRDefault="00D00973" w:rsidP="002C74A7">
      <w:pPr>
        <w:pStyle w:val="ListParagraph"/>
        <w:jc w:val="both"/>
        <w:rPr>
          <w:rFonts w:ascii="Arial" w:hAnsi="Arial" w:cs="Arial"/>
          <w:b/>
          <w:bCs/>
          <w:sz w:val="24"/>
          <w:szCs w:val="24"/>
        </w:rPr>
      </w:pPr>
      <w:r w:rsidRPr="00471E24">
        <w:rPr>
          <w:rFonts w:ascii="Arial" w:hAnsi="Arial" w:cs="Arial"/>
          <w:b/>
          <w:bCs/>
          <w:sz w:val="24"/>
          <w:szCs w:val="24"/>
        </w:rPr>
        <w:t xml:space="preserve">Table 1: Availability of services and facilities </w:t>
      </w:r>
      <w:proofErr w:type="gramStart"/>
      <w:r w:rsidRPr="00471E24">
        <w:rPr>
          <w:rFonts w:ascii="Arial" w:hAnsi="Arial" w:cs="Arial"/>
          <w:b/>
          <w:bCs/>
          <w:sz w:val="24"/>
          <w:szCs w:val="24"/>
        </w:rPr>
        <w:t>assessed</w:t>
      </w:r>
      <w:proofErr w:type="gramEnd"/>
    </w:p>
    <w:p w14:paraId="5CD64088" w14:textId="77777777" w:rsidR="00D00973" w:rsidRPr="00F2654F" w:rsidRDefault="00D00973" w:rsidP="002C74A7">
      <w:pPr>
        <w:pStyle w:val="ListParagraph"/>
        <w:jc w:val="both"/>
        <w:rPr>
          <w:rFonts w:ascii="Arial" w:hAnsi="Arial" w:cs="Arial"/>
          <w:b/>
          <w:sz w:val="24"/>
          <w:szCs w:val="24"/>
        </w:rPr>
      </w:pPr>
    </w:p>
    <w:p w14:paraId="1ACBFCA0" w14:textId="7515171C" w:rsidR="0075219F" w:rsidRDefault="0075219F" w:rsidP="00903D35">
      <w:pPr>
        <w:pStyle w:val="ListParagraph"/>
        <w:jc w:val="both"/>
        <w:rPr>
          <w:rFonts w:ascii="Arial" w:hAnsi="Arial" w:cs="Arial"/>
          <w:bCs/>
          <w:i/>
          <w:iCs/>
          <w:sz w:val="24"/>
          <w:szCs w:val="24"/>
        </w:rPr>
      </w:pPr>
      <w:r w:rsidRPr="008961D7">
        <w:rPr>
          <w:rFonts w:ascii="Arial" w:hAnsi="Arial" w:cs="Arial"/>
          <w:bCs/>
          <w:i/>
          <w:iCs/>
          <w:sz w:val="24"/>
          <w:szCs w:val="24"/>
        </w:rPr>
        <w:t>Settlement boundaries</w:t>
      </w:r>
    </w:p>
    <w:p w14:paraId="6DDF869A" w14:textId="77777777" w:rsidR="0037209B" w:rsidRPr="008961D7" w:rsidRDefault="0037209B" w:rsidP="00903D35">
      <w:pPr>
        <w:pStyle w:val="ListParagraph"/>
        <w:jc w:val="both"/>
        <w:rPr>
          <w:rFonts w:ascii="Arial" w:hAnsi="Arial" w:cs="Arial"/>
          <w:bCs/>
          <w:i/>
          <w:iCs/>
          <w:sz w:val="24"/>
          <w:szCs w:val="24"/>
        </w:rPr>
      </w:pPr>
    </w:p>
    <w:p w14:paraId="7A4DD1A1" w14:textId="77777777" w:rsidR="008961D7" w:rsidRPr="008961D7" w:rsidRDefault="008961D7" w:rsidP="008961D7">
      <w:pPr>
        <w:pStyle w:val="ListParagraph"/>
        <w:numPr>
          <w:ilvl w:val="0"/>
          <w:numId w:val="3"/>
        </w:numPr>
        <w:rPr>
          <w:rFonts w:ascii="Arial" w:hAnsi="Arial" w:cs="Arial"/>
          <w:bCs/>
          <w:vanish/>
          <w:sz w:val="24"/>
          <w:szCs w:val="24"/>
        </w:rPr>
      </w:pPr>
    </w:p>
    <w:p w14:paraId="6584BD21" w14:textId="77777777" w:rsidR="008961D7" w:rsidRPr="008961D7" w:rsidRDefault="008961D7" w:rsidP="008961D7">
      <w:pPr>
        <w:pStyle w:val="ListParagraph"/>
        <w:numPr>
          <w:ilvl w:val="0"/>
          <w:numId w:val="3"/>
        </w:numPr>
        <w:rPr>
          <w:rFonts w:ascii="Arial" w:hAnsi="Arial" w:cs="Arial"/>
          <w:bCs/>
          <w:vanish/>
          <w:sz w:val="24"/>
          <w:szCs w:val="24"/>
        </w:rPr>
      </w:pPr>
    </w:p>
    <w:p w14:paraId="5021712C" w14:textId="77777777" w:rsidR="008961D7" w:rsidRPr="008961D7" w:rsidRDefault="008961D7" w:rsidP="008961D7">
      <w:pPr>
        <w:pStyle w:val="ListParagraph"/>
        <w:numPr>
          <w:ilvl w:val="1"/>
          <w:numId w:val="3"/>
        </w:numPr>
        <w:rPr>
          <w:rFonts w:ascii="Arial" w:hAnsi="Arial" w:cs="Arial"/>
          <w:bCs/>
          <w:vanish/>
          <w:sz w:val="24"/>
          <w:szCs w:val="24"/>
        </w:rPr>
      </w:pPr>
    </w:p>
    <w:p w14:paraId="4099B4D4" w14:textId="77777777" w:rsidR="008961D7" w:rsidRPr="008961D7" w:rsidRDefault="008961D7" w:rsidP="008961D7">
      <w:pPr>
        <w:pStyle w:val="ListParagraph"/>
        <w:numPr>
          <w:ilvl w:val="1"/>
          <w:numId w:val="3"/>
        </w:numPr>
        <w:rPr>
          <w:rFonts w:ascii="Arial" w:hAnsi="Arial" w:cs="Arial"/>
          <w:bCs/>
          <w:vanish/>
          <w:sz w:val="24"/>
          <w:szCs w:val="24"/>
        </w:rPr>
      </w:pPr>
    </w:p>
    <w:p w14:paraId="195DB23E" w14:textId="77777777" w:rsidR="008961D7" w:rsidRPr="008961D7" w:rsidRDefault="008961D7" w:rsidP="008961D7">
      <w:pPr>
        <w:pStyle w:val="ListParagraph"/>
        <w:numPr>
          <w:ilvl w:val="1"/>
          <w:numId w:val="3"/>
        </w:numPr>
        <w:rPr>
          <w:rFonts w:ascii="Arial" w:hAnsi="Arial" w:cs="Arial"/>
          <w:bCs/>
          <w:vanish/>
          <w:sz w:val="24"/>
          <w:szCs w:val="24"/>
        </w:rPr>
      </w:pPr>
    </w:p>
    <w:p w14:paraId="19E7031E" w14:textId="77777777" w:rsidR="008961D7" w:rsidRPr="008961D7" w:rsidRDefault="008961D7" w:rsidP="008961D7">
      <w:pPr>
        <w:pStyle w:val="ListParagraph"/>
        <w:numPr>
          <w:ilvl w:val="1"/>
          <w:numId w:val="3"/>
        </w:numPr>
        <w:rPr>
          <w:rFonts w:ascii="Arial" w:hAnsi="Arial" w:cs="Arial"/>
          <w:bCs/>
          <w:vanish/>
          <w:sz w:val="24"/>
          <w:szCs w:val="24"/>
        </w:rPr>
      </w:pPr>
    </w:p>
    <w:p w14:paraId="1D64A4CD" w14:textId="77777777" w:rsidR="008961D7" w:rsidRPr="008961D7" w:rsidRDefault="008961D7" w:rsidP="008961D7">
      <w:pPr>
        <w:pStyle w:val="ListParagraph"/>
        <w:numPr>
          <w:ilvl w:val="1"/>
          <w:numId w:val="3"/>
        </w:numPr>
        <w:rPr>
          <w:rFonts w:ascii="Arial" w:hAnsi="Arial" w:cs="Arial"/>
          <w:bCs/>
          <w:vanish/>
          <w:sz w:val="24"/>
          <w:szCs w:val="24"/>
        </w:rPr>
      </w:pPr>
    </w:p>
    <w:p w14:paraId="2ADD68D6" w14:textId="77777777" w:rsidR="008961D7" w:rsidRPr="008961D7" w:rsidRDefault="008961D7" w:rsidP="008961D7">
      <w:pPr>
        <w:pStyle w:val="ListParagraph"/>
        <w:numPr>
          <w:ilvl w:val="1"/>
          <w:numId w:val="3"/>
        </w:numPr>
        <w:rPr>
          <w:rFonts w:ascii="Arial" w:hAnsi="Arial" w:cs="Arial"/>
          <w:bCs/>
          <w:vanish/>
          <w:sz w:val="24"/>
          <w:szCs w:val="24"/>
        </w:rPr>
      </w:pPr>
    </w:p>
    <w:p w14:paraId="58C4A605" w14:textId="77777777" w:rsidR="008961D7" w:rsidRPr="008961D7" w:rsidRDefault="008961D7" w:rsidP="008961D7">
      <w:pPr>
        <w:pStyle w:val="ListParagraph"/>
        <w:numPr>
          <w:ilvl w:val="1"/>
          <w:numId w:val="3"/>
        </w:numPr>
        <w:rPr>
          <w:rFonts w:ascii="Arial" w:hAnsi="Arial" w:cs="Arial"/>
          <w:bCs/>
          <w:vanish/>
          <w:sz w:val="24"/>
          <w:szCs w:val="24"/>
        </w:rPr>
      </w:pPr>
    </w:p>
    <w:p w14:paraId="2E620DF9" w14:textId="77777777" w:rsidR="008961D7" w:rsidRPr="008961D7" w:rsidRDefault="008961D7" w:rsidP="008961D7">
      <w:pPr>
        <w:pStyle w:val="ListParagraph"/>
        <w:numPr>
          <w:ilvl w:val="1"/>
          <w:numId w:val="3"/>
        </w:numPr>
        <w:rPr>
          <w:rFonts w:ascii="Arial" w:hAnsi="Arial" w:cs="Arial"/>
          <w:bCs/>
          <w:vanish/>
          <w:sz w:val="24"/>
          <w:szCs w:val="24"/>
        </w:rPr>
      </w:pPr>
    </w:p>
    <w:p w14:paraId="34C62BE1" w14:textId="218924A4" w:rsidR="004B19A7" w:rsidRDefault="00FA6E5B" w:rsidP="00E5629D">
      <w:pPr>
        <w:pStyle w:val="ListParagraph"/>
        <w:numPr>
          <w:ilvl w:val="1"/>
          <w:numId w:val="3"/>
        </w:numPr>
        <w:ind w:left="720" w:hanging="720"/>
        <w:jc w:val="both"/>
        <w:rPr>
          <w:rFonts w:ascii="Arial" w:hAnsi="Arial" w:cs="Arial"/>
          <w:bCs/>
          <w:sz w:val="24"/>
          <w:szCs w:val="24"/>
        </w:rPr>
      </w:pPr>
      <w:r>
        <w:rPr>
          <w:rFonts w:ascii="Arial" w:hAnsi="Arial" w:cs="Arial"/>
          <w:bCs/>
          <w:sz w:val="24"/>
          <w:szCs w:val="24"/>
        </w:rPr>
        <w:t xml:space="preserve">In the adopted Local Plan, all settlements </w:t>
      </w:r>
      <w:r w:rsidR="00E5629D">
        <w:rPr>
          <w:rFonts w:ascii="Arial" w:hAnsi="Arial" w:cs="Arial"/>
          <w:bCs/>
          <w:sz w:val="24"/>
          <w:szCs w:val="24"/>
        </w:rPr>
        <w:t xml:space="preserve">in the </w:t>
      </w:r>
      <w:r w:rsidR="000746F7">
        <w:rPr>
          <w:rFonts w:ascii="Arial" w:hAnsi="Arial" w:cs="Arial"/>
          <w:bCs/>
          <w:sz w:val="24"/>
          <w:szCs w:val="24"/>
        </w:rPr>
        <w:t>s</w:t>
      </w:r>
      <w:r w:rsidR="00E5629D">
        <w:rPr>
          <w:rFonts w:ascii="Arial" w:hAnsi="Arial" w:cs="Arial"/>
          <w:bCs/>
          <w:sz w:val="24"/>
          <w:szCs w:val="24"/>
        </w:rPr>
        <w:t xml:space="preserve">ettlement </w:t>
      </w:r>
      <w:r w:rsidR="000746F7">
        <w:rPr>
          <w:rFonts w:ascii="Arial" w:hAnsi="Arial" w:cs="Arial"/>
          <w:bCs/>
          <w:sz w:val="24"/>
          <w:szCs w:val="24"/>
        </w:rPr>
        <w:t>h</w:t>
      </w:r>
      <w:r w:rsidR="00E5629D">
        <w:rPr>
          <w:rFonts w:ascii="Arial" w:hAnsi="Arial" w:cs="Arial"/>
          <w:bCs/>
          <w:sz w:val="24"/>
          <w:szCs w:val="24"/>
        </w:rPr>
        <w:t xml:space="preserve">ierarchy classed as Service Villages or above are, </w:t>
      </w:r>
      <w:proofErr w:type="gramStart"/>
      <w:r w:rsidR="00E5629D">
        <w:rPr>
          <w:rFonts w:ascii="Arial" w:hAnsi="Arial" w:cs="Arial"/>
          <w:bCs/>
          <w:sz w:val="24"/>
          <w:szCs w:val="24"/>
        </w:rPr>
        <w:t>with the exception of</w:t>
      </w:r>
      <w:proofErr w:type="gramEnd"/>
      <w:r w:rsidR="00E5629D">
        <w:rPr>
          <w:rFonts w:ascii="Arial" w:hAnsi="Arial" w:cs="Arial"/>
          <w:bCs/>
          <w:sz w:val="24"/>
          <w:szCs w:val="24"/>
        </w:rPr>
        <w:t xml:space="preserve"> Plaistow, defined by settlement boundaries.</w:t>
      </w:r>
      <w:r w:rsidR="00413BC1">
        <w:rPr>
          <w:rFonts w:ascii="Arial" w:hAnsi="Arial" w:cs="Arial"/>
          <w:bCs/>
          <w:sz w:val="24"/>
          <w:szCs w:val="24"/>
        </w:rPr>
        <w:t xml:space="preserve"> </w:t>
      </w:r>
      <w:r w:rsidR="00E5629D">
        <w:rPr>
          <w:rFonts w:ascii="Arial" w:hAnsi="Arial" w:cs="Arial"/>
          <w:bCs/>
          <w:sz w:val="24"/>
          <w:szCs w:val="24"/>
        </w:rPr>
        <w:t>These boundaries indicate the areas where new development will generally be permitted, subject to satisfying other policies in the Plan.</w:t>
      </w:r>
      <w:r w:rsidR="00097656">
        <w:rPr>
          <w:rFonts w:ascii="Arial" w:hAnsi="Arial" w:cs="Arial"/>
          <w:bCs/>
          <w:sz w:val="24"/>
          <w:szCs w:val="24"/>
        </w:rPr>
        <w:t xml:space="preserve"> Outside of settlement boundaries development is generally restricted to that which requires a countryside location or meets an essential local rural need or supports rural diversification.</w:t>
      </w:r>
    </w:p>
    <w:p w14:paraId="1C0B1D06" w14:textId="77777777" w:rsidR="00C9579E" w:rsidRDefault="00C9579E" w:rsidP="00C9579E">
      <w:pPr>
        <w:pStyle w:val="ListParagraph"/>
        <w:jc w:val="both"/>
        <w:rPr>
          <w:rFonts w:ascii="Arial" w:hAnsi="Arial" w:cs="Arial"/>
          <w:bCs/>
          <w:sz w:val="24"/>
          <w:szCs w:val="24"/>
        </w:rPr>
      </w:pPr>
    </w:p>
    <w:p w14:paraId="4FC13ECE" w14:textId="254F6B51" w:rsidR="00377782" w:rsidRPr="00377782" w:rsidRDefault="00C9579E" w:rsidP="00513028">
      <w:pPr>
        <w:pStyle w:val="ListParagraph"/>
        <w:numPr>
          <w:ilvl w:val="1"/>
          <w:numId w:val="3"/>
        </w:numPr>
        <w:ind w:left="720" w:hanging="720"/>
        <w:jc w:val="both"/>
        <w:rPr>
          <w:rFonts w:ascii="Arial" w:hAnsi="Arial" w:cs="Arial"/>
          <w:bCs/>
          <w:i/>
          <w:iCs/>
          <w:sz w:val="24"/>
          <w:szCs w:val="24"/>
        </w:rPr>
      </w:pPr>
      <w:r>
        <w:rPr>
          <w:rFonts w:ascii="Arial" w:hAnsi="Arial" w:cs="Arial"/>
          <w:bCs/>
          <w:sz w:val="24"/>
          <w:szCs w:val="24"/>
        </w:rPr>
        <w:t xml:space="preserve">To enable this approach, settlements within the hierarchy need to have a pattern of development that generally allows for a </w:t>
      </w:r>
      <w:proofErr w:type="spellStart"/>
      <w:r>
        <w:rPr>
          <w:rFonts w:ascii="Arial" w:hAnsi="Arial" w:cs="Arial"/>
          <w:bCs/>
          <w:sz w:val="24"/>
          <w:szCs w:val="24"/>
        </w:rPr>
        <w:t>well defined</w:t>
      </w:r>
      <w:proofErr w:type="spellEnd"/>
      <w:r>
        <w:rPr>
          <w:rFonts w:ascii="Arial" w:hAnsi="Arial" w:cs="Arial"/>
          <w:bCs/>
          <w:sz w:val="24"/>
          <w:szCs w:val="24"/>
        </w:rPr>
        <w:t xml:space="preserve"> built up area to be identified</w:t>
      </w:r>
      <w:r w:rsidR="00513028">
        <w:rPr>
          <w:rFonts w:ascii="Arial" w:hAnsi="Arial" w:cs="Arial"/>
          <w:bCs/>
          <w:sz w:val="24"/>
          <w:szCs w:val="24"/>
        </w:rPr>
        <w:t xml:space="preserve"> rather than a dispersed settlement f</w:t>
      </w:r>
      <w:r w:rsidR="005053A1">
        <w:rPr>
          <w:rFonts w:ascii="Arial" w:hAnsi="Arial" w:cs="Arial"/>
          <w:bCs/>
          <w:sz w:val="24"/>
          <w:szCs w:val="24"/>
        </w:rPr>
        <w:t>or</w:t>
      </w:r>
      <w:r w:rsidR="00513028">
        <w:rPr>
          <w:rFonts w:ascii="Arial" w:hAnsi="Arial" w:cs="Arial"/>
          <w:bCs/>
          <w:sz w:val="24"/>
          <w:szCs w:val="24"/>
        </w:rPr>
        <w:t>m with facilities spread apart</w:t>
      </w:r>
      <w:r>
        <w:rPr>
          <w:rFonts w:ascii="Arial" w:hAnsi="Arial" w:cs="Arial"/>
          <w:bCs/>
          <w:sz w:val="24"/>
          <w:szCs w:val="24"/>
        </w:rPr>
        <w:t xml:space="preserve">. </w:t>
      </w:r>
      <w:r w:rsidR="005053A1">
        <w:rPr>
          <w:rFonts w:ascii="Arial" w:hAnsi="Arial" w:cs="Arial"/>
          <w:bCs/>
          <w:sz w:val="24"/>
          <w:szCs w:val="24"/>
        </w:rPr>
        <w:t>Whilst, i</w:t>
      </w:r>
      <w:r>
        <w:rPr>
          <w:rFonts w:ascii="Arial" w:hAnsi="Arial" w:cs="Arial"/>
          <w:bCs/>
          <w:sz w:val="24"/>
          <w:szCs w:val="24"/>
        </w:rPr>
        <w:t xml:space="preserve">n practice, most settlements do have a </w:t>
      </w:r>
      <w:proofErr w:type="spellStart"/>
      <w:r>
        <w:rPr>
          <w:rFonts w:ascii="Arial" w:hAnsi="Arial" w:cs="Arial"/>
          <w:bCs/>
          <w:sz w:val="24"/>
          <w:szCs w:val="24"/>
        </w:rPr>
        <w:t>well</w:t>
      </w:r>
      <w:r w:rsidR="0098660A">
        <w:rPr>
          <w:rFonts w:ascii="Arial" w:hAnsi="Arial" w:cs="Arial"/>
          <w:bCs/>
          <w:sz w:val="24"/>
          <w:szCs w:val="24"/>
        </w:rPr>
        <w:t xml:space="preserve"> </w:t>
      </w:r>
      <w:r>
        <w:rPr>
          <w:rFonts w:ascii="Arial" w:hAnsi="Arial" w:cs="Arial"/>
          <w:bCs/>
          <w:sz w:val="24"/>
          <w:szCs w:val="24"/>
        </w:rPr>
        <w:t>defined</w:t>
      </w:r>
      <w:proofErr w:type="spellEnd"/>
      <w:r>
        <w:rPr>
          <w:rFonts w:ascii="Arial" w:hAnsi="Arial" w:cs="Arial"/>
          <w:bCs/>
          <w:sz w:val="24"/>
          <w:szCs w:val="24"/>
        </w:rPr>
        <w:t xml:space="preserve"> built up area</w:t>
      </w:r>
      <w:r w:rsidR="0098660A">
        <w:rPr>
          <w:rFonts w:ascii="Arial" w:hAnsi="Arial" w:cs="Arial"/>
          <w:bCs/>
          <w:sz w:val="24"/>
          <w:szCs w:val="24"/>
        </w:rPr>
        <w:t xml:space="preserve"> </w:t>
      </w:r>
      <w:r w:rsidR="005053A1">
        <w:rPr>
          <w:rFonts w:ascii="Arial" w:hAnsi="Arial" w:cs="Arial"/>
          <w:bCs/>
          <w:sz w:val="24"/>
          <w:szCs w:val="24"/>
        </w:rPr>
        <w:t>this may be a consideration in some of the smaller places within the Plan Area</w:t>
      </w:r>
      <w:r w:rsidR="00DC0329">
        <w:rPr>
          <w:rFonts w:ascii="Arial" w:hAnsi="Arial" w:cs="Arial"/>
          <w:bCs/>
          <w:sz w:val="24"/>
          <w:szCs w:val="24"/>
        </w:rPr>
        <w:t>.</w:t>
      </w:r>
      <w:r w:rsidR="00513028">
        <w:rPr>
          <w:rFonts w:ascii="Arial" w:hAnsi="Arial" w:cs="Arial"/>
          <w:bCs/>
          <w:sz w:val="24"/>
          <w:szCs w:val="24"/>
        </w:rPr>
        <w:t xml:space="preserve"> </w:t>
      </w:r>
    </w:p>
    <w:p w14:paraId="23268DC2" w14:textId="77777777" w:rsidR="00377782" w:rsidRPr="00377782" w:rsidRDefault="00377782" w:rsidP="00377782">
      <w:pPr>
        <w:pStyle w:val="ListParagraph"/>
        <w:jc w:val="both"/>
        <w:rPr>
          <w:rFonts w:ascii="Arial" w:hAnsi="Arial" w:cs="Arial"/>
          <w:bCs/>
          <w:i/>
          <w:iCs/>
          <w:sz w:val="24"/>
          <w:szCs w:val="24"/>
        </w:rPr>
      </w:pPr>
    </w:p>
    <w:p w14:paraId="44C781AA" w14:textId="55A42160" w:rsidR="004B19A7" w:rsidRDefault="00E5629D" w:rsidP="00513028">
      <w:pPr>
        <w:pStyle w:val="ListParagraph"/>
        <w:jc w:val="both"/>
        <w:rPr>
          <w:rFonts w:ascii="Arial" w:hAnsi="Arial" w:cs="Arial"/>
          <w:bCs/>
          <w:i/>
          <w:iCs/>
          <w:sz w:val="24"/>
          <w:szCs w:val="24"/>
        </w:rPr>
      </w:pPr>
      <w:r>
        <w:rPr>
          <w:rFonts w:ascii="Arial" w:hAnsi="Arial" w:cs="Arial"/>
          <w:bCs/>
          <w:i/>
          <w:iCs/>
          <w:sz w:val="24"/>
          <w:szCs w:val="24"/>
        </w:rPr>
        <w:lastRenderedPageBreak/>
        <w:t xml:space="preserve">Assessment </w:t>
      </w:r>
      <w:r w:rsidR="004B19A7" w:rsidRPr="005C3CF6">
        <w:rPr>
          <w:rFonts w:ascii="Arial" w:hAnsi="Arial" w:cs="Arial"/>
          <w:bCs/>
          <w:i/>
          <w:iCs/>
          <w:sz w:val="24"/>
          <w:szCs w:val="24"/>
        </w:rPr>
        <w:t>update</w:t>
      </w:r>
    </w:p>
    <w:p w14:paraId="142159BF" w14:textId="77777777" w:rsidR="0037209B" w:rsidRPr="005C3CF6" w:rsidRDefault="0037209B" w:rsidP="00513028">
      <w:pPr>
        <w:pStyle w:val="ListParagraph"/>
        <w:jc w:val="both"/>
        <w:rPr>
          <w:rFonts w:ascii="Arial" w:hAnsi="Arial" w:cs="Arial"/>
          <w:bCs/>
          <w:i/>
          <w:iCs/>
          <w:sz w:val="24"/>
          <w:szCs w:val="24"/>
        </w:rPr>
      </w:pPr>
    </w:p>
    <w:p w14:paraId="0A5EB502" w14:textId="77777777" w:rsidR="00652707" w:rsidRPr="00652707" w:rsidRDefault="00652707" w:rsidP="00652707">
      <w:pPr>
        <w:pStyle w:val="ListParagraph"/>
        <w:numPr>
          <w:ilvl w:val="0"/>
          <w:numId w:val="10"/>
        </w:numPr>
        <w:jc w:val="both"/>
        <w:rPr>
          <w:rFonts w:ascii="Arial" w:hAnsi="Arial" w:cs="Arial"/>
          <w:bCs/>
          <w:vanish/>
          <w:sz w:val="24"/>
          <w:szCs w:val="24"/>
        </w:rPr>
      </w:pPr>
    </w:p>
    <w:p w14:paraId="161384D0" w14:textId="32ACB323" w:rsidR="004B19A7" w:rsidRPr="00B92FE7" w:rsidRDefault="008466CB" w:rsidP="00652707">
      <w:pPr>
        <w:pStyle w:val="ListParagraph"/>
        <w:numPr>
          <w:ilvl w:val="1"/>
          <w:numId w:val="10"/>
        </w:numPr>
        <w:ind w:left="720" w:hanging="720"/>
        <w:jc w:val="both"/>
        <w:rPr>
          <w:rFonts w:ascii="Arial" w:hAnsi="Arial" w:cs="Arial"/>
          <w:b/>
          <w:sz w:val="24"/>
          <w:szCs w:val="24"/>
        </w:rPr>
      </w:pPr>
      <w:r>
        <w:rPr>
          <w:rFonts w:ascii="Arial" w:hAnsi="Arial" w:cs="Arial"/>
          <w:bCs/>
          <w:sz w:val="24"/>
          <w:szCs w:val="24"/>
        </w:rPr>
        <w:t>Under any review, Chichester would remain at the top of the hierarchy. The sustainability credentials of the city are well established in terms of its range of services and facilities and accessibility by sustainable transport means. Th</w:t>
      </w:r>
      <w:r w:rsidR="00C046CF">
        <w:rPr>
          <w:rFonts w:ascii="Arial" w:hAnsi="Arial" w:cs="Arial"/>
          <w:bCs/>
          <w:sz w:val="24"/>
          <w:szCs w:val="24"/>
        </w:rPr>
        <w:t xml:space="preserve">e </w:t>
      </w:r>
      <w:r>
        <w:rPr>
          <w:rFonts w:ascii="Arial" w:hAnsi="Arial" w:cs="Arial"/>
          <w:bCs/>
          <w:sz w:val="24"/>
          <w:szCs w:val="24"/>
        </w:rPr>
        <w:t>update, therefore, focuse</w:t>
      </w:r>
      <w:r w:rsidR="00C046CF">
        <w:rPr>
          <w:rFonts w:ascii="Arial" w:hAnsi="Arial" w:cs="Arial"/>
          <w:bCs/>
          <w:sz w:val="24"/>
          <w:szCs w:val="24"/>
        </w:rPr>
        <w:t>d</w:t>
      </w:r>
      <w:r>
        <w:rPr>
          <w:rFonts w:ascii="Arial" w:hAnsi="Arial" w:cs="Arial"/>
          <w:bCs/>
          <w:sz w:val="24"/>
          <w:szCs w:val="24"/>
        </w:rPr>
        <w:t xml:space="preserve"> on those settlements below sub-regional level. </w:t>
      </w:r>
    </w:p>
    <w:p w14:paraId="77BCFFC5" w14:textId="77777777" w:rsidR="00B92FE7" w:rsidRPr="00B07D8D" w:rsidRDefault="00B92FE7" w:rsidP="00B92FE7">
      <w:pPr>
        <w:pStyle w:val="ListParagraph"/>
        <w:jc w:val="both"/>
        <w:rPr>
          <w:rFonts w:ascii="Arial" w:hAnsi="Arial" w:cs="Arial"/>
          <w:b/>
          <w:sz w:val="24"/>
          <w:szCs w:val="24"/>
        </w:rPr>
      </w:pPr>
    </w:p>
    <w:p w14:paraId="2C6492A8" w14:textId="2661101F" w:rsidR="004D44EF" w:rsidRPr="004D44EF" w:rsidRDefault="0098660A" w:rsidP="008961D7">
      <w:pPr>
        <w:pStyle w:val="ListParagraph"/>
        <w:numPr>
          <w:ilvl w:val="1"/>
          <w:numId w:val="10"/>
        </w:numPr>
        <w:ind w:left="720" w:hanging="720"/>
        <w:jc w:val="both"/>
        <w:rPr>
          <w:rFonts w:ascii="Arial" w:hAnsi="Arial" w:cs="Arial"/>
          <w:b/>
          <w:sz w:val="24"/>
          <w:szCs w:val="24"/>
        </w:rPr>
      </w:pPr>
      <w:r>
        <w:rPr>
          <w:rFonts w:ascii="Arial" w:hAnsi="Arial" w:cs="Arial"/>
          <w:bCs/>
          <w:sz w:val="24"/>
          <w:szCs w:val="24"/>
        </w:rPr>
        <w:t xml:space="preserve">The update used </w:t>
      </w:r>
      <w:r w:rsidR="00B07D8D">
        <w:rPr>
          <w:rFonts w:ascii="Arial" w:hAnsi="Arial" w:cs="Arial"/>
          <w:bCs/>
          <w:sz w:val="24"/>
          <w:szCs w:val="24"/>
        </w:rPr>
        <w:t xml:space="preserve">data from </w:t>
      </w:r>
      <w:r>
        <w:rPr>
          <w:rFonts w:ascii="Arial" w:hAnsi="Arial" w:cs="Arial"/>
          <w:bCs/>
          <w:sz w:val="24"/>
          <w:szCs w:val="24"/>
        </w:rPr>
        <w:t>the Council’s Community Facility Audit (</w:t>
      </w:r>
      <w:r w:rsidR="00B07D8D">
        <w:rPr>
          <w:rFonts w:ascii="Arial" w:hAnsi="Arial" w:cs="Arial"/>
          <w:bCs/>
          <w:sz w:val="24"/>
          <w:szCs w:val="24"/>
        </w:rPr>
        <w:t>2019</w:t>
      </w:r>
      <w:r>
        <w:rPr>
          <w:rFonts w:ascii="Arial" w:hAnsi="Arial" w:cs="Arial"/>
          <w:bCs/>
          <w:sz w:val="24"/>
          <w:szCs w:val="24"/>
        </w:rPr>
        <w:t>)</w:t>
      </w:r>
      <w:r w:rsidR="00B07D8D">
        <w:rPr>
          <w:rFonts w:ascii="Arial" w:hAnsi="Arial" w:cs="Arial"/>
          <w:bCs/>
          <w:sz w:val="24"/>
          <w:szCs w:val="24"/>
        </w:rPr>
        <w:t xml:space="preserve"> supplemented by</w:t>
      </w:r>
      <w:r>
        <w:rPr>
          <w:rFonts w:ascii="Arial" w:hAnsi="Arial" w:cs="Arial"/>
          <w:bCs/>
          <w:sz w:val="24"/>
          <w:szCs w:val="24"/>
        </w:rPr>
        <w:t xml:space="preserve"> information from other sources including GIS/internet searches </w:t>
      </w:r>
      <w:proofErr w:type="gramStart"/>
      <w:r>
        <w:rPr>
          <w:rFonts w:ascii="Arial" w:hAnsi="Arial" w:cs="Arial"/>
          <w:bCs/>
          <w:sz w:val="24"/>
          <w:szCs w:val="24"/>
        </w:rPr>
        <w:t>e.g.</w:t>
      </w:r>
      <w:proofErr w:type="gramEnd"/>
      <w:r>
        <w:rPr>
          <w:rFonts w:ascii="Arial" w:hAnsi="Arial" w:cs="Arial"/>
          <w:bCs/>
          <w:sz w:val="24"/>
          <w:szCs w:val="24"/>
        </w:rPr>
        <w:t xml:space="preserve"> </w:t>
      </w:r>
      <w:proofErr w:type="spellStart"/>
      <w:r>
        <w:rPr>
          <w:rFonts w:ascii="Arial" w:hAnsi="Arial" w:cs="Arial"/>
          <w:bCs/>
          <w:sz w:val="24"/>
          <w:szCs w:val="24"/>
        </w:rPr>
        <w:t>Traveline</w:t>
      </w:r>
      <w:proofErr w:type="spellEnd"/>
      <w:r>
        <w:rPr>
          <w:rFonts w:ascii="Arial" w:hAnsi="Arial" w:cs="Arial"/>
          <w:bCs/>
          <w:sz w:val="24"/>
          <w:szCs w:val="24"/>
        </w:rPr>
        <w:t xml:space="preserve"> for up to date bus service information</w:t>
      </w:r>
      <w:r w:rsidR="00F837D8">
        <w:rPr>
          <w:rFonts w:ascii="Arial" w:hAnsi="Arial" w:cs="Arial"/>
          <w:bCs/>
          <w:sz w:val="24"/>
          <w:szCs w:val="24"/>
        </w:rPr>
        <w:t xml:space="preserve">, </w:t>
      </w:r>
      <w:r>
        <w:rPr>
          <w:rFonts w:ascii="Arial" w:hAnsi="Arial" w:cs="Arial"/>
          <w:bCs/>
          <w:sz w:val="24"/>
          <w:szCs w:val="24"/>
        </w:rPr>
        <w:t>evidence base studies e.g. Open Space Study</w:t>
      </w:r>
      <w:r w:rsidR="00F837D8">
        <w:rPr>
          <w:rFonts w:ascii="Arial" w:hAnsi="Arial" w:cs="Arial"/>
          <w:bCs/>
          <w:sz w:val="24"/>
          <w:szCs w:val="24"/>
        </w:rPr>
        <w:t xml:space="preserve"> and Neighbourhood Plan background information</w:t>
      </w:r>
      <w:r w:rsidR="00B07D8D">
        <w:rPr>
          <w:rFonts w:ascii="Arial" w:hAnsi="Arial" w:cs="Arial"/>
          <w:bCs/>
          <w:sz w:val="24"/>
          <w:szCs w:val="24"/>
        </w:rPr>
        <w:t>.</w:t>
      </w:r>
      <w:r w:rsidR="00F837D8">
        <w:rPr>
          <w:rFonts w:ascii="Arial" w:hAnsi="Arial" w:cs="Arial"/>
          <w:bCs/>
          <w:sz w:val="24"/>
          <w:szCs w:val="24"/>
        </w:rPr>
        <w:t xml:space="preserve"> </w:t>
      </w:r>
    </w:p>
    <w:p w14:paraId="257DAE5E" w14:textId="77777777" w:rsidR="004D44EF" w:rsidRPr="004D44EF" w:rsidRDefault="004D44EF" w:rsidP="004D44EF">
      <w:pPr>
        <w:pStyle w:val="ListParagraph"/>
        <w:jc w:val="both"/>
        <w:rPr>
          <w:rFonts w:ascii="Arial" w:hAnsi="Arial" w:cs="Arial"/>
          <w:b/>
          <w:sz w:val="24"/>
          <w:szCs w:val="24"/>
        </w:rPr>
      </w:pPr>
    </w:p>
    <w:p w14:paraId="25FBEFAB" w14:textId="74B436E5" w:rsidR="00C2077D" w:rsidRPr="005C1126" w:rsidRDefault="00F837D8" w:rsidP="00C2077D">
      <w:pPr>
        <w:pStyle w:val="ListParagraph"/>
        <w:numPr>
          <w:ilvl w:val="1"/>
          <w:numId w:val="10"/>
        </w:numPr>
        <w:ind w:left="720" w:hanging="720"/>
        <w:jc w:val="both"/>
        <w:rPr>
          <w:rFonts w:ascii="Arial" w:hAnsi="Arial" w:cs="Arial"/>
          <w:b/>
          <w:sz w:val="24"/>
          <w:szCs w:val="24"/>
        </w:rPr>
      </w:pPr>
      <w:r>
        <w:rPr>
          <w:rFonts w:ascii="Arial" w:hAnsi="Arial" w:cs="Arial"/>
          <w:bCs/>
          <w:sz w:val="24"/>
          <w:szCs w:val="24"/>
        </w:rPr>
        <w:t>The opportunity was taken to ensure tha</w:t>
      </w:r>
      <w:r w:rsidR="00FE25A1">
        <w:rPr>
          <w:rFonts w:ascii="Arial" w:hAnsi="Arial" w:cs="Arial"/>
          <w:bCs/>
          <w:sz w:val="24"/>
          <w:szCs w:val="24"/>
        </w:rPr>
        <w:t>t services/facilitie</w:t>
      </w:r>
      <w:r w:rsidR="00C2077D">
        <w:rPr>
          <w:rFonts w:ascii="Arial" w:hAnsi="Arial" w:cs="Arial"/>
          <w:bCs/>
          <w:sz w:val="24"/>
          <w:szCs w:val="24"/>
        </w:rPr>
        <w:t xml:space="preserve">s which had not previously been recorded were identified, </w:t>
      </w:r>
      <w:r>
        <w:rPr>
          <w:rFonts w:ascii="Arial" w:hAnsi="Arial" w:cs="Arial"/>
          <w:bCs/>
          <w:sz w:val="24"/>
          <w:szCs w:val="24"/>
        </w:rPr>
        <w:t xml:space="preserve">there was no duplication </w:t>
      </w:r>
      <w:r w:rsidR="004D44EF">
        <w:rPr>
          <w:rFonts w:ascii="Arial" w:hAnsi="Arial" w:cs="Arial"/>
          <w:bCs/>
          <w:sz w:val="24"/>
          <w:szCs w:val="24"/>
        </w:rPr>
        <w:t xml:space="preserve">in the services/facilities </w:t>
      </w:r>
      <w:r w:rsidR="00C2077D">
        <w:rPr>
          <w:rFonts w:ascii="Arial" w:hAnsi="Arial" w:cs="Arial"/>
          <w:bCs/>
          <w:sz w:val="24"/>
          <w:szCs w:val="24"/>
        </w:rPr>
        <w:t>recorded and how services/facilities were recorded was applied consistently</w:t>
      </w:r>
      <w:r w:rsidR="004D44EF">
        <w:rPr>
          <w:rFonts w:ascii="Arial" w:hAnsi="Arial" w:cs="Arial"/>
          <w:bCs/>
          <w:sz w:val="24"/>
          <w:szCs w:val="24"/>
        </w:rPr>
        <w:t>.</w:t>
      </w:r>
      <w:r w:rsidR="00FE25A1">
        <w:rPr>
          <w:rFonts w:ascii="Arial" w:hAnsi="Arial" w:cs="Arial"/>
          <w:bCs/>
          <w:sz w:val="24"/>
          <w:szCs w:val="24"/>
        </w:rPr>
        <w:t xml:space="preserve"> </w:t>
      </w:r>
      <w:r w:rsidR="00BE695A">
        <w:rPr>
          <w:rFonts w:ascii="Arial" w:hAnsi="Arial" w:cs="Arial"/>
          <w:bCs/>
          <w:sz w:val="24"/>
          <w:szCs w:val="24"/>
        </w:rPr>
        <w:t>Although t</w:t>
      </w:r>
      <w:r w:rsidR="00FE25A1">
        <w:rPr>
          <w:rFonts w:ascii="Arial" w:hAnsi="Arial" w:cs="Arial"/>
          <w:bCs/>
          <w:sz w:val="24"/>
          <w:szCs w:val="24"/>
        </w:rPr>
        <w:t xml:space="preserve">his resulted in </w:t>
      </w:r>
      <w:r w:rsidR="00BE695A">
        <w:rPr>
          <w:rFonts w:ascii="Arial" w:hAnsi="Arial" w:cs="Arial"/>
          <w:bCs/>
          <w:sz w:val="24"/>
          <w:szCs w:val="24"/>
        </w:rPr>
        <w:t xml:space="preserve">some changes to the overall number of services/facilities in particular settlements </w:t>
      </w:r>
      <w:r w:rsidR="00A512B8">
        <w:rPr>
          <w:rFonts w:ascii="Arial" w:hAnsi="Arial" w:cs="Arial"/>
          <w:bCs/>
          <w:sz w:val="24"/>
          <w:szCs w:val="24"/>
        </w:rPr>
        <w:t>this was not significant.</w:t>
      </w:r>
      <w:r w:rsidR="00C2077D">
        <w:rPr>
          <w:rFonts w:ascii="Arial" w:hAnsi="Arial" w:cs="Arial"/>
          <w:bCs/>
          <w:sz w:val="24"/>
          <w:szCs w:val="24"/>
        </w:rPr>
        <w:t xml:space="preserve"> Appendix 1 summarises the assessment update </w:t>
      </w:r>
      <w:r w:rsidR="005B37B5">
        <w:rPr>
          <w:rFonts w:ascii="Arial" w:hAnsi="Arial" w:cs="Arial"/>
          <w:bCs/>
          <w:sz w:val="24"/>
          <w:szCs w:val="24"/>
        </w:rPr>
        <w:t xml:space="preserve">with Appendix 2 identifying </w:t>
      </w:r>
      <w:r w:rsidR="001A61F7">
        <w:rPr>
          <w:rFonts w:ascii="Arial" w:hAnsi="Arial" w:cs="Arial"/>
          <w:bCs/>
          <w:sz w:val="24"/>
          <w:szCs w:val="24"/>
        </w:rPr>
        <w:t xml:space="preserve">those </w:t>
      </w:r>
      <w:r w:rsidR="00C2077D">
        <w:rPr>
          <w:rFonts w:ascii="Arial" w:hAnsi="Arial" w:cs="Arial"/>
          <w:bCs/>
          <w:sz w:val="24"/>
          <w:szCs w:val="24"/>
        </w:rPr>
        <w:t>change</w:t>
      </w:r>
      <w:r w:rsidR="001A61F7">
        <w:rPr>
          <w:rFonts w:ascii="Arial" w:hAnsi="Arial" w:cs="Arial"/>
          <w:bCs/>
          <w:sz w:val="24"/>
          <w:szCs w:val="24"/>
        </w:rPr>
        <w:t>s</w:t>
      </w:r>
      <w:r w:rsidR="00C2077D">
        <w:rPr>
          <w:rFonts w:ascii="Arial" w:hAnsi="Arial" w:cs="Arial"/>
          <w:bCs/>
          <w:sz w:val="24"/>
          <w:szCs w:val="24"/>
        </w:rPr>
        <w:t xml:space="preserve"> in service</w:t>
      </w:r>
      <w:r w:rsidR="001A61F7">
        <w:rPr>
          <w:rFonts w:ascii="Arial" w:hAnsi="Arial" w:cs="Arial"/>
          <w:bCs/>
          <w:sz w:val="24"/>
          <w:szCs w:val="24"/>
        </w:rPr>
        <w:t>/facilities</w:t>
      </w:r>
      <w:r w:rsidR="00C2077D">
        <w:rPr>
          <w:rFonts w:ascii="Arial" w:hAnsi="Arial" w:cs="Arial"/>
          <w:bCs/>
          <w:sz w:val="24"/>
          <w:szCs w:val="24"/>
        </w:rPr>
        <w:t xml:space="preserve"> provision</w:t>
      </w:r>
      <w:r w:rsidR="001A61F7">
        <w:rPr>
          <w:rFonts w:ascii="Arial" w:hAnsi="Arial" w:cs="Arial"/>
          <w:bCs/>
          <w:sz w:val="24"/>
          <w:szCs w:val="24"/>
        </w:rPr>
        <w:t xml:space="preserve"> between 2018 and 2023</w:t>
      </w:r>
      <w:r w:rsidR="00C2077D">
        <w:rPr>
          <w:rFonts w:ascii="Arial" w:hAnsi="Arial" w:cs="Arial"/>
          <w:bCs/>
          <w:sz w:val="24"/>
          <w:szCs w:val="24"/>
        </w:rPr>
        <w:t>.</w:t>
      </w:r>
    </w:p>
    <w:p w14:paraId="5CF7339F" w14:textId="77777777" w:rsidR="00B92FE7" w:rsidRPr="00B92FE7" w:rsidRDefault="00B92FE7" w:rsidP="00B92FE7">
      <w:pPr>
        <w:pStyle w:val="ListParagraph"/>
        <w:jc w:val="both"/>
        <w:rPr>
          <w:rFonts w:ascii="Arial" w:hAnsi="Arial" w:cs="Arial"/>
          <w:b/>
          <w:sz w:val="24"/>
          <w:szCs w:val="24"/>
        </w:rPr>
      </w:pPr>
    </w:p>
    <w:p w14:paraId="05BEF3D8" w14:textId="01D5A6BE" w:rsidR="00B92FE7" w:rsidRPr="0037209B" w:rsidRDefault="00C2077D" w:rsidP="008961D7">
      <w:pPr>
        <w:pStyle w:val="ListParagraph"/>
        <w:numPr>
          <w:ilvl w:val="1"/>
          <w:numId w:val="10"/>
        </w:numPr>
        <w:ind w:left="720" w:hanging="720"/>
        <w:jc w:val="both"/>
        <w:rPr>
          <w:rFonts w:ascii="Arial" w:hAnsi="Arial" w:cs="Arial"/>
          <w:b/>
          <w:sz w:val="24"/>
          <w:szCs w:val="24"/>
        </w:rPr>
      </w:pPr>
      <w:r>
        <w:rPr>
          <w:rFonts w:ascii="Arial" w:hAnsi="Arial" w:cs="Arial"/>
          <w:bCs/>
          <w:sz w:val="24"/>
          <w:szCs w:val="24"/>
        </w:rPr>
        <w:t>However, f</w:t>
      </w:r>
      <w:r w:rsidR="00B92FE7">
        <w:rPr>
          <w:rFonts w:ascii="Arial" w:hAnsi="Arial" w:cs="Arial"/>
          <w:bCs/>
          <w:sz w:val="24"/>
          <w:szCs w:val="24"/>
        </w:rPr>
        <w:t>or there to be a change to the tier of settlement that a village or town is in, there would need to be a very significant change to its services or amenities, so that the settlement more closely resemble</w:t>
      </w:r>
      <w:r w:rsidR="008961D7">
        <w:rPr>
          <w:rFonts w:ascii="Arial" w:hAnsi="Arial" w:cs="Arial"/>
          <w:bCs/>
          <w:sz w:val="24"/>
          <w:szCs w:val="24"/>
        </w:rPr>
        <w:t>d</w:t>
      </w:r>
      <w:r w:rsidR="00B92FE7">
        <w:rPr>
          <w:rFonts w:ascii="Arial" w:hAnsi="Arial" w:cs="Arial"/>
          <w:bCs/>
          <w:sz w:val="24"/>
          <w:szCs w:val="24"/>
        </w:rPr>
        <w:t xml:space="preserve"> those of another tier.</w:t>
      </w:r>
    </w:p>
    <w:p w14:paraId="4550037C" w14:textId="77777777" w:rsidR="0037209B" w:rsidRPr="0037209B" w:rsidRDefault="0037209B" w:rsidP="0037209B">
      <w:pPr>
        <w:pStyle w:val="ListParagraph"/>
        <w:rPr>
          <w:rFonts w:ascii="Arial" w:hAnsi="Arial" w:cs="Arial"/>
          <w:b/>
          <w:sz w:val="24"/>
          <w:szCs w:val="24"/>
        </w:rPr>
      </w:pPr>
    </w:p>
    <w:p w14:paraId="6D31A698" w14:textId="77777777" w:rsidR="005C1126" w:rsidRPr="005C1126" w:rsidRDefault="005C1126" w:rsidP="005C1126">
      <w:pPr>
        <w:pStyle w:val="ListParagraph"/>
        <w:numPr>
          <w:ilvl w:val="0"/>
          <w:numId w:val="12"/>
        </w:numPr>
        <w:rPr>
          <w:rFonts w:ascii="Arial" w:hAnsi="Arial" w:cs="Arial"/>
          <w:b/>
          <w:vanish/>
        </w:rPr>
      </w:pPr>
    </w:p>
    <w:p w14:paraId="04242281" w14:textId="77777777" w:rsidR="005C1126" w:rsidRPr="005C1126" w:rsidRDefault="005C1126" w:rsidP="005C1126">
      <w:pPr>
        <w:pStyle w:val="ListParagraph"/>
        <w:numPr>
          <w:ilvl w:val="0"/>
          <w:numId w:val="12"/>
        </w:numPr>
        <w:rPr>
          <w:rFonts w:ascii="Arial" w:hAnsi="Arial" w:cs="Arial"/>
          <w:b/>
          <w:vanish/>
        </w:rPr>
      </w:pPr>
    </w:p>
    <w:p w14:paraId="00182FCB" w14:textId="77777777" w:rsidR="005C1126" w:rsidRPr="005C1126" w:rsidRDefault="005C1126" w:rsidP="005C1126">
      <w:pPr>
        <w:pStyle w:val="ListParagraph"/>
        <w:numPr>
          <w:ilvl w:val="0"/>
          <w:numId w:val="12"/>
        </w:numPr>
        <w:rPr>
          <w:rFonts w:ascii="Arial" w:hAnsi="Arial" w:cs="Arial"/>
          <w:b/>
          <w:vanish/>
        </w:rPr>
      </w:pPr>
    </w:p>
    <w:p w14:paraId="5F1AC59A" w14:textId="77777777" w:rsidR="005C1126" w:rsidRPr="005C1126" w:rsidRDefault="005C1126" w:rsidP="005C1126">
      <w:pPr>
        <w:pStyle w:val="ListParagraph"/>
        <w:numPr>
          <w:ilvl w:val="0"/>
          <w:numId w:val="12"/>
        </w:numPr>
        <w:rPr>
          <w:rFonts w:ascii="Arial" w:hAnsi="Arial" w:cs="Arial"/>
          <w:b/>
          <w:vanish/>
        </w:rPr>
      </w:pPr>
    </w:p>
    <w:p w14:paraId="71A4A1B8" w14:textId="2B4D3FD0" w:rsidR="00CE483A" w:rsidRPr="0037209B" w:rsidRDefault="00CE483A" w:rsidP="00413BC1">
      <w:pPr>
        <w:pStyle w:val="Heading1"/>
        <w:numPr>
          <w:ilvl w:val="0"/>
          <w:numId w:val="12"/>
        </w:numPr>
        <w:ind w:left="709" w:hanging="709"/>
        <w:rPr>
          <w:rFonts w:ascii="Arial" w:hAnsi="Arial" w:cs="Arial"/>
          <w:b/>
          <w:bCs/>
          <w:color w:val="17365D" w:themeColor="text2" w:themeShade="BF"/>
          <w:sz w:val="28"/>
          <w:szCs w:val="28"/>
        </w:rPr>
      </w:pPr>
      <w:bookmarkStart w:id="8" w:name="_Toc167289633"/>
      <w:r w:rsidRPr="0051495C">
        <w:rPr>
          <w:rFonts w:ascii="Arial" w:hAnsi="Arial" w:cs="Arial"/>
          <w:b/>
          <w:bCs/>
          <w:color w:val="0073CF"/>
          <w:sz w:val="28"/>
          <w:szCs w:val="28"/>
        </w:rPr>
        <w:t>Settlement Hierarchy</w:t>
      </w:r>
      <w:bookmarkEnd w:id="8"/>
    </w:p>
    <w:p w14:paraId="457F6EFE" w14:textId="77777777" w:rsidR="0037209B" w:rsidRPr="005C1126" w:rsidRDefault="0037209B" w:rsidP="0037209B">
      <w:pPr>
        <w:pStyle w:val="ListParagraph"/>
        <w:spacing w:after="0"/>
        <w:rPr>
          <w:rFonts w:ascii="Arial" w:hAnsi="Arial" w:cs="Arial"/>
          <w:b/>
          <w:sz w:val="24"/>
          <w:szCs w:val="24"/>
        </w:rPr>
      </w:pPr>
    </w:p>
    <w:p w14:paraId="53DCF7B2" w14:textId="77777777" w:rsidR="005E79AE" w:rsidRPr="005C1126" w:rsidRDefault="005E79AE" w:rsidP="00377628">
      <w:pPr>
        <w:spacing w:after="0"/>
        <w:ind w:left="720"/>
        <w:rPr>
          <w:rFonts w:ascii="Arial" w:hAnsi="Arial" w:cs="Arial"/>
          <w:sz w:val="24"/>
          <w:szCs w:val="24"/>
          <w:u w:val="single"/>
        </w:rPr>
      </w:pPr>
      <w:r w:rsidRPr="005C1126">
        <w:rPr>
          <w:rFonts w:ascii="Arial" w:hAnsi="Arial" w:cs="Arial"/>
          <w:sz w:val="24"/>
          <w:szCs w:val="24"/>
          <w:u w:val="single"/>
        </w:rPr>
        <w:t>Sub-regional Centre</w:t>
      </w:r>
    </w:p>
    <w:p w14:paraId="18D45393" w14:textId="6E75F9A7" w:rsidR="005E79AE" w:rsidRPr="00377782" w:rsidRDefault="005E79AE" w:rsidP="00377782">
      <w:pPr>
        <w:pStyle w:val="ListParagraph"/>
        <w:numPr>
          <w:ilvl w:val="1"/>
          <w:numId w:val="12"/>
        </w:numPr>
        <w:ind w:left="720" w:hanging="720"/>
        <w:jc w:val="both"/>
        <w:rPr>
          <w:rFonts w:ascii="Arial" w:hAnsi="Arial" w:cs="Arial"/>
          <w:sz w:val="24"/>
          <w:szCs w:val="24"/>
        </w:rPr>
      </w:pPr>
      <w:r w:rsidRPr="00377782">
        <w:rPr>
          <w:rFonts w:ascii="Arial" w:hAnsi="Arial" w:cs="Arial"/>
          <w:sz w:val="24"/>
          <w:szCs w:val="24"/>
        </w:rPr>
        <w:t xml:space="preserve">Chichester city is the most sustainable settlement, with a full range of services and facilities, and a good level of accessibility by public transport. Chichester city has a significant population base, offers higher and further education and health facilities, and a broad range of employment, retail, </w:t>
      </w:r>
      <w:proofErr w:type="gramStart"/>
      <w:r w:rsidRPr="00377782">
        <w:rPr>
          <w:rFonts w:ascii="Arial" w:hAnsi="Arial" w:cs="Arial"/>
          <w:sz w:val="24"/>
          <w:szCs w:val="24"/>
        </w:rPr>
        <w:t>entertainment</w:t>
      </w:r>
      <w:proofErr w:type="gramEnd"/>
      <w:r w:rsidRPr="00377782">
        <w:rPr>
          <w:rFonts w:ascii="Arial" w:hAnsi="Arial" w:cs="Arial"/>
          <w:sz w:val="24"/>
          <w:szCs w:val="24"/>
        </w:rPr>
        <w:t xml:space="preserve"> and cultural opportunities, for a wide catchment area extending outside the </w:t>
      </w:r>
      <w:r w:rsidR="00C9579E" w:rsidRPr="00377782">
        <w:rPr>
          <w:rFonts w:ascii="Arial" w:hAnsi="Arial" w:cs="Arial"/>
          <w:sz w:val="24"/>
          <w:szCs w:val="24"/>
        </w:rPr>
        <w:t>district</w:t>
      </w:r>
      <w:r w:rsidRPr="00377782">
        <w:rPr>
          <w:rFonts w:ascii="Arial" w:hAnsi="Arial" w:cs="Arial"/>
          <w:sz w:val="24"/>
          <w:szCs w:val="24"/>
        </w:rPr>
        <w:t xml:space="preserve">. </w:t>
      </w:r>
      <w:r w:rsidR="00A87182" w:rsidRPr="00377782">
        <w:rPr>
          <w:rFonts w:ascii="Arial" w:hAnsi="Arial" w:cs="Arial"/>
          <w:sz w:val="24"/>
          <w:szCs w:val="24"/>
        </w:rPr>
        <w:t xml:space="preserve">There are no other settlements within the </w:t>
      </w:r>
      <w:r w:rsidR="001A2E74" w:rsidRPr="00377782">
        <w:rPr>
          <w:rFonts w:ascii="Arial" w:hAnsi="Arial" w:cs="Arial"/>
          <w:sz w:val="24"/>
          <w:szCs w:val="24"/>
        </w:rPr>
        <w:t>Plan area</w:t>
      </w:r>
      <w:r w:rsidR="00A87182" w:rsidRPr="00377782">
        <w:rPr>
          <w:rFonts w:ascii="Arial" w:hAnsi="Arial" w:cs="Arial"/>
          <w:sz w:val="24"/>
          <w:szCs w:val="24"/>
        </w:rPr>
        <w:t xml:space="preserve"> which offer such a complete variety of facilities and services, and access to public transport. </w:t>
      </w:r>
    </w:p>
    <w:p w14:paraId="294025D9" w14:textId="77777777" w:rsidR="005E79AE" w:rsidRPr="00007081" w:rsidRDefault="005E79AE" w:rsidP="00377628">
      <w:pPr>
        <w:spacing w:after="0"/>
        <w:ind w:firstLine="720"/>
        <w:rPr>
          <w:rFonts w:ascii="Arial" w:hAnsi="Arial" w:cs="Arial"/>
          <w:sz w:val="24"/>
          <w:szCs w:val="24"/>
          <w:u w:val="single"/>
        </w:rPr>
      </w:pPr>
      <w:r w:rsidRPr="00007081">
        <w:rPr>
          <w:rFonts w:ascii="Arial" w:hAnsi="Arial" w:cs="Arial"/>
          <w:sz w:val="24"/>
          <w:szCs w:val="24"/>
          <w:u w:val="single"/>
        </w:rPr>
        <w:t>Settlement Hubs</w:t>
      </w:r>
    </w:p>
    <w:p w14:paraId="33873F60" w14:textId="77777777" w:rsidR="00377628" w:rsidRPr="00007081" w:rsidRDefault="00377628" w:rsidP="00377628">
      <w:pPr>
        <w:pStyle w:val="ListParagraph"/>
        <w:numPr>
          <w:ilvl w:val="0"/>
          <w:numId w:val="13"/>
        </w:numPr>
        <w:jc w:val="both"/>
        <w:rPr>
          <w:rFonts w:ascii="Arial" w:hAnsi="Arial" w:cs="Arial"/>
          <w:vanish/>
          <w:sz w:val="24"/>
          <w:szCs w:val="24"/>
        </w:rPr>
      </w:pPr>
    </w:p>
    <w:p w14:paraId="4CCE367E" w14:textId="77777777" w:rsidR="00377628" w:rsidRPr="00007081" w:rsidRDefault="00377628" w:rsidP="00377628">
      <w:pPr>
        <w:pStyle w:val="ListParagraph"/>
        <w:numPr>
          <w:ilvl w:val="0"/>
          <w:numId w:val="13"/>
        </w:numPr>
        <w:jc w:val="both"/>
        <w:rPr>
          <w:rFonts w:ascii="Arial" w:hAnsi="Arial" w:cs="Arial"/>
          <w:vanish/>
          <w:sz w:val="24"/>
          <w:szCs w:val="24"/>
        </w:rPr>
      </w:pPr>
    </w:p>
    <w:p w14:paraId="7F8D20B7" w14:textId="77777777" w:rsidR="00377628" w:rsidRPr="00007081" w:rsidRDefault="00377628" w:rsidP="00377628">
      <w:pPr>
        <w:pStyle w:val="ListParagraph"/>
        <w:numPr>
          <w:ilvl w:val="0"/>
          <w:numId w:val="13"/>
        </w:numPr>
        <w:jc w:val="both"/>
        <w:rPr>
          <w:rFonts w:ascii="Arial" w:hAnsi="Arial" w:cs="Arial"/>
          <w:vanish/>
          <w:sz w:val="24"/>
          <w:szCs w:val="24"/>
        </w:rPr>
      </w:pPr>
    </w:p>
    <w:p w14:paraId="2E079603" w14:textId="77777777" w:rsidR="00377628" w:rsidRPr="00007081" w:rsidRDefault="00377628" w:rsidP="00377628">
      <w:pPr>
        <w:pStyle w:val="ListParagraph"/>
        <w:numPr>
          <w:ilvl w:val="0"/>
          <w:numId w:val="13"/>
        </w:numPr>
        <w:jc w:val="both"/>
        <w:rPr>
          <w:rFonts w:ascii="Arial" w:hAnsi="Arial" w:cs="Arial"/>
          <w:vanish/>
          <w:sz w:val="24"/>
          <w:szCs w:val="24"/>
        </w:rPr>
      </w:pPr>
    </w:p>
    <w:p w14:paraId="0D119FE4" w14:textId="77777777" w:rsidR="00377628" w:rsidRPr="00007081" w:rsidRDefault="00377628" w:rsidP="00377628">
      <w:pPr>
        <w:pStyle w:val="ListParagraph"/>
        <w:numPr>
          <w:ilvl w:val="0"/>
          <w:numId w:val="13"/>
        </w:numPr>
        <w:jc w:val="both"/>
        <w:rPr>
          <w:rFonts w:ascii="Arial" w:hAnsi="Arial" w:cs="Arial"/>
          <w:vanish/>
          <w:sz w:val="24"/>
          <w:szCs w:val="24"/>
        </w:rPr>
      </w:pPr>
    </w:p>
    <w:p w14:paraId="56743D32" w14:textId="77777777" w:rsidR="00377628" w:rsidRPr="00007081" w:rsidRDefault="00377628" w:rsidP="00377628">
      <w:pPr>
        <w:pStyle w:val="ListParagraph"/>
        <w:numPr>
          <w:ilvl w:val="1"/>
          <w:numId w:val="13"/>
        </w:numPr>
        <w:jc w:val="both"/>
        <w:rPr>
          <w:rFonts w:ascii="Arial" w:hAnsi="Arial" w:cs="Arial"/>
          <w:vanish/>
          <w:sz w:val="24"/>
          <w:szCs w:val="24"/>
        </w:rPr>
      </w:pPr>
    </w:p>
    <w:p w14:paraId="46BC9391" w14:textId="40AAF3E4" w:rsidR="00836CF1" w:rsidRDefault="00520E89" w:rsidP="00C05A38">
      <w:pPr>
        <w:pStyle w:val="ListParagraph"/>
        <w:numPr>
          <w:ilvl w:val="1"/>
          <w:numId w:val="13"/>
        </w:numPr>
        <w:ind w:left="720" w:hanging="720"/>
        <w:jc w:val="both"/>
        <w:rPr>
          <w:rFonts w:ascii="Arial" w:hAnsi="Arial" w:cs="Arial"/>
          <w:sz w:val="24"/>
          <w:szCs w:val="24"/>
        </w:rPr>
      </w:pPr>
      <w:r>
        <w:rPr>
          <w:rFonts w:ascii="Arial" w:hAnsi="Arial" w:cs="Arial"/>
          <w:sz w:val="24"/>
          <w:szCs w:val="24"/>
        </w:rPr>
        <w:t>The Settlement Hubs comprise those settlements that have a GP, primary school, convenience store and frequent bus service</w:t>
      </w:r>
      <w:r w:rsidR="00836CF1">
        <w:rPr>
          <w:rFonts w:ascii="Arial" w:hAnsi="Arial" w:cs="Arial"/>
          <w:sz w:val="24"/>
          <w:szCs w:val="24"/>
        </w:rPr>
        <w:t>,</w:t>
      </w:r>
      <w:r w:rsidRPr="00007081">
        <w:rPr>
          <w:rFonts w:ascii="Arial" w:hAnsi="Arial" w:cs="Arial"/>
          <w:sz w:val="24"/>
          <w:szCs w:val="24"/>
        </w:rPr>
        <w:t xml:space="preserve"> </w:t>
      </w:r>
      <w:r w:rsidR="00836CF1">
        <w:rPr>
          <w:rFonts w:ascii="Arial" w:hAnsi="Arial" w:cs="Arial"/>
          <w:sz w:val="24"/>
          <w:szCs w:val="24"/>
        </w:rPr>
        <w:t xml:space="preserve">as well as </w:t>
      </w:r>
      <w:r w:rsidRPr="00007081">
        <w:rPr>
          <w:rFonts w:ascii="Arial" w:hAnsi="Arial" w:cs="Arial"/>
          <w:sz w:val="24"/>
          <w:szCs w:val="24"/>
        </w:rPr>
        <w:t xml:space="preserve">access to </w:t>
      </w:r>
      <w:r w:rsidR="00836CF1">
        <w:rPr>
          <w:rFonts w:ascii="Arial" w:hAnsi="Arial" w:cs="Arial"/>
          <w:sz w:val="24"/>
          <w:szCs w:val="24"/>
        </w:rPr>
        <w:t xml:space="preserve">other </w:t>
      </w:r>
      <w:r w:rsidRPr="00007081">
        <w:rPr>
          <w:rFonts w:ascii="Arial" w:hAnsi="Arial" w:cs="Arial"/>
          <w:sz w:val="24"/>
          <w:szCs w:val="24"/>
        </w:rPr>
        <w:t>services and facilitie</w:t>
      </w:r>
      <w:r w:rsidR="00836CF1">
        <w:rPr>
          <w:rFonts w:ascii="Arial" w:hAnsi="Arial" w:cs="Arial"/>
          <w:sz w:val="24"/>
          <w:szCs w:val="24"/>
        </w:rPr>
        <w:t>s</w:t>
      </w:r>
      <w:r w:rsidR="001D3D76">
        <w:rPr>
          <w:rFonts w:ascii="Arial" w:hAnsi="Arial" w:cs="Arial"/>
          <w:sz w:val="24"/>
          <w:szCs w:val="24"/>
        </w:rPr>
        <w:t xml:space="preserve">. They are a main centre for </w:t>
      </w:r>
      <w:r w:rsidR="00C05A38">
        <w:rPr>
          <w:rFonts w:ascii="Arial" w:hAnsi="Arial" w:cs="Arial"/>
          <w:sz w:val="24"/>
          <w:szCs w:val="24"/>
        </w:rPr>
        <w:t xml:space="preserve">providing services to surrounding communities and have </w:t>
      </w:r>
      <w:r w:rsidRPr="00007081">
        <w:rPr>
          <w:rFonts w:ascii="Arial" w:hAnsi="Arial" w:cs="Arial"/>
          <w:sz w:val="24"/>
          <w:szCs w:val="24"/>
        </w:rPr>
        <w:t>a reasonable size population base to support them.</w:t>
      </w:r>
      <w:r w:rsidR="001D3D76">
        <w:rPr>
          <w:rFonts w:ascii="Arial" w:hAnsi="Arial" w:cs="Arial"/>
          <w:sz w:val="24"/>
          <w:szCs w:val="24"/>
        </w:rPr>
        <w:t xml:space="preserve"> </w:t>
      </w:r>
    </w:p>
    <w:p w14:paraId="62ECD958" w14:textId="77777777" w:rsidR="00C05A38" w:rsidRDefault="00C05A38" w:rsidP="00C05A38">
      <w:pPr>
        <w:pStyle w:val="ListParagraph"/>
        <w:jc w:val="both"/>
        <w:rPr>
          <w:rFonts w:ascii="Arial" w:hAnsi="Arial" w:cs="Arial"/>
          <w:sz w:val="24"/>
          <w:szCs w:val="24"/>
        </w:rPr>
      </w:pPr>
    </w:p>
    <w:p w14:paraId="1B4574F8" w14:textId="5B711371" w:rsidR="00650903" w:rsidRPr="00007081" w:rsidRDefault="00650903" w:rsidP="00377628">
      <w:pPr>
        <w:pStyle w:val="ListParagraph"/>
        <w:numPr>
          <w:ilvl w:val="1"/>
          <w:numId w:val="13"/>
        </w:numPr>
        <w:ind w:left="720" w:hanging="720"/>
        <w:jc w:val="both"/>
        <w:rPr>
          <w:rFonts w:ascii="Arial" w:hAnsi="Arial" w:cs="Arial"/>
          <w:sz w:val="24"/>
          <w:szCs w:val="24"/>
        </w:rPr>
      </w:pPr>
      <w:r w:rsidRPr="00007081">
        <w:rPr>
          <w:rFonts w:ascii="Arial" w:hAnsi="Arial" w:cs="Arial"/>
          <w:sz w:val="24"/>
          <w:szCs w:val="24"/>
        </w:rPr>
        <w:t xml:space="preserve">The assessment update noted that there was no change in the availability of services in Selsey and Southbourne. There was an increase in the </w:t>
      </w:r>
      <w:r w:rsidR="00836CF1">
        <w:rPr>
          <w:rFonts w:ascii="Arial" w:hAnsi="Arial" w:cs="Arial"/>
          <w:sz w:val="24"/>
          <w:szCs w:val="24"/>
        </w:rPr>
        <w:t xml:space="preserve">total </w:t>
      </w:r>
      <w:r w:rsidRPr="00007081">
        <w:rPr>
          <w:rFonts w:ascii="Arial" w:hAnsi="Arial" w:cs="Arial"/>
          <w:sz w:val="24"/>
          <w:szCs w:val="24"/>
        </w:rPr>
        <w:t xml:space="preserve">number of services/facilities identified in East Wittering/Bracklesham due to additional convenience stores and places of worship being identified and in Tangmere the </w:t>
      </w:r>
      <w:r w:rsidRPr="00007081">
        <w:rPr>
          <w:rFonts w:ascii="Arial" w:hAnsi="Arial" w:cs="Arial"/>
          <w:sz w:val="24"/>
          <w:szCs w:val="24"/>
        </w:rPr>
        <w:lastRenderedPageBreak/>
        <w:t>number of spaces considered to constitute outdoor community facilities was re</w:t>
      </w:r>
      <w:r w:rsidR="00177DFC">
        <w:rPr>
          <w:rFonts w:ascii="Arial" w:hAnsi="Arial" w:cs="Arial"/>
          <w:sz w:val="24"/>
          <w:szCs w:val="24"/>
        </w:rPr>
        <w:t>assessed</w:t>
      </w:r>
      <w:r w:rsidRPr="00007081">
        <w:rPr>
          <w:rFonts w:ascii="Arial" w:hAnsi="Arial" w:cs="Arial"/>
          <w:sz w:val="24"/>
          <w:szCs w:val="24"/>
        </w:rPr>
        <w:t>.</w:t>
      </w:r>
    </w:p>
    <w:p w14:paraId="71F9DC6C" w14:textId="77777777" w:rsidR="00650903" w:rsidRPr="00007081" w:rsidRDefault="00650903" w:rsidP="00650903">
      <w:pPr>
        <w:pStyle w:val="ListParagraph"/>
        <w:jc w:val="both"/>
        <w:rPr>
          <w:rFonts w:ascii="Arial" w:hAnsi="Arial" w:cs="Arial"/>
          <w:sz w:val="24"/>
          <w:szCs w:val="24"/>
        </w:rPr>
      </w:pPr>
    </w:p>
    <w:p w14:paraId="080789CA" w14:textId="4C4C3592" w:rsidR="00836CF1" w:rsidRDefault="00836CF1" w:rsidP="00836CF1">
      <w:pPr>
        <w:pStyle w:val="ListParagraph"/>
        <w:numPr>
          <w:ilvl w:val="1"/>
          <w:numId w:val="13"/>
        </w:numPr>
        <w:ind w:left="720" w:hanging="720"/>
        <w:jc w:val="both"/>
        <w:rPr>
          <w:rFonts w:ascii="Arial" w:hAnsi="Arial" w:cs="Arial"/>
          <w:sz w:val="24"/>
          <w:szCs w:val="24"/>
        </w:rPr>
      </w:pPr>
      <w:r w:rsidRPr="00007081">
        <w:rPr>
          <w:rFonts w:ascii="Arial" w:hAnsi="Arial" w:cs="Arial"/>
          <w:sz w:val="24"/>
          <w:szCs w:val="24"/>
        </w:rPr>
        <w:t xml:space="preserve">The </w:t>
      </w:r>
      <w:r>
        <w:rPr>
          <w:rFonts w:ascii="Arial" w:hAnsi="Arial" w:cs="Arial"/>
          <w:sz w:val="24"/>
          <w:szCs w:val="24"/>
        </w:rPr>
        <w:t xml:space="preserve">identification </w:t>
      </w:r>
      <w:r w:rsidRPr="00007081">
        <w:rPr>
          <w:rFonts w:ascii="Arial" w:hAnsi="Arial" w:cs="Arial"/>
          <w:sz w:val="24"/>
          <w:szCs w:val="24"/>
        </w:rPr>
        <w:t>of East Wittering/Bracklesham, Selsey, Southbourne and Tangmere</w:t>
      </w:r>
      <w:r>
        <w:rPr>
          <w:rFonts w:ascii="Arial" w:hAnsi="Arial" w:cs="Arial"/>
          <w:sz w:val="24"/>
          <w:szCs w:val="24"/>
        </w:rPr>
        <w:t xml:space="preserve"> as Settlement Hubs, therefore,</w:t>
      </w:r>
      <w:r w:rsidRPr="00007081">
        <w:rPr>
          <w:rFonts w:ascii="Arial" w:hAnsi="Arial" w:cs="Arial"/>
          <w:sz w:val="24"/>
          <w:szCs w:val="24"/>
        </w:rPr>
        <w:t xml:space="preserve"> </w:t>
      </w:r>
      <w:r>
        <w:rPr>
          <w:rFonts w:ascii="Arial" w:hAnsi="Arial" w:cs="Arial"/>
          <w:sz w:val="24"/>
          <w:szCs w:val="24"/>
        </w:rPr>
        <w:t xml:space="preserve">is </w:t>
      </w:r>
      <w:r w:rsidRPr="00007081">
        <w:rPr>
          <w:rFonts w:ascii="Arial" w:hAnsi="Arial" w:cs="Arial"/>
          <w:sz w:val="24"/>
          <w:szCs w:val="24"/>
        </w:rPr>
        <w:t>unchanged.</w:t>
      </w:r>
    </w:p>
    <w:p w14:paraId="22B003E6" w14:textId="77777777" w:rsidR="0070746A" w:rsidRDefault="0070746A" w:rsidP="0070746A">
      <w:pPr>
        <w:pStyle w:val="ListParagraph"/>
        <w:jc w:val="both"/>
        <w:rPr>
          <w:rFonts w:ascii="Arial" w:hAnsi="Arial" w:cs="Arial"/>
          <w:sz w:val="24"/>
          <w:szCs w:val="24"/>
        </w:rPr>
      </w:pPr>
    </w:p>
    <w:p w14:paraId="7DB5B945" w14:textId="59C18B6D" w:rsidR="0070746A" w:rsidRDefault="0070746A" w:rsidP="0070746A">
      <w:pPr>
        <w:pStyle w:val="ListParagraph"/>
        <w:numPr>
          <w:ilvl w:val="1"/>
          <w:numId w:val="13"/>
        </w:numPr>
        <w:ind w:left="720" w:hanging="720"/>
        <w:jc w:val="both"/>
        <w:rPr>
          <w:rFonts w:ascii="Arial" w:hAnsi="Arial" w:cs="Arial"/>
          <w:sz w:val="24"/>
          <w:szCs w:val="24"/>
        </w:rPr>
      </w:pPr>
      <w:r>
        <w:rPr>
          <w:rFonts w:ascii="Arial" w:hAnsi="Arial" w:cs="Arial"/>
          <w:sz w:val="24"/>
          <w:szCs w:val="24"/>
        </w:rPr>
        <w:t xml:space="preserve">Whilst </w:t>
      </w:r>
      <w:r w:rsidRPr="00836CF1">
        <w:rPr>
          <w:rFonts w:ascii="Arial" w:hAnsi="Arial" w:cs="Arial"/>
          <w:sz w:val="24"/>
          <w:szCs w:val="24"/>
        </w:rPr>
        <w:t xml:space="preserve">Tangmere </w:t>
      </w:r>
      <w:r>
        <w:rPr>
          <w:rFonts w:ascii="Arial" w:hAnsi="Arial" w:cs="Arial"/>
          <w:sz w:val="24"/>
          <w:szCs w:val="24"/>
        </w:rPr>
        <w:t xml:space="preserve">is currently smaller (in terms of population size) compared to the other three </w:t>
      </w:r>
      <w:r w:rsidR="00177DFC">
        <w:rPr>
          <w:rFonts w:ascii="Arial" w:hAnsi="Arial" w:cs="Arial"/>
          <w:sz w:val="24"/>
          <w:szCs w:val="24"/>
        </w:rPr>
        <w:t>identified Settlement Hubs</w:t>
      </w:r>
      <w:r>
        <w:rPr>
          <w:rFonts w:ascii="Arial" w:hAnsi="Arial" w:cs="Arial"/>
          <w:sz w:val="24"/>
          <w:szCs w:val="24"/>
        </w:rPr>
        <w:t>, its continued identification as a S</w:t>
      </w:r>
      <w:r w:rsidRPr="00836CF1">
        <w:rPr>
          <w:rFonts w:ascii="Arial" w:hAnsi="Arial" w:cs="Arial"/>
          <w:sz w:val="24"/>
          <w:szCs w:val="24"/>
        </w:rPr>
        <w:t>ettlement Hub recognises the high level of committed growth established in the adopted Chichester Local Plan: Key Policies 2014 – 2029 and through the outline planning application</w:t>
      </w:r>
      <w:r>
        <w:rPr>
          <w:rStyle w:val="FootnoteReference"/>
          <w:rFonts w:ascii="Arial" w:hAnsi="Arial" w:cs="Arial"/>
          <w:sz w:val="24"/>
          <w:szCs w:val="24"/>
        </w:rPr>
        <w:footnoteReference w:id="2"/>
      </w:r>
      <w:r w:rsidRPr="00836CF1">
        <w:rPr>
          <w:rFonts w:ascii="Arial" w:hAnsi="Arial" w:cs="Arial"/>
          <w:sz w:val="24"/>
          <w:szCs w:val="24"/>
        </w:rPr>
        <w:t xml:space="preserve">, which has a resolution to permit subject to the completion of a S106 Agreement. </w:t>
      </w:r>
    </w:p>
    <w:p w14:paraId="32DA406B" w14:textId="77777777" w:rsidR="005E79AE" w:rsidRPr="00177DFC" w:rsidRDefault="005E79AE" w:rsidP="00650903">
      <w:pPr>
        <w:spacing w:after="0"/>
        <w:ind w:firstLine="720"/>
        <w:jc w:val="both"/>
        <w:rPr>
          <w:rFonts w:ascii="Arial" w:hAnsi="Arial" w:cs="Arial"/>
          <w:sz w:val="24"/>
          <w:szCs w:val="24"/>
          <w:u w:val="single"/>
        </w:rPr>
      </w:pPr>
      <w:r w:rsidRPr="00177DFC">
        <w:rPr>
          <w:rFonts w:ascii="Arial" w:hAnsi="Arial" w:cs="Arial"/>
          <w:sz w:val="24"/>
          <w:szCs w:val="24"/>
          <w:u w:val="single"/>
        </w:rPr>
        <w:t>Service Villages</w:t>
      </w:r>
    </w:p>
    <w:p w14:paraId="54DA91E8" w14:textId="77777777" w:rsidR="006245CD" w:rsidRPr="006245CD" w:rsidRDefault="006245CD" w:rsidP="006245CD">
      <w:pPr>
        <w:pStyle w:val="ListParagraph"/>
        <w:numPr>
          <w:ilvl w:val="0"/>
          <w:numId w:val="14"/>
        </w:numPr>
        <w:jc w:val="both"/>
        <w:rPr>
          <w:rFonts w:ascii="Arial" w:hAnsi="Arial" w:cs="Arial"/>
          <w:vanish/>
          <w:sz w:val="24"/>
          <w:szCs w:val="24"/>
        </w:rPr>
      </w:pPr>
    </w:p>
    <w:p w14:paraId="38161A76" w14:textId="77777777" w:rsidR="006245CD" w:rsidRPr="006245CD" w:rsidRDefault="006245CD" w:rsidP="006245CD">
      <w:pPr>
        <w:pStyle w:val="ListParagraph"/>
        <w:numPr>
          <w:ilvl w:val="0"/>
          <w:numId w:val="14"/>
        </w:numPr>
        <w:jc w:val="both"/>
        <w:rPr>
          <w:rFonts w:ascii="Arial" w:hAnsi="Arial" w:cs="Arial"/>
          <w:vanish/>
          <w:sz w:val="24"/>
          <w:szCs w:val="24"/>
        </w:rPr>
      </w:pPr>
    </w:p>
    <w:p w14:paraId="3C88F41C" w14:textId="77777777" w:rsidR="006245CD" w:rsidRPr="006245CD" w:rsidRDefault="006245CD" w:rsidP="006245CD">
      <w:pPr>
        <w:pStyle w:val="ListParagraph"/>
        <w:numPr>
          <w:ilvl w:val="0"/>
          <w:numId w:val="14"/>
        </w:numPr>
        <w:jc w:val="both"/>
        <w:rPr>
          <w:rFonts w:ascii="Arial" w:hAnsi="Arial" w:cs="Arial"/>
          <w:vanish/>
          <w:sz w:val="24"/>
          <w:szCs w:val="24"/>
        </w:rPr>
      </w:pPr>
    </w:p>
    <w:p w14:paraId="26CF1EFB" w14:textId="77777777" w:rsidR="006245CD" w:rsidRPr="006245CD" w:rsidRDefault="006245CD" w:rsidP="006245CD">
      <w:pPr>
        <w:pStyle w:val="ListParagraph"/>
        <w:numPr>
          <w:ilvl w:val="0"/>
          <w:numId w:val="14"/>
        </w:numPr>
        <w:jc w:val="both"/>
        <w:rPr>
          <w:rFonts w:ascii="Arial" w:hAnsi="Arial" w:cs="Arial"/>
          <w:vanish/>
          <w:sz w:val="24"/>
          <w:szCs w:val="24"/>
        </w:rPr>
      </w:pPr>
    </w:p>
    <w:p w14:paraId="3ACF2383" w14:textId="77777777" w:rsidR="006245CD" w:rsidRPr="006245CD" w:rsidRDefault="006245CD" w:rsidP="006245CD">
      <w:pPr>
        <w:pStyle w:val="ListParagraph"/>
        <w:numPr>
          <w:ilvl w:val="0"/>
          <w:numId w:val="14"/>
        </w:numPr>
        <w:jc w:val="both"/>
        <w:rPr>
          <w:rFonts w:ascii="Arial" w:hAnsi="Arial" w:cs="Arial"/>
          <w:vanish/>
          <w:sz w:val="24"/>
          <w:szCs w:val="24"/>
        </w:rPr>
      </w:pPr>
    </w:p>
    <w:p w14:paraId="7D63861D" w14:textId="77777777" w:rsidR="006245CD" w:rsidRPr="006245CD" w:rsidRDefault="006245CD" w:rsidP="006245CD">
      <w:pPr>
        <w:pStyle w:val="ListParagraph"/>
        <w:numPr>
          <w:ilvl w:val="1"/>
          <w:numId w:val="14"/>
        </w:numPr>
        <w:jc w:val="both"/>
        <w:rPr>
          <w:rFonts w:ascii="Arial" w:hAnsi="Arial" w:cs="Arial"/>
          <w:vanish/>
          <w:sz w:val="24"/>
          <w:szCs w:val="24"/>
        </w:rPr>
      </w:pPr>
    </w:p>
    <w:p w14:paraId="6AB5111D" w14:textId="77777777" w:rsidR="006245CD" w:rsidRPr="006245CD" w:rsidRDefault="006245CD" w:rsidP="006245CD">
      <w:pPr>
        <w:pStyle w:val="ListParagraph"/>
        <w:numPr>
          <w:ilvl w:val="1"/>
          <w:numId w:val="14"/>
        </w:numPr>
        <w:jc w:val="both"/>
        <w:rPr>
          <w:rFonts w:ascii="Arial" w:hAnsi="Arial" w:cs="Arial"/>
          <w:vanish/>
          <w:sz w:val="24"/>
          <w:szCs w:val="24"/>
        </w:rPr>
      </w:pPr>
    </w:p>
    <w:p w14:paraId="230D7115" w14:textId="77777777" w:rsidR="006245CD" w:rsidRPr="006245CD" w:rsidRDefault="006245CD" w:rsidP="006245CD">
      <w:pPr>
        <w:pStyle w:val="ListParagraph"/>
        <w:numPr>
          <w:ilvl w:val="1"/>
          <w:numId w:val="14"/>
        </w:numPr>
        <w:jc w:val="both"/>
        <w:rPr>
          <w:rFonts w:ascii="Arial" w:hAnsi="Arial" w:cs="Arial"/>
          <w:vanish/>
          <w:sz w:val="24"/>
          <w:szCs w:val="24"/>
        </w:rPr>
      </w:pPr>
    </w:p>
    <w:p w14:paraId="0E8FC29E" w14:textId="77777777" w:rsidR="006245CD" w:rsidRPr="006245CD" w:rsidRDefault="006245CD" w:rsidP="006245CD">
      <w:pPr>
        <w:pStyle w:val="ListParagraph"/>
        <w:numPr>
          <w:ilvl w:val="1"/>
          <w:numId w:val="14"/>
        </w:numPr>
        <w:jc w:val="both"/>
        <w:rPr>
          <w:rFonts w:ascii="Arial" w:hAnsi="Arial" w:cs="Arial"/>
          <w:vanish/>
          <w:sz w:val="24"/>
          <w:szCs w:val="24"/>
        </w:rPr>
      </w:pPr>
    </w:p>
    <w:p w14:paraId="2CFDD234" w14:textId="77777777" w:rsidR="006245CD" w:rsidRPr="006245CD" w:rsidRDefault="006245CD" w:rsidP="006245CD">
      <w:pPr>
        <w:pStyle w:val="ListParagraph"/>
        <w:numPr>
          <w:ilvl w:val="1"/>
          <w:numId w:val="14"/>
        </w:numPr>
        <w:jc w:val="both"/>
        <w:rPr>
          <w:rFonts w:ascii="Arial" w:hAnsi="Arial" w:cs="Arial"/>
          <w:vanish/>
          <w:sz w:val="24"/>
          <w:szCs w:val="24"/>
        </w:rPr>
      </w:pPr>
    </w:p>
    <w:p w14:paraId="3CB88BA0" w14:textId="59173A9B" w:rsidR="00CC7AAB" w:rsidRDefault="00177DFC" w:rsidP="006245CD">
      <w:pPr>
        <w:pStyle w:val="ListParagraph"/>
        <w:numPr>
          <w:ilvl w:val="1"/>
          <w:numId w:val="14"/>
        </w:numPr>
        <w:ind w:left="720" w:hanging="810"/>
        <w:jc w:val="both"/>
        <w:rPr>
          <w:rFonts w:ascii="Arial" w:hAnsi="Arial" w:cs="Arial"/>
          <w:sz w:val="24"/>
          <w:szCs w:val="24"/>
        </w:rPr>
      </w:pPr>
      <w:r>
        <w:rPr>
          <w:rFonts w:ascii="Arial" w:hAnsi="Arial" w:cs="Arial"/>
          <w:sz w:val="24"/>
          <w:szCs w:val="24"/>
        </w:rPr>
        <w:t xml:space="preserve">The Service Villages comprise those settlements that have at least one of either a primary school, </w:t>
      </w:r>
      <w:proofErr w:type="gramStart"/>
      <w:r>
        <w:rPr>
          <w:rFonts w:ascii="Arial" w:hAnsi="Arial" w:cs="Arial"/>
          <w:sz w:val="24"/>
          <w:szCs w:val="24"/>
        </w:rPr>
        <w:t>GP</w:t>
      </w:r>
      <w:proofErr w:type="gramEnd"/>
      <w:r>
        <w:rPr>
          <w:rFonts w:ascii="Arial" w:hAnsi="Arial" w:cs="Arial"/>
          <w:sz w:val="24"/>
          <w:szCs w:val="24"/>
        </w:rPr>
        <w:t xml:space="preserve"> or convenience store as well as a combination of other </w:t>
      </w:r>
      <w:r w:rsidRPr="00177DFC">
        <w:rPr>
          <w:rFonts w:ascii="Arial" w:hAnsi="Arial" w:cs="Arial"/>
          <w:sz w:val="24"/>
          <w:szCs w:val="24"/>
        </w:rPr>
        <w:t xml:space="preserve">facilities including </w:t>
      </w:r>
      <w:r>
        <w:rPr>
          <w:rFonts w:ascii="Arial" w:hAnsi="Arial" w:cs="Arial"/>
          <w:sz w:val="24"/>
          <w:szCs w:val="24"/>
        </w:rPr>
        <w:t xml:space="preserve">a </w:t>
      </w:r>
      <w:r w:rsidR="00EE37CF">
        <w:rPr>
          <w:rFonts w:ascii="Arial" w:hAnsi="Arial" w:cs="Arial"/>
          <w:sz w:val="24"/>
          <w:szCs w:val="24"/>
        </w:rPr>
        <w:t xml:space="preserve">community meeting place </w:t>
      </w:r>
      <w:r w:rsidRPr="00177DFC">
        <w:rPr>
          <w:rFonts w:ascii="Arial" w:hAnsi="Arial" w:cs="Arial"/>
          <w:sz w:val="24"/>
          <w:szCs w:val="24"/>
        </w:rPr>
        <w:t>and outdoor community facilities</w:t>
      </w:r>
      <w:r>
        <w:rPr>
          <w:rFonts w:ascii="Arial" w:hAnsi="Arial" w:cs="Arial"/>
          <w:sz w:val="24"/>
          <w:szCs w:val="24"/>
        </w:rPr>
        <w:t>.</w:t>
      </w:r>
      <w:r w:rsidR="00C05A38">
        <w:rPr>
          <w:rFonts w:ascii="Arial" w:hAnsi="Arial" w:cs="Arial"/>
          <w:sz w:val="24"/>
          <w:szCs w:val="24"/>
        </w:rPr>
        <w:t xml:space="preserve"> They act as a local centre for services providing for the villages and wider parish area. </w:t>
      </w:r>
      <w:r w:rsidR="00CC7AAB" w:rsidRPr="00177DFC">
        <w:rPr>
          <w:rFonts w:ascii="Arial" w:hAnsi="Arial" w:cs="Arial"/>
          <w:sz w:val="24"/>
          <w:szCs w:val="24"/>
        </w:rPr>
        <w:t xml:space="preserve">These settlements offer an opportunity to allow development to meet local needs and to help support existing services and facilities. </w:t>
      </w:r>
    </w:p>
    <w:p w14:paraId="3C7FA4A6" w14:textId="77777777" w:rsidR="00C05A38" w:rsidRPr="00177DFC" w:rsidRDefault="00C05A38" w:rsidP="00C05A38">
      <w:pPr>
        <w:pStyle w:val="ListParagraph"/>
        <w:jc w:val="both"/>
        <w:rPr>
          <w:rFonts w:ascii="Arial" w:hAnsi="Arial" w:cs="Arial"/>
          <w:sz w:val="24"/>
          <w:szCs w:val="24"/>
        </w:rPr>
      </w:pPr>
    </w:p>
    <w:p w14:paraId="4A8DE924" w14:textId="1E4CFFB1" w:rsidR="00177DFC" w:rsidRDefault="00177DFC" w:rsidP="00650903">
      <w:pPr>
        <w:pStyle w:val="ListParagraph"/>
        <w:numPr>
          <w:ilvl w:val="1"/>
          <w:numId w:val="14"/>
        </w:numPr>
        <w:ind w:left="720" w:hanging="720"/>
        <w:jc w:val="both"/>
        <w:rPr>
          <w:rFonts w:ascii="Arial" w:hAnsi="Arial" w:cs="Arial"/>
          <w:sz w:val="24"/>
          <w:szCs w:val="24"/>
        </w:rPr>
      </w:pPr>
      <w:r>
        <w:rPr>
          <w:rFonts w:ascii="Arial" w:hAnsi="Arial" w:cs="Arial"/>
          <w:sz w:val="24"/>
          <w:szCs w:val="24"/>
        </w:rPr>
        <w:t xml:space="preserve">The assessment update noted </w:t>
      </w:r>
      <w:r w:rsidR="00852659">
        <w:rPr>
          <w:rFonts w:ascii="Arial" w:hAnsi="Arial" w:cs="Arial"/>
          <w:sz w:val="24"/>
          <w:szCs w:val="24"/>
        </w:rPr>
        <w:t xml:space="preserve">there was </w:t>
      </w:r>
      <w:r w:rsidR="00852659" w:rsidRPr="00007081">
        <w:rPr>
          <w:rFonts w:ascii="Arial" w:hAnsi="Arial" w:cs="Arial"/>
          <w:sz w:val="24"/>
          <w:szCs w:val="24"/>
        </w:rPr>
        <w:t>no change in the availability of services</w:t>
      </w:r>
      <w:r w:rsidR="001A61F7">
        <w:rPr>
          <w:rFonts w:ascii="Arial" w:hAnsi="Arial" w:cs="Arial"/>
          <w:sz w:val="24"/>
          <w:szCs w:val="24"/>
        </w:rPr>
        <w:t>/facilities</w:t>
      </w:r>
      <w:r w:rsidR="00852659" w:rsidRPr="00007081">
        <w:rPr>
          <w:rFonts w:ascii="Arial" w:hAnsi="Arial" w:cs="Arial"/>
          <w:sz w:val="24"/>
          <w:szCs w:val="24"/>
        </w:rPr>
        <w:t xml:space="preserve"> in</w:t>
      </w:r>
      <w:r w:rsidR="00852659">
        <w:rPr>
          <w:rFonts w:ascii="Arial" w:hAnsi="Arial" w:cs="Arial"/>
          <w:sz w:val="24"/>
          <w:szCs w:val="24"/>
        </w:rPr>
        <w:t xml:space="preserve"> Bosham &amp; Broadbridge, Hambrook &amp; Nutbourne</w:t>
      </w:r>
      <w:r w:rsidR="000F21F8">
        <w:rPr>
          <w:rFonts w:ascii="Arial" w:hAnsi="Arial" w:cs="Arial"/>
          <w:sz w:val="24"/>
          <w:szCs w:val="24"/>
        </w:rPr>
        <w:t xml:space="preserve"> </w:t>
      </w:r>
      <w:r w:rsidR="00852659">
        <w:rPr>
          <w:rFonts w:ascii="Arial" w:hAnsi="Arial" w:cs="Arial"/>
          <w:sz w:val="24"/>
          <w:szCs w:val="24"/>
        </w:rPr>
        <w:t>and North Mundham &amp; Runcton.</w:t>
      </w:r>
      <w:r w:rsidR="005B37B5">
        <w:rPr>
          <w:rFonts w:ascii="Arial" w:hAnsi="Arial" w:cs="Arial"/>
          <w:sz w:val="24"/>
          <w:szCs w:val="24"/>
        </w:rPr>
        <w:t xml:space="preserve"> </w:t>
      </w:r>
      <w:r w:rsidR="001A61F7">
        <w:rPr>
          <w:rFonts w:ascii="Arial" w:hAnsi="Arial" w:cs="Arial"/>
          <w:sz w:val="24"/>
          <w:szCs w:val="24"/>
        </w:rPr>
        <w:t>Taking account of the factors referenced in paragraph 4.13, t</w:t>
      </w:r>
      <w:r w:rsidR="005B37B5">
        <w:rPr>
          <w:rFonts w:ascii="Arial" w:hAnsi="Arial" w:cs="Arial"/>
          <w:sz w:val="24"/>
          <w:szCs w:val="24"/>
        </w:rPr>
        <w:t>here were changes to th</w:t>
      </w:r>
      <w:r w:rsidR="001A61F7">
        <w:rPr>
          <w:rFonts w:ascii="Arial" w:hAnsi="Arial" w:cs="Arial"/>
          <w:sz w:val="24"/>
          <w:szCs w:val="24"/>
        </w:rPr>
        <w:t xml:space="preserve">e </w:t>
      </w:r>
      <w:r w:rsidR="005B37B5">
        <w:rPr>
          <w:rFonts w:ascii="Arial" w:hAnsi="Arial" w:cs="Arial"/>
          <w:sz w:val="24"/>
          <w:szCs w:val="24"/>
        </w:rPr>
        <w:t>services/facilities available in</w:t>
      </w:r>
      <w:r w:rsidR="001A61F7">
        <w:rPr>
          <w:rFonts w:ascii="Arial" w:hAnsi="Arial" w:cs="Arial"/>
          <w:sz w:val="24"/>
          <w:szCs w:val="24"/>
        </w:rPr>
        <w:t xml:space="preserve"> </w:t>
      </w:r>
      <w:proofErr w:type="gramStart"/>
      <w:r w:rsidR="001A61F7">
        <w:rPr>
          <w:rFonts w:ascii="Arial" w:hAnsi="Arial" w:cs="Arial"/>
          <w:sz w:val="24"/>
          <w:szCs w:val="24"/>
        </w:rPr>
        <w:t>a number of</w:t>
      </w:r>
      <w:proofErr w:type="gramEnd"/>
      <w:r w:rsidR="001A61F7">
        <w:rPr>
          <w:rFonts w:ascii="Arial" w:hAnsi="Arial" w:cs="Arial"/>
          <w:sz w:val="24"/>
          <w:szCs w:val="24"/>
        </w:rPr>
        <w:t xml:space="preserve"> </w:t>
      </w:r>
      <w:r w:rsidR="005B37B5">
        <w:rPr>
          <w:rFonts w:ascii="Arial" w:hAnsi="Arial" w:cs="Arial"/>
          <w:sz w:val="24"/>
          <w:szCs w:val="24"/>
        </w:rPr>
        <w:t>villages</w:t>
      </w:r>
      <w:r w:rsidR="001A61F7">
        <w:rPr>
          <w:rFonts w:ascii="Arial" w:hAnsi="Arial" w:cs="Arial"/>
          <w:sz w:val="24"/>
          <w:szCs w:val="24"/>
        </w:rPr>
        <w:t xml:space="preserve">. The closure of public houses was noted in several villages as was the closure of convenience stores in West Wittering and Loxwood. In the case of the latter, although the convenience store closed, there is still a local butcher shop which provides a range of fresh food </w:t>
      </w:r>
      <w:r w:rsidR="009762FF">
        <w:rPr>
          <w:rFonts w:ascii="Arial" w:hAnsi="Arial" w:cs="Arial"/>
          <w:sz w:val="24"/>
          <w:szCs w:val="24"/>
        </w:rPr>
        <w:t>and permission has been granted for a retail unit as part of a residential development in the village (although this is not yet implemented). Changes</w:t>
      </w:r>
      <w:r w:rsidR="00523CCD">
        <w:rPr>
          <w:rFonts w:ascii="Arial" w:hAnsi="Arial" w:cs="Arial"/>
          <w:sz w:val="24"/>
          <w:szCs w:val="24"/>
        </w:rPr>
        <w:t xml:space="preserve"> to the frequency of </w:t>
      </w:r>
      <w:r w:rsidR="008E5153">
        <w:rPr>
          <w:rFonts w:ascii="Arial" w:hAnsi="Arial" w:cs="Arial"/>
          <w:sz w:val="24"/>
          <w:szCs w:val="24"/>
        </w:rPr>
        <w:t xml:space="preserve">the </w:t>
      </w:r>
      <w:r w:rsidR="00523CCD">
        <w:rPr>
          <w:rFonts w:ascii="Arial" w:hAnsi="Arial" w:cs="Arial"/>
          <w:sz w:val="24"/>
          <w:szCs w:val="24"/>
        </w:rPr>
        <w:t xml:space="preserve">bus service was noted in West Wittering and Stockbridge (to an hourly or more frequent service) and </w:t>
      </w:r>
      <w:r w:rsidR="00016BA9">
        <w:rPr>
          <w:rFonts w:ascii="Arial" w:hAnsi="Arial" w:cs="Arial"/>
          <w:sz w:val="24"/>
          <w:szCs w:val="24"/>
        </w:rPr>
        <w:t>in settlements in the north east of the Plan Area</w:t>
      </w:r>
      <w:r w:rsidR="00523CCD">
        <w:rPr>
          <w:rFonts w:ascii="Arial" w:hAnsi="Arial" w:cs="Arial"/>
          <w:sz w:val="24"/>
          <w:szCs w:val="24"/>
        </w:rPr>
        <w:t xml:space="preserve"> where</w:t>
      </w:r>
      <w:r w:rsidR="00016BA9">
        <w:rPr>
          <w:rFonts w:ascii="Arial" w:hAnsi="Arial" w:cs="Arial"/>
          <w:sz w:val="24"/>
          <w:szCs w:val="24"/>
        </w:rPr>
        <w:t xml:space="preserve"> the frequency of a bus service was only four days a week.</w:t>
      </w:r>
    </w:p>
    <w:p w14:paraId="1A89A26E" w14:textId="77777777" w:rsidR="00177DFC" w:rsidRDefault="00177DFC" w:rsidP="00177DFC">
      <w:pPr>
        <w:pStyle w:val="ListParagraph"/>
        <w:jc w:val="both"/>
        <w:rPr>
          <w:rFonts w:ascii="Arial" w:hAnsi="Arial" w:cs="Arial"/>
          <w:sz w:val="24"/>
          <w:szCs w:val="24"/>
        </w:rPr>
      </w:pPr>
    </w:p>
    <w:p w14:paraId="79E6294D" w14:textId="56AAAFAF" w:rsidR="005E79AE" w:rsidRDefault="00CC7AAB" w:rsidP="00650903">
      <w:pPr>
        <w:pStyle w:val="ListParagraph"/>
        <w:numPr>
          <w:ilvl w:val="1"/>
          <w:numId w:val="14"/>
        </w:numPr>
        <w:ind w:left="720" w:hanging="720"/>
        <w:jc w:val="both"/>
        <w:rPr>
          <w:rFonts w:ascii="Arial" w:hAnsi="Arial" w:cs="Arial"/>
          <w:sz w:val="24"/>
          <w:szCs w:val="24"/>
        </w:rPr>
      </w:pPr>
      <w:r>
        <w:rPr>
          <w:rFonts w:ascii="Arial" w:hAnsi="Arial" w:cs="Arial"/>
          <w:sz w:val="24"/>
          <w:szCs w:val="24"/>
        </w:rPr>
        <w:t xml:space="preserve">Notwithstanding the above, it is considered that the identification of the </w:t>
      </w:r>
      <w:r w:rsidR="005E79AE" w:rsidRPr="00177DFC">
        <w:rPr>
          <w:rFonts w:ascii="Arial" w:hAnsi="Arial" w:cs="Arial"/>
          <w:sz w:val="24"/>
          <w:szCs w:val="24"/>
        </w:rPr>
        <w:t>following settlements as Service Villages</w:t>
      </w:r>
      <w:r>
        <w:rPr>
          <w:rFonts w:ascii="Arial" w:hAnsi="Arial" w:cs="Arial"/>
          <w:sz w:val="24"/>
          <w:szCs w:val="24"/>
        </w:rPr>
        <w:t xml:space="preserve"> remains appropriate</w:t>
      </w:r>
      <w:r w:rsidR="005E79AE" w:rsidRPr="00177DFC">
        <w:rPr>
          <w:rFonts w:ascii="Arial" w:hAnsi="Arial" w:cs="Arial"/>
          <w:sz w:val="24"/>
          <w:szCs w:val="24"/>
        </w:rPr>
        <w:t xml:space="preserve">: Birdham, Bosham &amp; Broadbridge, Boxgrove, </w:t>
      </w:r>
      <w:proofErr w:type="spellStart"/>
      <w:r w:rsidR="005E79AE" w:rsidRPr="00177DFC">
        <w:rPr>
          <w:rFonts w:ascii="Arial" w:hAnsi="Arial" w:cs="Arial"/>
          <w:sz w:val="24"/>
          <w:szCs w:val="24"/>
        </w:rPr>
        <w:t>Camelsdale</w:t>
      </w:r>
      <w:proofErr w:type="spellEnd"/>
      <w:r w:rsidR="005E79AE" w:rsidRPr="00177DFC">
        <w:rPr>
          <w:rFonts w:ascii="Arial" w:hAnsi="Arial" w:cs="Arial"/>
          <w:sz w:val="24"/>
          <w:szCs w:val="24"/>
        </w:rPr>
        <w:t xml:space="preserve"> &amp; Hammer, Fishbourne, Hambrook &amp; Nutbourne, </w:t>
      </w:r>
      <w:r w:rsidR="00FD4313" w:rsidRPr="00177DFC">
        <w:rPr>
          <w:rFonts w:ascii="Arial" w:hAnsi="Arial" w:cs="Arial"/>
          <w:sz w:val="24"/>
          <w:szCs w:val="24"/>
        </w:rPr>
        <w:t>Hermitage</w:t>
      </w:r>
      <w:r w:rsidR="0020078A" w:rsidRPr="00177DFC">
        <w:rPr>
          <w:rStyle w:val="FootnoteReference"/>
          <w:rFonts w:ascii="Arial" w:hAnsi="Arial" w:cs="Arial"/>
          <w:sz w:val="24"/>
          <w:szCs w:val="24"/>
        </w:rPr>
        <w:footnoteReference w:id="3"/>
      </w:r>
      <w:r w:rsidR="00FD4313" w:rsidRPr="00177DFC">
        <w:rPr>
          <w:rFonts w:ascii="Arial" w:hAnsi="Arial" w:cs="Arial"/>
          <w:sz w:val="24"/>
          <w:szCs w:val="24"/>
        </w:rPr>
        <w:t xml:space="preserve">, Hunston, Kirdford, Loxwood, North Mundham &amp; Runcton, </w:t>
      </w:r>
      <w:r w:rsidR="00FD4313" w:rsidRPr="00177DFC">
        <w:rPr>
          <w:rFonts w:ascii="Arial" w:hAnsi="Arial" w:cs="Arial"/>
          <w:sz w:val="24"/>
          <w:szCs w:val="24"/>
        </w:rPr>
        <w:lastRenderedPageBreak/>
        <w:t>Plaistow &amp; Ifold, Stockbridge, West Wittering, Westbourne, Westhampnett and Wisborough Green</w:t>
      </w:r>
      <w:r w:rsidR="00FD4313" w:rsidRPr="00177DFC">
        <w:rPr>
          <w:rStyle w:val="FootnoteReference"/>
          <w:rFonts w:ascii="Arial" w:hAnsi="Arial" w:cs="Arial"/>
          <w:sz w:val="24"/>
          <w:szCs w:val="24"/>
        </w:rPr>
        <w:footnoteReference w:id="4"/>
      </w:r>
      <w:r w:rsidR="00FD4313" w:rsidRPr="00177DFC">
        <w:rPr>
          <w:rFonts w:ascii="Arial" w:hAnsi="Arial" w:cs="Arial"/>
          <w:sz w:val="24"/>
          <w:szCs w:val="24"/>
        </w:rPr>
        <w:t>.</w:t>
      </w:r>
    </w:p>
    <w:p w14:paraId="41E015B1" w14:textId="77777777" w:rsidR="005E79AE" w:rsidRPr="00177DFC" w:rsidRDefault="005E79AE" w:rsidP="00D00973">
      <w:pPr>
        <w:spacing w:after="0"/>
        <w:ind w:firstLine="720"/>
        <w:rPr>
          <w:rFonts w:ascii="Arial" w:hAnsi="Arial" w:cs="Arial"/>
          <w:sz w:val="24"/>
          <w:szCs w:val="24"/>
          <w:u w:val="single"/>
        </w:rPr>
      </w:pPr>
      <w:r w:rsidRPr="00177DFC">
        <w:rPr>
          <w:rFonts w:ascii="Arial" w:hAnsi="Arial" w:cs="Arial"/>
          <w:sz w:val="24"/>
          <w:szCs w:val="24"/>
          <w:u w:val="single"/>
        </w:rPr>
        <w:t>Rest of the Plan Area</w:t>
      </w:r>
    </w:p>
    <w:p w14:paraId="1CEF4FF5" w14:textId="77777777" w:rsidR="006245CD" w:rsidRPr="006245CD" w:rsidRDefault="006245CD" w:rsidP="006245CD">
      <w:pPr>
        <w:pStyle w:val="ListParagraph"/>
        <w:numPr>
          <w:ilvl w:val="0"/>
          <w:numId w:val="15"/>
        </w:numPr>
        <w:jc w:val="both"/>
        <w:rPr>
          <w:rFonts w:ascii="Arial" w:hAnsi="Arial" w:cs="Arial"/>
          <w:vanish/>
          <w:sz w:val="24"/>
          <w:szCs w:val="24"/>
        </w:rPr>
      </w:pPr>
    </w:p>
    <w:p w14:paraId="2B9BC01A" w14:textId="77777777" w:rsidR="006245CD" w:rsidRPr="006245CD" w:rsidRDefault="006245CD" w:rsidP="006245CD">
      <w:pPr>
        <w:pStyle w:val="ListParagraph"/>
        <w:numPr>
          <w:ilvl w:val="0"/>
          <w:numId w:val="15"/>
        </w:numPr>
        <w:jc w:val="both"/>
        <w:rPr>
          <w:rFonts w:ascii="Arial" w:hAnsi="Arial" w:cs="Arial"/>
          <w:vanish/>
          <w:sz w:val="24"/>
          <w:szCs w:val="24"/>
        </w:rPr>
      </w:pPr>
    </w:p>
    <w:p w14:paraId="64F5D7AF" w14:textId="77777777" w:rsidR="006245CD" w:rsidRPr="006245CD" w:rsidRDefault="006245CD" w:rsidP="006245CD">
      <w:pPr>
        <w:pStyle w:val="ListParagraph"/>
        <w:numPr>
          <w:ilvl w:val="0"/>
          <w:numId w:val="15"/>
        </w:numPr>
        <w:jc w:val="both"/>
        <w:rPr>
          <w:rFonts w:ascii="Arial" w:hAnsi="Arial" w:cs="Arial"/>
          <w:vanish/>
          <w:sz w:val="24"/>
          <w:szCs w:val="24"/>
        </w:rPr>
      </w:pPr>
    </w:p>
    <w:p w14:paraId="74E3F307" w14:textId="77777777" w:rsidR="006245CD" w:rsidRPr="006245CD" w:rsidRDefault="006245CD" w:rsidP="006245CD">
      <w:pPr>
        <w:pStyle w:val="ListParagraph"/>
        <w:numPr>
          <w:ilvl w:val="0"/>
          <w:numId w:val="15"/>
        </w:numPr>
        <w:jc w:val="both"/>
        <w:rPr>
          <w:rFonts w:ascii="Arial" w:hAnsi="Arial" w:cs="Arial"/>
          <w:vanish/>
          <w:sz w:val="24"/>
          <w:szCs w:val="24"/>
        </w:rPr>
      </w:pPr>
    </w:p>
    <w:p w14:paraId="620B07F7" w14:textId="77777777" w:rsidR="006245CD" w:rsidRPr="006245CD" w:rsidRDefault="006245CD" w:rsidP="006245CD">
      <w:pPr>
        <w:pStyle w:val="ListParagraph"/>
        <w:numPr>
          <w:ilvl w:val="0"/>
          <w:numId w:val="15"/>
        </w:numPr>
        <w:jc w:val="both"/>
        <w:rPr>
          <w:rFonts w:ascii="Arial" w:hAnsi="Arial" w:cs="Arial"/>
          <w:vanish/>
          <w:sz w:val="24"/>
          <w:szCs w:val="24"/>
        </w:rPr>
      </w:pPr>
    </w:p>
    <w:p w14:paraId="3C098D64" w14:textId="77777777" w:rsidR="006245CD" w:rsidRPr="006245CD" w:rsidRDefault="006245CD" w:rsidP="006245CD">
      <w:pPr>
        <w:pStyle w:val="ListParagraph"/>
        <w:numPr>
          <w:ilvl w:val="1"/>
          <w:numId w:val="15"/>
        </w:numPr>
        <w:jc w:val="both"/>
        <w:rPr>
          <w:rFonts w:ascii="Arial" w:hAnsi="Arial" w:cs="Arial"/>
          <w:vanish/>
          <w:sz w:val="24"/>
          <w:szCs w:val="24"/>
        </w:rPr>
      </w:pPr>
    </w:p>
    <w:p w14:paraId="791C9B55" w14:textId="77777777" w:rsidR="006245CD" w:rsidRPr="006245CD" w:rsidRDefault="006245CD" w:rsidP="006245CD">
      <w:pPr>
        <w:pStyle w:val="ListParagraph"/>
        <w:numPr>
          <w:ilvl w:val="1"/>
          <w:numId w:val="15"/>
        </w:numPr>
        <w:jc w:val="both"/>
        <w:rPr>
          <w:rFonts w:ascii="Arial" w:hAnsi="Arial" w:cs="Arial"/>
          <w:vanish/>
          <w:sz w:val="24"/>
          <w:szCs w:val="24"/>
        </w:rPr>
      </w:pPr>
    </w:p>
    <w:p w14:paraId="2161E7AF" w14:textId="77777777" w:rsidR="006245CD" w:rsidRPr="006245CD" w:rsidRDefault="006245CD" w:rsidP="006245CD">
      <w:pPr>
        <w:pStyle w:val="ListParagraph"/>
        <w:numPr>
          <w:ilvl w:val="1"/>
          <w:numId w:val="15"/>
        </w:numPr>
        <w:jc w:val="both"/>
        <w:rPr>
          <w:rFonts w:ascii="Arial" w:hAnsi="Arial" w:cs="Arial"/>
          <w:vanish/>
          <w:sz w:val="24"/>
          <w:szCs w:val="24"/>
        </w:rPr>
      </w:pPr>
    </w:p>
    <w:p w14:paraId="191A363F" w14:textId="77777777" w:rsidR="006245CD" w:rsidRPr="006245CD" w:rsidRDefault="006245CD" w:rsidP="006245CD">
      <w:pPr>
        <w:pStyle w:val="ListParagraph"/>
        <w:numPr>
          <w:ilvl w:val="1"/>
          <w:numId w:val="15"/>
        </w:numPr>
        <w:jc w:val="both"/>
        <w:rPr>
          <w:rFonts w:ascii="Arial" w:hAnsi="Arial" w:cs="Arial"/>
          <w:vanish/>
          <w:sz w:val="24"/>
          <w:szCs w:val="24"/>
        </w:rPr>
      </w:pPr>
    </w:p>
    <w:p w14:paraId="16A807AC" w14:textId="77777777" w:rsidR="006245CD" w:rsidRPr="006245CD" w:rsidRDefault="006245CD" w:rsidP="006245CD">
      <w:pPr>
        <w:pStyle w:val="ListParagraph"/>
        <w:numPr>
          <w:ilvl w:val="1"/>
          <w:numId w:val="15"/>
        </w:numPr>
        <w:jc w:val="both"/>
        <w:rPr>
          <w:rFonts w:ascii="Arial" w:hAnsi="Arial" w:cs="Arial"/>
          <w:vanish/>
          <w:sz w:val="24"/>
          <w:szCs w:val="24"/>
        </w:rPr>
      </w:pPr>
    </w:p>
    <w:p w14:paraId="41679E71" w14:textId="77777777" w:rsidR="006245CD" w:rsidRPr="006245CD" w:rsidRDefault="006245CD" w:rsidP="006245CD">
      <w:pPr>
        <w:pStyle w:val="ListParagraph"/>
        <w:numPr>
          <w:ilvl w:val="1"/>
          <w:numId w:val="15"/>
        </w:numPr>
        <w:jc w:val="both"/>
        <w:rPr>
          <w:rFonts w:ascii="Arial" w:hAnsi="Arial" w:cs="Arial"/>
          <w:vanish/>
          <w:sz w:val="24"/>
          <w:szCs w:val="24"/>
        </w:rPr>
      </w:pPr>
    </w:p>
    <w:p w14:paraId="1A532DCA" w14:textId="77777777" w:rsidR="006245CD" w:rsidRPr="006245CD" w:rsidRDefault="006245CD" w:rsidP="006245CD">
      <w:pPr>
        <w:pStyle w:val="ListParagraph"/>
        <w:numPr>
          <w:ilvl w:val="1"/>
          <w:numId w:val="15"/>
        </w:numPr>
        <w:jc w:val="both"/>
        <w:rPr>
          <w:rFonts w:ascii="Arial" w:hAnsi="Arial" w:cs="Arial"/>
          <w:vanish/>
          <w:sz w:val="24"/>
          <w:szCs w:val="24"/>
        </w:rPr>
      </w:pPr>
    </w:p>
    <w:p w14:paraId="04E42B46" w14:textId="77777777" w:rsidR="006245CD" w:rsidRPr="006245CD" w:rsidRDefault="006245CD" w:rsidP="006245CD">
      <w:pPr>
        <w:pStyle w:val="ListParagraph"/>
        <w:numPr>
          <w:ilvl w:val="1"/>
          <w:numId w:val="15"/>
        </w:numPr>
        <w:jc w:val="both"/>
        <w:rPr>
          <w:rFonts w:ascii="Arial" w:hAnsi="Arial" w:cs="Arial"/>
          <w:vanish/>
          <w:sz w:val="24"/>
          <w:szCs w:val="24"/>
        </w:rPr>
      </w:pPr>
    </w:p>
    <w:p w14:paraId="167796E8" w14:textId="20CBCF24" w:rsidR="00CC7AAB" w:rsidRDefault="005E79AE" w:rsidP="006245CD">
      <w:pPr>
        <w:pStyle w:val="ListParagraph"/>
        <w:numPr>
          <w:ilvl w:val="1"/>
          <w:numId w:val="15"/>
        </w:numPr>
        <w:ind w:left="720" w:hanging="720"/>
        <w:jc w:val="both"/>
        <w:rPr>
          <w:rFonts w:ascii="Arial" w:hAnsi="Arial" w:cs="Arial"/>
          <w:sz w:val="24"/>
          <w:szCs w:val="24"/>
        </w:rPr>
      </w:pPr>
      <w:r w:rsidRPr="001D3D76">
        <w:rPr>
          <w:rFonts w:ascii="Arial" w:hAnsi="Arial" w:cs="Arial"/>
          <w:sz w:val="24"/>
          <w:szCs w:val="24"/>
        </w:rPr>
        <w:t>The settlements within the Rest of the Plan Area</w:t>
      </w:r>
      <w:r w:rsidR="000D158A" w:rsidRPr="001D3D76">
        <w:rPr>
          <w:rFonts w:ascii="Arial" w:hAnsi="Arial" w:cs="Arial"/>
          <w:sz w:val="24"/>
          <w:szCs w:val="24"/>
        </w:rPr>
        <w:t xml:space="preserve">, such as West Itchenor, </w:t>
      </w:r>
      <w:proofErr w:type="spellStart"/>
      <w:r w:rsidR="000D158A" w:rsidRPr="001D3D76">
        <w:rPr>
          <w:rFonts w:ascii="Arial" w:hAnsi="Arial" w:cs="Arial"/>
          <w:sz w:val="24"/>
          <w:szCs w:val="24"/>
        </w:rPr>
        <w:t>Apuldram</w:t>
      </w:r>
      <w:proofErr w:type="spellEnd"/>
      <w:r w:rsidR="000D158A" w:rsidRPr="001D3D76">
        <w:rPr>
          <w:rFonts w:ascii="Arial" w:hAnsi="Arial" w:cs="Arial"/>
          <w:sz w:val="24"/>
          <w:szCs w:val="24"/>
        </w:rPr>
        <w:t xml:space="preserve"> and </w:t>
      </w:r>
      <w:proofErr w:type="spellStart"/>
      <w:r w:rsidR="000D158A" w:rsidRPr="001D3D76">
        <w:rPr>
          <w:rFonts w:ascii="Arial" w:hAnsi="Arial" w:cs="Arial"/>
          <w:sz w:val="24"/>
          <w:szCs w:val="24"/>
        </w:rPr>
        <w:t>Sidlesham</w:t>
      </w:r>
      <w:proofErr w:type="spellEnd"/>
      <w:r w:rsidR="000D158A" w:rsidRPr="001D3D76">
        <w:rPr>
          <w:rFonts w:ascii="Arial" w:hAnsi="Arial" w:cs="Arial"/>
          <w:sz w:val="24"/>
          <w:szCs w:val="24"/>
        </w:rPr>
        <w:t>,</w:t>
      </w:r>
      <w:r w:rsidRPr="001D3D76">
        <w:rPr>
          <w:rFonts w:ascii="Arial" w:hAnsi="Arial" w:cs="Arial"/>
          <w:sz w:val="24"/>
          <w:szCs w:val="24"/>
        </w:rPr>
        <w:t xml:space="preserve"> </w:t>
      </w:r>
      <w:r w:rsidR="00CC7AAB" w:rsidRPr="001D3D76">
        <w:rPr>
          <w:rFonts w:ascii="Arial" w:hAnsi="Arial" w:cs="Arial"/>
          <w:sz w:val="24"/>
          <w:szCs w:val="24"/>
        </w:rPr>
        <w:t xml:space="preserve">either </w:t>
      </w:r>
      <w:r w:rsidRPr="001D3D76">
        <w:rPr>
          <w:rFonts w:ascii="Arial" w:hAnsi="Arial" w:cs="Arial"/>
          <w:sz w:val="24"/>
          <w:szCs w:val="24"/>
        </w:rPr>
        <w:t>do not contain the range of facilities and services to be classified as sustainable</w:t>
      </w:r>
      <w:r w:rsidR="00CC7AAB" w:rsidRPr="001D3D76">
        <w:rPr>
          <w:rFonts w:ascii="Arial" w:hAnsi="Arial" w:cs="Arial"/>
          <w:sz w:val="24"/>
          <w:szCs w:val="24"/>
        </w:rPr>
        <w:t xml:space="preserve"> or do not have </w:t>
      </w:r>
      <w:r w:rsidR="00CC7AAB" w:rsidRPr="001D3D76">
        <w:rPr>
          <w:rFonts w:ascii="Arial" w:hAnsi="Arial" w:cs="Arial"/>
          <w:bCs/>
          <w:sz w:val="24"/>
          <w:szCs w:val="24"/>
        </w:rPr>
        <w:t>a well</w:t>
      </w:r>
      <w:r w:rsidR="000746F7">
        <w:rPr>
          <w:rFonts w:ascii="Arial" w:hAnsi="Arial" w:cs="Arial"/>
          <w:bCs/>
          <w:sz w:val="24"/>
          <w:szCs w:val="24"/>
        </w:rPr>
        <w:t>-</w:t>
      </w:r>
      <w:r w:rsidR="00CC7AAB" w:rsidRPr="001D3D76">
        <w:rPr>
          <w:rFonts w:ascii="Arial" w:hAnsi="Arial" w:cs="Arial"/>
          <w:bCs/>
          <w:sz w:val="24"/>
          <w:szCs w:val="24"/>
        </w:rPr>
        <w:t>defined built up area with facilities spread apart</w:t>
      </w:r>
      <w:r w:rsidR="001D3D76" w:rsidRPr="001D3D76">
        <w:rPr>
          <w:rFonts w:ascii="Arial" w:hAnsi="Arial" w:cs="Arial"/>
          <w:bCs/>
          <w:sz w:val="24"/>
          <w:szCs w:val="24"/>
        </w:rPr>
        <w:t>. T</w:t>
      </w:r>
      <w:r w:rsidRPr="001D3D76">
        <w:rPr>
          <w:rFonts w:ascii="Arial" w:hAnsi="Arial" w:cs="Arial"/>
          <w:sz w:val="24"/>
          <w:szCs w:val="24"/>
        </w:rPr>
        <w:t xml:space="preserve">hese settlements </w:t>
      </w:r>
      <w:proofErr w:type="gramStart"/>
      <w:r w:rsidR="00137070" w:rsidRPr="001D3D76">
        <w:rPr>
          <w:rFonts w:ascii="Arial" w:hAnsi="Arial" w:cs="Arial"/>
          <w:sz w:val="24"/>
          <w:szCs w:val="24"/>
        </w:rPr>
        <w:t xml:space="preserve">are considered </w:t>
      </w:r>
      <w:r w:rsidR="008E5153">
        <w:rPr>
          <w:rFonts w:ascii="Arial" w:hAnsi="Arial" w:cs="Arial"/>
          <w:sz w:val="24"/>
          <w:szCs w:val="24"/>
        </w:rPr>
        <w:t>to be</w:t>
      </w:r>
      <w:proofErr w:type="gramEnd"/>
      <w:r w:rsidR="008E5153">
        <w:rPr>
          <w:rFonts w:ascii="Arial" w:hAnsi="Arial" w:cs="Arial"/>
          <w:sz w:val="24"/>
          <w:szCs w:val="24"/>
        </w:rPr>
        <w:t xml:space="preserve"> </w:t>
      </w:r>
      <w:r w:rsidR="00137070" w:rsidRPr="001D3D76">
        <w:rPr>
          <w:rFonts w:ascii="Arial" w:hAnsi="Arial" w:cs="Arial"/>
          <w:sz w:val="24"/>
          <w:szCs w:val="24"/>
        </w:rPr>
        <w:t xml:space="preserve">within open countryside where development is strictly controlled and subject to the </w:t>
      </w:r>
      <w:r w:rsidR="001D3D76" w:rsidRPr="001D3D76">
        <w:rPr>
          <w:rFonts w:ascii="Arial" w:hAnsi="Arial" w:cs="Arial"/>
          <w:sz w:val="24"/>
          <w:szCs w:val="24"/>
        </w:rPr>
        <w:t xml:space="preserve">relevant </w:t>
      </w:r>
      <w:r w:rsidR="00137070" w:rsidRPr="001D3D76">
        <w:rPr>
          <w:rFonts w:ascii="Arial" w:hAnsi="Arial" w:cs="Arial"/>
          <w:sz w:val="24"/>
          <w:szCs w:val="24"/>
        </w:rPr>
        <w:t>countryside policies of the Local Pla</w:t>
      </w:r>
      <w:r w:rsidR="001D3D76">
        <w:rPr>
          <w:rFonts w:ascii="Arial" w:hAnsi="Arial" w:cs="Arial"/>
          <w:sz w:val="24"/>
          <w:szCs w:val="24"/>
        </w:rPr>
        <w:t>n.</w:t>
      </w:r>
    </w:p>
    <w:p w14:paraId="14DEDE2D" w14:textId="3AB7D4DA" w:rsidR="00CC7AAB" w:rsidRPr="0051495C" w:rsidRDefault="001D3D76" w:rsidP="00413BC1">
      <w:pPr>
        <w:pStyle w:val="Heading1"/>
        <w:numPr>
          <w:ilvl w:val="0"/>
          <w:numId w:val="15"/>
        </w:numPr>
        <w:ind w:left="709" w:hanging="709"/>
        <w:rPr>
          <w:rFonts w:ascii="Arial" w:hAnsi="Arial" w:cs="Arial"/>
          <w:b/>
          <w:bCs/>
          <w:color w:val="0073CF"/>
          <w:sz w:val="28"/>
          <w:szCs w:val="28"/>
        </w:rPr>
      </w:pPr>
      <w:bookmarkStart w:id="9" w:name="_Toc167289634"/>
      <w:r w:rsidRPr="0051495C">
        <w:rPr>
          <w:rFonts w:ascii="Arial" w:hAnsi="Arial" w:cs="Arial"/>
          <w:b/>
          <w:bCs/>
          <w:color w:val="0073CF"/>
          <w:sz w:val="28"/>
          <w:szCs w:val="28"/>
        </w:rPr>
        <w:t xml:space="preserve">Proposed </w:t>
      </w:r>
      <w:r w:rsidR="00CC7AAB" w:rsidRPr="0051495C">
        <w:rPr>
          <w:rFonts w:ascii="Arial" w:hAnsi="Arial" w:cs="Arial"/>
          <w:b/>
          <w:bCs/>
          <w:color w:val="0073CF"/>
          <w:sz w:val="28"/>
          <w:szCs w:val="28"/>
        </w:rPr>
        <w:t>Settlement Hierarchy</w:t>
      </w:r>
      <w:bookmarkEnd w:id="9"/>
    </w:p>
    <w:p w14:paraId="4D8C4D8D" w14:textId="77777777" w:rsidR="0037209B" w:rsidRPr="00CC7AAB" w:rsidRDefault="0037209B" w:rsidP="0037209B">
      <w:pPr>
        <w:pStyle w:val="ListParagraph"/>
        <w:spacing w:after="0"/>
        <w:jc w:val="both"/>
        <w:rPr>
          <w:rFonts w:ascii="Arial" w:hAnsi="Arial" w:cs="Arial"/>
          <w:b/>
          <w:bCs/>
          <w:sz w:val="24"/>
          <w:szCs w:val="24"/>
        </w:rPr>
      </w:pPr>
    </w:p>
    <w:p w14:paraId="2217AA83" w14:textId="5E4FC717" w:rsidR="00914975" w:rsidRDefault="000F19E1" w:rsidP="00CC7AAB">
      <w:pPr>
        <w:pStyle w:val="ListParagraph"/>
        <w:numPr>
          <w:ilvl w:val="1"/>
          <w:numId w:val="15"/>
        </w:numPr>
        <w:ind w:left="720" w:hanging="720"/>
        <w:jc w:val="both"/>
        <w:rPr>
          <w:rFonts w:ascii="Arial" w:hAnsi="Arial" w:cs="Arial"/>
          <w:sz w:val="24"/>
          <w:szCs w:val="24"/>
        </w:rPr>
      </w:pPr>
      <w:r w:rsidRPr="00CC7AAB">
        <w:rPr>
          <w:rFonts w:ascii="Arial" w:hAnsi="Arial" w:cs="Arial"/>
          <w:sz w:val="24"/>
          <w:szCs w:val="24"/>
        </w:rPr>
        <w:t xml:space="preserve">The </w:t>
      </w:r>
      <w:r w:rsidR="001D3D76">
        <w:rPr>
          <w:rFonts w:ascii="Arial" w:hAnsi="Arial" w:cs="Arial"/>
          <w:sz w:val="24"/>
          <w:szCs w:val="24"/>
        </w:rPr>
        <w:t xml:space="preserve">proposed </w:t>
      </w:r>
      <w:r w:rsidRPr="00CC7AAB">
        <w:rPr>
          <w:rFonts w:ascii="Arial" w:hAnsi="Arial" w:cs="Arial"/>
          <w:sz w:val="24"/>
          <w:szCs w:val="24"/>
        </w:rPr>
        <w:t>settlement hierarchy</w:t>
      </w:r>
      <w:r w:rsidR="001D3D76">
        <w:rPr>
          <w:rFonts w:ascii="Arial" w:hAnsi="Arial" w:cs="Arial"/>
          <w:sz w:val="24"/>
          <w:szCs w:val="24"/>
        </w:rPr>
        <w:t xml:space="preserve"> to be included in the Local Plan</w:t>
      </w:r>
      <w:r w:rsidRPr="00CC7AAB">
        <w:rPr>
          <w:rFonts w:ascii="Arial" w:hAnsi="Arial" w:cs="Arial"/>
          <w:sz w:val="24"/>
          <w:szCs w:val="24"/>
        </w:rPr>
        <w:t xml:space="preserve">, with the associated scale of development for each hierarchy designation, is </w:t>
      </w:r>
      <w:r w:rsidR="00CC7AAB">
        <w:rPr>
          <w:rFonts w:ascii="Arial" w:hAnsi="Arial" w:cs="Arial"/>
          <w:sz w:val="24"/>
          <w:szCs w:val="24"/>
        </w:rPr>
        <w:t>set out below</w:t>
      </w:r>
      <w:r w:rsidRPr="00CC7AAB">
        <w:rPr>
          <w:rFonts w:ascii="Arial" w:hAnsi="Arial" w:cs="Arial"/>
          <w:sz w:val="24"/>
          <w:szCs w:val="24"/>
        </w:rPr>
        <w:t xml:space="preserve">. </w:t>
      </w:r>
    </w:p>
    <w:p w14:paraId="3085BCC0" w14:textId="77777777" w:rsidR="006245CD" w:rsidRDefault="006245CD" w:rsidP="006245CD">
      <w:pPr>
        <w:pStyle w:val="ListParagraph"/>
        <w:jc w:val="both"/>
        <w:rPr>
          <w:rFonts w:ascii="Arial" w:hAnsi="Arial" w:cs="Arial"/>
          <w:sz w:val="24"/>
          <w:szCs w:val="24"/>
        </w:rPr>
      </w:pPr>
    </w:p>
    <w:tbl>
      <w:tblPr>
        <w:tblStyle w:val="TableGrid"/>
        <w:tblW w:w="0" w:type="auto"/>
        <w:tblInd w:w="828" w:type="dxa"/>
        <w:tblLook w:val="04A0" w:firstRow="1" w:lastRow="0" w:firstColumn="1" w:lastColumn="0" w:noHBand="0" w:noVBand="1"/>
      </w:tblPr>
      <w:tblGrid>
        <w:gridCol w:w="9026"/>
      </w:tblGrid>
      <w:tr w:rsidR="0092729E" w:rsidRPr="006245CD" w14:paraId="1030CBEB" w14:textId="77777777" w:rsidTr="0092729E">
        <w:tc>
          <w:tcPr>
            <w:tcW w:w="9450" w:type="dxa"/>
            <w:shd w:val="clear" w:color="auto" w:fill="8064A2" w:themeFill="accent4"/>
          </w:tcPr>
          <w:p w14:paraId="3D8F2E3D" w14:textId="32D3F765" w:rsidR="00C05A38" w:rsidRPr="006245CD" w:rsidRDefault="00C05A38" w:rsidP="001D3D76">
            <w:pPr>
              <w:pStyle w:val="ListParagraph"/>
              <w:ind w:left="0"/>
              <w:jc w:val="both"/>
              <w:rPr>
                <w:rFonts w:ascii="Arial" w:hAnsi="Arial" w:cs="Arial"/>
                <w:color w:val="FFFFFF" w:themeColor="background1"/>
                <w:sz w:val="20"/>
                <w:szCs w:val="20"/>
              </w:rPr>
            </w:pPr>
            <w:r w:rsidRPr="006245CD">
              <w:rPr>
                <w:rFonts w:ascii="Arial" w:hAnsi="Arial" w:cs="Arial"/>
                <w:color w:val="FFFFFF" w:themeColor="background1"/>
                <w:sz w:val="20"/>
                <w:szCs w:val="20"/>
              </w:rPr>
              <w:t>Sub Regional Centre</w:t>
            </w:r>
          </w:p>
        </w:tc>
      </w:tr>
      <w:tr w:rsidR="00C05A38" w:rsidRPr="006245CD" w14:paraId="49BF8F3B" w14:textId="77777777" w:rsidTr="00C05A38">
        <w:tc>
          <w:tcPr>
            <w:tcW w:w="9450" w:type="dxa"/>
          </w:tcPr>
          <w:p w14:paraId="3B0BBBAE" w14:textId="40AEC856" w:rsidR="00C05A38" w:rsidRPr="006245CD" w:rsidRDefault="00C05A38" w:rsidP="001D3D76">
            <w:pPr>
              <w:pStyle w:val="ListParagraph"/>
              <w:ind w:left="0"/>
              <w:jc w:val="both"/>
              <w:rPr>
                <w:rFonts w:ascii="Arial" w:hAnsi="Arial" w:cs="Arial"/>
                <w:sz w:val="20"/>
                <w:szCs w:val="20"/>
              </w:rPr>
            </w:pPr>
            <w:r w:rsidRPr="006245CD">
              <w:rPr>
                <w:rFonts w:ascii="Arial" w:hAnsi="Arial" w:cs="Arial"/>
                <w:sz w:val="20"/>
                <w:szCs w:val="20"/>
              </w:rPr>
              <w:t>Chichester</w:t>
            </w:r>
          </w:p>
        </w:tc>
      </w:tr>
      <w:tr w:rsidR="0092729E" w:rsidRPr="006245CD" w14:paraId="7173C2A1" w14:textId="77777777" w:rsidTr="0092729E">
        <w:tc>
          <w:tcPr>
            <w:tcW w:w="9450" w:type="dxa"/>
            <w:shd w:val="clear" w:color="auto" w:fill="8064A2" w:themeFill="accent4"/>
          </w:tcPr>
          <w:p w14:paraId="54E6A519" w14:textId="6B916F88" w:rsidR="00C05A38" w:rsidRPr="006245CD" w:rsidRDefault="00C05A38" w:rsidP="001D3D76">
            <w:pPr>
              <w:pStyle w:val="ListParagraph"/>
              <w:ind w:left="0"/>
              <w:jc w:val="both"/>
              <w:rPr>
                <w:rFonts w:ascii="Arial" w:hAnsi="Arial" w:cs="Arial"/>
                <w:color w:val="FFFFFF" w:themeColor="background1"/>
                <w:sz w:val="20"/>
                <w:szCs w:val="20"/>
              </w:rPr>
            </w:pPr>
            <w:r w:rsidRPr="006245CD">
              <w:rPr>
                <w:rFonts w:ascii="Arial" w:hAnsi="Arial" w:cs="Arial"/>
                <w:color w:val="FFFFFF" w:themeColor="background1"/>
                <w:sz w:val="20"/>
                <w:szCs w:val="20"/>
              </w:rPr>
              <w:t>Settlement Hub</w:t>
            </w:r>
          </w:p>
        </w:tc>
      </w:tr>
      <w:tr w:rsidR="00C05A38" w:rsidRPr="006245CD" w14:paraId="618131A6" w14:textId="77777777" w:rsidTr="00C05A38">
        <w:tc>
          <w:tcPr>
            <w:tcW w:w="9450" w:type="dxa"/>
          </w:tcPr>
          <w:p w14:paraId="00FE9334" w14:textId="34AD723D" w:rsidR="00C05A38" w:rsidRPr="006245CD" w:rsidRDefault="00C05A38" w:rsidP="001D3D76">
            <w:pPr>
              <w:pStyle w:val="ListParagraph"/>
              <w:ind w:left="0"/>
              <w:jc w:val="both"/>
              <w:rPr>
                <w:rFonts w:ascii="Arial" w:hAnsi="Arial" w:cs="Arial"/>
                <w:sz w:val="20"/>
                <w:szCs w:val="20"/>
              </w:rPr>
            </w:pPr>
            <w:r w:rsidRPr="006245CD">
              <w:rPr>
                <w:rFonts w:ascii="Arial" w:hAnsi="Arial" w:cs="Arial"/>
                <w:sz w:val="20"/>
                <w:szCs w:val="20"/>
              </w:rPr>
              <w:t>Selsey, East Wittering/Bracklesham, Tangmere, Southbourne</w:t>
            </w:r>
          </w:p>
        </w:tc>
      </w:tr>
      <w:tr w:rsidR="0092729E" w:rsidRPr="006245CD" w14:paraId="55492275" w14:textId="77777777" w:rsidTr="0092729E">
        <w:tc>
          <w:tcPr>
            <w:tcW w:w="9450" w:type="dxa"/>
            <w:shd w:val="clear" w:color="auto" w:fill="8064A2" w:themeFill="accent4"/>
          </w:tcPr>
          <w:p w14:paraId="2DCB3F6F" w14:textId="518991E4" w:rsidR="00C05A38" w:rsidRPr="006245CD" w:rsidRDefault="00C05A38" w:rsidP="001D3D76">
            <w:pPr>
              <w:pStyle w:val="ListParagraph"/>
              <w:ind w:left="0"/>
              <w:jc w:val="both"/>
              <w:rPr>
                <w:rFonts w:ascii="Arial" w:hAnsi="Arial" w:cs="Arial"/>
                <w:color w:val="FFFFFF" w:themeColor="background1"/>
                <w:sz w:val="20"/>
                <w:szCs w:val="20"/>
              </w:rPr>
            </w:pPr>
            <w:r w:rsidRPr="006245CD">
              <w:rPr>
                <w:rFonts w:ascii="Arial" w:hAnsi="Arial" w:cs="Arial"/>
                <w:color w:val="FFFFFF" w:themeColor="background1"/>
                <w:sz w:val="20"/>
                <w:szCs w:val="20"/>
              </w:rPr>
              <w:t>Service Villages</w:t>
            </w:r>
          </w:p>
        </w:tc>
      </w:tr>
      <w:tr w:rsidR="00C05A38" w:rsidRPr="006245CD" w14:paraId="0C9ACF8F" w14:textId="77777777" w:rsidTr="00C05A38">
        <w:tc>
          <w:tcPr>
            <w:tcW w:w="9450" w:type="dxa"/>
          </w:tcPr>
          <w:p w14:paraId="4C66F4FC" w14:textId="7338CCC1" w:rsidR="00C05A38" w:rsidRPr="006245CD" w:rsidRDefault="00C05A38" w:rsidP="001D3D76">
            <w:pPr>
              <w:pStyle w:val="ListParagraph"/>
              <w:ind w:left="0"/>
              <w:jc w:val="both"/>
              <w:rPr>
                <w:rFonts w:ascii="Arial" w:hAnsi="Arial" w:cs="Arial"/>
                <w:sz w:val="20"/>
                <w:szCs w:val="20"/>
              </w:rPr>
            </w:pPr>
            <w:r w:rsidRPr="006245CD">
              <w:rPr>
                <w:rFonts w:ascii="Arial" w:hAnsi="Arial" w:cs="Arial"/>
                <w:sz w:val="20"/>
                <w:szCs w:val="20"/>
              </w:rPr>
              <w:t xml:space="preserve">Birdham, Bosham &amp; Broadbridge, Boxgrove, </w:t>
            </w:r>
            <w:proofErr w:type="spellStart"/>
            <w:r w:rsidRPr="006245CD">
              <w:rPr>
                <w:rFonts w:ascii="Arial" w:hAnsi="Arial" w:cs="Arial"/>
                <w:sz w:val="20"/>
                <w:szCs w:val="20"/>
              </w:rPr>
              <w:t>Camelsdale</w:t>
            </w:r>
            <w:proofErr w:type="spellEnd"/>
            <w:r w:rsidRPr="006245CD">
              <w:rPr>
                <w:rFonts w:ascii="Arial" w:hAnsi="Arial" w:cs="Arial"/>
                <w:sz w:val="20"/>
                <w:szCs w:val="20"/>
              </w:rPr>
              <w:t xml:space="preserve"> &amp; Hammer, Fishbourne, Hambrook &amp; Nutbourne, Hermitage, Hunston, Kirdford, Loxwood, North Mundham &amp; Runcton, Plaistow &amp; Ifold, Stockbridge, West Wittering, Westbourne, Westhampnett and Wisborough Green</w:t>
            </w:r>
          </w:p>
        </w:tc>
      </w:tr>
      <w:tr w:rsidR="0092729E" w:rsidRPr="006245CD" w14:paraId="46116CD4" w14:textId="77777777" w:rsidTr="0092729E">
        <w:tc>
          <w:tcPr>
            <w:tcW w:w="9450" w:type="dxa"/>
            <w:shd w:val="clear" w:color="auto" w:fill="8064A2" w:themeFill="accent4"/>
          </w:tcPr>
          <w:p w14:paraId="5390C96E" w14:textId="4BB90EEF" w:rsidR="00C05A38" w:rsidRPr="006245CD" w:rsidRDefault="00C05A38" w:rsidP="00C05A38">
            <w:pPr>
              <w:pStyle w:val="ListParagraph"/>
              <w:ind w:left="0"/>
              <w:jc w:val="both"/>
              <w:rPr>
                <w:rFonts w:ascii="Arial" w:hAnsi="Arial" w:cs="Arial"/>
                <w:color w:val="FFFFFF" w:themeColor="background1"/>
                <w:sz w:val="20"/>
                <w:szCs w:val="20"/>
              </w:rPr>
            </w:pPr>
            <w:r w:rsidRPr="006245CD">
              <w:rPr>
                <w:rFonts w:ascii="Arial" w:hAnsi="Arial" w:cs="Arial"/>
                <w:color w:val="FFFFFF" w:themeColor="background1"/>
                <w:sz w:val="20"/>
                <w:szCs w:val="20"/>
              </w:rPr>
              <w:t>Rest of Plan Area</w:t>
            </w:r>
          </w:p>
        </w:tc>
      </w:tr>
      <w:tr w:rsidR="00C05A38" w:rsidRPr="006245CD" w14:paraId="48A341FB" w14:textId="77777777" w:rsidTr="00C05A38">
        <w:tc>
          <w:tcPr>
            <w:tcW w:w="9450" w:type="dxa"/>
          </w:tcPr>
          <w:p w14:paraId="279F9996" w14:textId="63471ED1" w:rsidR="00C05A38" w:rsidRPr="006245CD" w:rsidRDefault="00C05A38" w:rsidP="00C05A38">
            <w:pPr>
              <w:pStyle w:val="ListParagraph"/>
              <w:ind w:left="0"/>
              <w:jc w:val="both"/>
              <w:rPr>
                <w:rFonts w:ascii="Arial" w:hAnsi="Arial" w:cs="Arial"/>
                <w:sz w:val="20"/>
                <w:szCs w:val="20"/>
              </w:rPr>
            </w:pPr>
            <w:r w:rsidRPr="006245CD">
              <w:rPr>
                <w:rFonts w:ascii="Arial" w:hAnsi="Arial" w:cs="Arial"/>
                <w:sz w:val="20"/>
                <w:szCs w:val="20"/>
              </w:rPr>
              <w:t xml:space="preserve">Small villages, hamlets, scattered </w:t>
            </w:r>
            <w:proofErr w:type="gramStart"/>
            <w:r w:rsidRPr="006245CD">
              <w:rPr>
                <w:rFonts w:ascii="Arial" w:hAnsi="Arial" w:cs="Arial"/>
                <w:sz w:val="20"/>
                <w:szCs w:val="20"/>
              </w:rPr>
              <w:t>development</w:t>
            </w:r>
            <w:proofErr w:type="gramEnd"/>
            <w:r w:rsidRPr="006245CD">
              <w:rPr>
                <w:rFonts w:ascii="Arial" w:hAnsi="Arial" w:cs="Arial"/>
                <w:sz w:val="20"/>
                <w:szCs w:val="20"/>
              </w:rPr>
              <w:t xml:space="preserve"> and countryside</w:t>
            </w:r>
          </w:p>
        </w:tc>
      </w:tr>
    </w:tbl>
    <w:p w14:paraId="64CD15CA" w14:textId="77777777" w:rsidR="002C3518" w:rsidRDefault="002C3518">
      <w:pPr>
        <w:rPr>
          <w:rFonts w:ascii="Arial" w:hAnsi="Arial" w:cs="Arial"/>
          <w:b/>
        </w:rPr>
        <w:sectPr w:rsidR="002C3518" w:rsidSect="001250C5">
          <w:headerReference w:type="first" r:id="rId13"/>
          <w:footerReference w:type="first" r:id="rId14"/>
          <w:pgSz w:w="11906" w:h="16838"/>
          <w:pgMar w:top="1134" w:right="1134" w:bottom="1134" w:left="1134" w:header="709" w:footer="454" w:gutter="0"/>
          <w:pgNumType w:start="1"/>
          <w:cols w:space="708"/>
          <w:titlePg/>
          <w:docGrid w:linePitch="360"/>
        </w:sectPr>
      </w:pPr>
    </w:p>
    <w:p w14:paraId="2AC9C82A" w14:textId="6B648075" w:rsidR="002C3518" w:rsidRDefault="009D3E08" w:rsidP="000F6773">
      <w:pPr>
        <w:pStyle w:val="Heading1"/>
        <w:spacing w:before="120"/>
        <w:rPr>
          <w:rFonts w:ascii="Arial" w:hAnsi="Arial" w:cs="Arial"/>
          <w:b/>
          <w:color w:val="auto"/>
          <w:sz w:val="24"/>
          <w:szCs w:val="24"/>
        </w:rPr>
      </w:pPr>
      <w:bookmarkStart w:id="10" w:name="_Toc167289635"/>
      <w:r w:rsidRPr="008675D7">
        <w:rPr>
          <w:rFonts w:ascii="Arial" w:hAnsi="Arial" w:cs="Arial"/>
          <w:b/>
          <w:color w:val="auto"/>
          <w:sz w:val="24"/>
          <w:szCs w:val="24"/>
        </w:rPr>
        <w:lastRenderedPageBreak/>
        <w:t xml:space="preserve">Appendix 1: </w:t>
      </w:r>
      <w:r w:rsidR="0046604C">
        <w:rPr>
          <w:rFonts w:ascii="Arial" w:hAnsi="Arial" w:cs="Arial"/>
          <w:b/>
          <w:color w:val="auto"/>
          <w:sz w:val="24"/>
          <w:szCs w:val="24"/>
        </w:rPr>
        <w:t>Table of availability of services and facilities by Plan Area settlements</w:t>
      </w:r>
      <w:bookmarkEnd w:id="10"/>
    </w:p>
    <w:p w14:paraId="79ED753C" w14:textId="77777777" w:rsidR="000F21F8" w:rsidRPr="000F21F8" w:rsidRDefault="000F21F8" w:rsidP="000F21F8"/>
    <w:tbl>
      <w:tblPr>
        <w:tblW w:w="13900" w:type="dxa"/>
        <w:tblInd w:w="113" w:type="dxa"/>
        <w:tblLook w:val="04A0" w:firstRow="1" w:lastRow="0" w:firstColumn="1" w:lastColumn="0" w:noHBand="0" w:noVBand="1"/>
        <w:tblCaption w:val="Appendix 1: Table of availability of services and facilities by Plan Area settlments"/>
        <w:tblDescription w:val="Provides details of the number of services by type in each settlement in the hierarchy."/>
      </w:tblPr>
      <w:tblGrid>
        <w:gridCol w:w="1519"/>
        <w:gridCol w:w="1266"/>
        <w:gridCol w:w="893"/>
        <w:gridCol w:w="1020"/>
        <w:gridCol w:w="1100"/>
        <w:gridCol w:w="999"/>
        <w:gridCol w:w="960"/>
        <w:gridCol w:w="939"/>
        <w:gridCol w:w="1059"/>
        <w:gridCol w:w="1066"/>
        <w:gridCol w:w="1000"/>
        <w:gridCol w:w="1020"/>
        <w:gridCol w:w="1059"/>
      </w:tblGrid>
      <w:tr w:rsidR="000F21F8" w:rsidRPr="000F21F8" w14:paraId="386AFF0C" w14:textId="77777777" w:rsidTr="00534B49">
        <w:trPr>
          <w:trHeight w:val="585"/>
        </w:trPr>
        <w:tc>
          <w:tcPr>
            <w:tcW w:w="1519" w:type="dxa"/>
            <w:tcBorders>
              <w:top w:val="single" w:sz="4" w:space="0" w:color="auto"/>
              <w:left w:val="single" w:sz="4" w:space="0" w:color="auto"/>
              <w:bottom w:val="single" w:sz="4" w:space="0" w:color="auto"/>
              <w:right w:val="single" w:sz="4" w:space="0" w:color="auto"/>
            </w:tcBorders>
            <w:shd w:val="clear" w:color="C0C0C0" w:fill="C0C0C0"/>
            <w:hideMark/>
          </w:tcPr>
          <w:p w14:paraId="306AE29D" w14:textId="77777777" w:rsidR="000F21F8" w:rsidRPr="000F21F8" w:rsidRDefault="000F21F8" w:rsidP="000F21F8">
            <w:pPr>
              <w:spacing w:after="0" w:line="240" w:lineRule="auto"/>
              <w:jc w:val="center"/>
              <w:rPr>
                <w:rFonts w:ascii="Calibri" w:eastAsia="Times New Roman" w:hAnsi="Calibri" w:cs="Calibri"/>
                <w:b/>
                <w:bCs/>
                <w:color w:val="000000"/>
                <w:sz w:val="18"/>
                <w:szCs w:val="18"/>
                <w:lang w:eastAsia="en-GB"/>
              </w:rPr>
            </w:pPr>
            <w:r w:rsidRPr="000F21F8">
              <w:rPr>
                <w:rFonts w:ascii="Calibri" w:eastAsia="Times New Roman" w:hAnsi="Calibri" w:cs="Calibri"/>
                <w:b/>
                <w:bCs/>
                <w:color w:val="000000"/>
                <w:sz w:val="18"/>
                <w:szCs w:val="18"/>
                <w:lang w:eastAsia="en-GB"/>
              </w:rPr>
              <w:t>Settlement</w:t>
            </w:r>
          </w:p>
        </w:tc>
        <w:tc>
          <w:tcPr>
            <w:tcW w:w="1266" w:type="dxa"/>
            <w:tcBorders>
              <w:top w:val="single" w:sz="4" w:space="0" w:color="auto"/>
              <w:left w:val="nil"/>
              <w:bottom w:val="single" w:sz="4" w:space="0" w:color="auto"/>
              <w:right w:val="single" w:sz="4" w:space="0" w:color="auto"/>
            </w:tcBorders>
            <w:shd w:val="clear" w:color="C0C0C0" w:fill="C0C0C0"/>
            <w:hideMark/>
          </w:tcPr>
          <w:p w14:paraId="0F846932" w14:textId="291397E9" w:rsidR="000F21F8" w:rsidRPr="000F21F8" w:rsidRDefault="000F21F8" w:rsidP="000F21F8">
            <w:pPr>
              <w:spacing w:after="0" w:line="240" w:lineRule="auto"/>
              <w:jc w:val="center"/>
              <w:rPr>
                <w:rFonts w:ascii="Calibri" w:eastAsia="Times New Roman" w:hAnsi="Calibri" w:cs="Calibri"/>
                <w:b/>
                <w:bCs/>
                <w:color w:val="000000"/>
                <w:sz w:val="18"/>
                <w:szCs w:val="18"/>
                <w:lang w:eastAsia="en-GB"/>
              </w:rPr>
            </w:pPr>
            <w:r w:rsidRPr="000F21F8">
              <w:rPr>
                <w:rFonts w:ascii="Calibri" w:eastAsia="Times New Roman" w:hAnsi="Calibri" w:cs="Calibri"/>
                <w:b/>
                <w:bCs/>
                <w:color w:val="000000"/>
                <w:sz w:val="18"/>
                <w:szCs w:val="18"/>
                <w:lang w:eastAsia="en-GB"/>
              </w:rPr>
              <w:t>Population 202</w:t>
            </w:r>
            <w:r w:rsidR="00F52887">
              <w:rPr>
                <w:rFonts w:ascii="Calibri" w:eastAsia="Times New Roman" w:hAnsi="Calibri" w:cs="Calibri"/>
                <w:b/>
                <w:bCs/>
                <w:color w:val="000000"/>
                <w:sz w:val="18"/>
                <w:szCs w:val="18"/>
                <w:lang w:eastAsia="en-GB"/>
              </w:rPr>
              <w:t>1</w:t>
            </w:r>
            <w:r w:rsidR="00534B49">
              <w:rPr>
                <w:rFonts w:ascii="Calibri" w:eastAsia="Times New Roman" w:hAnsi="Calibri" w:cs="Calibri"/>
                <w:b/>
                <w:bCs/>
                <w:color w:val="000000"/>
                <w:sz w:val="18"/>
                <w:szCs w:val="18"/>
                <w:lang w:eastAsia="en-GB"/>
              </w:rPr>
              <w:t xml:space="preserve"> (Census)</w:t>
            </w:r>
          </w:p>
        </w:tc>
        <w:tc>
          <w:tcPr>
            <w:tcW w:w="893" w:type="dxa"/>
            <w:tcBorders>
              <w:top w:val="single" w:sz="4" w:space="0" w:color="auto"/>
              <w:left w:val="nil"/>
              <w:bottom w:val="single" w:sz="4" w:space="0" w:color="auto"/>
              <w:right w:val="single" w:sz="4" w:space="0" w:color="auto"/>
            </w:tcBorders>
            <w:shd w:val="clear" w:color="C0C0C0" w:fill="C0C0C0"/>
            <w:hideMark/>
          </w:tcPr>
          <w:p w14:paraId="725A0A9F" w14:textId="77777777" w:rsidR="00534B49" w:rsidRDefault="000F21F8" w:rsidP="000F21F8">
            <w:pPr>
              <w:spacing w:after="0" w:line="240" w:lineRule="auto"/>
              <w:jc w:val="center"/>
              <w:rPr>
                <w:rFonts w:ascii="Calibri" w:eastAsia="Times New Roman" w:hAnsi="Calibri" w:cs="Calibri"/>
                <w:b/>
                <w:bCs/>
                <w:color w:val="000000"/>
                <w:sz w:val="18"/>
                <w:szCs w:val="18"/>
                <w:lang w:eastAsia="en-GB"/>
              </w:rPr>
            </w:pPr>
            <w:r w:rsidRPr="000F21F8">
              <w:rPr>
                <w:rFonts w:ascii="Calibri" w:eastAsia="Times New Roman" w:hAnsi="Calibri" w:cs="Calibri"/>
                <w:b/>
                <w:bCs/>
                <w:color w:val="000000"/>
                <w:sz w:val="18"/>
                <w:szCs w:val="18"/>
                <w:lang w:eastAsia="en-GB"/>
              </w:rPr>
              <w:t xml:space="preserve">Total </w:t>
            </w:r>
          </w:p>
          <w:p w14:paraId="65C45391" w14:textId="6FB79EF5" w:rsidR="000F21F8" w:rsidRPr="000F21F8" w:rsidRDefault="000F21F8" w:rsidP="000F21F8">
            <w:pPr>
              <w:spacing w:after="0" w:line="240" w:lineRule="auto"/>
              <w:jc w:val="center"/>
              <w:rPr>
                <w:rFonts w:ascii="Calibri" w:eastAsia="Times New Roman" w:hAnsi="Calibri" w:cs="Calibri"/>
                <w:b/>
                <w:bCs/>
                <w:color w:val="000000"/>
                <w:sz w:val="18"/>
                <w:szCs w:val="18"/>
                <w:lang w:eastAsia="en-GB"/>
              </w:rPr>
            </w:pPr>
            <w:r w:rsidRPr="000F21F8">
              <w:rPr>
                <w:rFonts w:ascii="Calibri" w:eastAsia="Times New Roman" w:hAnsi="Calibri" w:cs="Calibri"/>
                <w:b/>
                <w:bCs/>
                <w:color w:val="000000"/>
                <w:sz w:val="18"/>
                <w:szCs w:val="18"/>
                <w:lang w:eastAsia="en-GB"/>
              </w:rPr>
              <w:t>2022</w:t>
            </w:r>
          </w:p>
        </w:tc>
        <w:tc>
          <w:tcPr>
            <w:tcW w:w="1020" w:type="dxa"/>
            <w:tcBorders>
              <w:top w:val="single" w:sz="4" w:space="0" w:color="auto"/>
              <w:left w:val="nil"/>
              <w:bottom w:val="single" w:sz="4" w:space="0" w:color="auto"/>
              <w:right w:val="single" w:sz="4" w:space="0" w:color="auto"/>
            </w:tcBorders>
            <w:shd w:val="clear" w:color="C0C0C0" w:fill="BFBFBF"/>
            <w:hideMark/>
          </w:tcPr>
          <w:p w14:paraId="37C6C88E" w14:textId="77777777" w:rsidR="000F21F8" w:rsidRPr="000F21F8" w:rsidRDefault="000F21F8" w:rsidP="000F21F8">
            <w:pPr>
              <w:spacing w:after="0" w:line="240" w:lineRule="auto"/>
              <w:jc w:val="center"/>
              <w:rPr>
                <w:rFonts w:ascii="Calibri" w:eastAsia="Times New Roman" w:hAnsi="Calibri" w:cs="Calibri"/>
                <w:b/>
                <w:bCs/>
                <w:color w:val="000000"/>
                <w:sz w:val="18"/>
                <w:szCs w:val="18"/>
                <w:lang w:eastAsia="en-GB"/>
              </w:rPr>
            </w:pPr>
            <w:r w:rsidRPr="000F21F8">
              <w:rPr>
                <w:rFonts w:ascii="Calibri" w:eastAsia="Times New Roman" w:hAnsi="Calibri" w:cs="Calibri"/>
                <w:b/>
                <w:bCs/>
                <w:color w:val="000000"/>
                <w:sz w:val="18"/>
                <w:szCs w:val="18"/>
                <w:lang w:eastAsia="en-GB"/>
              </w:rPr>
              <w:t>Place of Worship</w:t>
            </w:r>
          </w:p>
        </w:tc>
        <w:tc>
          <w:tcPr>
            <w:tcW w:w="1100" w:type="dxa"/>
            <w:tcBorders>
              <w:top w:val="single" w:sz="4" w:space="0" w:color="auto"/>
              <w:left w:val="nil"/>
              <w:bottom w:val="single" w:sz="4" w:space="0" w:color="auto"/>
              <w:right w:val="single" w:sz="4" w:space="0" w:color="auto"/>
            </w:tcBorders>
            <w:shd w:val="clear" w:color="C0C0C0" w:fill="BFBFBF"/>
            <w:hideMark/>
          </w:tcPr>
          <w:p w14:paraId="6008B21F" w14:textId="77777777" w:rsidR="000F21F8" w:rsidRPr="000F21F8" w:rsidRDefault="000F21F8" w:rsidP="000F21F8">
            <w:pPr>
              <w:spacing w:after="0" w:line="240" w:lineRule="auto"/>
              <w:jc w:val="center"/>
              <w:rPr>
                <w:rFonts w:ascii="Calibri" w:eastAsia="Times New Roman" w:hAnsi="Calibri" w:cs="Calibri"/>
                <w:b/>
                <w:bCs/>
                <w:color w:val="000000"/>
                <w:sz w:val="18"/>
                <w:szCs w:val="18"/>
                <w:lang w:eastAsia="en-GB"/>
              </w:rPr>
            </w:pPr>
            <w:r w:rsidRPr="000F21F8">
              <w:rPr>
                <w:rFonts w:ascii="Calibri" w:eastAsia="Times New Roman" w:hAnsi="Calibri" w:cs="Calibri"/>
                <w:b/>
                <w:bCs/>
                <w:color w:val="000000"/>
                <w:sz w:val="18"/>
                <w:szCs w:val="18"/>
                <w:lang w:eastAsia="en-GB"/>
              </w:rPr>
              <w:t>Built Community</w:t>
            </w:r>
          </w:p>
        </w:tc>
        <w:tc>
          <w:tcPr>
            <w:tcW w:w="999" w:type="dxa"/>
            <w:tcBorders>
              <w:top w:val="single" w:sz="4" w:space="0" w:color="auto"/>
              <w:left w:val="nil"/>
              <w:bottom w:val="single" w:sz="4" w:space="0" w:color="auto"/>
              <w:right w:val="single" w:sz="4" w:space="0" w:color="auto"/>
            </w:tcBorders>
            <w:shd w:val="clear" w:color="C0C0C0" w:fill="BFBFBF"/>
            <w:hideMark/>
          </w:tcPr>
          <w:p w14:paraId="48A6347D" w14:textId="77777777" w:rsidR="000F21F8" w:rsidRPr="000F21F8" w:rsidRDefault="000F21F8" w:rsidP="000F21F8">
            <w:pPr>
              <w:spacing w:after="0" w:line="240" w:lineRule="auto"/>
              <w:jc w:val="center"/>
              <w:rPr>
                <w:rFonts w:ascii="Calibri" w:eastAsia="Times New Roman" w:hAnsi="Calibri" w:cs="Calibri"/>
                <w:b/>
                <w:bCs/>
                <w:color w:val="000000"/>
                <w:sz w:val="18"/>
                <w:szCs w:val="18"/>
                <w:lang w:eastAsia="en-GB"/>
              </w:rPr>
            </w:pPr>
            <w:r w:rsidRPr="000F21F8">
              <w:rPr>
                <w:rFonts w:ascii="Calibri" w:eastAsia="Times New Roman" w:hAnsi="Calibri" w:cs="Calibri"/>
                <w:b/>
                <w:bCs/>
                <w:color w:val="000000"/>
                <w:sz w:val="18"/>
                <w:szCs w:val="18"/>
                <w:lang w:eastAsia="en-GB"/>
              </w:rPr>
              <w:t>GP Surgery</w:t>
            </w:r>
          </w:p>
        </w:tc>
        <w:tc>
          <w:tcPr>
            <w:tcW w:w="960" w:type="dxa"/>
            <w:tcBorders>
              <w:top w:val="single" w:sz="4" w:space="0" w:color="auto"/>
              <w:left w:val="nil"/>
              <w:bottom w:val="single" w:sz="4" w:space="0" w:color="auto"/>
              <w:right w:val="single" w:sz="4" w:space="0" w:color="auto"/>
            </w:tcBorders>
            <w:shd w:val="clear" w:color="C0C0C0" w:fill="BFBFBF"/>
            <w:hideMark/>
          </w:tcPr>
          <w:p w14:paraId="2B388876" w14:textId="77777777" w:rsidR="000F21F8" w:rsidRPr="000F21F8" w:rsidRDefault="000F21F8" w:rsidP="000F21F8">
            <w:pPr>
              <w:spacing w:after="0" w:line="240" w:lineRule="auto"/>
              <w:jc w:val="center"/>
              <w:rPr>
                <w:rFonts w:ascii="Calibri" w:eastAsia="Times New Roman" w:hAnsi="Calibri" w:cs="Calibri"/>
                <w:b/>
                <w:bCs/>
                <w:color w:val="000000"/>
                <w:sz w:val="18"/>
                <w:szCs w:val="18"/>
                <w:lang w:eastAsia="en-GB"/>
              </w:rPr>
            </w:pPr>
            <w:r w:rsidRPr="000F21F8">
              <w:rPr>
                <w:rFonts w:ascii="Calibri" w:eastAsia="Times New Roman" w:hAnsi="Calibri" w:cs="Calibri"/>
                <w:b/>
                <w:bCs/>
                <w:color w:val="000000"/>
                <w:sz w:val="18"/>
                <w:szCs w:val="18"/>
                <w:lang w:eastAsia="en-GB"/>
              </w:rPr>
              <w:t>Primary School</w:t>
            </w:r>
          </w:p>
        </w:tc>
        <w:tc>
          <w:tcPr>
            <w:tcW w:w="939" w:type="dxa"/>
            <w:tcBorders>
              <w:top w:val="single" w:sz="4" w:space="0" w:color="auto"/>
              <w:left w:val="nil"/>
              <w:bottom w:val="single" w:sz="4" w:space="0" w:color="auto"/>
              <w:right w:val="single" w:sz="4" w:space="0" w:color="auto"/>
            </w:tcBorders>
            <w:shd w:val="clear" w:color="C0C0C0" w:fill="BFBFBF"/>
            <w:hideMark/>
          </w:tcPr>
          <w:p w14:paraId="32D7E3AB" w14:textId="77777777" w:rsidR="000F21F8" w:rsidRPr="000F21F8" w:rsidRDefault="000F21F8" w:rsidP="000F21F8">
            <w:pPr>
              <w:spacing w:after="0" w:line="240" w:lineRule="auto"/>
              <w:jc w:val="center"/>
              <w:rPr>
                <w:rFonts w:ascii="Calibri" w:eastAsia="Times New Roman" w:hAnsi="Calibri" w:cs="Calibri"/>
                <w:b/>
                <w:bCs/>
                <w:color w:val="000000"/>
                <w:sz w:val="18"/>
                <w:szCs w:val="18"/>
                <w:lang w:eastAsia="en-GB"/>
              </w:rPr>
            </w:pPr>
            <w:r w:rsidRPr="000F21F8">
              <w:rPr>
                <w:rFonts w:ascii="Calibri" w:eastAsia="Times New Roman" w:hAnsi="Calibri" w:cs="Calibri"/>
                <w:b/>
                <w:bCs/>
                <w:color w:val="000000"/>
                <w:sz w:val="18"/>
                <w:szCs w:val="18"/>
                <w:lang w:eastAsia="en-GB"/>
              </w:rPr>
              <w:t>Public House</w:t>
            </w:r>
          </w:p>
        </w:tc>
        <w:tc>
          <w:tcPr>
            <w:tcW w:w="1059" w:type="dxa"/>
            <w:tcBorders>
              <w:top w:val="single" w:sz="4" w:space="0" w:color="auto"/>
              <w:left w:val="nil"/>
              <w:bottom w:val="single" w:sz="4" w:space="0" w:color="auto"/>
              <w:right w:val="single" w:sz="4" w:space="0" w:color="auto"/>
            </w:tcBorders>
            <w:shd w:val="clear" w:color="C0C0C0" w:fill="BFBFBF"/>
            <w:hideMark/>
          </w:tcPr>
          <w:p w14:paraId="1F45F7EE" w14:textId="77777777" w:rsidR="000F21F8" w:rsidRPr="000F21F8" w:rsidRDefault="000F21F8" w:rsidP="000F21F8">
            <w:pPr>
              <w:spacing w:after="0" w:line="240" w:lineRule="auto"/>
              <w:jc w:val="center"/>
              <w:rPr>
                <w:rFonts w:ascii="Calibri" w:eastAsia="Times New Roman" w:hAnsi="Calibri" w:cs="Calibri"/>
                <w:b/>
                <w:bCs/>
                <w:color w:val="000000"/>
                <w:sz w:val="18"/>
                <w:szCs w:val="18"/>
                <w:lang w:eastAsia="en-GB"/>
              </w:rPr>
            </w:pPr>
            <w:r w:rsidRPr="000F21F8">
              <w:rPr>
                <w:rFonts w:ascii="Calibri" w:eastAsia="Times New Roman" w:hAnsi="Calibri" w:cs="Calibri"/>
                <w:b/>
                <w:bCs/>
                <w:color w:val="000000"/>
                <w:sz w:val="18"/>
                <w:szCs w:val="18"/>
                <w:lang w:eastAsia="en-GB"/>
              </w:rPr>
              <w:t>Local shop</w:t>
            </w:r>
          </w:p>
        </w:tc>
        <w:tc>
          <w:tcPr>
            <w:tcW w:w="1066" w:type="dxa"/>
            <w:tcBorders>
              <w:top w:val="single" w:sz="4" w:space="0" w:color="auto"/>
              <w:left w:val="nil"/>
              <w:bottom w:val="single" w:sz="4" w:space="0" w:color="auto"/>
              <w:right w:val="single" w:sz="4" w:space="0" w:color="auto"/>
            </w:tcBorders>
            <w:shd w:val="clear" w:color="C0C0C0" w:fill="BFBFBF"/>
            <w:hideMark/>
          </w:tcPr>
          <w:p w14:paraId="5A453303" w14:textId="77777777" w:rsidR="000F21F8" w:rsidRPr="000F21F8" w:rsidRDefault="000F21F8" w:rsidP="000F21F8">
            <w:pPr>
              <w:spacing w:after="0" w:line="240" w:lineRule="auto"/>
              <w:jc w:val="center"/>
              <w:rPr>
                <w:rFonts w:ascii="Calibri" w:eastAsia="Times New Roman" w:hAnsi="Calibri" w:cs="Calibri"/>
                <w:b/>
                <w:bCs/>
                <w:color w:val="000000"/>
                <w:sz w:val="18"/>
                <w:szCs w:val="18"/>
                <w:lang w:eastAsia="en-GB"/>
              </w:rPr>
            </w:pPr>
            <w:r w:rsidRPr="000F21F8">
              <w:rPr>
                <w:rFonts w:ascii="Calibri" w:eastAsia="Times New Roman" w:hAnsi="Calibri" w:cs="Calibri"/>
                <w:b/>
                <w:bCs/>
                <w:color w:val="000000"/>
                <w:sz w:val="18"/>
                <w:szCs w:val="18"/>
                <w:lang w:eastAsia="en-GB"/>
              </w:rPr>
              <w:t xml:space="preserve">Outdoor community </w:t>
            </w:r>
          </w:p>
        </w:tc>
        <w:tc>
          <w:tcPr>
            <w:tcW w:w="1000" w:type="dxa"/>
            <w:tcBorders>
              <w:top w:val="single" w:sz="4" w:space="0" w:color="auto"/>
              <w:left w:val="nil"/>
              <w:bottom w:val="single" w:sz="4" w:space="0" w:color="auto"/>
              <w:right w:val="single" w:sz="4" w:space="0" w:color="auto"/>
            </w:tcBorders>
            <w:shd w:val="clear" w:color="C0C0C0" w:fill="BFBFBF"/>
            <w:hideMark/>
          </w:tcPr>
          <w:p w14:paraId="2BC2D3DB" w14:textId="77777777" w:rsidR="000F21F8" w:rsidRPr="000F21F8" w:rsidRDefault="000F21F8" w:rsidP="000F21F8">
            <w:pPr>
              <w:spacing w:after="0" w:line="240" w:lineRule="auto"/>
              <w:jc w:val="center"/>
              <w:rPr>
                <w:rFonts w:ascii="Calibri" w:eastAsia="Times New Roman" w:hAnsi="Calibri" w:cs="Calibri"/>
                <w:b/>
                <w:bCs/>
                <w:color w:val="000000"/>
                <w:sz w:val="18"/>
                <w:szCs w:val="18"/>
                <w:lang w:eastAsia="en-GB"/>
              </w:rPr>
            </w:pPr>
            <w:r w:rsidRPr="000F21F8">
              <w:rPr>
                <w:rFonts w:ascii="Calibri" w:eastAsia="Times New Roman" w:hAnsi="Calibri" w:cs="Calibri"/>
                <w:b/>
                <w:bCs/>
                <w:color w:val="000000"/>
                <w:sz w:val="18"/>
                <w:szCs w:val="18"/>
                <w:lang w:eastAsia="en-GB"/>
              </w:rPr>
              <w:t>Secondary School</w:t>
            </w:r>
          </w:p>
        </w:tc>
        <w:tc>
          <w:tcPr>
            <w:tcW w:w="1020" w:type="dxa"/>
            <w:tcBorders>
              <w:top w:val="single" w:sz="4" w:space="0" w:color="auto"/>
              <w:left w:val="nil"/>
              <w:bottom w:val="single" w:sz="4" w:space="0" w:color="auto"/>
              <w:right w:val="single" w:sz="4" w:space="0" w:color="auto"/>
            </w:tcBorders>
            <w:shd w:val="clear" w:color="000000" w:fill="BFBFBF"/>
            <w:hideMark/>
          </w:tcPr>
          <w:p w14:paraId="6C464342" w14:textId="77777777" w:rsidR="000F21F8" w:rsidRPr="000F21F8" w:rsidRDefault="000F21F8" w:rsidP="000F21F8">
            <w:pPr>
              <w:spacing w:after="0" w:line="240" w:lineRule="auto"/>
              <w:jc w:val="center"/>
              <w:rPr>
                <w:rFonts w:ascii="Calibri" w:eastAsia="Times New Roman" w:hAnsi="Calibri" w:cs="Calibri"/>
                <w:b/>
                <w:bCs/>
                <w:color w:val="000000"/>
                <w:sz w:val="18"/>
                <w:szCs w:val="18"/>
                <w:lang w:eastAsia="en-GB"/>
              </w:rPr>
            </w:pPr>
            <w:r w:rsidRPr="000F21F8">
              <w:rPr>
                <w:rFonts w:ascii="Calibri" w:eastAsia="Times New Roman" w:hAnsi="Calibri" w:cs="Calibri"/>
                <w:b/>
                <w:bCs/>
                <w:color w:val="000000"/>
                <w:sz w:val="18"/>
                <w:szCs w:val="18"/>
                <w:lang w:eastAsia="en-GB"/>
              </w:rPr>
              <w:t>Bus Transport</w:t>
            </w:r>
          </w:p>
        </w:tc>
        <w:tc>
          <w:tcPr>
            <w:tcW w:w="1059" w:type="dxa"/>
            <w:tcBorders>
              <w:top w:val="single" w:sz="4" w:space="0" w:color="auto"/>
              <w:left w:val="nil"/>
              <w:bottom w:val="single" w:sz="4" w:space="0" w:color="auto"/>
              <w:right w:val="single" w:sz="4" w:space="0" w:color="auto"/>
            </w:tcBorders>
            <w:shd w:val="clear" w:color="000000" w:fill="BFBFBF"/>
            <w:hideMark/>
          </w:tcPr>
          <w:p w14:paraId="5E8F3ED9" w14:textId="77777777" w:rsidR="000F21F8" w:rsidRPr="000F21F8" w:rsidRDefault="000F21F8" w:rsidP="000F21F8">
            <w:pPr>
              <w:spacing w:after="0" w:line="240" w:lineRule="auto"/>
              <w:jc w:val="center"/>
              <w:rPr>
                <w:rFonts w:ascii="Calibri" w:eastAsia="Times New Roman" w:hAnsi="Calibri" w:cs="Calibri"/>
                <w:b/>
                <w:bCs/>
                <w:color w:val="000000"/>
                <w:sz w:val="18"/>
                <w:szCs w:val="18"/>
                <w:lang w:eastAsia="en-GB"/>
              </w:rPr>
            </w:pPr>
            <w:r w:rsidRPr="000F21F8">
              <w:rPr>
                <w:rFonts w:ascii="Calibri" w:eastAsia="Times New Roman" w:hAnsi="Calibri" w:cs="Calibri"/>
                <w:b/>
                <w:bCs/>
                <w:color w:val="000000"/>
                <w:sz w:val="18"/>
                <w:szCs w:val="18"/>
                <w:lang w:eastAsia="en-GB"/>
              </w:rPr>
              <w:t>Railway Station</w:t>
            </w:r>
          </w:p>
        </w:tc>
      </w:tr>
      <w:tr w:rsidR="000F21F8" w:rsidRPr="000F21F8" w14:paraId="7BDC5CB4" w14:textId="77777777" w:rsidTr="00534B49">
        <w:trPr>
          <w:trHeight w:val="495"/>
        </w:trPr>
        <w:tc>
          <w:tcPr>
            <w:tcW w:w="1519" w:type="dxa"/>
            <w:tcBorders>
              <w:top w:val="nil"/>
              <w:left w:val="single" w:sz="4" w:space="0" w:color="auto"/>
              <w:bottom w:val="dashed" w:sz="8" w:space="0" w:color="auto"/>
              <w:right w:val="single" w:sz="4" w:space="0" w:color="auto"/>
            </w:tcBorders>
            <w:shd w:val="clear" w:color="auto" w:fill="auto"/>
            <w:hideMark/>
          </w:tcPr>
          <w:p w14:paraId="7BC73EA1" w14:textId="77777777" w:rsidR="000F21F8" w:rsidRPr="000F21F8" w:rsidRDefault="000F21F8" w:rsidP="000F21F8">
            <w:pPr>
              <w:spacing w:after="0" w:line="240" w:lineRule="auto"/>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Chichester City</w:t>
            </w:r>
          </w:p>
        </w:tc>
        <w:tc>
          <w:tcPr>
            <w:tcW w:w="1266" w:type="dxa"/>
            <w:tcBorders>
              <w:top w:val="nil"/>
              <w:left w:val="nil"/>
              <w:bottom w:val="dashed" w:sz="8" w:space="0" w:color="auto"/>
              <w:right w:val="single" w:sz="4" w:space="0" w:color="auto"/>
            </w:tcBorders>
            <w:shd w:val="clear" w:color="auto" w:fill="auto"/>
            <w:hideMark/>
          </w:tcPr>
          <w:p w14:paraId="25BAAD70" w14:textId="75B66C31" w:rsidR="000F21F8" w:rsidRPr="000F21F8" w:rsidRDefault="00F52887" w:rsidP="000F21F8">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33,703</w:t>
            </w:r>
          </w:p>
        </w:tc>
        <w:tc>
          <w:tcPr>
            <w:tcW w:w="893" w:type="dxa"/>
            <w:tcBorders>
              <w:top w:val="nil"/>
              <w:left w:val="nil"/>
              <w:bottom w:val="dashed" w:sz="8" w:space="0" w:color="auto"/>
              <w:right w:val="single" w:sz="4" w:space="0" w:color="auto"/>
            </w:tcBorders>
            <w:shd w:val="clear" w:color="auto" w:fill="auto"/>
            <w:hideMark/>
          </w:tcPr>
          <w:p w14:paraId="059C5A6A"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Not assessed</w:t>
            </w:r>
          </w:p>
        </w:tc>
        <w:tc>
          <w:tcPr>
            <w:tcW w:w="1020" w:type="dxa"/>
            <w:tcBorders>
              <w:top w:val="nil"/>
              <w:left w:val="nil"/>
              <w:bottom w:val="dashed" w:sz="8" w:space="0" w:color="auto"/>
              <w:right w:val="single" w:sz="4" w:space="0" w:color="auto"/>
            </w:tcBorders>
            <w:shd w:val="clear" w:color="auto" w:fill="auto"/>
            <w:hideMark/>
          </w:tcPr>
          <w:p w14:paraId="5A4534E0"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 </w:t>
            </w:r>
          </w:p>
        </w:tc>
        <w:tc>
          <w:tcPr>
            <w:tcW w:w="1100" w:type="dxa"/>
            <w:tcBorders>
              <w:top w:val="nil"/>
              <w:left w:val="nil"/>
              <w:bottom w:val="dashed" w:sz="8" w:space="0" w:color="auto"/>
              <w:right w:val="single" w:sz="4" w:space="0" w:color="auto"/>
            </w:tcBorders>
            <w:shd w:val="clear" w:color="auto" w:fill="auto"/>
            <w:hideMark/>
          </w:tcPr>
          <w:p w14:paraId="2C0A6133"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 </w:t>
            </w:r>
          </w:p>
        </w:tc>
        <w:tc>
          <w:tcPr>
            <w:tcW w:w="999" w:type="dxa"/>
            <w:tcBorders>
              <w:top w:val="nil"/>
              <w:left w:val="nil"/>
              <w:bottom w:val="dashed" w:sz="8" w:space="0" w:color="auto"/>
              <w:right w:val="single" w:sz="4" w:space="0" w:color="auto"/>
            </w:tcBorders>
            <w:shd w:val="clear" w:color="auto" w:fill="auto"/>
            <w:hideMark/>
          </w:tcPr>
          <w:p w14:paraId="253FA39E"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 </w:t>
            </w:r>
          </w:p>
        </w:tc>
        <w:tc>
          <w:tcPr>
            <w:tcW w:w="960" w:type="dxa"/>
            <w:tcBorders>
              <w:top w:val="nil"/>
              <w:left w:val="nil"/>
              <w:bottom w:val="dashed" w:sz="8" w:space="0" w:color="auto"/>
              <w:right w:val="single" w:sz="4" w:space="0" w:color="auto"/>
            </w:tcBorders>
            <w:shd w:val="clear" w:color="auto" w:fill="auto"/>
            <w:hideMark/>
          </w:tcPr>
          <w:p w14:paraId="15749FD2"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 </w:t>
            </w:r>
          </w:p>
        </w:tc>
        <w:tc>
          <w:tcPr>
            <w:tcW w:w="939" w:type="dxa"/>
            <w:tcBorders>
              <w:top w:val="nil"/>
              <w:left w:val="nil"/>
              <w:bottom w:val="dashed" w:sz="8" w:space="0" w:color="auto"/>
              <w:right w:val="single" w:sz="4" w:space="0" w:color="auto"/>
            </w:tcBorders>
            <w:shd w:val="clear" w:color="auto" w:fill="auto"/>
            <w:hideMark/>
          </w:tcPr>
          <w:p w14:paraId="3623F057"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 </w:t>
            </w:r>
          </w:p>
        </w:tc>
        <w:tc>
          <w:tcPr>
            <w:tcW w:w="1059" w:type="dxa"/>
            <w:tcBorders>
              <w:top w:val="nil"/>
              <w:left w:val="nil"/>
              <w:bottom w:val="dashed" w:sz="8" w:space="0" w:color="auto"/>
              <w:right w:val="single" w:sz="4" w:space="0" w:color="auto"/>
            </w:tcBorders>
            <w:shd w:val="clear" w:color="auto" w:fill="auto"/>
            <w:hideMark/>
          </w:tcPr>
          <w:p w14:paraId="1BC80429"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 </w:t>
            </w:r>
          </w:p>
        </w:tc>
        <w:tc>
          <w:tcPr>
            <w:tcW w:w="1066" w:type="dxa"/>
            <w:tcBorders>
              <w:top w:val="nil"/>
              <w:left w:val="nil"/>
              <w:bottom w:val="dashed" w:sz="8" w:space="0" w:color="auto"/>
              <w:right w:val="single" w:sz="4" w:space="0" w:color="auto"/>
            </w:tcBorders>
            <w:shd w:val="clear" w:color="auto" w:fill="auto"/>
            <w:hideMark/>
          </w:tcPr>
          <w:p w14:paraId="63546877"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 </w:t>
            </w:r>
          </w:p>
        </w:tc>
        <w:tc>
          <w:tcPr>
            <w:tcW w:w="1000" w:type="dxa"/>
            <w:tcBorders>
              <w:top w:val="nil"/>
              <w:left w:val="nil"/>
              <w:bottom w:val="dashed" w:sz="8" w:space="0" w:color="auto"/>
              <w:right w:val="single" w:sz="4" w:space="0" w:color="auto"/>
            </w:tcBorders>
            <w:shd w:val="clear" w:color="auto" w:fill="auto"/>
            <w:hideMark/>
          </w:tcPr>
          <w:p w14:paraId="383899B0"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 </w:t>
            </w:r>
          </w:p>
        </w:tc>
        <w:tc>
          <w:tcPr>
            <w:tcW w:w="1020" w:type="dxa"/>
            <w:tcBorders>
              <w:top w:val="nil"/>
              <w:left w:val="nil"/>
              <w:bottom w:val="dashed" w:sz="8" w:space="0" w:color="auto"/>
              <w:right w:val="single" w:sz="4" w:space="0" w:color="auto"/>
            </w:tcBorders>
            <w:shd w:val="clear" w:color="auto" w:fill="auto"/>
            <w:hideMark/>
          </w:tcPr>
          <w:p w14:paraId="6E6CC376"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 </w:t>
            </w:r>
          </w:p>
        </w:tc>
        <w:tc>
          <w:tcPr>
            <w:tcW w:w="1059" w:type="dxa"/>
            <w:tcBorders>
              <w:top w:val="nil"/>
              <w:left w:val="nil"/>
              <w:bottom w:val="dashed" w:sz="8" w:space="0" w:color="auto"/>
              <w:right w:val="single" w:sz="4" w:space="0" w:color="auto"/>
            </w:tcBorders>
            <w:shd w:val="clear" w:color="auto" w:fill="auto"/>
            <w:hideMark/>
          </w:tcPr>
          <w:p w14:paraId="5D936D7E"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 </w:t>
            </w:r>
          </w:p>
        </w:tc>
      </w:tr>
      <w:tr w:rsidR="000F21F8" w:rsidRPr="000F21F8" w14:paraId="1D72366A" w14:textId="77777777" w:rsidTr="00534B49">
        <w:trPr>
          <w:trHeight w:val="480"/>
        </w:trPr>
        <w:tc>
          <w:tcPr>
            <w:tcW w:w="1519" w:type="dxa"/>
            <w:tcBorders>
              <w:top w:val="nil"/>
              <w:left w:val="single" w:sz="4" w:space="0" w:color="auto"/>
              <w:bottom w:val="single" w:sz="4" w:space="0" w:color="auto"/>
              <w:right w:val="single" w:sz="4" w:space="0" w:color="auto"/>
            </w:tcBorders>
            <w:shd w:val="clear" w:color="000000" w:fill="C4D79B"/>
            <w:hideMark/>
          </w:tcPr>
          <w:p w14:paraId="4FDD4EBD" w14:textId="77777777" w:rsidR="000F21F8" w:rsidRPr="000F21F8" w:rsidRDefault="000F21F8" w:rsidP="000F21F8">
            <w:pPr>
              <w:spacing w:after="0" w:line="240" w:lineRule="auto"/>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Selsey</w:t>
            </w:r>
          </w:p>
        </w:tc>
        <w:tc>
          <w:tcPr>
            <w:tcW w:w="1266" w:type="dxa"/>
            <w:tcBorders>
              <w:top w:val="nil"/>
              <w:left w:val="nil"/>
              <w:bottom w:val="single" w:sz="4" w:space="0" w:color="auto"/>
              <w:right w:val="single" w:sz="4" w:space="0" w:color="auto"/>
            </w:tcBorders>
            <w:shd w:val="clear" w:color="000000" w:fill="C4D79B"/>
            <w:hideMark/>
          </w:tcPr>
          <w:p w14:paraId="7822917B" w14:textId="2D00FA56"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10</w:t>
            </w:r>
            <w:r w:rsidR="00F52887">
              <w:rPr>
                <w:rFonts w:ascii="Calibri" w:eastAsia="Times New Roman" w:hAnsi="Calibri" w:cs="Calibri"/>
                <w:color w:val="000000"/>
                <w:sz w:val="18"/>
                <w:szCs w:val="18"/>
                <w:lang w:eastAsia="en-GB"/>
              </w:rPr>
              <w:t>,926</w:t>
            </w:r>
          </w:p>
        </w:tc>
        <w:tc>
          <w:tcPr>
            <w:tcW w:w="893" w:type="dxa"/>
            <w:tcBorders>
              <w:top w:val="nil"/>
              <w:left w:val="nil"/>
              <w:bottom w:val="single" w:sz="4" w:space="0" w:color="auto"/>
              <w:right w:val="single" w:sz="4" w:space="0" w:color="auto"/>
            </w:tcBorders>
            <w:shd w:val="clear" w:color="000000" w:fill="C4D79B"/>
            <w:hideMark/>
          </w:tcPr>
          <w:p w14:paraId="6134204E"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29</w:t>
            </w:r>
          </w:p>
        </w:tc>
        <w:tc>
          <w:tcPr>
            <w:tcW w:w="1020" w:type="dxa"/>
            <w:tcBorders>
              <w:top w:val="nil"/>
              <w:left w:val="nil"/>
              <w:bottom w:val="single" w:sz="4" w:space="0" w:color="auto"/>
              <w:right w:val="single" w:sz="4" w:space="0" w:color="auto"/>
            </w:tcBorders>
            <w:shd w:val="clear" w:color="000000" w:fill="C4D79B"/>
            <w:hideMark/>
          </w:tcPr>
          <w:p w14:paraId="27C83DA8"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4</w:t>
            </w:r>
          </w:p>
        </w:tc>
        <w:tc>
          <w:tcPr>
            <w:tcW w:w="1100" w:type="dxa"/>
            <w:tcBorders>
              <w:top w:val="nil"/>
              <w:left w:val="nil"/>
              <w:bottom w:val="single" w:sz="4" w:space="0" w:color="auto"/>
              <w:right w:val="single" w:sz="4" w:space="0" w:color="auto"/>
            </w:tcBorders>
            <w:shd w:val="clear" w:color="000000" w:fill="C4D79B"/>
            <w:hideMark/>
          </w:tcPr>
          <w:p w14:paraId="47F23065"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4</w:t>
            </w:r>
          </w:p>
        </w:tc>
        <w:tc>
          <w:tcPr>
            <w:tcW w:w="999" w:type="dxa"/>
            <w:tcBorders>
              <w:top w:val="nil"/>
              <w:left w:val="nil"/>
              <w:bottom w:val="single" w:sz="4" w:space="0" w:color="auto"/>
              <w:right w:val="single" w:sz="4" w:space="0" w:color="auto"/>
            </w:tcBorders>
            <w:shd w:val="clear" w:color="000000" w:fill="C4D79B"/>
            <w:hideMark/>
          </w:tcPr>
          <w:p w14:paraId="31376EC8"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60" w:type="dxa"/>
            <w:tcBorders>
              <w:top w:val="nil"/>
              <w:left w:val="nil"/>
              <w:bottom w:val="single" w:sz="4" w:space="0" w:color="auto"/>
              <w:right w:val="single" w:sz="4" w:space="0" w:color="auto"/>
            </w:tcBorders>
            <w:shd w:val="clear" w:color="000000" w:fill="C4D79B"/>
            <w:hideMark/>
          </w:tcPr>
          <w:p w14:paraId="36A1AB33"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939" w:type="dxa"/>
            <w:tcBorders>
              <w:top w:val="nil"/>
              <w:left w:val="nil"/>
              <w:bottom w:val="single" w:sz="4" w:space="0" w:color="auto"/>
              <w:right w:val="single" w:sz="4" w:space="0" w:color="auto"/>
            </w:tcBorders>
            <w:shd w:val="clear" w:color="000000" w:fill="C4D79B"/>
            <w:hideMark/>
          </w:tcPr>
          <w:p w14:paraId="7331945F"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5</w:t>
            </w:r>
          </w:p>
        </w:tc>
        <w:tc>
          <w:tcPr>
            <w:tcW w:w="1059" w:type="dxa"/>
            <w:tcBorders>
              <w:top w:val="nil"/>
              <w:left w:val="nil"/>
              <w:bottom w:val="single" w:sz="4" w:space="0" w:color="auto"/>
              <w:right w:val="single" w:sz="4" w:space="0" w:color="auto"/>
            </w:tcBorders>
            <w:shd w:val="clear" w:color="000000" w:fill="C4D79B"/>
            <w:hideMark/>
          </w:tcPr>
          <w:p w14:paraId="50160057"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1066" w:type="dxa"/>
            <w:tcBorders>
              <w:top w:val="nil"/>
              <w:left w:val="nil"/>
              <w:bottom w:val="single" w:sz="4" w:space="0" w:color="auto"/>
              <w:right w:val="single" w:sz="4" w:space="0" w:color="auto"/>
            </w:tcBorders>
            <w:shd w:val="clear" w:color="000000" w:fill="C4D79B"/>
            <w:hideMark/>
          </w:tcPr>
          <w:p w14:paraId="7717DEF2"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6</w:t>
            </w:r>
          </w:p>
        </w:tc>
        <w:tc>
          <w:tcPr>
            <w:tcW w:w="1000" w:type="dxa"/>
            <w:tcBorders>
              <w:top w:val="nil"/>
              <w:left w:val="nil"/>
              <w:bottom w:val="single" w:sz="4" w:space="0" w:color="auto"/>
              <w:right w:val="single" w:sz="4" w:space="0" w:color="auto"/>
            </w:tcBorders>
            <w:shd w:val="clear" w:color="000000" w:fill="C4D79B"/>
            <w:hideMark/>
          </w:tcPr>
          <w:p w14:paraId="69D0E5D8"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20" w:type="dxa"/>
            <w:tcBorders>
              <w:top w:val="nil"/>
              <w:left w:val="nil"/>
              <w:bottom w:val="single" w:sz="4" w:space="0" w:color="auto"/>
              <w:right w:val="single" w:sz="4" w:space="0" w:color="auto"/>
            </w:tcBorders>
            <w:shd w:val="clear" w:color="000000" w:fill="C4D79B"/>
            <w:hideMark/>
          </w:tcPr>
          <w:p w14:paraId="0E0E7A18"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1059" w:type="dxa"/>
            <w:tcBorders>
              <w:top w:val="nil"/>
              <w:left w:val="nil"/>
              <w:bottom w:val="single" w:sz="4" w:space="0" w:color="auto"/>
              <w:right w:val="single" w:sz="4" w:space="0" w:color="auto"/>
            </w:tcBorders>
            <w:shd w:val="clear" w:color="000000" w:fill="C4D79B"/>
            <w:hideMark/>
          </w:tcPr>
          <w:p w14:paraId="5C6EB067"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r>
      <w:tr w:rsidR="000F21F8" w:rsidRPr="000F21F8" w14:paraId="07F2676C" w14:textId="77777777" w:rsidTr="00534B49">
        <w:trPr>
          <w:trHeight w:val="480"/>
        </w:trPr>
        <w:tc>
          <w:tcPr>
            <w:tcW w:w="1519" w:type="dxa"/>
            <w:tcBorders>
              <w:top w:val="nil"/>
              <w:left w:val="single" w:sz="4" w:space="0" w:color="auto"/>
              <w:bottom w:val="single" w:sz="4" w:space="0" w:color="auto"/>
              <w:right w:val="single" w:sz="4" w:space="0" w:color="auto"/>
            </w:tcBorders>
            <w:shd w:val="clear" w:color="000000" w:fill="C4D79B"/>
            <w:hideMark/>
          </w:tcPr>
          <w:p w14:paraId="419E2F90" w14:textId="77777777" w:rsidR="000F21F8" w:rsidRPr="000F21F8" w:rsidRDefault="000F21F8" w:rsidP="000F21F8">
            <w:pPr>
              <w:spacing w:after="0" w:line="240" w:lineRule="auto"/>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Tangmere</w:t>
            </w:r>
          </w:p>
        </w:tc>
        <w:tc>
          <w:tcPr>
            <w:tcW w:w="1266" w:type="dxa"/>
            <w:tcBorders>
              <w:top w:val="nil"/>
              <w:left w:val="nil"/>
              <w:bottom w:val="single" w:sz="4" w:space="0" w:color="auto"/>
              <w:right w:val="single" w:sz="4" w:space="0" w:color="auto"/>
            </w:tcBorders>
            <w:shd w:val="clear" w:color="000000" w:fill="C4D79B"/>
            <w:hideMark/>
          </w:tcPr>
          <w:p w14:paraId="6C9383D9" w14:textId="47871730" w:rsidR="000F21F8" w:rsidRPr="000F21F8" w:rsidRDefault="00F52887" w:rsidP="000F21F8">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4,000</w:t>
            </w:r>
          </w:p>
        </w:tc>
        <w:tc>
          <w:tcPr>
            <w:tcW w:w="893" w:type="dxa"/>
            <w:tcBorders>
              <w:top w:val="nil"/>
              <w:left w:val="nil"/>
              <w:bottom w:val="single" w:sz="4" w:space="0" w:color="auto"/>
              <w:right w:val="single" w:sz="4" w:space="0" w:color="auto"/>
            </w:tcBorders>
            <w:shd w:val="clear" w:color="000000" w:fill="C4D79B"/>
            <w:hideMark/>
          </w:tcPr>
          <w:p w14:paraId="7236022E"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18</w:t>
            </w:r>
          </w:p>
        </w:tc>
        <w:tc>
          <w:tcPr>
            <w:tcW w:w="1020" w:type="dxa"/>
            <w:tcBorders>
              <w:top w:val="nil"/>
              <w:left w:val="nil"/>
              <w:bottom w:val="single" w:sz="4" w:space="0" w:color="auto"/>
              <w:right w:val="single" w:sz="4" w:space="0" w:color="auto"/>
            </w:tcBorders>
            <w:shd w:val="clear" w:color="000000" w:fill="C4D79B"/>
            <w:hideMark/>
          </w:tcPr>
          <w:p w14:paraId="1CFEA3B6"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100" w:type="dxa"/>
            <w:tcBorders>
              <w:top w:val="nil"/>
              <w:left w:val="nil"/>
              <w:bottom w:val="single" w:sz="4" w:space="0" w:color="auto"/>
              <w:right w:val="single" w:sz="4" w:space="0" w:color="auto"/>
            </w:tcBorders>
            <w:shd w:val="clear" w:color="000000" w:fill="C4D79B"/>
            <w:hideMark/>
          </w:tcPr>
          <w:p w14:paraId="6FDB407A"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99" w:type="dxa"/>
            <w:tcBorders>
              <w:top w:val="nil"/>
              <w:left w:val="nil"/>
              <w:bottom w:val="single" w:sz="4" w:space="0" w:color="auto"/>
              <w:right w:val="single" w:sz="4" w:space="0" w:color="auto"/>
            </w:tcBorders>
            <w:shd w:val="clear" w:color="000000" w:fill="C4D79B"/>
            <w:hideMark/>
          </w:tcPr>
          <w:p w14:paraId="49456D79"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60" w:type="dxa"/>
            <w:tcBorders>
              <w:top w:val="nil"/>
              <w:left w:val="nil"/>
              <w:bottom w:val="single" w:sz="4" w:space="0" w:color="auto"/>
              <w:right w:val="single" w:sz="4" w:space="0" w:color="auto"/>
            </w:tcBorders>
            <w:shd w:val="clear" w:color="000000" w:fill="C4D79B"/>
            <w:hideMark/>
          </w:tcPr>
          <w:p w14:paraId="07859D31"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39" w:type="dxa"/>
            <w:tcBorders>
              <w:top w:val="nil"/>
              <w:left w:val="nil"/>
              <w:bottom w:val="single" w:sz="4" w:space="0" w:color="auto"/>
              <w:right w:val="single" w:sz="4" w:space="0" w:color="auto"/>
            </w:tcBorders>
            <w:shd w:val="clear" w:color="000000" w:fill="C4D79B"/>
            <w:hideMark/>
          </w:tcPr>
          <w:p w14:paraId="2BEC194C"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59" w:type="dxa"/>
            <w:tcBorders>
              <w:top w:val="nil"/>
              <w:left w:val="nil"/>
              <w:bottom w:val="single" w:sz="4" w:space="0" w:color="auto"/>
              <w:right w:val="single" w:sz="4" w:space="0" w:color="auto"/>
            </w:tcBorders>
            <w:shd w:val="clear" w:color="000000" w:fill="C4D79B"/>
            <w:hideMark/>
          </w:tcPr>
          <w:p w14:paraId="1B9350CD"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66" w:type="dxa"/>
            <w:tcBorders>
              <w:top w:val="nil"/>
              <w:left w:val="nil"/>
              <w:bottom w:val="single" w:sz="4" w:space="0" w:color="auto"/>
              <w:right w:val="single" w:sz="4" w:space="0" w:color="auto"/>
            </w:tcBorders>
            <w:shd w:val="clear" w:color="000000" w:fill="C4D79B"/>
            <w:hideMark/>
          </w:tcPr>
          <w:p w14:paraId="7D8F9A4A"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10</w:t>
            </w:r>
          </w:p>
        </w:tc>
        <w:tc>
          <w:tcPr>
            <w:tcW w:w="1000" w:type="dxa"/>
            <w:tcBorders>
              <w:top w:val="nil"/>
              <w:left w:val="nil"/>
              <w:bottom w:val="single" w:sz="4" w:space="0" w:color="auto"/>
              <w:right w:val="single" w:sz="4" w:space="0" w:color="auto"/>
            </w:tcBorders>
            <w:shd w:val="clear" w:color="000000" w:fill="C4D79B"/>
            <w:hideMark/>
          </w:tcPr>
          <w:p w14:paraId="091F1693"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20" w:type="dxa"/>
            <w:tcBorders>
              <w:top w:val="nil"/>
              <w:left w:val="nil"/>
              <w:bottom w:val="single" w:sz="4" w:space="0" w:color="auto"/>
              <w:right w:val="single" w:sz="4" w:space="0" w:color="auto"/>
            </w:tcBorders>
            <w:shd w:val="clear" w:color="000000" w:fill="C4D79B"/>
            <w:hideMark/>
          </w:tcPr>
          <w:p w14:paraId="08B1CB77"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1059" w:type="dxa"/>
            <w:tcBorders>
              <w:top w:val="nil"/>
              <w:left w:val="nil"/>
              <w:bottom w:val="single" w:sz="4" w:space="0" w:color="auto"/>
              <w:right w:val="single" w:sz="4" w:space="0" w:color="auto"/>
            </w:tcBorders>
            <w:shd w:val="clear" w:color="000000" w:fill="C4D79B"/>
            <w:hideMark/>
          </w:tcPr>
          <w:p w14:paraId="27D74157"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r>
      <w:tr w:rsidR="000F21F8" w:rsidRPr="000F21F8" w14:paraId="53BC0FCB" w14:textId="77777777" w:rsidTr="00534B49">
        <w:trPr>
          <w:trHeight w:val="480"/>
        </w:trPr>
        <w:tc>
          <w:tcPr>
            <w:tcW w:w="1519" w:type="dxa"/>
            <w:tcBorders>
              <w:top w:val="nil"/>
              <w:left w:val="single" w:sz="4" w:space="0" w:color="auto"/>
              <w:bottom w:val="single" w:sz="4" w:space="0" w:color="auto"/>
              <w:right w:val="single" w:sz="4" w:space="0" w:color="auto"/>
            </w:tcBorders>
            <w:shd w:val="clear" w:color="000000" w:fill="C4D79B"/>
            <w:hideMark/>
          </w:tcPr>
          <w:p w14:paraId="79765247" w14:textId="77777777" w:rsidR="000F21F8" w:rsidRPr="000F21F8" w:rsidRDefault="000F21F8" w:rsidP="000F21F8">
            <w:pPr>
              <w:spacing w:after="0" w:line="240" w:lineRule="auto"/>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East Wittering &amp; Bracklesham</w:t>
            </w:r>
          </w:p>
        </w:tc>
        <w:tc>
          <w:tcPr>
            <w:tcW w:w="1266" w:type="dxa"/>
            <w:tcBorders>
              <w:top w:val="nil"/>
              <w:left w:val="nil"/>
              <w:bottom w:val="single" w:sz="4" w:space="0" w:color="auto"/>
              <w:right w:val="single" w:sz="4" w:space="0" w:color="auto"/>
            </w:tcBorders>
            <w:shd w:val="clear" w:color="000000" w:fill="C4D79B"/>
            <w:hideMark/>
          </w:tcPr>
          <w:p w14:paraId="4B3F68E6" w14:textId="54E37577" w:rsidR="000F21F8" w:rsidRPr="000F21F8" w:rsidRDefault="00F52887" w:rsidP="000F21F8">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7,482</w:t>
            </w:r>
          </w:p>
        </w:tc>
        <w:tc>
          <w:tcPr>
            <w:tcW w:w="893" w:type="dxa"/>
            <w:tcBorders>
              <w:top w:val="nil"/>
              <w:left w:val="nil"/>
              <w:bottom w:val="single" w:sz="4" w:space="0" w:color="auto"/>
              <w:right w:val="single" w:sz="4" w:space="0" w:color="auto"/>
            </w:tcBorders>
            <w:shd w:val="clear" w:color="000000" w:fill="C4D79B"/>
            <w:hideMark/>
          </w:tcPr>
          <w:p w14:paraId="5AA82A2D"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23</w:t>
            </w:r>
          </w:p>
        </w:tc>
        <w:tc>
          <w:tcPr>
            <w:tcW w:w="1020" w:type="dxa"/>
            <w:tcBorders>
              <w:top w:val="nil"/>
              <w:left w:val="nil"/>
              <w:bottom w:val="single" w:sz="4" w:space="0" w:color="auto"/>
              <w:right w:val="single" w:sz="4" w:space="0" w:color="auto"/>
            </w:tcBorders>
            <w:shd w:val="clear" w:color="000000" w:fill="C4D79B"/>
            <w:hideMark/>
          </w:tcPr>
          <w:p w14:paraId="0066EC66"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1100" w:type="dxa"/>
            <w:tcBorders>
              <w:top w:val="nil"/>
              <w:left w:val="nil"/>
              <w:bottom w:val="single" w:sz="4" w:space="0" w:color="auto"/>
              <w:right w:val="single" w:sz="4" w:space="0" w:color="auto"/>
            </w:tcBorders>
            <w:shd w:val="clear" w:color="000000" w:fill="C4D79B"/>
            <w:hideMark/>
          </w:tcPr>
          <w:p w14:paraId="0787B5B0"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999" w:type="dxa"/>
            <w:tcBorders>
              <w:top w:val="nil"/>
              <w:left w:val="nil"/>
              <w:bottom w:val="single" w:sz="4" w:space="0" w:color="auto"/>
              <w:right w:val="single" w:sz="4" w:space="0" w:color="auto"/>
            </w:tcBorders>
            <w:shd w:val="clear" w:color="000000" w:fill="C4D79B"/>
            <w:hideMark/>
          </w:tcPr>
          <w:p w14:paraId="7C51CFFE"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60" w:type="dxa"/>
            <w:tcBorders>
              <w:top w:val="nil"/>
              <w:left w:val="nil"/>
              <w:bottom w:val="single" w:sz="4" w:space="0" w:color="auto"/>
              <w:right w:val="single" w:sz="4" w:space="0" w:color="auto"/>
            </w:tcBorders>
            <w:shd w:val="clear" w:color="000000" w:fill="C4D79B"/>
            <w:hideMark/>
          </w:tcPr>
          <w:p w14:paraId="69A52E2F"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39" w:type="dxa"/>
            <w:tcBorders>
              <w:top w:val="nil"/>
              <w:left w:val="nil"/>
              <w:bottom w:val="single" w:sz="4" w:space="0" w:color="auto"/>
              <w:right w:val="single" w:sz="4" w:space="0" w:color="auto"/>
            </w:tcBorders>
            <w:shd w:val="clear" w:color="000000" w:fill="C4D79B"/>
            <w:hideMark/>
          </w:tcPr>
          <w:p w14:paraId="00E9B9CA"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4</w:t>
            </w:r>
          </w:p>
        </w:tc>
        <w:tc>
          <w:tcPr>
            <w:tcW w:w="1059" w:type="dxa"/>
            <w:tcBorders>
              <w:top w:val="nil"/>
              <w:left w:val="nil"/>
              <w:bottom w:val="single" w:sz="4" w:space="0" w:color="auto"/>
              <w:right w:val="single" w:sz="4" w:space="0" w:color="auto"/>
            </w:tcBorders>
            <w:shd w:val="clear" w:color="000000" w:fill="C4D79B"/>
            <w:hideMark/>
          </w:tcPr>
          <w:p w14:paraId="21891F66"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4</w:t>
            </w:r>
          </w:p>
        </w:tc>
        <w:tc>
          <w:tcPr>
            <w:tcW w:w="1066" w:type="dxa"/>
            <w:tcBorders>
              <w:top w:val="nil"/>
              <w:left w:val="nil"/>
              <w:bottom w:val="single" w:sz="4" w:space="0" w:color="auto"/>
              <w:right w:val="single" w:sz="4" w:space="0" w:color="auto"/>
            </w:tcBorders>
            <w:shd w:val="clear" w:color="000000" w:fill="C4D79B"/>
            <w:hideMark/>
          </w:tcPr>
          <w:p w14:paraId="24865B8F"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4</w:t>
            </w:r>
          </w:p>
        </w:tc>
        <w:tc>
          <w:tcPr>
            <w:tcW w:w="1000" w:type="dxa"/>
            <w:tcBorders>
              <w:top w:val="nil"/>
              <w:left w:val="nil"/>
              <w:bottom w:val="single" w:sz="4" w:space="0" w:color="auto"/>
              <w:right w:val="single" w:sz="4" w:space="0" w:color="auto"/>
            </w:tcBorders>
            <w:shd w:val="clear" w:color="000000" w:fill="C4D79B"/>
            <w:hideMark/>
          </w:tcPr>
          <w:p w14:paraId="51733136"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20" w:type="dxa"/>
            <w:tcBorders>
              <w:top w:val="nil"/>
              <w:left w:val="nil"/>
              <w:bottom w:val="single" w:sz="4" w:space="0" w:color="auto"/>
              <w:right w:val="single" w:sz="4" w:space="0" w:color="auto"/>
            </w:tcBorders>
            <w:shd w:val="clear" w:color="000000" w:fill="C4D79B"/>
            <w:hideMark/>
          </w:tcPr>
          <w:p w14:paraId="4B33C5E9"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1059" w:type="dxa"/>
            <w:tcBorders>
              <w:top w:val="nil"/>
              <w:left w:val="nil"/>
              <w:bottom w:val="single" w:sz="4" w:space="0" w:color="auto"/>
              <w:right w:val="single" w:sz="4" w:space="0" w:color="auto"/>
            </w:tcBorders>
            <w:shd w:val="clear" w:color="000000" w:fill="C4D79B"/>
            <w:hideMark/>
          </w:tcPr>
          <w:p w14:paraId="1C3C6359"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r>
      <w:tr w:rsidR="000F21F8" w:rsidRPr="000F21F8" w14:paraId="67F21492" w14:textId="77777777" w:rsidTr="00534B49">
        <w:trPr>
          <w:trHeight w:val="285"/>
        </w:trPr>
        <w:tc>
          <w:tcPr>
            <w:tcW w:w="1519" w:type="dxa"/>
            <w:tcBorders>
              <w:top w:val="nil"/>
              <w:left w:val="single" w:sz="4" w:space="0" w:color="auto"/>
              <w:bottom w:val="dashed" w:sz="8" w:space="0" w:color="auto"/>
              <w:right w:val="single" w:sz="4" w:space="0" w:color="auto"/>
            </w:tcBorders>
            <w:shd w:val="clear" w:color="000000" w:fill="C4D79B"/>
            <w:hideMark/>
          </w:tcPr>
          <w:p w14:paraId="70B6BD01" w14:textId="77777777" w:rsidR="000F21F8" w:rsidRPr="000F21F8" w:rsidRDefault="000F21F8" w:rsidP="000F21F8">
            <w:pPr>
              <w:spacing w:after="0" w:line="240" w:lineRule="auto"/>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Southbourne</w:t>
            </w:r>
          </w:p>
        </w:tc>
        <w:tc>
          <w:tcPr>
            <w:tcW w:w="1266" w:type="dxa"/>
            <w:tcBorders>
              <w:top w:val="nil"/>
              <w:left w:val="nil"/>
              <w:bottom w:val="dashed" w:sz="8" w:space="0" w:color="auto"/>
              <w:right w:val="single" w:sz="4" w:space="0" w:color="auto"/>
            </w:tcBorders>
            <w:shd w:val="clear" w:color="000000" w:fill="C4D79B"/>
            <w:hideMark/>
          </w:tcPr>
          <w:p w14:paraId="2D7DBC89" w14:textId="73D0C600" w:rsidR="000F21F8" w:rsidRPr="000F21F8" w:rsidRDefault="00F52887" w:rsidP="000F21F8">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4,967</w:t>
            </w:r>
          </w:p>
        </w:tc>
        <w:tc>
          <w:tcPr>
            <w:tcW w:w="893" w:type="dxa"/>
            <w:tcBorders>
              <w:top w:val="nil"/>
              <w:left w:val="nil"/>
              <w:bottom w:val="dashed" w:sz="8" w:space="0" w:color="auto"/>
              <w:right w:val="single" w:sz="4" w:space="0" w:color="auto"/>
            </w:tcBorders>
            <w:shd w:val="clear" w:color="000000" w:fill="C4D79B"/>
            <w:hideMark/>
          </w:tcPr>
          <w:p w14:paraId="4BB6A045"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21</w:t>
            </w:r>
          </w:p>
        </w:tc>
        <w:tc>
          <w:tcPr>
            <w:tcW w:w="1020" w:type="dxa"/>
            <w:tcBorders>
              <w:top w:val="nil"/>
              <w:left w:val="nil"/>
              <w:bottom w:val="dashed" w:sz="8" w:space="0" w:color="auto"/>
              <w:right w:val="single" w:sz="4" w:space="0" w:color="auto"/>
            </w:tcBorders>
            <w:shd w:val="clear" w:color="000000" w:fill="C4D79B"/>
            <w:hideMark/>
          </w:tcPr>
          <w:p w14:paraId="382F625D"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1100" w:type="dxa"/>
            <w:tcBorders>
              <w:top w:val="nil"/>
              <w:left w:val="nil"/>
              <w:bottom w:val="dashed" w:sz="8" w:space="0" w:color="auto"/>
              <w:right w:val="single" w:sz="4" w:space="0" w:color="auto"/>
            </w:tcBorders>
            <w:shd w:val="clear" w:color="000000" w:fill="C4D79B"/>
            <w:hideMark/>
          </w:tcPr>
          <w:p w14:paraId="0CDD67D3"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4</w:t>
            </w:r>
          </w:p>
        </w:tc>
        <w:tc>
          <w:tcPr>
            <w:tcW w:w="999" w:type="dxa"/>
            <w:tcBorders>
              <w:top w:val="nil"/>
              <w:left w:val="nil"/>
              <w:bottom w:val="dashed" w:sz="8" w:space="0" w:color="auto"/>
              <w:right w:val="single" w:sz="4" w:space="0" w:color="auto"/>
            </w:tcBorders>
            <w:shd w:val="clear" w:color="000000" w:fill="C4D79B"/>
            <w:hideMark/>
          </w:tcPr>
          <w:p w14:paraId="24E4BB8E"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60" w:type="dxa"/>
            <w:tcBorders>
              <w:top w:val="nil"/>
              <w:left w:val="nil"/>
              <w:bottom w:val="dashed" w:sz="8" w:space="0" w:color="auto"/>
              <w:right w:val="single" w:sz="4" w:space="0" w:color="auto"/>
            </w:tcBorders>
            <w:shd w:val="clear" w:color="000000" w:fill="C4D79B"/>
            <w:hideMark/>
          </w:tcPr>
          <w:p w14:paraId="75FC0F5F"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939" w:type="dxa"/>
            <w:tcBorders>
              <w:top w:val="nil"/>
              <w:left w:val="nil"/>
              <w:bottom w:val="dashed" w:sz="8" w:space="0" w:color="auto"/>
              <w:right w:val="single" w:sz="4" w:space="0" w:color="auto"/>
            </w:tcBorders>
            <w:shd w:val="clear" w:color="000000" w:fill="C4D79B"/>
            <w:hideMark/>
          </w:tcPr>
          <w:p w14:paraId="61E6B914"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1059" w:type="dxa"/>
            <w:tcBorders>
              <w:top w:val="nil"/>
              <w:left w:val="nil"/>
              <w:bottom w:val="dashed" w:sz="8" w:space="0" w:color="auto"/>
              <w:right w:val="single" w:sz="4" w:space="0" w:color="auto"/>
            </w:tcBorders>
            <w:shd w:val="clear" w:color="000000" w:fill="C4D79B"/>
            <w:hideMark/>
          </w:tcPr>
          <w:p w14:paraId="6B5720FC"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1066" w:type="dxa"/>
            <w:tcBorders>
              <w:top w:val="nil"/>
              <w:left w:val="nil"/>
              <w:bottom w:val="dashed" w:sz="8" w:space="0" w:color="auto"/>
              <w:right w:val="single" w:sz="4" w:space="0" w:color="auto"/>
            </w:tcBorders>
            <w:shd w:val="clear" w:color="000000" w:fill="C4D79B"/>
            <w:hideMark/>
          </w:tcPr>
          <w:p w14:paraId="089952E5"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1000" w:type="dxa"/>
            <w:tcBorders>
              <w:top w:val="nil"/>
              <w:left w:val="nil"/>
              <w:bottom w:val="dashed" w:sz="8" w:space="0" w:color="auto"/>
              <w:right w:val="single" w:sz="4" w:space="0" w:color="auto"/>
            </w:tcBorders>
            <w:shd w:val="clear" w:color="000000" w:fill="C4D79B"/>
            <w:hideMark/>
          </w:tcPr>
          <w:p w14:paraId="7D0DCBAB"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20" w:type="dxa"/>
            <w:tcBorders>
              <w:top w:val="nil"/>
              <w:left w:val="nil"/>
              <w:bottom w:val="dashed" w:sz="8" w:space="0" w:color="auto"/>
              <w:right w:val="single" w:sz="4" w:space="0" w:color="auto"/>
            </w:tcBorders>
            <w:shd w:val="clear" w:color="000000" w:fill="C4D79B"/>
            <w:hideMark/>
          </w:tcPr>
          <w:p w14:paraId="154B4CF8"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1059" w:type="dxa"/>
            <w:tcBorders>
              <w:top w:val="nil"/>
              <w:left w:val="nil"/>
              <w:bottom w:val="dashed" w:sz="8" w:space="0" w:color="auto"/>
              <w:right w:val="single" w:sz="4" w:space="0" w:color="auto"/>
            </w:tcBorders>
            <w:shd w:val="clear" w:color="000000" w:fill="C4D79B"/>
            <w:hideMark/>
          </w:tcPr>
          <w:p w14:paraId="04D484AA"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r>
      <w:tr w:rsidR="000F21F8" w:rsidRPr="000F21F8" w14:paraId="3BE2DFD9" w14:textId="77777777" w:rsidTr="00534B49">
        <w:trPr>
          <w:trHeight w:val="480"/>
        </w:trPr>
        <w:tc>
          <w:tcPr>
            <w:tcW w:w="1519" w:type="dxa"/>
            <w:tcBorders>
              <w:top w:val="nil"/>
              <w:left w:val="single" w:sz="4" w:space="0" w:color="auto"/>
              <w:bottom w:val="single" w:sz="4" w:space="0" w:color="auto"/>
              <w:right w:val="single" w:sz="4" w:space="0" w:color="auto"/>
            </w:tcBorders>
            <w:shd w:val="clear" w:color="000000" w:fill="B7DEE8"/>
            <w:hideMark/>
          </w:tcPr>
          <w:p w14:paraId="4D0C0253" w14:textId="77777777" w:rsidR="000F21F8" w:rsidRPr="000F21F8" w:rsidRDefault="000F21F8" w:rsidP="000F21F8">
            <w:pPr>
              <w:spacing w:after="0" w:line="240" w:lineRule="auto"/>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Bosham &amp; Broadbridge</w:t>
            </w:r>
          </w:p>
        </w:tc>
        <w:tc>
          <w:tcPr>
            <w:tcW w:w="1266" w:type="dxa"/>
            <w:tcBorders>
              <w:top w:val="nil"/>
              <w:left w:val="nil"/>
              <w:bottom w:val="single" w:sz="4" w:space="0" w:color="auto"/>
              <w:right w:val="single" w:sz="4" w:space="0" w:color="auto"/>
            </w:tcBorders>
            <w:shd w:val="clear" w:color="000000" w:fill="B7DEE8"/>
            <w:hideMark/>
          </w:tcPr>
          <w:p w14:paraId="60C20976" w14:textId="24F77B84"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r w:rsidR="00F52887">
              <w:rPr>
                <w:rFonts w:ascii="Calibri" w:eastAsia="Times New Roman" w:hAnsi="Calibri" w:cs="Calibri"/>
                <w:color w:val="000000"/>
                <w:sz w:val="18"/>
                <w:szCs w:val="18"/>
                <w:lang w:eastAsia="en-GB"/>
              </w:rPr>
              <w:t>693</w:t>
            </w:r>
          </w:p>
        </w:tc>
        <w:tc>
          <w:tcPr>
            <w:tcW w:w="893" w:type="dxa"/>
            <w:tcBorders>
              <w:top w:val="nil"/>
              <w:left w:val="nil"/>
              <w:bottom w:val="single" w:sz="4" w:space="0" w:color="auto"/>
              <w:right w:val="single" w:sz="4" w:space="0" w:color="auto"/>
            </w:tcBorders>
            <w:shd w:val="clear" w:color="000000" w:fill="B7DEE8"/>
            <w:hideMark/>
          </w:tcPr>
          <w:p w14:paraId="0EF1CF82"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21</w:t>
            </w:r>
          </w:p>
        </w:tc>
        <w:tc>
          <w:tcPr>
            <w:tcW w:w="1020" w:type="dxa"/>
            <w:tcBorders>
              <w:top w:val="nil"/>
              <w:left w:val="nil"/>
              <w:bottom w:val="single" w:sz="4" w:space="0" w:color="auto"/>
              <w:right w:val="single" w:sz="4" w:space="0" w:color="auto"/>
            </w:tcBorders>
            <w:shd w:val="clear" w:color="000000" w:fill="B7DEE8"/>
            <w:hideMark/>
          </w:tcPr>
          <w:p w14:paraId="6DB26752"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1100" w:type="dxa"/>
            <w:tcBorders>
              <w:top w:val="nil"/>
              <w:left w:val="nil"/>
              <w:bottom w:val="single" w:sz="4" w:space="0" w:color="auto"/>
              <w:right w:val="single" w:sz="4" w:space="0" w:color="auto"/>
            </w:tcBorders>
            <w:shd w:val="clear" w:color="000000" w:fill="B7DEE8"/>
            <w:hideMark/>
          </w:tcPr>
          <w:p w14:paraId="70329E5C"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999" w:type="dxa"/>
            <w:tcBorders>
              <w:top w:val="nil"/>
              <w:left w:val="nil"/>
              <w:bottom w:val="single" w:sz="4" w:space="0" w:color="auto"/>
              <w:right w:val="single" w:sz="4" w:space="0" w:color="auto"/>
            </w:tcBorders>
            <w:shd w:val="clear" w:color="000000" w:fill="B7DEE8"/>
            <w:hideMark/>
          </w:tcPr>
          <w:p w14:paraId="60F22D13"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60" w:type="dxa"/>
            <w:tcBorders>
              <w:top w:val="nil"/>
              <w:left w:val="nil"/>
              <w:bottom w:val="single" w:sz="4" w:space="0" w:color="auto"/>
              <w:right w:val="single" w:sz="4" w:space="0" w:color="auto"/>
            </w:tcBorders>
            <w:shd w:val="clear" w:color="000000" w:fill="B7DEE8"/>
            <w:hideMark/>
          </w:tcPr>
          <w:p w14:paraId="45B82345"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39" w:type="dxa"/>
            <w:tcBorders>
              <w:top w:val="nil"/>
              <w:left w:val="nil"/>
              <w:bottom w:val="single" w:sz="4" w:space="0" w:color="auto"/>
              <w:right w:val="single" w:sz="4" w:space="0" w:color="auto"/>
            </w:tcBorders>
            <w:shd w:val="clear" w:color="000000" w:fill="B7DEE8"/>
            <w:hideMark/>
          </w:tcPr>
          <w:p w14:paraId="442DE116"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4</w:t>
            </w:r>
          </w:p>
        </w:tc>
        <w:tc>
          <w:tcPr>
            <w:tcW w:w="1059" w:type="dxa"/>
            <w:tcBorders>
              <w:top w:val="nil"/>
              <w:left w:val="nil"/>
              <w:bottom w:val="single" w:sz="4" w:space="0" w:color="auto"/>
              <w:right w:val="single" w:sz="4" w:space="0" w:color="auto"/>
            </w:tcBorders>
            <w:shd w:val="clear" w:color="000000" w:fill="B7DEE8"/>
            <w:hideMark/>
          </w:tcPr>
          <w:p w14:paraId="2F20ECB9"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1066" w:type="dxa"/>
            <w:tcBorders>
              <w:top w:val="nil"/>
              <w:left w:val="nil"/>
              <w:bottom w:val="single" w:sz="4" w:space="0" w:color="auto"/>
              <w:right w:val="single" w:sz="4" w:space="0" w:color="auto"/>
            </w:tcBorders>
            <w:shd w:val="clear" w:color="000000" w:fill="B7DEE8"/>
            <w:hideMark/>
          </w:tcPr>
          <w:p w14:paraId="1D2645FB"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4</w:t>
            </w:r>
          </w:p>
        </w:tc>
        <w:tc>
          <w:tcPr>
            <w:tcW w:w="1000" w:type="dxa"/>
            <w:tcBorders>
              <w:top w:val="nil"/>
              <w:left w:val="nil"/>
              <w:bottom w:val="single" w:sz="4" w:space="0" w:color="auto"/>
              <w:right w:val="single" w:sz="4" w:space="0" w:color="auto"/>
            </w:tcBorders>
            <w:shd w:val="clear" w:color="000000" w:fill="B7DEE8"/>
            <w:hideMark/>
          </w:tcPr>
          <w:p w14:paraId="605780AE"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20" w:type="dxa"/>
            <w:tcBorders>
              <w:top w:val="nil"/>
              <w:left w:val="nil"/>
              <w:bottom w:val="single" w:sz="4" w:space="0" w:color="auto"/>
              <w:right w:val="single" w:sz="4" w:space="0" w:color="auto"/>
            </w:tcBorders>
            <w:shd w:val="clear" w:color="000000" w:fill="B7DEE8"/>
            <w:hideMark/>
          </w:tcPr>
          <w:p w14:paraId="17F06C87"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1059" w:type="dxa"/>
            <w:tcBorders>
              <w:top w:val="nil"/>
              <w:left w:val="nil"/>
              <w:bottom w:val="single" w:sz="4" w:space="0" w:color="auto"/>
              <w:right w:val="single" w:sz="4" w:space="0" w:color="auto"/>
            </w:tcBorders>
            <w:shd w:val="clear" w:color="000000" w:fill="B7DEE8"/>
            <w:hideMark/>
          </w:tcPr>
          <w:p w14:paraId="7D803E4C"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r>
      <w:tr w:rsidR="000F21F8" w:rsidRPr="000F21F8" w14:paraId="08FD99CB" w14:textId="77777777" w:rsidTr="00534B49">
        <w:trPr>
          <w:trHeight w:val="240"/>
        </w:trPr>
        <w:tc>
          <w:tcPr>
            <w:tcW w:w="1519" w:type="dxa"/>
            <w:tcBorders>
              <w:top w:val="nil"/>
              <w:left w:val="single" w:sz="4" w:space="0" w:color="auto"/>
              <w:bottom w:val="single" w:sz="4" w:space="0" w:color="auto"/>
              <w:right w:val="single" w:sz="4" w:space="0" w:color="auto"/>
            </w:tcBorders>
            <w:shd w:val="clear" w:color="000000" w:fill="B7DEE8"/>
            <w:hideMark/>
          </w:tcPr>
          <w:p w14:paraId="09B25397" w14:textId="77777777" w:rsidR="000F21F8" w:rsidRPr="000F21F8" w:rsidRDefault="000F21F8" w:rsidP="000F21F8">
            <w:pPr>
              <w:spacing w:after="0" w:line="240" w:lineRule="auto"/>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West Wittering</w:t>
            </w:r>
          </w:p>
        </w:tc>
        <w:tc>
          <w:tcPr>
            <w:tcW w:w="1266" w:type="dxa"/>
            <w:tcBorders>
              <w:top w:val="nil"/>
              <w:left w:val="nil"/>
              <w:bottom w:val="single" w:sz="4" w:space="0" w:color="auto"/>
              <w:right w:val="single" w:sz="4" w:space="0" w:color="auto"/>
            </w:tcBorders>
            <w:shd w:val="clear" w:color="000000" w:fill="B7DEE8"/>
            <w:hideMark/>
          </w:tcPr>
          <w:p w14:paraId="193D6D79" w14:textId="1A9CBA6F"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r w:rsidR="00F52887">
              <w:rPr>
                <w:rFonts w:ascii="Calibri" w:eastAsia="Times New Roman" w:hAnsi="Calibri" w:cs="Calibri"/>
                <w:color w:val="000000"/>
                <w:sz w:val="18"/>
                <w:szCs w:val="18"/>
                <w:lang w:eastAsia="en-GB"/>
              </w:rPr>
              <w:t>221</w:t>
            </w:r>
          </w:p>
        </w:tc>
        <w:tc>
          <w:tcPr>
            <w:tcW w:w="893" w:type="dxa"/>
            <w:tcBorders>
              <w:top w:val="nil"/>
              <w:left w:val="nil"/>
              <w:bottom w:val="single" w:sz="4" w:space="0" w:color="auto"/>
              <w:right w:val="single" w:sz="4" w:space="0" w:color="auto"/>
            </w:tcBorders>
            <w:shd w:val="clear" w:color="000000" w:fill="B7DEE8"/>
            <w:hideMark/>
          </w:tcPr>
          <w:p w14:paraId="649D7579"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13</w:t>
            </w:r>
          </w:p>
        </w:tc>
        <w:tc>
          <w:tcPr>
            <w:tcW w:w="1020" w:type="dxa"/>
            <w:tcBorders>
              <w:top w:val="nil"/>
              <w:left w:val="nil"/>
              <w:bottom w:val="single" w:sz="4" w:space="0" w:color="auto"/>
              <w:right w:val="single" w:sz="4" w:space="0" w:color="auto"/>
            </w:tcBorders>
            <w:shd w:val="clear" w:color="000000" w:fill="B7DEE8"/>
            <w:hideMark/>
          </w:tcPr>
          <w:p w14:paraId="07B09DD8"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100" w:type="dxa"/>
            <w:tcBorders>
              <w:top w:val="nil"/>
              <w:left w:val="nil"/>
              <w:bottom w:val="single" w:sz="4" w:space="0" w:color="auto"/>
              <w:right w:val="single" w:sz="4" w:space="0" w:color="auto"/>
            </w:tcBorders>
            <w:shd w:val="clear" w:color="000000" w:fill="B7DEE8"/>
            <w:hideMark/>
          </w:tcPr>
          <w:p w14:paraId="1DA416C0"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999" w:type="dxa"/>
            <w:tcBorders>
              <w:top w:val="nil"/>
              <w:left w:val="nil"/>
              <w:bottom w:val="single" w:sz="4" w:space="0" w:color="auto"/>
              <w:right w:val="single" w:sz="4" w:space="0" w:color="auto"/>
            </w:tcBorders>
            <w:shd w:val="clear" w:color="000000" w:fill="B7DEE8"/>
            <w:hideMark/>
          </w:tcPr>
          <w:p w14:paraId="3B098ED4"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960" w:type="dxa"/>
            <w:tcBorders>
              <w:top w:val="nil"/>
              <w:left w:val="nil"/>
              <w:bottom w:val="single" w:sz="4" w:space="0" w:color="auto"/>
              <w:right w:val="single" w:sz="4" w:space="0" w:color="auto"/>
            </w:tcBorders>
            <w:shd w:val="clear" w:color="000000" w:fill="B7DEE8"/>
            <w:hideMark/>
          </w:tcPr>
          <w:p w14:paraId="78B93500"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39" w:type="dxa"/>
            <w:tcBorders>
              <w:top w:val="nil"/>
              <w:left w:val="nil"/>
              <w:bottom w:val="single" w:sz="4" w:space="0" w:color="auto"/>
              <w:right w:val="single" w:sz="4" w:space="0" w:color="auto"/>
            </w:tcBorders>
            <w:shd w:val="clear" w:color="000000" w:fill="B7DEE8"/>
            <w:hideMark/>
          </w:tcPr>
          <w:p w14:paraId="743346F8"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59" w:type="dxa"/>
            <w:tcBorders>
              <w:top w:val="nil"/>
              <w:left w:val="nil"/>
              <w:bottom w:val="single" w:sz="4" w:space="0" w:color="auto"/>
              <w:right w:val="single" w:sz="4" w:space="0" w:color="auto"/>
            </w:tcBorders>
            <w:shd w:val="clear" w:color="000000" w:fill="B7DEE8"/>
            <w:hideMark/>
          </w:tcPr>
          <w:p w14:paraId="6E368F9A"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66" w:type="dxa"/>
            <w:tcBorders>
              <w:top w:val="nil"/>
              <w:left w:val="nil"/>
              <w:bottom w:val="single" w:sz="4" w:space="0" w:color="auto"/>
              <w:right w:val="single" w:sz="4" w:space="0" w:color="auto"/>
            </w:tcBorders>
            <w:shd w:val="clear" w:color="000000" w:fill="B7DEE8"/>
            <w:hideMark/>
          </w:tcPr>
          <w:p w14:paraId="3E2FFC5C"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4</w:t>
            </w:r>
          </w:p>
        </w:tc>
        <w:tc>
          <w:tcPr>
            <w:tcW w:w="1000" w:type="dxa"/>
            <w:tcBorders>
              <w:top w:val="nil"/>
              <w:left w:val="nil"/>
              <w:bottom w:val="single" w:sz="4" w:space="0" w:color="auto"/>
              <w:right w:val="single" w:sz="4" w:space="0" w:color="auto"/>
            </w:tcBorders>
            <w:shd w:val="clear" w:color="000000" w:fill="B7DEE8"/>
            <w:hideMark/>
          </w:tcPr>
          <w:p w14:paraId="51F1212C"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20" w:type="dxa"/>
            <w:tcBorders>
              <w:top w:val="nil"/>
              <w:left w:val="nil"/>
              <w:bottom w:val="single" w:sz="4" w:space="0" w:color="auto"/>
              <w:right w:val="single" w:sz="4" w:space="0" w:color="auto"/>
            </w:tcBorders>
            <w:shd w:val="clear" w:color="000000" w:fill="B7DEE8"/>
            <w:hideMark/>
          </w:tcPr>
          <w:p w14:paraId="2A928754"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1059" w:type="dxa"/>
            <w:tcBorders>
              <w:top w:val="nil"/>
              <w:left w:val="nil"/>
              <w:bottom w:val="single" w:sz="4" w:space="0" w:color="auto"/>
              <w:right w:val="single" w:sz="4" w:space="0" w:color="auto"/>
            </w:tcBorders>
            <w:shd w:val="clear" w:color="000000" w:fill="B7DEE8"/>
            <w:hideMark/>
          </w:tcPr>
          <w:p w14:paraId="525E5C09"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r>
      <w:tr w:rsidR="000F21F8" w:rsidRPr="000F21F8" w14:paraId="18247266" w14:textId="77777777" w:rsidTr="00534B49">
        <w:trPr>
          <w:trHeight w:val="240"/>
        </w:trPr>
        <w:tc>
          <w:tcPr>
            <w:tcW w:w="1519" w:type="dxa"/>
            <w:tcBorders>
              <w:top w:val="nil"/>
              <w:left w:val="single" w:sz="4" w:space="0" w:color="auto"/>
              <w:bottom w:val="single" w:sz="4" w:space="0" w:color="auto"/>
              <w:right w:val="single" w:sz="4" w:space="0" w:color="auto"/>
            </w:tcBorders>
            <w:shd w:val="clear" w:color="000000" w:fill="B7DEE8"/>
            <w:hideMark/>
          </w:tcPr>
          <w:p w14:paraId="0401B008" w14:textId="77777777" w:rsidR="000F21F8" w:rsidRPr="000F21F8" w:rsidRDefault="000F21F8" w:rsidP="000F21F8">
            <w:pPr>
              <w:spacing w:after="0" w:line="240" w:lineRule="auto"/>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Westbourne</w:t>
            </w:r>
          </w:p>
        </w:tc>
        <w:tc>
          <w:tcPr>
            <w:tcW w:w="1266" w:type="dxa"/>
            <w:tcBorders>
              <w:top w:val="nil"/>
              <w:left w:val="nil"/>
              <w:bottom w:val="single" w:sz="4" w:space="0" w:color="auto"/>
              <w:right w:val="single" w:sz="4" w:space="0" w:color="auto"/>
            </w:tcBorders>
            <w:shd w:val="clear" w:color="000000" w:fill="B7DEE8"/>
            <w:hideMark/>
          </w:tcPr>
          <w:p w14:paraId="4FCAC79F" w14:textId="5127E1B5" w:rsidR="000F21F8" w:rsidRPr="000F21F8" w:rsidRDefault="00F52887" w:rsidP="000F21F8">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1,938</w:t>
            </w:r>
          </w:p>
        </w:tc>
        <w:tc>
          <w:tcPr>
            <w:tcW w:w="893" w:type="dxa"/>
            <w:tcBorders>
              <w:top w:val="nil"/>
              <w:left w:val="nil"/>
              <w:bottom w:val="single" w:sz="4" w:space="0" w:color="auto"/>
              <w:right w:val="single" w:sz="4" w:space="0" w:color="auto"/>
            </w:tcBorders>
            <w:shd w:val="clear" w:color="000000" w:fill="B7DEE8"/>
            <w:hideMark/>
          </w:tcPr>
          <w:p w14:paraId="3158F8C0"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13</w:t>
            </w:r>
          </w:p>
        </w:tc>
        <w:tc>
          <w:tcPr>
            <w:tcW w:w="1020" w:type="dxa"/>
            <w:tcBorders>
              <w:top w:val="nil"/>
              <w:left w:val="nil"/>
              <w:bottom w:val="single" w:sz="4" w:space="0" w:color="auto"/>
              <w:right w:val="single" w:sz="4" w:space="0" w:color="auto"/>
            </w:tcBorders>
            <w:shd w:val="clear" w:color="000000" w:fill="B7DEE8"/>
            <w:hideMark/>
          </w:tcPr>
          <w:p w14:paraId="3D4BBD5C"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100" w:type="dxa"/>
            <w:tcBorders>
              <w:top w:val="nil"/>
              <w:left w:val="nil"/>
              <w:bottom w:val="single" w:sz="4" w:space="0" w:color="auto"/>
              <w:right w:val="single" w:sz="4" w:space="0" w:color="auto"/>
            </w:tcBorders>
            <w:shd w:val="clear" w:color="000000" w:fill="B7DEE8"/>
            <w:hideMark/>
          </w:tcPr>
          <w:p w14:paraId="1DAC4392"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999" w:type="dxa"/>
            <w:tcBorders>
              <w:top w:val="nil"/>
              <w:left w:val="nil"/>
              <w:bottom w:val="single" w:sz="4" w:space="0" w:color="auto"/>
              <w:right w:val="single" w:sz="4" w:space="0" w:color="auto"/>
            </w:tcBorders>
            <w:shd w:val="clear" w:color="000000" w:fill="B7DEE8"/>
            <w:hideMark/>
          </w:tcPr>
          <w:p w14:paraId="74A90703"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60" w:type="dxa"/>
            <w:tcBorders>
              <w:top w:val="nil"/>
              <w:left w:val="nil"/>
              <w:bottom w:val="single" w:sz="4" w:space="0" w:color="auto"/>
              <w:right w:val="single" w:sz="4" w:space="0" w:color="auto"/>
            </w:tcBorders>
            <w:shd w:val="clear" w:color="000000" w:fill="B7DEE8"/>
            <w:hideMark/>
          </w:tcPr>
          <w:p w14:paraId="137EE92A"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39" w:type="dxa"/>
            <w:tcBorders>
              <w:top w:val="nil"/>
              <w:left w:val="nil"/>
              <w:bottom w:val="single" w:sz="4" w:space="0" w:color="auto"/>
              <w:right w:val="single" w:sz="4" w:space="0" w:color="auto"/>
            </w:tcBorders>
            <w:shd w:val="clear" w:color="000000" w:fill="B7DEE8"/>
            <w:hideMark/>
          </w:tcPr>
          <w:p w14:paraId="06C3B977"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1059" w:type="dxa"/>
            <w:tcBorders>
              <w:top w:val="nil"/>
              <w:left w:val="nil"/>
              <w:bottom w:val="single" w:sz="4" w:space="0" w:color="auto"/>
              <w:right w:val="single" w:sz="4" w:space="0" w:color="auto"/>
            </w:tcBorders>
            <w:shd w:val="clear" w:color="000000" w:fill="B7DEE8"/>
            <w:hideMark/>
          </w:tcPr>
          <w:p w14:paraId="1DAECF77"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1066" w:type="dxa"/>
            <w:tcBorders>
              <w:top w:val="nil"/>
              <w:left w:val="nil"/>
              <w:bottom w:val="single" w:sz="4" w:space="0" w:color="auto"/>
              <w:right w:val="single" w:sz="4" w:space="0" w:color="auto"/>
            </w:tcBorders>
            <w:shd w:val="clear" w:color="000000" w:fill="B7DEE8"/>
            <w:hideMark/>
          </w:tcPr>
          <w:p w14:paraId="5659DBC6"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1000" w:type="dxa"/>
            <w:tcBorders>
              <w:top w:val="nil"/>
              <w:left w:val="nil"/>
              <w:bottom w:val="single" w:sz="4" w:space="0" w:color="auto"/>
              <w:right w:val="single" w:sz="4" w:space="0" w:color="auto"/>
            </w:tcBorders>
            <w:shd w:val="clear" w:color="000000" w:fill="B7DEE8"/>
            <w:hideMark/>
          </w:tcPr>
          <w:p w14:paraId="50512913"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20" w:type="dxa"/>
            <w:tcBorders>
              <w:top w:val="nil"/>
              <w:left w:val="nil"/>
              <w:bottom w:val="single" w:sz="4" w:space="0" w:color="auto"/>
              <w:right w:val="single" w:sz="4" w:space="0" w:color="auto"/>
            </w:tcBorders>
            <w:shd w:val="clear" w:color="000000" w:fill="B7DEE8"/>
            <w:hideMark/>
          </w:tcPr>
          <w:p w14:paraId="54A19831"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59" w:type="dxa"/>
            <w:tcBorders>
              <w:top w:val="nil"/>
              <w:left w:val="nil"/>
              <w:bottom w:val="single" w:sz="4" w:space="0" w:color="auto"/>
              <w:right w:val="single" w:sz="4" w:space="0" w:color="auto"/>
            </w:tcBorders>
            <w:shd w:val="clear" w:color="000000" w:fill="B7DEE8"/>
            <w:hideMark/>
          </w:tcPr>
          <w:p w14:paraId="565864EB"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r>
      <w:tr w:rsidR="000F21F8" w:rsidRPr="000F21F8" w14:paraId="30B83992" w14:textId="77777777" w:rsidTr="00534B49">
        <w:trPr>
          <w:trHeight w:val="480"/>
        </w:trPr>
        <w:tc>
          <w:tcPr>
            <w:tcW w:w="1519" w:type="dxa"/>
            <w:tcBorders>
              <w:top w:val="nil"/>
              <w:left w:val="single" w:sz="4" w:space="0" w:color="auto"/>
              <w:bottom w:val="single" w:sz="4" w:space="0" w:color="auto"/>
              <w:right w:val="single" w:sz="4" w:space="0" w:color="auto"/>
            </w:tcBorders>
            <w:shd w:val="clear" w:color="000000" w:fill="B7DEE8"/>
            <w:hideMark/>
          </w:tcPr>
          <w:p w14:paraId="49458387" w14:textId="77777777" w:rsidR="000F21F8" w:rsidRPr="000F21F8" w:rsidRDefault="000F21F8" w:rsidP="000F21F8">
            <w:pPr>
              <w:spacing w:after="0" w:line="240" w:lineRule="auto"/>
              <w:rPr>
                <w:rFonts w:ascii="Calibri" w:eastAsia="Times New Roman" w:hAnsi="Calibri" w:cs="Calibri"/>
                <w:color w:val="000000"/>
                <w:sz w:val="18"/>
                <w:szCs w:val="18"/>
                <w:lang w:eastAsia="en-GB"/>
              </w:rPr>
            </w:pPr>
            <w:proofErr w:type="spellStart"/>
            <w:r w:rsidRPr="000F21F8">
              <w:rPr>
                <w:rFonts w:ascii="Calibri" w:eastAsia="Times New Roman" w:hAnsi="Calibri" w:cs="Calibri"/>
                <w:color w:val="000000"/>
                <w:sz w:val="18"/>
                <w:szCs w:val="18"/>
                <w:lang w:eastAsia="en-GB"/>
              </w:rPr>
              <w:t>Camelsdale</w:t>
            </w:r>
            <w:proofErr w:type="spellEnd"/>
            <w:r w:rsidRPr="000F21F8">
              <w:rPr>
                <w:rFonts w:ascii="Calibri" w:eastAsia="Times New Roman" w:hAnsi="Calibri" w:cs="Calibri"/>
                <w:color w:val="000000"/>
                <w:sz w:val="18"/>
                <w:szCs w:val="18"/>
                <w:lang w:eastAsia="en-GB"/>
              </w:rPr>
              <w:t xml:space="preserve"> &amp; Hammer</w:t>
            </w:r>
          </w:p>
        </w:tc>
        <w:tc>
          <w:tcPr>
            <w:tcW w:w="1266" w:type="dxa"/>
            <w:tcBorders>
              <w:top w:val="nil"/>
              <w:left w:val="nil"/>
              <w:bottom w:val="single" w:sz="4" w:space="0" w:color="auto"/>
              <w:right w:val="single" w:sz="4" w:space="0" w:color="auto"/>
            </w:tcBorders>
            <w:shd w:val="clear" w:color="000000" w:fill="B7DEE8"/>
            <w:hideMark/>
          </w:tcPr>
          <w:p w14:paraId="0AD3AF08" w14:textId="33AF98C5"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 </w:t>
            </w:r>
            <w:r w:rsidR="00F52887">
              <w:rPr>
                <w:rFonts w:ascii="Calibri" w:eastAsia="Times New Roman" w:hAnsi="Calibri" w:cs="Calibri"/>
                <w:color w:val="000000"/>
                <w:sz w:val="18"/>
                <w:szCs w:val="18"/>
                <w:lang w:eastAsia="en-GB"/>
              </w:rPr>
              <w:t>1,645</w:t>
            </w:r>
          </w:p>
        </w:tc>
        <w:tc>
          <w:tcPr>
            <w:tcW w:w="893" w:type="dxa"/>
            <w:tcBorders>
              <w:top w:val="nil"/>
              <w:left w:val="nil"/>
              <w:bottom w:val="single" w:sz="4" w:space="0" w:color="auto"/>
              <w:right w:val="single" w:sz="4" w:space="0" w:color="auto"/>
            </w:tcBorders>
            <w:shd w:val="clear" w:color="000000" w:fill="B7DEE8"/>
            <w:hideMark/>
          </w:tcPr>
          <w:p w14:paraId="75EE8957"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15</w:t>
            </w:r>
          </w:p>
        </w:tc>
        <w:tc>
          <w:tcPr>
            <w:tcW w:w="1020" w:type="dxa"/>
            <w:tcBorders>
              <w:top w:val="nil"/>
              <w:left w:val="nil"/>
              <w:bottom w:val="single" w:sz="4" w:space="0" w:color="auto"/>
              <w:right w:val="single" w:sz="4" w:space="0" w:color="auto"/>
            </w:tcBorders>
            <w:shd w:val="clear" w:color="000000" w:fill="B7DEE8"/>
            <w:hideMark/>
          </w:tcPr>
          <w:p w14:paraId="5B17BABA"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4</w:t>
            </w:r>
          </w:p>
        </w:tc>
        <w:tc>
          <w:tcPr>
            <w:tcW w:w="1100" w:type="dxa"/>
            <w:tcBorders>
              <w:top w:val="nil"/>
              <w:left w:val="nil"/>
              <w:bottom w:val="single" w:sz="4" w:space="0" w:color="auto"/>
              <w:right w:val="single" w:sz="4" w:space="0" w:color="auto"/>
            </w:tcBorders>
            <w:shd w:val="clear" w:color="000000" w:fill="B7DEE8"/>
            <w:hideMark/>
          </w:tcPr>
          <w:p w14:paraId="38634F9B"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999" w:type="dxa"/>
            <w:tcBorders>
              <w:top w:val="nil"/>
              <w:left w:val="nil"/>
              <w:bottom w:val="single" w:sz="4" w:space="0" w:color="auto"/>
              <w:right w:val="single" w:sz="4" w:space="0" w:color="auto"/>
            </w:tcBorders>
            <w:shd w:val="clear" w:color="000000" w:fill="B7DEE8"/>
            <w:hideMark/>
          </w:tcPr>
          <w:p w14:paraId="54F1C593"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960" w:type="dxa"/>
            <w:tcBorders>
              <w:top w:val="nil"/>
              <w:left w:val="nil"/>
              <w:bottom w:val="single" w:sz="4" w:space="0" w:color="auto"/>
              <w:right w:val="single" w:sz="4" w:space="0" w:color="auto"/>
            </w:tcBorders>
            <w:shd w:val="clear" w:color="000000" w:fill="B7DEE8"/>
            <w:hideMark/>
          </w:tcPr>
          <w:p w14:paraId="5A357131"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39" w:type="dxa"/>
            <w:tcBorders>
              <w:top w:val="nil"/>
              <w:left w:val="nil"/>
              <w:bottom w:val="single" w:sz="4" w:space="0" w:color="auto"/>
              <w:right w:val="single" w:sz="4" w:space="0" w:color="auto"/>
            </w:tcBorders>
            <w:shd w:val="clear" w:color="000000" w:fill="B7DEE8"/>
            <w:hideMark/>
          </w:tcPr>
          <w:p w14:paraId="4F444801"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59" w:type="dxa"/>
            <w:tcBorders>
              <w:top w:val="nil"/>
              <w:left w:val="nil"/>
              <w:bottom w:val="single" w:sz="4" w:space="0" w:color="auto"/>
              <w:right w:val="single" w:sz="4" w:space="0" w:color="auto"/>
            </w:tcBorders>
            <w:shd w:val="clear" w:color="000000" w:fill="B7DEE8"/>
            <w:hideMark/>
          </w:tcPr>
          <w:p w14:paraId="098B3B16"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66" w:type="dxa"/>
            <w:tcBorders>
              <w:top w:val="nil"/>
              <w:left w:val="nil"/>
              <w:bottom w:val="single" w:sz="4" w:space="0" w:color="auto"/>
              <w:right w:val="single" w:sz="4" w:space="0" w:color="auto"/>
            </w:tcBorders>
            <w:shd w:val="clear" w:color="000000" w:fill="B7DEE8"/>
            <w:hideMark/>
          </w:tcPr>
          <w:p w14:paraId="3D6683F9"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1000" w:type="dxa"/>
            <w:tcBorders>
              <w:top w:val="nil"/>
              <w:left w:val="nil"/>
              <w:bottom w:val="single" w:sz="4" w:space="0" w:color="auto"/>
              <w:right w:val="single" w:sz="4" w:space="0" w:color="auto"/>
            </w:tcBorders>
            <w:shd w:val="clear" w:color="000000" w:fill="B7DEE8"/>
            <w:hideMark/>
          </w:tcPr>
          <w:p w14:paraId="20E1BE27"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20" w:type="dxa"/>
            <w:tcBorders>
              <w:top w:val="nil"/>
              <w:left w:val="nil"/>
              <w:bottom w:val="single" w:sz="4" w:space="0" w:color="auto"/>
              <w:right w:val="single" w:sz="4" w:space="0" w:color="auto"/>
            </w:tcBorders>
            <w:shd w:val="clear" w:color="000000" w:fill="B7DEE8"/>
            <w:hideMark/>
          </w:tcPr>
          <w:p w14:paraId="0F4897B7"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1059" w:type="dxa"/>
            <w:tcBorders>
              <w:top w:val="nil"/>
              <w:left w:val="nil"/>
              <w:bottom w:val="single" w:sz="4" w:space="0" w:color="auto"/>
              <w:right w:val="single" w:sz="4" w:space="0" w:color="auto"/>
            </w:tcBorders>
            <w:shd w:val="clear" w:color="000000" w:fill="B7DEE8"/>
            <w:hideMark/>
          </w:tcPr>
          <w:p w14:paraId="6EF10E23"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r>
      <w:tr w:rsidR="000F21F8" w:rsidRPr="000F21F8" w14:paraId="73AA2870" w14:textId="77777777" w:rsidTr="00534B49">
        <w:trPr>
          <w:trHeight w:val="480"/>
        </w:trPr>
        <w:tc>
          <w:tcPr>
            <w:tcW w:w="1519" w:type="dxa"/>
            <w:tcBorders>
              <w:top w:val="nil"/>
              <w:left w:val="single" w:sz="4" w:space="0" w:color="auto"/>
              <w:bottom w:val="single" w:sz="4" w:space="0" w:color="auto"/>
              <w:right w:val="single" w:sz="4" w:space="0" w:color="auto"/>
            </w:tcBorders>
            <w:shd w:val="clear" w:color="000000" w:fill="B7DEE8"/>
            <w:hideMark/>
          </w:tcPr>
          <w:p w14:paraId="26855C66" w14:textId="77777777" w:rsidR="000F21F8" w:rsidRPr="000F21F8" w:rsidRDefault="000F21F8" w:rsidP="000F21F8">
            <w:pPr>
              <w:spacing w:after="0" w:line="240" w:lineRule="auto"/>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Hambrook &amp; Nutbourne</w:t>
            </w:r>
          </w:p>
        </w:tc>
        <w:tc>
          <w:tcPr>
            <w:tcW w:w="1266" w:type="dxa"/>
            <w:tcBorders>
              <w:top w:val="nil"/>
              <w:left w:val="nil"/>
              <w:bottom w:val="single" w:sz="4" w:space="0" w:color="auto"/>
              <w:right w:val="single" w:sz="4" w:space="0" w:color="auto"/>
            </w:tcBorders>
            <w:shd w:val="clear" w:color="000000" w:fill="B7DEE8"/>
            <w:hideMark/>
          </w:tcPr>
          <w:p w14:paraId="65367E08" w14:textId="225EDE0B" w:rsidR="000F21F8" w:rsidRPr="000F21F8" w:rsidRDefault="00F52887" w:rsidP="000F21F8">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3,310</w:t>
            </w:r>
          </w:p>
        </w:tc>
        <w:tc>
          <w:tcPr>
            <w:tcW w:w="893" w:type="dxa"/>
            <w:tcBorders>
              <w:top w:val="nil"/>
              <w:left w:val="nil"/>
              <w:bottom w:val="single" w:sz="4" w:space="0" w:color="auto"/>
              <w:right w:val="single" w:sz="4" w:space="0" w:color="auto"/>
            </w:tcBorders>
            <w:shd w:val="clear" w:color="000000" w:fill="B7DEE8"/>
            <w:hideMark/>
          </w:tcPr>
          <w:p w14:paraId="768DF5F5"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13</w:t>
            </w:r>
          </w:p>
        </w:tc>
        <w:tc>
          <w:tcPr>
            <w:tcW w:w="1020" w:type="dxa"/>
            <w:tcBorders>
              <w:top w:val="nil"/>
              <w:left w:val="nil"/>
              <w:bottom w:val="single" w:sz="4" w:space="0" w:color="auto"/>
              <w:right w:val="single" w:sz="4" w:space="0" w:color="auto"/>
            </w:tcBorders>
            <w:shd w:val="clear" w:color="000000" w:fill="B7DEE8"/>
            <w:hideMark/>
          </w:tcPr>
          <w:p w14:paraId="3F21BE47"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100" w:type="dxa"/>
            <w:tcBorders>
              <w:top w:val="nil"/>
              <w:left w:val="nil"/>
              <w:bottom w:val="single" w:sz="4" w:space="0" w:color="auto"/>
              <w:right w:val="single" w:sz="4" w:space="0" w:color="auto"/>
            </w:tcBorders>
            <w:shd w:val="clear" w:color="000000" w:fill="B7DEE8"/>
            <w:hideMark/>
          </w:tcPr>
          <w:p w14:paraId="0C8D7074"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999" w:type="dxa"/>
            <w:tcBorders>
              <w:top w:val="nil"/>
              <w:left w:val="nil"/>
              <w:bottom w:val="single" w:sz="4" w:space="0" w:color="auto"/>
              <w:right w:val="single" w:sz="4" w:space="0" w:color="auto"/>
            </w:tcBorders>
            <w:shd w:val="clear" w:color="000000" w:fill="B7DEE8"/>
            <w:hideMark/>
          </w:tcPr>
          <w:p w14:paraId="291FD0A2"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960" w:type="dxa"/>
            <w:tcBorders>
              <w:top w:val="nil"/>
              <w:left w:val="nil"/>
              <w:bottom w:val="single" w:sz="4" w:space="0" w:color="auto"/>
              <w:right w:val="single" w:sz="4" w:space="0" w:color="auto"/>
            </w:tcBorders>
            <w:shd w:val="clear" w:color="000000" w:fill="B7DEE8"/>
            <w:hideMark/>
          </w:tcPr>
          <w:p w14:paraId="44939D0F"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39" w:type="dxa"/>
            <w:tcBorders>
              <w:top w:val="nil"/>
              <w:left w:val="nil"/>
              <w:bottom w:val="single" w:sz="4" w:space="0" w:color="auto"/>
              <w:right w:val="single" w:sz="4" w:space="0" w:color="auto"/>
            </w:tcBorders>
            <w:shd w:val="clear" w:color="000000" w:fill="B7DEE8"/>
            <w:hideMark/>
          </w:tcPr>
          <w:p w14:paraId="6DFD29DB"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1059" w:type="dxa"/>
            <w:tcBorders>
              <w:top w:val="nil"/>
              <w:left w:val="nil"/>
              <w:bottom w:val="single" w:sz="4" w:space="0" w:color="auto"/>
              <w:right w:val="single" w:sz="4" w:space="0" w:color="auto"/>
            </w:tcBorders>
            <w:shd w:val="clear" w:color="000000" w:fill="B7DEE8"/>
            <w:hideMark/>
          </w:tcPr>
          <w:p w14:paraId="243B957F"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66" w:type="dxa"/>
            <w:tcBorders>
              <w:top w:val="nil"/>
              <w:left w:val="nil"/>
              <w:bottom w:val="single" w:sz="4" w:space="0" w:color="auto"/>
              <w:right w:val="single" w:sz="4" w:space="0" w:color="auto"/>
            </w:tcBorders>
            <w:shd w:val="clear" w:color="000000" w:fill="B7DEE8"/>
            <w:hideMark/>
          </w:tcPr>
          <w:p w14:paraId="1CE2E202"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1000" w:type="dxa"/>
            <w:tcBorders>
              <w:top w:val="nil"/>
              <w:left w:val="nil"/>
              <w:bottom w:val="single" w:sz="4" w:space="0" w:color="auto"/>
              <w:right w:val="single" w:sz="4" w:space="0" w:color="auto"/>
            </w:tcBorders>
            <w:shd w:val="clear" w:color="000000" w:fill="B7DEE8"/>
            <w:hideMark/>
          </w:tcPr>
          <w:p w14:paraId="47053B65"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20" w:type="dxa"/>
            <w:tcBorders>
              <w:top w:val="nil"/>
              <w:left w:val="nil"/>
              <w:bottom w:val="single" w:sz="4" w:space="0" w:color="auto"/>
              <w:right w:val="single" w:sz="4" w:space="0" w:color="auto"/>
            </w:tcBorders>
            <w:shd w:val="clear" w:color="000000" w:fill="B7DEE8"/>
            <w:hideMark/>
          </w:tcPr>
          <w:p w14:paraId="2EC47546"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1059" w:type="dxa"/>
            <w:tcBorders>
              <w:top w:val="nil"/>
              <w:left w:val="nil"/>
              <w:bottom w:val="single" w:sz="4" w:space="0" w:color="auto"/>
              <w:right w:val="single" w:sz="4" w:space="0" w:color="auto"/>
            </w:tcBorders>
            <w:shd w:val="clear" w:color="000000" w:fill="B7DEE8"/>
            <w:hideMark/>
          </w:tcPr>
          <w:p w14:paraId="41D3C144"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r>
      <w:tr w:rsidR="000F21F8" w:rsidRPr="000F21F8" w14:paraId="403E8630" w14:textId="77777777" w:rsidTr="00534B49">
        <w:trPr>
          <w:trHeight w:val="240"/>
        </w:trPr>
        <w:tc>
          <w:tcPr>
            <w:tcW w:w="1519" w:type="dxa"/>
            <w:tcBorders>
              <w:top w:val="nil"/>
              <w:left w:val="single" w:sz="4" w:space="0" w:color="auto"/>
              <w:bottom w:val="single" w:sz="4" w:space="0" w:color="auto"/>
              <w:right w:val="single" w:sz="4" w:space="0" w:color="auto"/>
            </w:tcBorders>
            <w:shd w:val="clear" w:color="000000" w:fill="B7DEE8"/>
            <w:hideMark/>
          </w:tcPr>
          <w:p w14:paraId="61DE4F9D" w14:textId="77777777" w:rsidR="000F21F8" w:rsidRPr="000F21F8" w:rsidRDefault="000F21F8" w:rsidP="000F21F8">
            <w:pPr>
              <w:spacing w:after="0" w:line="240" w:lineRule="auto"/>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Loxwood</w:t>
            </w:r>
          </w:p>
        </w:tc>
        <w:tc>
          <w:tcPr>
            <w:tcW w:w="1266" w:type="dxa"/>
            <w:tcBorders>
              <w:top w:val="nil"/>
              <w:left w:val="nil"/>
              <w:bottom w:val="single" w:sz="4" w:space="0" w:color="auto"/>
              <w:right w:val="single" w:sz="4" w:space="0" w:color="auto"/>
            </w:tcBorders>
            <w:shd w:val="clear" w:color="000000" w:fill="B7DEE8"/>
            <w:hideMark/>
          </w:tcPr>
          <w:p w14:paraId="28A12EDA" w14:textId="6EEFBDE6"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r w:rsidR="00F52887">
              <w:rPr>
                <w:rFonts w:ascii="Calibri" w:eastAsia="Times New Roman" w:hAnsi="Calibri" w:cs="Calibri"/>
                <w:color w:val="000000"/>
                <w:sz w:val="18"/>
                <w:szCs w:val="18"/>
                <w:lang w:eastAsia="en-GB"/>
              </w:rPr>
              <w:t>596</w:t>
            </w:r>
          </w:p>
        </w:tc>
        <w:tc>
          <w:tcPr>
            <w:tcW w:w="893" w:type="dxa"/>
            <w:tcBorders>
              <w:top w:val="nil"/>
              <w:left w:val="nil"/>
              <w:bottom w:val="single" w:sz="4" w:space="0" w:color="auto"/>
              <w:right w:val="single" w:sz="4" w:space="0" w:color="auto"/>
            </w:tcBorders>
            <w:shd w:val="clear" w:color="000000" w:fill="B7DEE8"/>
            <w:hideMark/>
          </w:tcPr>
          <w:p w14:paraId="4A8F1B7D"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12</w:t>
            </w:r>
          </w:p>
        </w:tc>
        <w:tc>
          <w:tcPr>
            <w:tcW w:w="1020" w:type="dxa"/>
            <w:tcBorders>
              <w:top w:val="nil"/>
              <w:left w:val="nil"/>
              <w:bottom w:val="single" w:sz="4" w:space="0" w:color="auto"/>
              <w:right w:val="single" w:sz="4" w:space="0" w:color="auto"/>
            </w:tcBorders>
            <w:shd w:val="clear" w:color="000000" w:fill="B7DEE8"/>
            <w:hideMark/>
          </w:tcPr>
          <w:p w14:paraId="6F1E7063"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1100" w:type="dxa"/>
            <w:tcBorders>
              <w:top w:val="nil"/>
              <w:left w:val="nil"/>
              <w:bottom w:val="single" w:sz="4" w:space="0" w:color="auto"/>
              <w:right w:val="single" w:sz="4" w:space="0" w:color="auto"/>
            </w:tcBorders>
            <w:shd w:val="clear" w:color="000000" w:fill="B7DEE8"/>
            <w:hideMark/>
          </w:tcPr>
          <w:p w14:paraId="7DCA67F8"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999" w:type="dxa"/>
            <w:tcBorders>
              <w:top w:val="nil"/>
              <w:left w:val="nil"/>
              <w:bottom w:val="single" w:sz="4" w:space="0" w:color="auto"/>
              <w:right w:val="single" w:sz="4" w:space="0" w:color="auto"/>
            </w:tcBorders>
            <w:shd w:val="clear" w:color="000000" w:fill="B7DEE8"/>
            <w:hideMark/>
          </w:tcPr>
          <w:p w14:paraId="59038569"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60" w:type="dxa"/>
            <w:tcBorders>
              <w:top w:val="nil"/>
              <w:left w:val="nil"/>
              <w:bottom w:val="single" w:sz="4" w:space="0" w:color="auto"/>
              <w:right w:val="single" w:sz="4" w:space="0" w:color="auto"/>
            </w:tcBorders>
            <w:shd w:val="clear" w:color="000000" w:fill="B7DEE8"/>
            <w:hideMark/>
          </w:tcPr>
          <w:p w14:paraId="7721F1C5"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39" w:type="dxa"/>
            <w:tcBorders>
              <w:top w:val="nil"/>
              <w:left w:val="nil"/>
              <w:bottom w:val="single" w:sz="4" w:space="0" w:color="auto"/>
              <w:right w:val="single" w:sz="4" w:space="0" w:color="auto"/>
            </w:tcBorders>
            <w:shd w:val="clear" w:color="000000" w:fill="B7DEE8"/>
            <w:hideMark/>
          </w:tcPr>
          <w:p w14:paraId="6C451098"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1059" w:type="dxa"/>
            <w:tcBorders>
              <w:top w:val="nil"/>
              <w:left w:val="nil"/>
              <w:bottom w:val="single" w:sz="4" w:space="0" w:color="auto"/>
              <w:right w:val="single" w:sz="4" w:space="0" w:color="auto"/>
            </w:tcBorders>
            <w:shd w:val="clear" w:color="000000" w:fill="B7DEE8"/>
            <w:hideMark/>
          </w:tcPr>
          <w:p w14:paraId="309A8524" w14:textId="77777777" w:rsidR="000F21F8" w:rsidRPr="000F21F8" w:rsidRDefault="000F21F8" w:rsidP="000F21F8">
            <w:pPr>
              <w:spacing w:after="0" w:line="240" w:lineRule="auto"/>
              <w:jc w:val="center"/>
              <w:rPr>
                <w:rFonts w:ascii="Calibri" w:eastAsia="Times New Roman" w:hAnsi="Calibri" w:cs="Calibri"/>
                <w:sz w:val="18"/>
                <w:szCs w:val="18"/>
                <w:lang w:eastAsia="en-GB"/>
              </w:rPr>
            </w:pPr>
            <w:r w:rsidRPr="000F21F8">
              <w:rPr>
                <w:rFonts w:ascii="Calibri" w:eastAsia="Times New Roman" w:hAnsi="Calibri" w:cs="Calibri"/>
                <w:sz w:val="18"/>
                <w:szCs w:val="18"/>
                <w:lang w:eastAsia="en-GB"/>
              </w:rPr>
              <w:t>1</w:t>
            </w:r>
          </w:p>
        </w:tc>
        <w:tc>
          <w:tcPr>
            <w:tcW w:w="1066" w:type="dxa"/>
            <w:tcBorders>
              <w:top w:val="nil"/>
              <w:left w:val="nil"/>
              <w:bottom w:val="single" w:sz="4" w:space="0" w:color="auto"/>
              <w:right w:val="single" w:sz="4" w:space="0" w:color="auto"/>
            </w:tcBorders>
            <w:shd w:val="clear" w:color="000000" w:fill="B7DEE8"/>
            <w:hideMark/>
          </w:tcPr>
          <w:p w14:paraId="32F27B8A"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1000" w:type="dxa"/>
            <w:tcBorders>
              <w:top w:val="nil"/>
              <w:left w:val="nil"/>
              <w:bottom w:val="single" w:sz="4" w:space="0" w:color="auto"/>
              <w:right w:val="single" w:sz="4" w:space="0" w:color="auto"/>
            </w:tcBorders>
            <w:shd w:val="clear" w:color="000000" w:fill="B7DEE8"/>
            <w:hideMark/>
          </w:tcPr>
          <w:p w14:paraId="1B7A1F39"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20" w:type="dxa"/>
            <w:tcBorders>
              <w:top w:val="nil"/>
              <w:left w:val="nil"/>
              <w:bottom w:val="single" w:sz="4" w:space="0" w:color="auto"/>
              <w:right w:val="single" w:sz="4" w:space="0" w:color="auto"/>
            </w:tcBorders>
            <w:shd w:val="clear" w:color="000000" w:fill="B7DEE8"/>
            <w:hideMark/>
          </w:tcPr>
          <w:p w14:paraId="370C8920"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59" w:type="dxa"/>
            <w:tcBorders>
              <w:top w:val="nil"/>
              <w:left w:val="nil"/>
              <w:bottom w:val="single" w:sz="4" w:space="0" w:color="auto"/>
              <w:right w:val="single" w:sz="4" w:space="0" w:color="auto"/>
            </w:tcBorders>
            <w:shd w:val="clear" w:color="000000" w:fill="B7DEE8"/>
            <w:hideMark/>
          </w:tcPr>
          <w:p w14:paraId="76F56C09"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r>
      <w:tr w:rsidR="000F21F8" w:rsidRPr="000F21F8" w14:paraId="1BB6C5DE" w14:textId="77777777" w:rsidTr="00534B49">
        <w:trPr>
          <w:trHeight w:val="240"/>
        </w:trPr>
        <w:tc>
          <w:tcPr>
            <w:tcW w:w="1519" w:type="dxa"/>
            <w:tcBorders>
              <w:top w:val="nil"/>
              <w:left w:val="single" w:sz="4" w:space="0" w:color="auto"/>
              <w:bottom w:val="single" w:sz="4" w:space="0" w:color="auto"/>
              <w:right w:val="single" w:sz="4" w:space="0" w:color="auto"/>
            </w:tcBorders>
            <w:shd w:val="clear" w:color="000000" w:fill="B7DEE8"/>
            <w:hideMark/>
          </w:tcPr>
          <w:p w14:paraId="39AEAF16" w14:textId="77777777" w:rsidR="000F21F8" w:rsidRPr="000F21F8" w:rsidRDefault="000F21F8" w:rsidP="000F21F8">
            <w:pPr>
              <w:spacing w:after="0" w:line="240" w:lineRule="auto"/>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Boxgrove</w:t>
            </w:r>
          </w:p>
        </w:tc>
        <w:tc>
          <w:tcPr>
            <w:tcW w:w="1266" w:type="dxa"/>
            <w:tcBorders>
              <w:top w:val="nil"/>
              <w:left w:val="nil"/>
              <w:bottom w:val="single" w:sz="4" w:space="0" w:color="auto"/>
              <w:right w:val="single" w:sz="4" w:space="0" w:color="auto"/>
            </w:tcBorders>
            <w:shd w:val="clear" w:color="000000" w:fill="B7DEE8"/>
            <w:hideMark/>
          </w:tcPr>
          <w:p w14:paraId="7D7FBC0D" w14:textId="5D979784" w:rsidR="000F21F8" w:rsidRPr="000F21F8" w:rsidRDefault="00534B49" w:rsidP="000F21F8">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1,011</w:t>
            </w:r>
          </w:p>
        </w:tc>
        <w:tc>
          <w:tcPr>
            <w:tcW w:w="893" w:type="dxa"/>
            <w:tcBorders>
              <w:top w:val="nil"/>
              <w:left w:val="nil"/>
              <w:bottom w:val="single" w:sz="4" w:space="0" w:color="auto"/>
              <w:right w:val="single" w:sz="4" w:space="0" w:color="auto"/>
            </w:tcBorders>
            <w:shd w:val="clear" w:color="000000" w:fill="B7DEE8"/>
            <w:hideMark/>
          </w:tcPr>
          <w:p w14:paraId="285E2F7E"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10</w:t>
            </w:r>
          </w:p>
        </w:tc>
        <w:tc>
          <w:tcPr>
            <w:tcW w:w="1020" w:type="dxa"/>
            <w:tcBorders>
              <w:top w:val="nil"/>
              <w:left w:val="nil"/>
              <w:bottom w:val="single" w:sz="4" w:space="0" w:color="auto"/>
              <w:right w:val="single" w:sz="4" w:space="0" w:color="auto"/>
            </w:tcBorders>
            <w:shd w:val="clear" w:color="000000" w:fill="B7DEE8"/>
            <w:hideMark/>
          </w:tcPr>
          <w:p w14:paraId="4050B67C"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100" w:type="dxa"/>
            <w:tcBorders>
              <w:top w:val="nil"/>
              <w:left w:val="nil"/>
              <w:bottom w:val="single" w:sz="4" w:space="0" w:color="auto"/>
              <w:right w:val="single" w:sz="4" w:space="0" w:color="auto"/>
            </w:tcBorders>
            <w:shd w:val="clear" w:color="000000" w:fill="B7DEE8"/>
            <w:hideMark/>
          </w:tcPr>
          <w:p w14:paraId="73759859"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999" w:type="dxa"/>
            <w:tcBorders>
              <w:top w:val="nil"/>
              <w:left w:val="nil"/>
              <w:bottom w:val="single" w:sz="4" w:space="0" w:color="auto"/>
              <w:right w:val="single" w:sz="4" w:space="0" w:color="auto"/>
            </w:tcBorders>
            <w:shd w:val="clear" w:color="000000" w:fill="B7DEE8"/>
            <w:hideMark/>
          </w:tcPr>
          <w:p w14:paraId="01627E5B"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960" w:type="dxa"/>
            <w:tcBorders>
              <w:top w:val="nil"/>
              <w:left w:val="nil"/>
              <w:bottom w:val="single" w:sz="4" w:space="0" w:color="auto"/>
              <w:right w:val="single" w:sz="4" w:space="0" w:color="auto"/>
            </w:tcBorders>
            <w:shd w:val="clear" w:color="000000" w:fill="B7DEE8"/>
            <w:hideMark/>
          </w:tcPr>
          <w:p w14:paraId="3A960B74"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39" w:type="dxa"/>
            <w:tcBorders>
              <w:top w:val="nil"/>
              <w:left w:val="nil"/>
              <w:bottom w:val="single" w:sz="4" w:space="0" w:color="auto"/>
              <w:right w:val="single" w:sz="4" w:space="0" w:color="auto"/>
            </w:tcBorders>
            <w:shd w:val="clear" w:color="000000" w:fill="B7DEE8"/>
            <w:hideMark/>
          </w:tcPr>
          <w:p w14:paraId="294222EE"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59" w:type="dxa"/>
            <w:tcBorders>
              <w:top w:val="nil"/>
              <w:left w:val="nil"/>
              <w:bottom w:val="single" w:sz="4" w:space="0" w:color="auto"/>
              <w:right w:val="single" w:sz="4" w:space="0" w:color="auto"/>
            </w:tcBorders>
            <w:shd w:val="clear" w:color="000000" w:fill="B7DEE8"/>
            <w:hideMark/>
          </w:tcPr>
          <w:p w14:paraId="6942D5D5"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66" w:type="dxa"/>
            <w:tcBorders>
              <w:top w:val="nil"/>
              <w:left w:val="nil"/>
              <w:bottom w:val="single" w:sz="4" w:space="0" w:color="auto"/>
              <w:right w:val="single" w:sz="4" w:space="0" w:color="auto"/>
            </w:tcBorders>
            <w:shd w:val="clear" w:color="000000" w:fill="B7DEE8"/>
            <w:hideMark/>
          </w:tcPr>
          <w:p w14:paraId="44123042"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00" w:type="dxa"/>
            <w:tcBorders>
              <w:top w:val="nil"/>
              <w:left w:val="nil"/>
              <w:bottom w:val="single" w:sz="4" w:space="0" w:color="auto"/>
              <w:right w:val="single" w:sz="4" w:space="0" w:color="auto"/>
            </w:tcBorders>
            <w:shd w:val="clear" w:color="000000" w:fill="B7DEE8"/>
            <w:hideMark/>
          </w:tcPr>
          <w:p w14:paraId="08D232B1"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20" w:type="dxa"/>
            <w:tcBorders>
              <w:top w:val="nil"/>
              <w:left w:val="nil"/>
              <w:bottom w:val="nil"/>
              <w:right w:val="single" w:sz="4" w:space="0" w:color="auto"/>
            </w:tcBorders>
            <w:shd w:val="clear" w:color="000000" w:fill="B7DEE8"/>
            <w:hideMark/>
          </w:tcPr>
          <w:p w14:paraId="02EF5432"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1059" w:type="dxa"/>
            <w:tcBorders>
              <w:top w:val="nil"/>
              <w:left w:val="nil"/>
              <w:bottom w:val="single" w:sz="4" w:space="0" w:color="auto"/>
              <w:right w:val="single" w:sz="4" w:space="0" w:color="auto"/>
            </w:tcBorders>
            <w:shd w:val="clear" w:color="000000" w:fill="B7DEE8"/>
            <w:hideMark/>
          </w:tcPr>
          <w:p w14:paraId="327DB5DE"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r>
      <w:tr w:rsidR="000F21F8" w:rsidRPr="000F21F8" w14:paraId="33AEBACB" w14:textId="77777777" w:rsidTr="00534B49">
        <w:trPr>
          <w:trHeight w:val="240"/>
        </w:trPr>
        <w:tc>
          <w:tcPr>
            <w:tcW w:w="1519" w:type="dxa"/>
            <w:tcBorders>
              <w:top w:val="nil"/>
              <w:left w:val="single" w:sz="4" w:space="0" w:color="auto"/>
              <w:bottom w:val="single" w:sz="4" w:space="0" w:color="auto"/>
              <w:right w:val="single" w:sz="4" w:space="0" w:color="auto"/>
            </w:tcBorders>
            <w:shd w:val="clear" w:color="000000" w:fill="B7DEE8"/>
            <w:hideMark/>
          </w:tcPr>
          <w:p w14:paraId="4DD19350" w14:textId="77777777" w:rsidR="000F21F8" w:rsidRPr="000F21F8" w:rsidRDefault="000F21F8" w:rsidP="000F21F8">
            <w:pPr>
              <w:spacing w:after="0" w:line="240" w:lineRule="auto"/>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Kirdford</w:t>
            </w:r>
          </w:p>
        </w:tc>
        <w:tc>
          <w:tcPr>
            <w:tcW w:w="1266" w:type="dxa"/>
            <w:tcBorders>
              <w:top w:val="nil"/>
              <w:left w:val="nil"/>
              <w:bottom w:val="single" w:sz="4" w:space="0" w:color="auto"/>
              <w:right w:val="single" w:sz="4" w:space="0" w:color="auto"/>
            </w:tcBorders>
            <w:shd w:val="clear" w:color="000000" w:fill="B7DEE8"/>
            <w:hideMark/>
          </w:tcPr>
          <w:p w14:paraId="7C0D50B5" w14:textId="717B014F"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1,0</w:t>
            </w:r>
            <w:r w:rsidR="00F52887">
              <w:rPr>
                <w:rFonts w:ascii="Calibri" w:eastAsia="Times New Roman" w:hAnsi="Calibri" w:cs="Calibri"/>
                <w:color w:val="000000"/>
                <w:sz w:val="18"/>
                <w:szCs w:val="18"/>
                <w:lang w:eastAsia="en-GB"/>
              </w:rPr>
              <w:t>53</w:t>
            </w:r>
          </w:p>
        </w:tc>
        <w:tc>
          <w:tcPr>
            <w:tcW w:w="893" w:type="dxa"/>
            <w:tcBorders>
              <w:top w:val="nil"/>
              <w:left w:val="nil"/>
              <w:bottom w:val="single" w:sz="4" w:space="0" w:color="auto"/>
              <w:right w:val="single" w:sz="4" w:space="0" w:color="auto"/>
            </w:tcBorders>
            <w:shd w:val="clear" w:color="000000" w:fill="B7DEE8"/>
            <w:hideMark/>
          </w:tcPr>
          <w:p w14:paraId="25DE1822"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12</w:t>
            </w:r>
          </w:p>
        </w:tc>
        <w:tc>
          <w:tcPr>
            <w:tcW w:w="1020" w:type="dxa"/>
            <w:tcBorders>
              <w:top w:val="nil"/>
              <w:left w:val="nil"/>
              <w:bottom w:val="single" w:sz="4" w:space="0" w:color="auto"/>
              <w:right w:val="single" w:sz="4" w:space="0" w:color="auto"/>
            </w:tcBorders>
            <w:shd w:val="clear" w:color="000000" w:fill="B7DEE8"/>
            <w:hideMark/>
          </w:tcPr>
          <w:p w14:paraId="545084E0"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1100" w:type="dxa"/>
            <w:tcBorders>
              <w:top w:val="nil"/>
              <w:left w:val="nil"/>
              <w:bottom w:val="single" w:sz="4" w:space="0" w:color="auto"/>
              <w:right w:val="single" w:sz="4" w:space="0" w:color="auto"/>
            </w:tcBorders>
            <w:shd w:val="clear" w:color="000000" w:fill="B7DEE8"/>
            <w:hideMark/>
          </w:tcPr>
          <w:p w14:paraId="30066BE1"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99" w:type="dxa"/>
            <w:tcBorders>
              <w:top w:val="nil"/>
              <w:left w:val="nil"/>
              <w:bottom w:val="single" w:sz="4" w:space="0" w:color="auto"/>
              <w:right w:val="single" w:sz="4" w:space="0" w:color="auto"/>
            </w:tcBorders>
            <w:shd w:val="clear" w:color="000000" w:fill="B7DEE8"/>
            <w:hideMark/>
          </w:tcPr>
          <w:p w14:paraId="01655CCD"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960" w:type="dxa"/>
            <w:tcBorders>
              <w:top w:val="nil"/>
              <w:left w:val="nil"/>
              <w:bottom w:val="single" w:sz="4" w:space="0" w:color="auto"/>
              <w:right w:val="single" w:sz="4" w:space="0" w:color="auto"/>
            </w:tcBorders>
            <w:shd w:val="clear" w:color="000000" w:fill="B7DEE8"/>
            <w:hideMark/>
          </w:tcPr>
          <w:p w14:paraId="28A5D195"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939" w:type="dxa"/>
            <w:tcBorders>
              <w:top w:val="nil"/>
              <w:left w:val="nil"/>
              <w:bottom w:val="single" w:sz="4" w:space="0" w:color="auto"/>
              <w:right w:val="single" w:sz="4" w:space="0" w:color="auto"/>
            </w:tcBorders>
            <w:shd w:val="clear" w:color="000000" w:fill="B7DEE8"/>
            <w:hideMark/>
          </w:tcPr>
          <w:p w14:paraId="7C6601F1"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1059" w:type="dxa"/>
            <w:tcBorders>
              <w:top w:val="nil"/>
              <w:left w:val="nil"/>
              <w:bottom w:val="single" w:sz="4" w:space="0" w:color="auto"/>
              <w:right w:val="single" w:sz="4" w:space="0" w:color="auto"/>
            </w:tcBorders>
            <w:shd w:val="clear" w:color="000000" w:fill="B7DEE8"/>
            <w:hideMark/>
          </w:tcPr>
          <w:p w14:paraId="70656476"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66" w:type="dxa"/>
            <w:tcBorders>
              <w:top w:val="nil"/>
              <w:left w:val="nil"/>
              <w:bottom w:val="single" w:sz="4" w:space="0" w:color="auto"/>
              <w:right w:val="single" w:sz="4" w:space="0" w:color="auto"/>
            </w:tcBorders>
            <w:shd w:val="clear" w:color="000000" w:fill="B7DEE8"/>
            <w:hideMark/>
          </w:tcPr>
          <w:p w14:paraId="7CCBE64B"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6</w:t>
            </w:r>
          </w:p>
        </w:tc>
        <w:tc>
          <w:tcPr>
            <w:tcW w:w="1000" w:type="dxa"/>
            <w:tcBorders>
              <w:top w:val="nil"/>
              <w:left w:val="nil"/>
              <w:bottom w:val="single" w:sz="4" w:space="0" w:color="auto"/>
              <w:right w:val="nil"/>
            </w:tcBorders>
            <w:shd w:val="clear" w:color="000000" w:fill="B7DEE8"/>
            <w:hideMark/>
          </w:tcPr>
          <w:p w14:paraId="354ECCF3"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20" w:type="dxa"/>
            <w:tcBorders>
              <w:top w:val="single" w:sz="4" w:space="0" w:color="auto"/>
              <w:left w:val="single" w:sz="4" w:space="0" w:color="auto"/>
              <w:bottom w:val="single" w:sz="4" w:space="0" w:color="auto"/>
              <w:right w:val="single" w:sz="4" w:space="0" w:color="auto"/>
            </w:tcBorders>
            <w:shd w:val="clear" w:color="000000" w:fill="B7DEE8"/>
            <w:hideMark/>
          </w:tcPr>
          <w:p w14:paraId="2B1949F0" w14:textId="77777777" w:rsidR="000F21F8" w:rsidRPr="000F21F8" w:rsidRDefault="000F21F8" w:rsidP="000F21F8">
            <w:pPr>
              <w:spacing w:after="0" w:line="240" w:lineRule="auto"/>
              <w:jc w:val="center"/>
              <w:rPr>
                <w:rFonts w:ascii="Calibri" w:eastAsia="Times New Roman" w:hAnsi="Calibri" w:cs="Calibri"/>
                <w:sz w:val="18"/>
                <w:szCs w:val="18"/>
                <w:lang w:eastAsia="en-GB"/>
              </w:rPr>
            </w:pPr>
            <w:r w:rsidRPr="000F21F8">
              <w:rPr>
                <w:rFonts w:ascii="Calibri" w:eastAsia="Times New Roman" w:hAnsi="Calibri" w:cs="Calibri"/>
                <w:sz w:val="18"/>
                <w:szCs w:val="18"/>
                <w:lang w:eastAsia="en-GB"/>
              </w:rPr>
              <w:t>0</w:t>
            </w:r>
          </w:p>
        </w:tc>
        <w:tc>
          <w:tcPr>
            <w:tcW w:w="1059" w:type="dxa"/>
            <w:tcBorders>
              <w:top w:val="nil"/>
              <w:left w:val="nil"/>
              <w:bottom w:val="single" w:sz="4" w:space="0" w:color="auto"/>
              <w:right w:val="single" w:sz="4" w:space="0" w:color="auto"/>
            </w:tcBorders>
            <w:shd w:val="clear" w:color="000000" w:fill="B7DEE8"/>
            <w:hideMark/>
          </w:tcPr>
          <w:p w14:paraId="043656DB"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r>
      <w:tr w:rsidR="000F21F8" w:rsidRPr="000F21F8" w14:paraId="57B216DD" w14:textId="77777777" w:rsidTr="00534B49">
        <w:trPr>
          <w:trHeight w:val="240"/>
        </w:trPr>
        <w:tc>
          <w:tcPr>
            <w:tcW w:w="1519" w:type="dxa"/>
            <w:tcBorders>
              <w:top w:val="nil"/>
              <w:left w:val="single" w:sz="4" w:space="0" w:color="auto"/>
              <w:bottom w:val="single" w:sz="4" w:space="0" w:color="auto"/>
              <w:right w:val="single" w:sz="4" w:space="0" w:color="auto"/>
            </w:tcBorders>
            <w:shd w:val="clear" w:color="000000" w:fill="B7DEE8"/>
            <w:hideMark/>
          </w:tcPr>
          <w:p w14:paraId="5140D02B" w14:textId="77777777" w:rsidR="000F21F8" w:rsidRPr="000F21F8" w:rsidRDefault="000F21F8" w:rsidP="000F21F8">
            <w:pPr>
              <w:spacing w:after="0" w:line="240" w:lineRule="auto"/>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Stockbridge</w:t>
            </w:r>
          </w:p>
        </w:tc>
        <w:tc>
          <w:tcPr>
            <w:tcW w:w="1266" w:type="dxa"/>
            <w:tcBorders>
              <w:top w:val="nil"/>
              <w:left w:val="nil"/>
              <w:bottom w:val="single" w:sz="4" w:space="0" w:color="auto"/>
              <w:right w:val="single" w:sz="4" w:space="0" w:color="auto"/>
            </w:tcBorders>
            <w:shd w:val="clear" w:color="000000" w:fill="B7DEE8"/>
            <w:hideMark/>
          </w:tcPr>
          <w:p w14:paraId="3E7ED3F8" w14:textId="0643BEF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 </w:t>
            </w:r>
            <w:r w:rsidR="00534B49">
              <w:rPr>
                <w:rFonts w:ascii="Calibri" w:eastAsia="Times New Roman" w:hAnsi="Calibri" w:cs="Calibri"/>
                <w:color w:val="000000"/>
                <w:sz w:val="18"/>
                <w:szCs w:val="18"/>
                <w:lang w:eastAsia="en-GB"/>
              </w:rPr>
              <w:t>-</w:t>
            </w:r>
          </w:p>
        </w:tc>
        <w:tc>
          <w:tcPr>
            <w:tcW w:w="893" w:type="dxa"/>
            <w:tcBorders>
              <w:top w:val="nil"/>
              <w:left w:val="nil"/>
              <w:bottom w:val="single" w:sz="4" w:space="0" w:color="auto"/>
              <w:right w:val="single" w:sz="4" w:space="0" w:color="auto"/>
            </w:tcBorders>
            <w:shd w:val="clear" w:color="000000" w:fill="B7DEE8"/>
            <w:hideMark/>
          </w:tcPr>
          <w:p w14:paraId="22969C79"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10</w:t>
            </w:r>
          </w:p>
        </w:tc>
        <w:tc>
          <w:tcPr>
            <w:tcW w:w="1020" w:type="dxa"/>
            <w:tcBorders>
              <w:top w:val="nil"/>
              <w:left w:val="nil"/>
              <w:bottom w:val="single" w:sz="4" w:space="0" w:color="auto"/>
              <w:right w:val="single" w:sz="4" w:space="0" w:color="auto"/>
            </w:tcBorders>
            <w:shd w:val="clear" w:color="000000" w:fill="B7DEE8"/>
            <w:hideMark/>
          </w:tcPr>
          <w:p w14:paraId="06FD9D76"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1100" w:type="dxa"/>
            <w:tcBorders>
              <w:top w:val="nil"/>
              <w:left w:val="nil"/>
              <w:bottom w:val="single" w:sz="4" w:space="0" w:color="auto"/>
              <w:right w:val="single" w:sz="4" w:space="0" w:color="auto"/>
            </w:tcBorders>
            <w:shd w:val="clear" w:color="000000" w:fill="B7DEE8"/>
            <w:hideMark/>
          </w:tcPr>
          <w:p w14:paraId="4A8E60A1"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99" w:type="dxa"/>
            <w:tcBorders>
              <w:top w:val="nil"/>
              <w:left w:val="nil"/>
              <w:bottom w:val="single" w:sz="4" w:space="0" w:color="auto"/>
              <w:right w:val="single" w:sz="4" w:space="0" w:color="auto"/>
            </w:tcBorders>
            <w:shd w:val="clear" w:color="000000" w:fill="B7DEE8"/>
            <w:hideMark/>
          </w:tcPr>
          <w:p w14:paraId="531DD322"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960" w:type="dxa"/>
            <w:tcBorders>
              <w:top w:val="nil"/>
              <w:left w:val="nil"/>
              <w:bottom w:val="single" w:sz="4" w:space="0" w:color="auto"/>
              <w:right w:val="single" w:sz="4" w:space="0" w:color="auto"/>
            </w:tcBorders>
            <w:shd w:val="clear" w:color="000000" w:fill="B7DEE8"/>
            <w:hideMark/>
          </w:tcPr>
          <w:p w14:paraId="3A39A69A"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939" w:type="dxa"/>
            <w:tcBorders>
              <w:top w:val="nil"/>
              <w:left w:val="nil"/>
              <w:bottom w:val="single" w:sz="4" w:space="0" w:color="auto"/>
              <w:right w:val="single" w:sz="4" w:space="0" w:color="auto"/>
            </w:tcBorders>
            <w:shd w:val="clear" w:color="000000" w:fill="B7DEE8"/>
            <w:hideMark/>
          </w:tcPr>
          <w:p w14:paraId="50B94753"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59" w:type="dxa"/>
            <w:tcBorders>
              <w:top w:val="nil"/>
              <w:left w:val="nil"/>
              <w:bottom w:val="single" w:sz="4" w:space="0" w:color="auto"/>
              <w:right w:val="single" w:sz="4" w:space="0" w:color="auto"/>
            </w:tcBorders>
            <w:shd w:val="clear" w:color="000000" w:fill="B7DEE8"/>
            <w:hideMark/>
          </w:tcPr>
          <w:p w14:paraId="6EF20BC6"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1066" w:type="dxa"/>
            <w:tcBorders>
              <w:top w:val="nil"/>
              <w:left w:val="nil"/>
              <w:bottom w:val="single" w:sz="4" w:space="0" w:color="auto"/>
              <w:right w:val="single" w:sz="4" w:space="0" w:color="auto"/>
            </w:tcBorders>
            <w:shd w:val="clear" w:color="000000" w:fill="B7DEE8"/>
            <w:hideMark/>
          </w:tcPr>
          <w:p w14:paraId="56BA95DA"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1000" w:type="dxa"/>
            <w:tcBorders>
              <w:top w:val="nil"/>
              <w:left w:val="nil"/>
              <w:bottom w:val="single" w:sz="4" w:space="0" w:color="auto"/>
              <w:right w:val="single" w:sz="4" w:space="0" w:color="auto"/>
            </w:tcBorders>
            <w:shd w:val="clear" w:color="000000" w:fill="B7DEE8"/>
            <w:hideMark/>
          </w:tcPr>
          <w:p w14:paraId="4F13ADD4"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20" w:type="dxa"/>
            <w:tcBorders>
              <w:top w:val="nil"/>
              <w:left w:val="nil"/>
              <w:bottom w:val="single" w:sz="4" w:space="0" w:color="auto"/>
              <w:right w:val="single" w:sz="4" w:space="0" w:color="auto"/>
            </w:tcBorders>
            <w:shd w:val="clear" w:color="000000" w:fill="B7DEE8"/>
            <w:hideMark/>
          </w:tcPr>
          <w:p w14:paraId="41006B7E"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1059" w:type="dxa"/>
            <w:tcBorders>
              <w:top w:val="nil"/>
              <w:left w:val="nil"/>
              <w:bottom w:val="single" w:sz="4" w:space="0" w:color="auto"/>
              <w:right w:val="single" w:sz="4" w:space="0" w:color="auto"/>
            </w:tcBorders>
            <w:shd w:val="clear" w:color="000000" w:fill="B7DEE8"/>
            <w:hideMark/>
          </w:tcPr>
          <w:p w14:paraId="48289392"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r>
      <w:tr w:rsidR="000F21F8" w:rsidRPr="000F21F8" w14:paraId="19953E35" w14:textId="77777777" w:rsidTr="00534B49">
        <w:trPr>
          <w:trHeight w:val="240"/>
        </w:trPr>
        <w:tc>
          <w:tcPr>
            <w:tcW w:w="1519" w:type="dxa"/>
            <w:tcBorders>
              <w:top w:val="nil"/>
              <w:left w:val="single" w:sz="4" w:space="0" w:color="auto"/>
              <w:bottom w:val="single" w:sz="4" w:space="0" w:color="auto"/>
              <w:right w:val="single" w:sz="4" w:space="0" w:color="auto"/>
            </w:tcBorders>
            <w:shd w:val="clear" w:color="000000" w:fill="B7DEE8"/>
            <w:hideMark/>
          </w:tcPr>
          <w:p w14:paraId="6623F96B" w14:textId="77777777" w:rsidR="000F21F8" w:rsidRPr="000F21F8" w:rsidRDefault="000F21F8" w:rsidP="000F21F8">
            <w:pPr>
              <w:spacing w:after="0" w:line="240" w:lineRule="auto"/>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Birdham</w:t>
            </w:r>
          </w:p>
        </w:tc>
        <w:tc>
          <w:tcPr>
            <w:tcW w:w="1266" w:type="dxa"/>
            <w:tcBorders>
              <w:top w:val="nil"/>
              <w:left w:val="nil"/>
              <w:bottom w:val="single" w:sz="4" w:space="0" w:color="auto"/>
              <w:right w:val="single" w:sz="4" w:space="0" w:color="auto"/>
            </w:tcBorders>
            <w:shd w:val="clear" w:color="000000" w:fill="B7DEE8"/>
            <w:hideMark/>
          </w:tcPr>
          <w:p w14:paraId="0D24759C" w14:textId="63AED83E" w:rsidR="000F21F8" w:rsidRPr="000F21F8" w:rsidRDefault="00534B49" w:rsidP="000F21F8">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2,190</w:t>
            </w:r>
          </w:p>
        </w:tc>
        <w:tc>
          <w:tcPr>
            <w:tcW w:w="893" w:type="dxa"/>
            <w:tcBorders>
              <w:top w:val="nil"/>
              <w:left w:val="nil"/>
              <w:bottom w:val="single" w:sz="4" w:space="0" w:color="auto"/>
              <w:right w:val="single" w:sz="4" w:space="0" w:color="auto"/>
            </w:tcBorders>
            <w:shd w:val="clear" w:color="000000" w:fill="B7DEE8"/>
            <w:hideMark/>
          </w:tcPr>
          <w:p w14:paraId="4AC09F30"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11</w:t>
            </w:r>
          </w:p>
        </w:tc>
        <w:tc>
          <w:tcPr>
            <w:tcW w:w="1020" w:type="dxa"/>
            <w:tcBorders>
              <w:top w:val="nil"/>
              <w:left w:val="nil"/>
              <w:bottom w:val="single" w:sz="4" w:space="0" w:color="auto"/>
              <w:right w:val="single" w:sz="4" w:space="0" w:color="auto"/>
            </w:tcBorders>
            <w:shd w:val="clear" w:color="000000" w:fill="B7DEE8"/>
            <w:hideMark/>
          </w:tcPr>
          <w:p w14:paraId="5AA7D325" w14:textId="77777777" w:rsidR="000F21F8" w:rsidRPr="000F21F8" w:rsidRDefault="000F21F8" w:rsidP="000F21F8">
            <w:pPr>
              <w:spacing w:after="0" w:line="240" w:lineRule="auto"/>
              <w:jc w:val="center"/>
              <w:rPr>
                <w:rFonts w:ascii="Calibri" w:eastAsia="Times New Roman" w:hAnsi="Calibri" w:cs="Calibri"/>
                <w:sz w:val="18"/>
                <w:szCs w:val="18"/>
                <w:lang w:eastAsia="en-GB"/>
              </w:rPr>
            </w:pPr>
            <w:r w:rsidRPr="000F21F8">
              <w:rPr>
                <w:rFonts w:ascii="Calibri" w:eastAsia="Times New Roman" w:hAnsi="Calibri" w:cs="Calibri"/>
                <w:sz w:val="18"/>
                <w:szCs w:val="18"/>
                <w:lang w:eastAsia="en-GB"/>
              </w:rPr>
              <w:t>1</w:t>
            </w:r>
          </w:p>
        </w:tc>
        <w:tc>
          <w:tcPr>
            <w:tcW w:w="1100" w:type="dxa"/>
            <w:tcBorders>
              <w:top w:val="nil"/>
              <w:left w:val="nil"/>
              <w:bottom w:val="single" w:sz="4" w:space="0" w:color="auto"/>
              <w:right w:val="single" w:sz="4" w:space="0" w:color="auto"/>
            </w:tcBorders>
            <w:shd w:val="clear" w:color="000000" w:fill="B7DEE8"/>
            <w:hideMark/>
          </w:tcPr>
          <w:p w14:paraId="735C230E" w14:textId="77777777" w:rsidR="000F21F8" w:rsidRPr="000F21F8" w:rsidRDefault="000F21F8" w:rsidP="000F21F8">
            <w:pPr>
              <w:spacing w:after="0" w:line="240" w:lineRule="auto"/>
              <w:jc w:val="center"/>
              <w:rPr>
                <w:rFonts w:ascii="Calibri" w:eastAsia="Times New Roman" w:hAnsi="Calibri" w:cs="Calibri"/>
                <w:sz w:val="18"/>
                <w:szCs w:val="18"/>
                <w:lang w:eastAsia="en-GB"/>
              </w:rPr>
            </w:pPr>
            <w:r w:rsidRPr="000F21F8">
              <w:rPr>
                <w:rFonts w:ascii="Calibri" w:eastAsia="Times New Roman" w:hAnsi="Calibri" w:cs="Calibri"/>
                <w:sz w:val="18"/>
                <w:szCs w:val="18"/>
                <w:lang w:eastAsia="en-GB"/>
              </w:rPr>
              <w:t>2</w:t>
            </w:r>
          </w:p>
        </w:tc>
        <w:tc>
          <w:tcPr>
            <w:tcW w:w="999" w:type="dxa"/>
            <w:tcBorders>
              <w:top w:val="nil"/>
              <w:left w:val="nil"/>
              <w:bottom w:val="single" w:sz="4" w:space="0" w:color="auto"/>
              <w:right w:val="single" w:sz="4" w:space="0" w:color="auto"/>
            </w:tcBorders>
            <w:shd w:val="clear" w:color="000000" w:fill="B7DEE8"/>
            <w:hideMark/>
          </w:tcPr>
          <w:p w14:paraId="30B9D084" w14:textId="77777777" w:rsidR="000F21F8" w:rsidRPr="000F21F8" w:rsidRDefault="000F21F8" w:rsidP="000F21F8">
            <w:pPr>
              <w:spacing w:after="0" w:line="240" w:lineRule="auto"/>
              <w:jc w:val="center"/>
              <w:rPr>
                <w:rFonts w:ascii="Calibri" w:eastAsia="Times New Roman" w:hAnsi="Calibri" w:cs="Calibri"/>
                <w:sz w:val="18"/>
                <w:szCs w:val="18"/>
                <w:lang w:eastAsia="en-GB"/>
              </w:rPr>
            </w:pPr>
            <w:r w:rsidRPr="000F21F8">
              <w:rPr>
                <w:rFonts w:ascii="Calibri" w:eastAsia="Times New Roman" w:hAnsi="Calibri" w:cs="Calibri"/>
                <w:sz w:val="18"/>
                <w:szCs w:val="18"/>
                <w:lang w:eastAsia="en-GB"/>
              </w:rPr>
              <w:t>0</w:t>
            </w:r>
          </w:p>
        </w:tc>
        <w:tc>
          <w:tcPr>
            <w:tcW w:w="960" w:type="dxa"/>
            <w:tcBorders>
              <w:top w:val="nil"/>
              <w:left w:val="nil"/>
              <w:bottom w:val="single" w:sz="4" w:space="0" w:color="auto"/>
              <w:right w:val="single" w:sz="4" w:space="0" w:color="auto"/>
            </w:tcBorders>
            <w:shd w:val="clear" w:color="000000" w:fill="B7DEE8"/>
            <w:hideMark/>
          </w:tcPr>
          <w:p w14:paraId="63811851" w14:textId="77777777" w:rsidR="000F21F8" w:rsidRPr="000F21F8" w:rsidRDefault="000F21F8" w:rsidP="000F21F8">
            <w:pPr>
              <w:spacing w:after="0" w:line="240" w:lineRule="auto"/>
              <w:jc w:val="center"/>
              <w:rPr>
                <w:rFonts w:ascii="Calibri" w:eastAsia="Times New Roman" w:hAnsi="Calibri" w:cs="Calibri"/>
                <w:sz w:val="18"/>
                <w:szCs w:val="18"/>
                <w:lang w:eastAsia="en-GB"/>
              </w:rPr>
            </w:pPr>
            <w:r w:rsidRPr="000F21F8">
              <w:rPr>
                <w:rFonts w:ascii="Calibri" w:eastAsia="Times New Roman" w:hAnsi="Calibri" w:cs="Calibri"/>
                <w:sz w:val="18"/>
                <w:szCs w:val="18"/>
                <w:lang w:eastAsia="en-GB"/>
              </w:rPr>
              <w:t>1</w:t>
            </w:r>
          </w:p>
        </w:tc>
        <w:tc>
          <w:tcPr>
            <w:tcW w:w="939" w:type="dxa"/>
            <w:tcBorders>
              <w:top w:val="nil"/>
              <w:left w:val="nil"/>
              <w:bottom w:val="single" w:sz="4" w:space="0" w:color="auto"/>
              <w:right w:val="single" w:sz="4" w:space="0" w:color="auto"/>
            </w:tcBorders>
            <w:shd w:val="clear" w:color="000000" w:fill="B7DEE8"/>
            <w:hideMark/>
          </w:tcPr>
          <w:p w14:paraId="6A8EB663" w14:textId="77777777" w:rsidR="000F21F8" w:rsidRPr="000F21F8" w:rsidRDefault="000F21F8" w:rsidP="000F21F8">
            <w:pPr>
              <w:spacing w:after="0" w:line="240" w:lineRule="auto"/>
              <w:jc w:val="center"/>
              <w:rPr>
                <w:rFonts w:ascii="Calibri" w:eastAsia="Times New Roman" w:hAnsi="Calibri" w:cs="Calibri"/>
                <w:sz w:val="18"/>
                <w:szCs w:val="18"/>
                <w:lang w:eastAsia="en-GB"/>
              </w:rPr>
            </w:pPr>
            <w:r w:rsidRPr="000F21F8">
              <w:rPr>
                <w:rFonts w:ascii="Calibri" w:eastAsia="Times New Roman" w:hAnsi="Calibri" w:cs="Calibri"/>
                <w:sz w:val="18"/>
                <w:szCs w:val="18"/>
                <w:lang w:eastAsia="en-GB"/>
              </w:rPr>
              <w:t>0</w:t>
            </w:r>
          </w:p>
        </w:tc>
        <w:tc>
          <w:tcPr>
            <w:tcW w:w="1059" w:type="dxa"/>
            <w:tcBorders>
              <w:top w:val="nil"/>
              <w:left w:val="nil"/>
              <w:bottom w:val="single" w:sz="4" w:space="0" w:color="auto"/>
              <w:right w:val="single" w:sz="4" w:space="0" w:color="auto"/>
            </w:tcBorders>
            <w:shd w:val="clear" w:color="000000" w:fill="B7DEE8"/>
            <w:hideMark/>
          </w:tcPr>
          <w:p w14:paraId="7FF7E16E" w14:textId="77777777" w:rsidR="000F21F8" w:rsidRPr="000F21F8" w:rsidRDefault="000F21F8" w:rsidP="000F21F8">
            <w:pPr>
              <w:spacing w:after="0" w:line="240" w:lineRule="auto"/>
              <w:jc w:val="center"/>
              <w:rPr>
                <w:rFonts w:ascii="Calibri" w:eastAsia="Times New Roman" w:hAnsi="Calibri" w:cs="Calibri"/>
                <w:sz w:val="18"/>
                <w:szCs w:val="18"/>
                <w:lang w:eastAsia="en-GB"/>
              </w:rPr>
            </w:pPr>
            <w:r w:rsidRPr="000F21F8">
              <w:rPr>
                <w:rFonts w:ascii="Calibri" w:eastAsia="Times New Roman" w:hAnsi="Calibri" w:cs="Calibri"/>
                <w:sz w:val="18"/>
                <w:szCs w:val="18"/>
                <w:lang w:eastAsia="en-GB"/>
              </w:rPr>
              <w:t>1</w:t>
            </w:r>
          </w:p>
        </w:tc>
        <w:tc>
          <w:tcPr>
            <w:tcW w:w="1066" w:type="dxa"/>
            <w:tcBorders>
              <w:top w:val="nil"/>
              <w:left w:val="nil"/>
              <w:bottom w:val="single" w:sz="4" w:space="0" w:color="auto"/>
              <w:right w:val="single" w:sz="4" w:space="0" w:color="auto"/>
            </w:tcBorders>
            <w:shd w:val="clear" w:color="000000" w:fill="B7DEE8"/>
            <w:hideMark/>
          </w:tcPr>
          <w:p w14:paraId="6390479F" w14:textId="77777777" w:rsidR="000F21F8" w:rsidRPr="000F21F8" w:rsidRDefault="000F21F8" w:rsidP="000F21F8">
            <w:pPr>
              <w:spacing w:after="0" w:line="240" w:lineRule="auto"/>
              <w:jc w:val="center"/>
              <w:rPr>
                <w:rFonts w:ascii="Calibri" w:eastAsia="Times New Roman" w:hAnsi="Calibri" w:cs="Calibri"/>
                <w:sz w:val="18"/>
                <w:szCs w:val="18"/>
                <w:lang w:eastAsia="en-GB"/>
              </w:rPr>
            </w:pPr>
            <w:r w:rsidRPr="000F21F8">
              <w:rPr>
                <w:rFonts w:ascii="Calibri" w:eastAsia="Times New Roman" w:hAnsi="Calibri" w:cs="Calibri"/>
                <w:sz w:val="18"/>
                <w:szCs w:val="18"/>
                <w:lang w:eastAsia="en-GB"/>
              </w:rPr>
              <w:t>3</w:t>
            </w:r>
          </w:p>
        </w:tc>
        <w:tc>
          <w:tcPr>
            <w:tcW w:w="1000" w:type="dxa"/>
            <w:tcBorders>
              <w:top w:val="nil"/>
              <w:left w:val="nil"/>
              <w:bottom w:val="single" w:sz="4" w:space="0" w:color="auto"/>
              <w:right w:val="single" w:sz="4" w:space="0" w:color="auto"/>
            </w:tcBorders>
            <w:shd w:val="clear" w:color="000000" w:fill="B7DEE8"/>
            <w:hideMark/>
          </w:tcPr>
          <w:p w14:paraId="311898F9" w14:textId="77777777" w:rsidR="000F21F8" w:rsidRPr="000F21F8" w:rsidRDefault="000F21F8" w:rsidP="000F21F8">
            <w:pPr>
              <w:spacing w:after="0" w:line="240" w:lineRule="auto"/>
              <w:jc w:val="center"/>
              <w:rPr>
                <w:rFonts w:ascii="Calibri" w:eastAsia="Times New Roman" w:hAnsi="Calibri" w:cs="Calibri"/>
                <w:sz w:val="18"/>
                <w:szCs w:val="18"/>
                <w:lang w:eastAsia="en-GB"/>
              </w:rPr>
            </w:pPr>
            <w:r w:rsidRPr="000F21F8">
              <w:rPr>
                <w:rFonts w:ascii="Calibri" w:eastAsia="Times New Roman" w:hAnsi="Calibri" w:cs="Calibri"/>
                <w:sz w:val="18"/>
                <w:szCs w:val="18"/>
                <w:lang w:eastAsia="en-GB"/>
              </w:rPr>
              <w:t>0</w:t>
            </w:r>
          </w:p>
        </w:tc>
        <w:tc>
          <w:tcPr>
            <w:tcW w:w="1020" w:type="dxa"/>
            <w:tcBorders>
              <w:top w:val="nil"/>
              <w:left w:val="nil"/>
              <w:bottom w:val="single" w:sz="4" w:space="0" w:color="auto"/>
              <w:right w:val="single" w:sz="4" w:space="0" w:color="auto"/>
            </w:tcBorders>
            <w:shd w:val="clear" w:color="000000" w:fill="B7DEE8"/>
            <w:hideMark/>
          </w:tcPr>
          <w:p w14:paraId="17B145C0" w14:textId="77777777" w:rsidR="000F21F8" w:rsidRPr="000F21F8" w:rsidRDefault="000F21F8" w:rsidP="000F21F8">
            <w:pPr>
              <w:spacing w:after="0" w:line="240" w:lineRule="auto"/>
              <w:jc w:val="center"/>
              <w:rPr>
                <w:rFonts w:ascii="Calibri" w:eastAsia="Times New Roman" w:hAnsi="Calibri" w:cs="Calibri"/>
                <w:sz w:val="18"/>
                <w:szCs w:val="18"/>
                <w:lang w:eastAsia="en-GB"/>
              </w:rPr>
            </w:pPr>
            <w:r w:rsidRPr="000F21F8">
              <w:rPr>
                <w:rFonts w:ascii="Calibri" w:eastAsia="Times New Roman" w:hAnsi="Calibri" w:cs="Calibri"/>
                <w:sz w:val="18"/>
                <w:szCs w:val="18"/>
                <w:lang w:eastAsia="en-GB"/>
              </w:rPr>
              <w:t>3</w:t>
            </w:r>
          </w:p>
        </w:tc>
        <w:tc>
          <w:tcPr>
            <w:tcW w:w="1059" w:type="dxa"/>
            <w:tcBorders>
              <w:top w:val="nil"/>
              <w:left w:val="nil"/>
              <w:bottom w:val="single" w:sz="4" w:space="0" w:color="auto"/>
              <w:right w:val="single" w:sz="4" w:space="0" w:color="auto"/>
            </w:tcBorders>
            <w:shd w:val="clear" w:color="000000" w:fill="B7DEE8"/>
            <w:hideMark/>
          </w:tcPr>
          <w:p w14:paraId="06CDA08F" w14:textId="77777777" w:rsidR="000F21F8" w:rsidRPr="000F21F8" w:rsidRDefault="000F21F8" w:rsidP="000F21F8">
            <w:pPr>
              <w:spacing w:after="0" w:line="240" w:lineRule="auto"/>
              <w:jc w:val="center"/>
              <w:rPr>
                <w:rFonts w:ascii="Calibri" w:eastAsia="Times New Roman" w:hAnsi="Calibri" w:cs="Calibri"/>
                <w:sz w:val="18"/>
                <w:szCs w:val="18"/>
                <w:lang w:eastAsia="en-GB"/>
              </w:rPr>
            </w:pPr>
            <w:r w:rsidRPr="000F21F8">
              <w:rPr>
                <w:rFonts w:ascii="Calibri" w:eastAsia="Times New Roman" w:hAnsi="Calibri" w:cs="Calibri"/>
                <w:sz w:val="18"/>
                <w:szCs w:val="18"/>
                <w:lang w:eastAsia="en-GB"/>
              </w:rPr>
              <w:t>0</w:t>
            </w:r>
          </w:p>
        </w:tc>
      </w:tr>
      <w:tr w:rsidR="000F21F8" w:rsidRPr="000F21F8" w14:paraId="15E5DC8B" w14:textId="77777777" w:rsidTr="00534B49">
        <w:trPr>
          <w:trHeight w:val="240"/>
        </w:trPr>
        <w:tc>
          <w:tcPr>
            <w:tcW w:w="1519" w:type="dxa"/>
            <w:tcBorders>
              <w:top w:val="nil"/>
              <w:left w:val="single" w:sz="4" w:space="0" w:color="auto"/>
              <w:bottom w:val="single" w:sz="4" w:space="0" w:color="auto"/>
              <w:right w:val="single" w:sz="4" w:space="0" w:color="auto"/>
            </w:tcBorders>
            <w:shd w:val="clear" w:color="000000" w:fill="B7DEE8"/>
            <w:hideMark/>
          </w:tcPr>
          <w:p w14:paraId="0D8029D5" w14:textId="77777777" w:rsidR="000F21F8" w:rsidRPr="000F21F8" w:rsidRDefault="000F21F8" w:rsidP="000F21F8">
            <w:pPr>
              <w:spacing w:after="0" w:line="240" w:lineRule="auto"/>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Fishbourne</w:t>
            </w:r>
          </w:p>
        </w:tc>
        <w:tc>
          <w:tcPr>
            <w:tcW w:w="1266" w:type="dxa"/>
            <w:tcBorders>
              <w:top w:val="nil"/>
              <w:left w:val="nil"/>
              <w:bottom w:val="single" w:sz="4" w:space="0" w:color="auto"/>
              <w:right w:val="single" w:sz="4" w:space="0" w:color="auto"/>
            </w:tcBorders>
            <w:shd w:val="clear" w:color="000000" w:fill="B7DEE8"/>
            <w:hideMark/>
          </w:tcPr>
          <w:p w14:paraId="08D19B29" w14:textId="2D819374"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r w:rsidR="00534B49">
              <w:rPr>
                <w:rFonts w:ascii="Calibri" w:eastAsia="Times New Roman" w:hAnsi="Calibri" w:cs="Calibri"/>
                <w:color w:val="000000"/>
                <w:sz w:val="18"/>
                <w:szCs w:val="18"/>
                <w:lang w:eastAsia="en-GB"/>
              </w:rPr>
              <w:t>663</w:t>
            </w:r>
          </w:p>
        </w:tc>
        <w:tc>
          <w:tcPr>
            <w:tcW w:w="893" w:type="dxa"/>
            <w:tcBorders>
              <w:top w:val="nil"/>
              <w:left w:val="nil"/>
              <w:bottom w:val="single" w:sz="4" w:space="0" w:color="auto"/>
              <w:right w:val="single" w:sz="4" w:space="0" w:color="auto"/>
            </w:tcBorders>
            <w:shd w:val="clear" w:color="000000" w:fill="B7DEE8"/>
            <w:hideMark/>
          </w:tcPr>
          <w:p w14:paraId="6C3A3202"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11</w:t>
            </w:r>
          </w:p>
        </w:tc>
        <w:tc>
          <w:tcPr>
            <w:tcW w:w="1020" w:type="dxa"/>
            <w:tcBorders>
              <w:top w:val="nil"/>
              <w:left w:val="nil"/>
              <w:bottom w:val="single" w:sz="4" w:space="0" w:color="auto"/>
              <w:right w:val="single" w:sz="4" w:space="0" w:color="auto"/>
            </w:tcBorders>
            <w:shd w:val="clear" w:color="000000" w:fill="B7DEE8"/>
            <w:hideMark/>
          </w:tcPr>
          <w:p w14:paraId="0F9D66D3"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100" w:type="dxa"/>
            <w:tcBorders>
              <w:top w:val="nil"/>
              <w:left w:val="nil"/>
              <w:bottom w:val="single" w:sz="4" w:space="0" w:color="auto"/>
              <w:right w:val="single" w:sz="4" w:space="0" w:color="auto"/>
            </w:tcBorders>
            <w:shd w:val="clear" w:color="000000" w:fill="B7DEE8"/>
            <w:hideMark/>
          </w:tcPr>
          <w:p w14:paraId="247E55F1"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999" w:type="dxa"/>
            <w:tcBorders>
              <w:top w:val="nil"/>
              <w:left w:val="nil"/>
              <w:bottom w:val="single" w:sz="4" w:space="0" w:color="auto"/>
              <w:right w:val="single" w:sz="4" w:space="0" w:color="auto"/>
            </w:tcBorders>
            <w:shd w:val="clear" w:color="000000" w:fill="B7DEE8"/>
            <w:hideMark/>
          </w:tcPr>
          <w:p w14:paraId="1DB3B540"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960" w:type="dxa"/>
            <w:tcBorders>
              <w:top w:val="nil"/>
              <w:left w:val="nil"/>
              <w:bottom w:val="single" w:sz="4" w:space="0" w:color="auto"/>
              <w:right w:val="single" w:sz="4" w:space="0" w:color="auto"/>
            </w:tcBorders>
            <w:shd w:val="clear" w:color="000000" w:fill="B7DEE8"/>
            <w:hideMark/>
          </w:tcPr>
          <w:p w14:paraId="123D22A8"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39" w:type="dxa"/>
            <w:tcBorders>
              <w:top w:val="nil"/>
              <w:left w:val="nil"/>
              <w:bottom w:val="single" w:sz="4" w:space="0" w:color="auto"/>
              <w:right w:val="single" w:sz="4" w:space="0" w:color="auto"/>
            </w:tcBorders>
            <w:shd w:val="clear" w:color="000000" w:fill="B7DEE8"/>
            <w:hideMark/>
          </w:tcPr>
          <w:p w14:paraId="4E6748AB"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1059" w:type="dxa"/>
            <w:tcBorders>
              <w:top w:val="nil"/>
              <w:left w:val="nil"/>
              <w:bottom w:val="single" w:sz="4" w:space="0" w:color="auto"/>
              <w:right w:val="single" w:sz="4" w:space="0" w:color="auto"/>
            </w:tcBorders>
            <w:shd w:val="clear" w:color="000000" w:fill="B7DEE8"/>
            <w:hideMark/>
          </w:tcPr>
          <w:p w14:paraId="6B5BA674"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66" w:type="dxa"/>
            <w:tcBorders>
              <w:top w:val="nil"/>
              <w:left w:val="nil"/>
              <w:bottom w:val="single" w:sz="4" w:space="0" w:color="auto"/>
              <w:right w:val="single" w:sz="4" w:space="0" w:color="auto"/>
            </w:tcBorders>
            <w:shd w:val="clear" w:color="000000" w:fill="B7DEE8"/>
            <w:hideMark/>
          </w:tcPr>
          <w:p w14:paraId="360DA448"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00" w:type="dxa"/>
            <w:tcBorders>
              <w:top w:val="nil"/>
              <w:left w:val="nil"/>
              <w:bottom w:val="single" w:sz="4" w:space="0" w:color="auto"/>
              <w:right w:val="single" w:sz="4" w:space="0" w:color="auto"/>
            </w:tcBorders>
            <w:shd w:val="clear" w:color="000000" w:fill="B7DEE8"/>
            <w:hideMark/>
          </w:tcPr>
          <w:p w14:paraId="4464269D"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20" w:type="dxa"/>
            <w:tcBorders>
              <w:top w:val="nil"/>
              <w:left w:val="nil"/>
              <w:bottom w:val="single" w:sz="4" w:space="0" w:color="auto"/>
              <w:right w:val="single" w:sz="4" w:space="0" w:color="auto"/>
            </w:tcBorders>
            <w:shd w:val="clear" w:color="000000" w:fill="B7DEE8"/>
            <w:hideMark/>
          </w:tcPr>
          <w:p w14:paraId="512A2150"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1059" w:type="dxa"/>
            <w:tcBorders>
              <w:top w:val="nil"/>
              <w:left w:val="nil"/>
              <w:bottom w:val="single" w:sz="4" w:space="0" w:color="auto"/>
              <w:right w:val="single" w:sz="4" w:space="0" w:color="auto"/>
            </w:tcBorders>
            <w:shd w:val="clear" w:color="000000" w:fill="B7DEE8"/>
            <w:hideMark/>
          </w:tcPr>
          <w:p w14:paraId="584CD074"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r>
      <w:tr w:rsidR="000F21F8" w:rsidRPr="000F21F8" w14:paraId="5B4CD3AD" w14:textId="77777777" w:rsidTr="00534B49">
        <w:trPr>
          <w:trHeight w:val="240"/>
        </w:trPr>
        <w:tc>
          <w:tcPr>
            <w:tcW w:w="1519" w:type="dxa"/>
            <w:tcBorders>
              <w:top w:val="nil"/>
              <w:left w:val="single" w:sz="4" w:space="0" w:color="auto"/>
              <w:bottom w:val="single" w:sz="4" w:space="0" w:color="auto"/>
              <w:right w:val="single" w:sz="4" w:space="0" w:color="auto"/>
            </w:tcBorders>
            <w:shd w:val="clear" w:color="000000" w:fill="B7DEE8"/>
            <w:hideMark/>
          </w:tcPr>
          <w:p w14:paraId="2E4A7147" w14:textId="77777777" w:rsidR="000F21F8" w:rsidRPr="000F21F8" w:rsidRDefault="000F21F8" w:rsidP="000F21F8">
            <w:pPr>
              <w:spacing w:after="0" w:line="240" w:lineRule="auto"/>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Plaistow &amp; Ifold</w:t>
            </w:r>
          </w:p>
        </w:tc>
        <w:tc>
          <w:tcPr>
            <w:tcW w:w="1266" w:type="dxa"/>
            <w:tcBorders>
              <w:top w:val="nil"/>
              <w:left w:val="nil"/>
              <w:bottom w:val="single" w:sz="4" w:space="0" w:color="auto"/>
              <w:right w:val="single" w:sz="4" w:space="0" w:color="auto"/>
            </w:tcBorders>
            <w:shd w:val="clear" w:color="000000" w:fill="B7DEE8"/>
            <w:hideMark/>
          </w:tcPr>
          <w:p w14:paraId="78E86DC8" w14:textId="402C3DBB" w:rsidR="000F21F8" w:rsidRPr="000F21F8" w:rsidRDefault="00F52887" w:rsidP="000F21F8">
            <w:pPr>
              <w:spacing w:after="0" w:line="240" w:lineRule="auto"/>
              <w:jc w:val="center"/>
              <w:rPr>
                <w:rFonts w:ascii="Calibri" w:eastAsia="Times New Roman" w:hAnsi="Calibri" w:cs="Calibri"/>
                <w:color w:val="000000"/>
                <w:sz w:val="18"/>
                <w:szCs w:val="18"/>
                <w:lang w:eastAsia="en-GB"/>
              </w:rPr>
            </w:pPr>
            <w:r>
              <w:rPr>
                <w:rFonts w:ascii="Calibri" w:eastAsia="Times New Roman" w:hAnsi="Calibri" w:cs="Calibri"/>
                <w:color w:val="000000"/>
                <w:sz w:val="18"/>
                <w:szCs w:val="18"/>
                <w:lang w:eastAsia="en-GB"/>
              </w:rPr>
              <w:t>2,617</w:t>
            </w:r>
          </w:p>
        </w:tc>
        <w:tc>
          <w:tcPr>
            <w:tcW w:w="893" w:type="dxa"/>
            <w:tcBorders>
              <w:top w:val="nil"/>
              <w:left w:val="nil"/>
              <w:bottom w:val="single" w:sz="4" w:space="0" w:color="auto"/>
              <w:right w:val="single" w:sz="4" w:space="0" w:color="auto"/>
            </w:tcBorders>
            <w:shd w:val="clear" w:color="000000" w:fill="B7DEE8"/>
            <w:hideMark/>
          </w:tcPr>
          <w:p w14:paraId="07C88C51"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9</w:t>
            </w:r>
          </w:p>
        </w:tc>
        <w:tc>
          <w:tcPr>
            <w:tcW w:w="1020" w:type="dxa"/>
            <w:tcBorders>
              <w:top w:val="nil"/>
              <w:left w:val="nil"/>
              <w:bottom w:val="single" w:sz="4" w:space="0" w:color="auto"/>
              <w:right w:val="single" w:sz="4" w:space="0" w:color="auto"/>
            </w:tcBorders>
            <w:shd w:val="clear" w:color="000000" w:fill="B7DEE8"/>
            <w:hideMark/>
          </w:tcPr>
          <w:p w14:paraId="33BBC03D"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100" w:type="dxa"/>
            <w:tcBorders>
              <w:top w:val="nil"/>
              <w:left w:val="nil"/>
              <w:bottom w:val="single" w:sz="4" w:space="0" w:color="auto"/>
              <w:right w:val="single" w:sz="4" w:space="0" w:color="auto"/>
            </w:tcBorders>
            <w:shd w:val="clear" w:color="000000" w:fill="B7DEE8"/>
            <w:hideMark/>
          </w:tcPr>
          <w:p w14:paraId="44CAC292"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999" w:type="dxa"/>
            <w:tcBorders>
              <w:top w:val="nil"/>
              <w:left w:val="nil"/>
              <w:bottom w:val="single" w:sz="4" w:space="0" w:color="auto"/>
              <w:right w:val="single" w:sz="4" w:space="0" w:color="auto"/>
            </w:tcBorders>
            <w:shd w:val="clear" w:color="000000" w:fill="B7DEE8"/>
            <w:hideMark/>
          </w:tcPr>
          <w:p w14:paraId="31972FC9"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960" w:type="dxa"/>
            <w:tcBorders>
              <w:top w:val="nil"/>
              <w:left w:val="nil"/>
              <w:bottom w:val="single" w:sz="4" w:space="0" w:color="auto"/>
              <w:right w:val="single" w:sz="4" w:space="0" w:color="auto"/>
            </w:tcBorders>
            <w:shd w:val="clear" w:color="000000" w:fill="B7DEE8"/>
            <w:hideMark/>
          </w:tcPr>
          <w:p w14:paraId="1010F635"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39" w:type="dxa"/>
            <w:tcBorders>
              <w:top w:val="nil"/>
              <w:left w:val="nil"/>
              <w:bottom w:val="single" w:sz="4" w:space="0" w:color="auto"/>
              <w:right w:val="single" w:sz="4" w:space="0" w:color="auto"/>
            </w:tcBorders>
            <w:shd w:val="clear" w:color="000000" w:fill="B7DEE8"/>
            <w:hideMark/>
          </w:tcPr>
          <w:p w14:paraId="75C20DF7"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59" w:type="dxa"/>
            <w:tcBorders>
              <w:top w:val="nil"/>
              <w:left w:val="nil"/>
              <w:bottom w:val="single" w:sz="4" w:space="0" w:color="auto"/>
              <w:right w:val="single" w:sz="4" w:space="0" w:color="auto"/>
            </w:tcBorders>
            <w:shd w:val="clear" w:color="000000" w:fill="B7DEE8"/>
            <w:hideMark/>
          </w:tcPr>
          <w:p w14:paraId="309EBE35"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1066" w:type="dxa"/>
            <w:tcBorders>
              <w:top w:val="nil"/>
              <w:left w:val="nil"/>
              <w:bottom w:val="single" w:sz="4" w:space="0" w:color="auto"/>
              <w:right w:val="single" w:sz="4" w:space="0" w:color="auto"/>
            </w:tcBorders>
            <w:shd w:val="clear" w:color="000000" w:fill="B7DEE8"/>
            <w:hideMark/>
          </w:tcPr>
          <w:p w14:paraId="54F3CC4C"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2</w:t>
            </w:r>
          </w:p>
        </w:tc>
        <w:tc>
          <w:tcPr>
            <w:tcW w:w="1000" w:type="dxa"/>
            <w:tcBorders>
              <w:top w:val="nil"/>
              <w:left w:val="nil"/>
              <w:bottom w:val="single" w:sz="4" w:space="0" w:color="auto"/>
              <w:right w:val="single" w:sz="4" w:space="0" w:color="auto"/>
            </w:tcBorders>
            <w:shd w:val="clear" w:color="000000" w:fill="B7DEE8"/>
            <w:hideMark/>
          </w:tcPr>
          <w:p w14:paraId="27F15FAB"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20" w:type="dxa"/>
            <w:tcBorders>
              <w:top w:val="nil"/>
              <w:left w:val="nil"/>
              <w:bottom w:val="single" w:sz="4" w:space="0" w:color="auto"/>
              <w:right w:val="single" w:sz="4" w:space="0" w:color="auto"/>
            </w:tcBorders>
            <w:shd w:val="clear" w:color="000000" w:fill="B7DEE8"/>
            <w:hideMark/>
          </w:tcPr>
          <w:p w14:paraId="71EFF7B6"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59" w:type="dxa"/>
            <w:tcBorders>
              <w:top w:val="nil"/>
              <w:left w:val="nil"/>
              <w:bottom w:val="single" w:sz="4" w:space="0" w:color="auto"/>
              <w:right w:val="single" w:sz="4" w:space="0" w:color="auto"/>
            </w:tcBorders>
            <w:shd w:val="clear" w:color="000000" w:fill="B7DEE8"/>
            <w:hideMark/>
          </w:tcPr>
          <w:p w14:paraId="1DFF0418"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r>
      <w:tr w:rsidR="000F21F8" w:rsidRPr="000F21F8" w14:paraId="00CE7424" w14:textId="77777777" w:rsidTr="00534B49">
        <w:trPr>
          <w:trHeight w:val="480"/>
        </w:trPr>
        <w:tc>
          <w:tcPr>
            <w:tcW w:w="1519" w:type="dxa"/>
            <w:tcBorders>
              <w:top w:val="nil"/>
              <w:left w:val="single" w:sz="4" w:space="0" w:color="auto"/>
              <w:bottom w:val="single" w:sz="4" w:space="0" w:color="auto"/>
              <w:right w:val="single" w:sz="4" w:space="0" w:color="auto"/>
            </w:tcBorders>
            <w:shd w:val="clear" w:color="000000" w:fill="B7DEE8"/>
            <w:hideMark/>
          </w:tcPr>
          <w:p w14:paraId="2D616E36" w14:textId="77777777" w:rsidR="000F21F8" w:rsidRPr="000F21F8" w:rsidRDefault="000F21F8" w:rsidP="000F21F8">
            <w:pPr>
              <w:spacing w:after="0" w:line="240" w:lineRule="auto"/>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Wisborough Green</w:t>
            </w:r>
          </w:p>
        </w:tc>
        <w:tc>
          <w:tcPr>
            <w:tcW w:w="1266" w:type="dxa"/>
            <w:tcBorders>
              <w:top w:val="nil"/>
              <w:left w:val="nil"/>
              <w:bottom w:val="single" w:sz="4" w:space="0" w:color="auto"/>
              <w:right w:val="single" w:sz="4" w:space="0" w:color="auto"/>
            </w:tcBorders>
            <w:shd w:val="clear" w:color="000000" w:fill="B7DEE8"/>
            <w:hideMark/>
          </w:tcPr>
          <w:p w14:paraId="0DCDE9B5" w14:textId="42051B3B"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r w:rsidR="00F52887">
              <w:rPr>
                <w:rFonts w:ascii="Calibri" w:eastAsia="Times New Roman" w:hAnsi="Calibri" w:cs="Calibri"/>
                <w:color w:val="000000"/>
                <w:sz w:val="18"/>
                <w:szCs w:val="18"/>
                <w:lang w:eastAsia="en-GB"/>
              </w:rPr>
              <w:t>269</w:t>
            </w:r>
          </w:p>
        </w:tc>
        <w:tc>
          <w:tcPr>
            <w:tcW w:w="893" w:type="dxa"/>
            <w:tcBorders>
              <w:top w:val="nil"/>
              <w:left w:val="nil"/>
              <w:bottom w:val="single" w:sz="4" w:space="0" w:color="auto"/>
              <w:right w:val="single" w:sz="4" w:space="0" w:color="auto"/>
            </w:tcBorders>
            <w:shd w:val="clear" w:color="000000" w:fill="B7DEE8"/>
            <w:hideMark/>
          </w:tcPr>
          <w:p w14:paraId="2F8B814C"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8</w:t>
            </w:r>
          </w:p>
        </w:tc>
        <w:tc>
          <w:tcPr>
            <w:tcW w:w="1020" w:type="dxa"/>
            <w:tcBorders>
              <w:top w:val="nil"/>
              <w:left w:val="nil"/>
              <w:bottom w:val="single" w:sz="4" w:space="0" w:color="auto"/>
              <w:right w:val="single" w:sz="4" w:space="0" w:color="auto"/>
            </w:tcBorders>
            <w:shd w:val="clear" w:color="000000" w:fill="B7DEE8"/>
            <w:hideMark/>
          </w:tcPr>
          <w:p w14:paraId="15EC1176"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100" w:type="dxa"/>
            <w:tcBorders>
              <w:top w:val="nil"/>
              <w:left w:val="nil"/>
              <w:bottom w:val="single" w:sz="4" w:space="0" w:color="auto"/>
              <w:right w:val="single" w:sz="4" w:space="0" w:color="auto"/>
            </w:tcBorders>
            <w:shd w:val="clear" w:color="000000" w:fill="B7DEE8"/>
            <w:hideMark/>
          </w:tcPr>
          <w:p w14:paraId="1C668EF9"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99" w:type="dxa"/>
            <w:tcBorders>
              <w:top w:val="nil"/>
              <w:left w:val="nil"/>
              <w:bottom w:val="single" w:sz="4" w:space="0" w:color="auto"/>
              <w:right w:val="single" w:sz="4" w:space="0" w:color="auto"/>
            </w:tcBorders>
            <w:shd w:val="clear" w:color="000000" w:fill="B7DEE8"/>
            <w:hideMark/>
          </w:tcPr>
          <w:p w14:paraId="2587954A"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960" w:type="dxa"/>
            <w:tcBorders>
              <w:top w:val="nil"/>
              <w:left w:val="nil"/>
              <w:bottom w:val="single" w:sz="4" w:space="0" w:color="auto"/>
              <w:right w:val="single" w:sz="4" w:space="0" w:color="auto"/>
            </w:tcBorders>
            <w:shd w:val="clear" w:color="000000" w:fill="B7DEE8"/>
            <w:hideMark/>
          </w:tcPr>
          <w:p w14:paraId="5D76FF83"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39" w:type="dxa"/>
            <w:tcBorders>
              <w:top w:val="nil"/>
              <w:left w:val="nil"/>
              <w:bottom w:val="single" w:sz="4" w:space="0" w:color="auto"/>
              <w:right w:val="single" w:sz="4" w:space="0" w:color="auto"/>
            </w:tcBorders>
            <w:shd w:val="clear" w:color="000000" w:fill="B7DEE8"/>
            <w:hideMark/>
          </w:tcPr>
          <w:p w14:paraId="3935374E"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1059" w:type="dxa"/>
            <w:tcBorders>
              <w:top w:val="nil"/>
              <w:left w:val="nil"/>
              <w:bottom w:val="single" w:sz="4" w:space="0" w:color="auto"/>
              <w:right w:val="single" w:sz="4" w:space="0" w:color="auto"/>
            </w:tcBorders>
            <w:shd w:val="clear" w:color="000000" w:fill="B7DEE8"/>
            <w:hideMark/>
          </w:tcPr>
          <w:p w14:paraId="499788B2"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66" w:type="dxa"/>
            <w:tcBorders>
              <w:top w:val="nil"/>
              <w:left w:val="nil"/>
              <w:bottom w:val="single" w:sz="4" w:space="0" w:color="auto"/>
              <w:right w:val="single" w:sz="4" w:space="0" w:color="auto"/>
            </w:tcBorders>
            <w:shd w:val="clear" w:color="000000" w:fill="B7DEE8"/>
            <w:hideMark/>
          </w:tcPr>
          <w:p w14:paraId="5563FAF1"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00" w:type="dxa"/>
            <w:tcBorders>
              <w:top w:val="nil"/>
              <w:left w:val="nil"/>
              <w:bottom w:val="nil"/>
              <w:right w:val="single" w:sz="4" w:space="0" w:color="auto"/>
            </w:tcBorders>
            <w:shd w:val="clear" w:color="000000" w:fill="B7DEE8"/>
            <w:hideMark/>
          </w:tcPr>
          <w:p w14:paraId="779EC710"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20" w:type="dxa"/>
            <w:tcBorders>
              <w:top w:val="nil"/>
              <w:left w:val="nil"/>
              <w:bottom w:val="single" w:sz="4" w:space="0" w:color="auto"/>
              <w:right w:val="single" w:sz="4" w:space="0" w:color="auto"/>
            </w:tcBorders>
            <w:shd w:val="clear" w:color="000000" w:fill="B7DEE8"/>
            <w:hideMark/>
          </w:tcPr>
          <w:p w14:paraId="2147B703"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59" w:type="dxa"/>
            <w:tcBorders>
              <w:top w:val="nil"/>
              <w:left w:val="nil"/>
              <w:bottom w:val="single" w:sz="4" w:space="0" w:color="auto"/>
              <w:right w:val="single" w:sz="4" w:space="0" w:color="auto"/>
            </w:tcBorders>
            <w:shd w:val="clear" w:color="000000" w:fill="B7DEE8"/>
            <w:hideMark/>
          </w:tcPr>
          <w:p w14:paraId="5744ADDA"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r>
      <w:tr w:rsidR="000F21F8" w:rsidRPr="000F21F8" w14:paraId="73348049" w14:textId="77777777" w:rsidTr="00534B49">
        <w:trPr>
          <w:trHeight w:val="240"/>
        </w:trPr>
        <w:tc>
          <w:tcPr>
            <w:tcW w:w="1519" w:type="dxa"/>
            <w:tcBorders>
              <w:top w:val="nil"/>
              <w:left w:val="single" w:sz="4" w:space="0" w:color="auto"/>
              <w:bottom w:val="single" w:sz="4" w:space="0" w:color="auto"/>
              <w:right w:val="single" w:sz="4" w:space="0" w:color="auto"/>
            </w:tcBorders>
            <w:shd w:val="clear" w:color="000000" w:fill="B7DEE8"/>
            <w:hideMark/>
          </w:tcPr>
          <w:p w14:paraId="0B4A4ACB" w14:textId="77777777" w:rsidR="000F21F8" w:rsidRPr="000F21F8" w:rsidRDefault="000F21F8" w:rsidP="000F21F8">
            <w:pPr>
              <w:spacing w:after="0" w:line="240" w:lineRule="auto"/>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Hunston</w:t>
            </w:r>
          </w:p>
        </w:tc>
        <w:tc>
          <w:tcPr>
            <w:tcW w:w="1266" w:type="dxa"/>
            <w:tcBorders>
              <w:top w:val="nil"/>
              <w:left w:val="nil"/>
              <w:bottom w:val="single" w:sz="4" w:space="0" w:color="auto"/>
              <w:right w:val="single" w:sz="4" w:space="0" w:color="auto"/>
            </w:tcBorders>
            <w:shd w:val="clear" w:color="000000" w:fill="B7DEE8"/>
            <w:hideMark/>
          </w:tcPr>
          <w:p w14:paraId="3C240CB0" w14:textId="7947433A"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r w:rsidR="00534B49">
              <w:rPr>
                <w:rFonts w:ascii="Calibri" w:eastAsia="Times New Roman" w:hAnsi="Calibri" w:cs="Calibri"/>
                <w:color w:val="000000"/>
                <w:sz w:val="18"/>
                <w:szCs w:val="18"/>
                <w:lang w:eastAsia="en-GB"/>
              </w:rPr>
              <w:t>643</w:t>
            </w:r>
          </w:p>
        </w:tc>
        <w:tc>
          <w:tcPr>
            <w:tcW w:w="893" w:type="dxa"/>
            <w:tcBorders>
              <w:top w:val="nil"/>
              <w:left w:val="nil"/>
              <w:bottom w:val="single" w:sz="4" w:space="0" w:color="auto"/>
              <w:right w:val="single" w:sz="4" w:space="0" w:color="auto"/>
            </w:tcBorders>
            <w:shd w:val="clear" w:color="000000" w:fill="B7DEE8"/>
            <w:hideMark/>
          </w:tcPr>
          <w:p w14:paraId="4E079118"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8</w:t>
            </w:r>
          </w:p>
        </w:tc>
        <w:tc>
          <w:tcPr>
            <w:tcW w:w="1020" w:type="dxa"/>
            <w:tcBorders>
              <w:top w:val="nil"/>
              <w:left w:val="nil"/>
              <w:bottom w:val="single" w:sz="4" w:space="0" w:color="auto"/>
              <w:right w:val="single" w:sz="4" w:space="0" w:color="auto"/>
            </w:tcBorders>
            <w:shd w:val="clear" w:color="000000" w:fill="B7DEE8"/>
            <w:hideMark/>
          </w:tcPr>
          <w:p w14:paraId="13561D17"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100" w:type="dxa"/>
            <w:tcBorders>
              <w:top w:val="nil"/>
              <w:left w:val="nil"/>
              <w:bottom w:val="single" w:sz="4" w:space="0" w:color="auto"/>
              <w:right w:val="single" w:sz="4" w:space="0" w:color="auto"/>
            </w:tcBorders>
            <w:shd w:val="clear" w:color="000000" w:fill="B7DEE8"/>
            <w:hideMark/>
          </w:tcPr>
          <w:p w14:paraId="69A6A6E3"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99" w:type="dxa"/>
            <w:tcBorders>
              <w:top w:val="nil"/>
              <w:left w:val="nil"/>
              <w:bottom w:val="single" w:sz="4" w:space="0" w:color="auto"/>
              <w:right w:val="single" w:sz="4" w:space="0" w:color="auto"/>
            </w:tcBorders>
            <w:shd w:val="clear" w:color="000000" w:fill="B7DEE8"/>
            <w:hideMark/>
          </w:tcPr>
          <w:p w14:paraId="395D40C3"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960" w:type="dxa"/>
            <w:tcBorders>
              <w:top w:val="nil"/>
              <w:left w:val="nil"/>
              <w:bottom w:val="single" w:sz="4" w:space="0" w:color="auto"/>
              <w:right w:val="single" w:sz="4" w:space="0" w:color="auto"/>
            </w:tcBorders>
            <w:shd w:val="clear" w:color="000000" w:fill="B7DEE8"/>
            <w:hideMark/>
          </w:tcPr>
          <w:p w14:paraId="498A3AB4"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939" w:type="dxa"/>
            <w:tcBorders>
              <w:top w:val="nil"/>
              <w:left w:val="nil"/>
              <w:bottom w:val="single" w:sz="4" w:space="0" w:color="auto"/>
              <w:right w:val="single" w:sz="4" w:space="0" w:color="auto"/>
            </w:tcBorders>
            <w:shd w:val="clear" w:color="000000" w:fill="B7DEE8"/>
            <w:hideMark/>
          </w:tcPr>
          <w:p w14:paraId="56FAD844"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59" w:type="dxa"/>
            <w:tcBorders>
              <w:top w:val="nil"/>
              <w:left w:val="nil"/>
              <w:bottom w:val="single" w:sz="4" w:space="0" w:color="auto"/>
              <w:right w:val="single" w:sz="4" w:space="0" w:color="auto"/>
            </w:tcBorders>
            <w:shd w:val="clear" w:color="000000" w:fill="B7DEE8"/>
            <w:hideMark/>
          </w:tcPr>
          <w:p w14:paraId="7047907A"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66" w:type="dxa"/>
            <w:tcBorders>
              <w:top w:val="nil"/>
              <w:left w:val="nil"/>
              <w:bottom w:val="single" w:sz="4" w:space="0" w:color="auto"/>
              <w:right w:val="nil"/>
            </w:tcBorders>
            <w:shd w:val="clear" w:color="000000" w:fill="B7DEE8"/>
            <w:hideMark/>
          </w:tcPr>
          <w:p w14:paraId="047E881E"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00" w:type="dxa"/>
            <w:tcBorders>
              <w:top w:val="single" w:sz="4" w:space="0" w:color="auto"/>
              <w:left w:val="single" w:sz="4" w:space="0" w:color="auto"/>
              <w:bottom w:val="single" w:sz="4" w:space="0" w:color="auto"/>
              <w:right w:val="single" w:sz="4" w:space="0" w:color="auto"/>
            </w:tcBorders>
            <w:shd w:val="clear" w:color="000000" w:fill="B7DEE8"/>
            <w:hideMark/>
          </w:tcPr>
          <w:p w14:paraId="05389AAE" w14:textId="77777777" w:rsidR="000F21F8" w:rsidRPr="000F21F8" w:rsidRDefault="000F21F8" w:rsidP="000F21F8">
            <w:pPr>
              <w:spacing w:after="0" w:line="240" w:lineRule="auto"/>
              <w:jc w:val="center"/>
              <w:rPr>
                <w:rFonts w:ascii="Calibri" w:eastAsia="Times New Roman" w:hAnsi="Calibri" w:cs="Calibri"/>
                <w:sz w:val="18"/>
                <w:szCs w:val="18"/>
                <w:lang w:eastAsia="en-GB"/>
              </w:rPr>
            </w:pPr>
            <w:r w:rsidRPr="000F21F8">
              <w:rPr>
                <w:rFonts w:ascii="Calibri" w:eastAsia="Times New Roman" w:hAnsi="Calibri" w:cs="Calibri"/>
                <w:sz w:val="18"/>
                <w:szCs w:val="18"/>
                <w:lang w:eastAsia="en-GB"/>
              </w:rPr>
              <w:t>1</w:t>
            </w:r>
          </w:p>
        </w:tc>
        <w:tc>
          <w:tcPr>
            <w:tcW w:w="1020" w:type="dxa"/>
            <w:tcBorders>
              <w:top w:val="nil"/>
              <w:left w:val="nil"/>
              <w:bottom w:val="single" w:sz="4" w:space="0" w:color="auto"/>
              <w:right w:val="single" w:sz="4" w:space="0" w:color="auto"/>
            </w:tcBorders>
            <w:shd w:val="clear" w:color="000000" w:fill="B7DEE8"/>
            <w:hideMark/>
          </w:tcPr>
          <w:p w14:paraId="6792A607"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1059" w:type="dxa"/>
            <w:tcBorders>
              <w:top w:val="nil"/>
              <w:left w:val="nil"/>
              <w:bottom w:val="single" w:sz="4" w:space="0" w:color="auto"/>
              <w:right w:val="single" w:sz="4" w:space="0" w:color="auto"/>
            </w:tcBorders>
            <w:shd w:val="clear" w:color="000000" w:fill="B7DEE8"/>
            <w:hideMark/>
          </w:tcPr>
          <w:p w14:paraId="7FF849CF"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r>
      <w:tr w:rsidR="000F21F8" w:rsidRPr="000F21F8" w14:paraId="2B0CE2D0" w14:textId="77777777" w:rsidTr="00534B49">
        <w:trPr>
          <w:trHeight w:val="480"/>
        </w:trPr>
        <w:tc>
          <w:tcPr>
            <w:tcW w:w="1519" w:type="dxa"/>
            <w:tcBorders>
              <w:top w:val="nil"/>
              <w:left w:val="single" w:sz="4" w:space="0" w:color="auto"/>
              <w:bottom w:val="single" w:sz="4" w:space="0" w:color="auto"/>
              <w:right w:val="single" w:sz="4" w:space="0" w:color="auto"/>
            </w:tcBorders>
            <w:shd w:val="clear" w:color="000000" w:fill="B7DEE8"/>
            <w:hideMark/>
          </w:tcPr>
          <w:p w14:paraId="402A548D" w14:textId="77777777" w:rsidR="000F21F8" w:rsidRPr="000F21F8" w:rsidRDefault="000F21F8" w:rsidP="000F21F8">
            <w:pPr>
              <w:spacing w:after="0" w:line="240" w:lineRule="auto"/>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North Mundham &amp; Runcton</w:t>
            </w:r>
          </w:p>
        </w:tc>
        <w:tc>
          <w:tcPr>
            <w:tcW w:w="1266" w:type="dxa"/>
            <w:tcBorders>
              <w:top w:val="nil"/>
              <w:left w:val="nil"/>
              <w:bottom w:val="single" w:sz="4" w:space="0" w:color="auto"/>
              <w:right w:val="single" w:sz="4" w:space="0" w:color="auto"/>
            </w:tcBorders>
            <w:shd w:val="clear" w:color="000000" w:fill="B7DEE8"/>
            <w:hideMark/>
          </w:tcPr>
          <w:p w14:paraId="32FA6B95" w14:textId="45B8A31B"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r w:rsidR="00534B49">
              <w:rPr>
                <w:rFonts w:ascii="Calibri" w:eastAsia="Times New Roman" w:hAnsi="Calibri" w:cs="Calibri"/>
                <w:color w:val="000000"/>
                <w:sz w:val="18"/>
                <w:szCs w:val="18"/>
                <w:lang w:eastAsia="en-GB"/>
              </w:rPr>
              <w:t>791</w:t>
            </w:r>
          </w:p>
        </w:tc>
        <w:tc>
          <w:tcPr>
            <w:tcW w:w="893" w:type="dxa"/>
            <w:tcBorders>
              <w:top w:val="nil"/>
              <w:left w:val="nil"/>
              <w:bottom w:val="single" w:sz="4" w:space="0" w:color="auto"/>
              <w:right w:val="single" w:sz="4" w:space="0" w:color="auto"/>
            </w:tcBorders>
            <w:shd w:val="clear" w:color="000000" w:fill="B7DEE8"/>
            <w:hideMark/>
          </w:tcPr>
          <w:p w14:paraId="4BFDFC1C"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8</w:t>
            </w:r>
          </w:p>
        </w:tc>
        <w:tc>
          <w:tcPr>
            <w:tcW w:w="1020" w:type="dxa"/>
            <w:tcBorders>
              <w:top w:val="nil"/>
              <w:left w:val="nil"/>
              <w:bottom w:val="single" w:sz="4" w:space="0" w:color="auto"/>
              <w:right w:val="single" w:sz="4" w:space="0" w:color="auto"/>
            </w:tcBorders>
            <w:shd w:val="clear" w:color="000000" w:fill="B7DEE8"/>
            <w:hideMark/>
          </w:tcPr>
          <w:p w14:paraId="69BD94DD"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100" w:type="dxa"/>
            <w:tcBorders>
              <w:top w:val="nil"/>
              <w:left w:val="nil"/>
              <w:bottom w:val="single" w:sz="4" w:space="0" w:color="auto"/>
              <w:right w:val="single" w:sz="4" w:space="0" w:color="auto"/>
            </w:tcBorders>
            <w:shd w:val="clear" w:color="000000" w:fill="B7DEE8"/>
            <w:hideMark/>
          </w:tcPr>
          <w:p w14:paraId="2904C232"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99" w:type="dxa"/>
            <w:tcBorders>
              <w:top w:val="nil"/>
              <w:left w:val="nil"/>
              <w:bottom w:val="single" w:sz="4" w:space="0" w:color="auto"/>
              <w:right w:val="single" w:sz="4" w:space="0" w:color="auto"/>
            </w:tcBorders>
            <w:shd w:val="clear" w:color="000000" w:fill="B7DEE8"/>
            <w:hideMark/>
          </w:tcPr>
          <w:p w14:paraId="369ABED3"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960" w:type="dxa"/>
            <w:tcBorders>
              <w:top w:val="nil"/>
              <w:left w:val="nil"/>
              <w:bottom w:val="single" w:sz="4" w:space="0" w:color="auto"/>
              <w:right w:val="single" w:sz="4" w:space="0" w:color="auto"/>
            </w:tcBorders>
            <w:shd w:val="clear" w:color="000000" w:fill="B7DEE8"/>
            <w:hideMark/>
          </w:tcPr>
          <w:p w14:paraId="69976324"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39" w:type="dxa"/>
            <w:tcBorders>
              <w:top w:val="nil"/>
              <w:left w:val="nil"/>
              <w:bottom w:val="single" w:sz="4" w:space="0" w:color="auto"/>
              <w:right w:val="single" w:sz="4" w:space="0" w:color="auto"/>
            </w:tcBorders>
            <w:shd w:val="clear" w:color="000000" w:fill="B7DEE8"/>
            <w:hideMark/>
          </w:tcPr>
          <w:p w14:paraId="6FC348A6"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59" w:type="dxa"/>
            <w:tcBorders>
              <w:top w:val="nil"/>
              <w:left w:val="nil"/>
              <w:bottom w:val="single" w:sz="4" w:space="0" w:color="auto"/>
              <w:right w:val="single" w:sz="4" w:space="0" w:color="auto"/>
            </w:tcBorders>
            <w:shd w:val="clear" w:color="000000" w:fill="B7DEE8"/>
            <w:hideMark/>
          </w:tcPr>
          <w:p w14:paraId="31C6E9B6"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66" w:type="dxa"/>
            <w:tcBorders>
              <w:top w:val="nil"/>
              <w:left w:val="nil"/>
              <w:bottom w:val="single" w:sz="4" w:space="0" w:color="auto"/>
              <w:right w:val="single" w:sz="4" w:space="0" w:color="auto"/>
            </w:tcBorders>
            <w:shd w:val="clear" w:color="000000" w:fill="B7DEE8"/>
            <w:hideMark/>
          </w:tcPr>
          <w:p w14:paraId="3700CA0D"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00" w:type="dxa"/>
            <w:tcBorders>
              <w:top w:val="nil"/>
              <w:left w:val="nil"/>
              <w:bottom w:val="single" w:sz="4" w:space="0" w:color="auto"/>
              <w:right w:val="single" w:sz="4" w:space="0" w:color="auto"/>
            </w:tcBorders>
            <w:shd w:val="clear" w:color="000000" w:fill="B7DEE8"/>
            <w:hideMark/>
          </w:tcPr>
          <w:p w14:paraId="345433E2"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20" w:type="dxa"/>
            <w:tcBorders>
              <w:top w:val="nil"/>
              <w:left w:val="nil"/>
              <w:bottom w:val="single" w:sz="4" w:space="0" w:color="auto"/>
              <w:right w:val="single" w:sz="4" w:space="0" w:color="auto"/>
            </w:tcBorders>
            <w:shd w:val="clear" w:color="000000" w:fill="B7DEE8"/>
            <w:hideMark/>
          </w:tcPr>
          <w:p w14:paraId="1D5732CE"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1059" w:type="dxa"/>
            <w:tcBorders>
              <w:top w:val="nil"/>
              <w:left w:val="nil"/>
              <w:bottom w:val="single" w:sz="4" w:space="0" w:color="auto"/>
              <w:right w:val="single" w:sz="4" w:space="0" w:color="auto"/>
            </w:tcBorders>
            <w:shd w:val="clear" w:color="000000" w:fill="B7DEE8"/>
            <w:hideMark/>
          </w:tcPr>
          <w:p w14:paraId="3544CA2D"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r>
      <w:tr w:rsidR="000F21F8" w:rsidRPr="000F21F8" w14:paraId="0E2B7D00" w14:textId="77777777" w:rsidTr="00534B49">
        <w:trPr>
          <w:trHeight w:val="240"/>
        </w:trPr>
        <w:tc>
          <w:tcPr>
            <w:tcW w:w="1519" w:type="dxa"/>
            <w:tcBorders>
              <w:top w:val="nil"/>
              <w:left w:val="single" w:sz="4" w:space="0" w:color="auto"/>
              <w:bottom w:val="single" w:sz="4" w:space="0" w:color="auto"/>
              <w:right w:val="single" w:sz="4" w:space="0" w:color="auto"/>
            </w:tcBorders>
            <w:shd w:val="clear" w:color="000000" w:fill="B7DEE8"/>
            <w:hideMark/>
          </w:tcPr>
          <w:p w14:paraId="2865FD76" w14:textId="77777777" w:rsidR="000F21F8" w:rsidRPr="000F21F8" w:rsidRDefault="000F21F8" w:rsidP="000F21F8">
            <w:pPr>
              <w:spacing w:after="0" w:line="240" w:lineRule="auto"/>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Westhampnett</w:t>
            </w:r>
          </w:p>
        </w:tc>
        <w:tc>
          <w:tcPr>
            <w:tcW w:w="1266" w:type="dxa"/>
            <w:tcBorders>
              <w:top w:val="nil"/>
              <w:left w:val="nil"/>
              <w:bottom w:val="single" w:sz="4" w:space="0" w:color="auto"/>
              <w:right w:val="single" w:sz="4" w:space="0" w:color="auto"/>
            </w:tcBorders>
            <w:shd w:val="clear" w:color="000000" w:fill="B7DEE8"/>
            <w:hideMark/>
          </w:tcPr>
          <w:p w14:paraId="6BB95EAC" w14:textId="4F1C2852"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r w:rsidR="00534B49">
              <w:rPr>
                <w:rFonts w:ascii="Calibri" w:eastAsia="Times New Roman" w:hAnsi="Calibri" w:cs="Calibri"/>
                <w:color w:val="000000"/>
                <w:sz w:val="18"/>
                <w:szCs w:val="18"/>
                <w:lang w:eastAsia="en-GB"/>
              </w:rPr>
              <w:t>238</w:t>
            </w:r>
          </w:p>
        </w:tc>
        <w:tc>
          <w:tcPr>
            <w:tcW w:w="893" w:type="dxa"/>
            <w:tcBorders>
              <w:top w:val="nil"/>
              <w:left w:val="nil"/>
              <w:bottom w:val="single" w:sz="4" w:space="0" w:color="auto"/>
              <w:right w:val="single" w:sz="4" w:space="0" w:color="auto"/>
            </w:tcBorders>
            <w:shd w:val="clear" w:color="000000" w:fill="B7DEE8"/>
            <w:hideMark/>
          </w:tcPr>
          <w:p w14:paraId="4171DF46"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7</w:t>
            </w:r>
          </w:p>
        </w:tc>
        <w:tc>
          <w:tcPr>
            <w:tcW w:w="1020" w:type="dxa"/>
            <w:tcBorders>
              <w:top w:val="nil"/>
              <w:left w:val="nil"/>
              <w:bottom w:val="single" w:sz="4" w:space="0" w:color="auto"/>
              <w:right w:val="single" w:sz="4" w:space="0" w:color="auto"/>
            </w:tcBorders>
            <w:shd w:val="clear" w:color="000000" w:fill="B7DEE8"/>
            <w:hideMark/>
          </w:tcPr>
          <w:p w14:paraId="488F64C2"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100" w:type="dxa"/>
            <w:tcBorders>
              <w:top w:val="nil"/>
              <w:left w:val="nil"/>
              <w:bottom w:val="single" w:sz="4" w:space="0" w:color="auto"/>
              <w:right w:val="single" w:sz="4" w:space="0" w:color="auto"/>
            </w:tcBorders>
            <w:shd w:val="clear" w:color="000000" w:fill="B7DEE8"/>
            <w:hideMark/>
          </w:tcPr>
          <w:p w14:paraId="401948A2"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99" w:type="dxa"/>
            <w:tcBorders>
              <w:top w:val="nil"/>
              <w:left w:val="nil"/>
              <w:bottom w:val="single" w:sz="4" w:space="0" w:color="auto"/>
              <w:right w:val="single" w:sz="4" w:space="0" w:color="auto"/>
            </w:tcBorders>
            <w:shd w:val="clear" w:color="000000" w:fill="B7DEE8"/>
            <w:hideMark/>
          </w:tcPr>
          <w:p w14:paraId="250446BF"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960" w:type="dxa"/>
            <w:tcBorders>
              <w:top w:val="nil"/>
              <w:left w:val="nil"/>
              <w:bottom w:val="single" w:sz="4" w:space="0" w:color="auto"/>
              <w:right w:val="single" w:sz="4" w:space="0" w:color="auto"/>
            </w:tcBorders>
            <w:shd w:val="clear" w:color="000000" w:fill="B7DEE8"/>
            <w:hideMark/>
          </w:tcPr>
          <w:p w14:paraId="301AC356"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939" w:type="dxa"/>
            <w:tcBorders>
              <w:top w:val="nil"/>
              <w:left w:val="nil"/>
              <w:bottom w:val="single" w:sz="4" w:space="0" w:color="auto"/>
              <w:right w:val="single" w:sz="4" w:space="0" w:color="auto"/>
            </w:tcBorders>
            <w:shd w:val="clear" w:color="000000" w:fill="B7DEE8"/>
            <w:hideMark/>
          </w:tcPr>
          <w:p w14:paraId="0DC48BB1"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59" w:type="dxa"/>
            <w:tcBorders>
              <w:top w:val="nil"/>
              <w:left w:val="nil"/>
              <w:bottom w:val="single" w:sz="4" w:space="0" w:color="auto"/>
              <w:right w:val="single" w:sz="4" w:space="0" w:color="auto"/>
            </w:tcBorders>
            <w:shd w:val="clear" w:color="000000" w:fill="B7DEE8"/>
            <w:hideMark/>
          </w:tcPr>
          <w:p w14:paraId="482FC9C9"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66" w:type="dxa"/>
            <w:tcBorders>
              <w:top w:val="nil"/>
              <w:left w:val="nil"/>
              <w:bottom w:val="single" w:sz="4" w:space="0" w:color="auto"/>
              <w:right w:val="single" w:sz="4" w:space="0" w:color="auto"/>
            </w:tcBorders>
            <w:shd w:val="clear" w:color="000000" w:fill="B7DEE8"/>
            <w:hideMark/>
          </w:tcPr>
          <w:p w14:paraId="6C5CFE9B"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1</w:t>
            </w:r>
          </w:p>
        </w:tc>
        <w:tc>
          <w:tcPr>
            <w:tcW w:w="1000" w:type="dxa"/>
            <w:tcBorders>
              <w:top w:val="nil"/>
              <w:left w:val="nil"/>
              <w:bottom w:val="single" w:sz="4" w:space="0" w:color="auto"/>
              <w:right w:val="single" w:sz="4" w:space="0" w:color="auto"/>
            </w:tcBorders>
            <w:shd w:val="clear" w:color="000000" w:fill="B7DEE8"/>
            <w:hideMark/>
          </w:tcPr>
          <w:p w14:paraId="46A0714D"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c>
          <w:tcPr>
            <w:tcW w:w="1020" w:type="dxa"/>
            <w:tcBorders>
              <w:top w:val="nil"/>
              <w:left w:val="nil"/>
              <w:bottom w:val="single" w:sz="4" w:space="0" w:color="auto"/>
              <w:right w:val="single" w:sz="4" w:space="0" w:color="auto"/>
            </w:tcBorders>
            <w:shd w:val="clear" w:color="000000" w:fill="B7DEE8"/>
            <w:hideMark/>
          </w:tcPr>
          <w:p w14:paraId="14276D85"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3</w:t>
            </w:r>
          </w:p>
        </w:tc>
        <w:tc>
          <w:tcPr>
            <w:tcW w:w="1059" w:type="dxa"/>
            <w:tcBorders>
              <w:top w:val="nil"/>
              <w:left w:val="nil"/>
              <w:bottom w:val="single" w:sz="4" w:space="0" w:color="auto"/>
              <w:right w:val="single" w:sz="4" w:space="0" w:color="auto"/>
            </w:tcBorders>
            <w:shd w:val="clear" w:color="000000" w:fill="B7DEE8"/>
            <w:hideMark/>
          </w:tcPr>
          <w:p w14:paraId="47A132ED" w14:textId="77777777" w:rsidR="000F21F8" w:rsidRPr="000F21F8" w:rsidRDefault="000F21F8" w:rsidP="000F21F8">
            <w:pPr>
              <w:spacing w:after="0" w:line="240" w:lineRule="auto"/>
              <w:jc w:val="center"/>
              <w:rPr>
                <w:rFonts w:ascii="Calibri" w:eastAsia="Times New Roman" w:hAnsi="Calibri" w:cs="Calibri"/>
                <w:color w:val="000000"/>
                <w:sz w:val="18"/>
                <w:szCs w:val="18"/>
                <w:lang w:eastAsia="en-GB"/>
              </w:rPr>
            </w:pPr>
            <w:r w:rsidRPr="000F21F8">
              <w:rPr>
                <w:rFonts w:ascii="Calibri" w:eastAsia="Times New Roman" w:hAnsi="Calibri" w:cs="Calibri"/>
                <w:color w:val="000000"/>
                <w:sz w:val="18"/>
                <w:szCs w:val="18"/>
                <w:lang w:eastAsia="en-GB"/>
              </w:rPr>
              <w:t>0</w:t>
            </w:r>
          </w:p>
        </w:tc>
      </w:tr>
    </w:tbl>
    <w:p w14:paraId="0FA9B55E" w14:textId="48DB4E3A" w:rsidR="00A44F3D" w:rsidRDefault="000F6773" w:rsidP="00A44F3D">
      <w:pPr>
        <w:pStyle w:val="Heading1"/>
        <w:rPr>
          <w:rFonts w:ascii="Arial" w:hAnsi="Arial" w:cs="Arial"/>
          <w:b/>
          <w:color w:val="auto"/>
          <w:sz w:val="24"/>
          <w:szCs w:val="24"/>
        </w:rPr>
      </w:pPr>
      <w:bookmarkStart w:id="11" w:name="_Toc167289636"/>
      <w:r w:rsidRPr="008675D7">
        <w:rPr>
          <w:rFonts w:ascii="Arial" w:hAnsi="Arial" w:cs="Arial"/>
          <w:b/>
          <w:color w:val="auto"/>
          <w:sz w:val="24"/>
          <w:szCs w:val="24"/>
        </w:rPr>
        <w:lastRenderedPageBreak/>
        <w:t xml:space="preserve">Appendix </w:t>
      </w:r>
      <w:r>
        <w:rPr>
          <w:rFonts w:ascii="Arial" w:hAnsi="Arial" w:cs="Arial"/>
          <w:b/>
          <w:color w:val="auto"/>
          <w:sz w:val="24"/>
          <w:szCs w:val="24"/>
        </w:rPr>
        <w:t>2</w:t>
      </w:r>
      <w:r w:rsidRPr="008675D7">
        <w:rPr>
          <w:rFonts w:ascii="Arial" w:hAnsi="Arial" w:cs="Arial"/>
          <w:b/>
          <w:color w:val="auto"/>
          <w:sz w:val="24"/>
          <w:szCs w:val="24"/>
        </w:rPr>
        <w:t xml:space="preserve">: </w:t>
      </w:r>
      <w:r>
        <w:rPr>
          <w:rFonts w:ascii="Arial" w:hAnsi="Arial" w:cs="Arial"/>
          <w:b/>
          <w:color w:val="auto"/>
          <w:sz w:val="24"/>
          <w:szCs w:val="24"/>
        </w:rPr>
        <w:t xml:space="preserve">Change in availability of services and facilities 2018 </w:t>
      </w:r>
      <w:r w:rsidR="000F21F8">
        <w:rPr>
          <w:rFonts w:ascii="Arial" w:hAnsi="Arial" w:cs="Arial"/>
          <w:b/>
          <w:color w:val="auto"/>
          <w:sz w:val="24"/>
          <w:szCs w:val="24"/>
        </w:rPr>
        <w:t>–</w:t>
      </w:r>
      <w:r>
        <w:rPr>
          <w:rFonts w:ascii="Arial" w:hAnsi="Arial" w:cs="Arial"/>
          <w:b/>
          <w:color w:val="auto"/>
          <w:sz w:val="24"/>
          <w:szCs w:val="24"/>
        </w:rPr>
        <w:t xml:space="preserve"> 2023</w:t>
      </w:r>
      <w:bookmarkEnd w:id="11"/>
    </w:p>
    <w:p w14:paraId="6763C56A" w14:textId="22F15A11" w:rsidR="00D507CD" w:rsidRPr="00AB4DDE" w:rsidRDefault="000F21F8">
      <w:pPr>
        <w:rPr>
          <w:rFonts w:ascii="Arial" w:hAnsi="Arial" w:cs="Arial"/>
          <w:b/>
        </w:rPr>
      </w:pPr>
      <w:r w:rsidRPr="000F21F8">
        <w:rPr>
          <w:noProof/>
        </w:rPr>
        <w:drawing>
          <wp:inline distT="0" distB="0" distL="0" distR="0" wp14:anchorId="1C8DAE3B" wp14:editId="2DDBC6C1">
            <wp:extent cx="7652542" cy="5423337"/>
            <wp:effectExtent l="0" t="0" r="5715" b="6350"/>
            <wp:docPr id="2" name="Picture 2" descr="Sets out the change in number of services in each settlement in the hierarchy between 2018 and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ts out the change in number of services in each settlement in the hierarchy between 2018 and 20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59084" cy="5427973"/>
                    </a:xfrm>
                    <a:prstGeom prst="rect">
                      <a:avLst/>
                    </a:prstGeom>
                    <a:noFill/>
                    <a:ln>
                      <a:noFill/>
                    </a:ln>
                  </pic:spPr>
                </pic:pic>
              </a:graphicData>
            </a:graphic>
          </wp:inline>
        </w:drawing>
      </w:r>
      <w:r w:rsidRPr="000F21F8">
        <w:t xml:space="preserve"> </w:t>
      </w:r>
    </w:p>
    <w:sectPr w:rsidR="00D507CD" w:rsidRPr="00AB4DDE" w:rsidSect="00C05A3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E51B" w14:textId="77777777" w:rsidR="00373420" w:rsidRDefault="00373420" w:rsidP="00FD4313">
      <w:pPr>
        <w:spacing w:after="0" w:line="240" w:lineRule="auto"/>
      </w:pPr>
      <w:r>
        <w:separator/>
      </w:r>
    </w:p>
  </w:endnote>
  <w:endnote w:type="continuationSeparator" w:id="0">
    <w:p w14:paraId="7FB1432B" w14:textId="77777777" w:rsidR="00373420" w:rsidRDefault="00373420" w:rsidP="00FD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045232"/>
      <w:docPartObj>
        <w:docPartGallery w:val="Page Numbers (Bottom of Page)"/>
        <w:docPartUnique/>
      </w:docPartObj>
    </w:sdtPr>
    <w:sdtEndPr/>
    <w:sdtContent>
      <w:p w14:paraId="16993E17" w14:textId="77C318F0" w:rsidR="0037209B" w:rsidRDefault="0037209B">
        <w:pPr>
          <w:pStyle w:val="Footer"/>
          <w:jc w:val="right"/>
        </w:pPr>
        <w:r w:rsidRPr="00A1605F">
          <w:rPr>
            <w:rFonts w:ascii="Arial" w:hAnsi="Arial" w:cs="Arial"/>
            <w:sz w:val="20"/>
            <w:szCs w:val="20"/>
          </w:rPr>
          <w:fldChar w:fldCharType="begin"/>
        </w:r>
        <w:r w:rsidRPr="00A1605F">
          <w:rPr>
            <w:rFonts w:ascii="Arial" w:hAnsi="Arial" w:cs="Arial"/>
            <w:sz w:val="20"/>
            <w:szCs w:val="20"/>
          </w:rPr>
          <w:instrText>PAGE   \* MERGEFORMAT</w:instrText>
        </w:r>
        <w:r w:rsidRPr="00A1605F">
          <w:rPr>
            <w:rFonts w:ascii="Arial" w:hAnsi="Arial" w:cs="Arial"/>
            <w:sz w:val="20"/>
            <w:szCs w:val="20"/>
          </w:rPr>
          <w:fldChar w:fldCharType="separate"/>
        </w:r>
        <w:r w:rsidRPr="00A1605F">
          <w:rPr>
            <w:rFonts w:ascii="Arial" w:hAnsi="Arial" w:cs="Arial"/>
            <w:sz w:val="20"/>
            <w:szCs w:val="20"/>
          </w:rPr>
          <w:t>2</w:t>
        </w:r>
        <w:r w:rsidRPr="00A1605F">
          <w:rPr>
            <w:rFonts w:ascii="Arial" w:hAnsi="Arial" w:cs="Arial"/>
            <w:sz w:val="20"/>
            <w:szCs w:val="20"/>
          </w:rPr>
          <w:fldChar w:fldCharType="end"/>
        </w:r>
      </w:p>
    </w:sdtContent>
  </w:sdt>
  <w:p w14:paraId="3470F460" w14:textId="77777777" w:rsidR="003D438B" w:rsidRDefault="003D4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621427"/>
      <w:docPartObj>
        <w:docPartGallery w:val="Page Numbers (Bottom of Page)"/>
        <w:docPartUnique/>
      </w:docPartObj>
    </w:sdtPr>
    <w:sdtEndPr>
      <w:rPr>
        <w:noProof/>
      </w:rPr>
    </w:sdtEndPr>
    <w:sdtContent>
      <w:p w14:paraId="0EBBC354" w14:textId="5F76C267" w:rsidR="00753285" w:rsidRDefault="007532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6AEEFC" w14:textId="77777777" w:rsidR="00753285" w:rsidRDefault="00753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9801" w14:textId="77777777" w:rsidR="00373420" w:rsidRDefault="00373420" w:rsidP="00FD4313">
      <w:pPr>
        <w:spacing w:after="0" w:line="240" w:lineRule="auto"/>
      </w:pPr>
      <w:r>
        <w:separator/>
      </w:r>
    </w:p>
  </w:footnote>
  <w:footnote w:type="continuationSeparator" w:id="0">
    <w:p w14:paraId="20497333" w14:textId="77777777" w:rsidR="00373420" w:rsidRDefault="00373420" w:rsidP="00FD4313">
      <w:pPr>
        <w:spacing w:after="0" w:line="240" w:lineRule="auto"/>
      </w:pPr>
      <w:r>
        <w:continuationSeparator/>
      </w:r>
    </w:p>
  </w:footnote>
  <w:footnote w:id="1">
    <w:p w14:paraId="2991F423" w14:textId="77777777" w:rsidR="00057A92" w:rsidRPr="00177DFC" w:rsidRDefault="00057A92" w:rsidP="00057A92">
      <w:pPr>
        <w:pStyle w:val="FootnoteText"/>
        <w:rPr>
          <w:rFonts w:ascii="Arial" w:hAnsi="Arial" w:cs="Arial"/>
          <w:sz w:val="18"/>
          <w:szCs w:val="18"/>
        </w:rPr>
      </w:pPr>
      <w:r w:rsidRPr="001250C5">
        <w:rPr>
          <w:rStyle w:val="FootnoteReference"/>
          <w:rFonts w:ascii="Arial" w:hAnsi="Arial" w:cs="Arial"/>
        </w:rPr>
        <w:footnoteRef/>
      </w:r>
      <w:r w:rsidRPr="001250C5">
        <w:rPr>
          <w:rFonts w:ascii="Arial" w:hAnsi="Arial" w:cs="Arial"/>
        </w:rPr>
        <w:t xml:space="preserve"> Housing needs of different groups - </w:t>
      </w:r>
      <w:r w:rsidRPr="001250C5">
        <w:rPr>
          <w:rFonts w:ascii="Arial" w:hAnsi="Arial" w:cs="Arial"/>
          <w:color w:val="0B0C0C"/>
          <w:shd w:val="clear" w:color="auto" w:fill="FFFFFF"/>
        </w:rPr>
        <w:t>Paragraph: 009 Reference ID: 67-009-20190722</w:t>
      </w:r>
    </w:p>
  </w:footnote>
  <w:footnote w:id="2">
    <w:p w14:paraId="3F91829A" w14:textId="77777777" w:rsidR="0070746A" w:rsidRPr="00CF523A" w:rsidRDefault="0070746A" w:rsidP="0070746A">
      <w:pPr>
        <w:pStyle w:val="FootnoteText"/>
        <w:rPr>
          <w:rFonts w:ascii="Arial" w:hAnsi="Arial" w:cs="Arial"/>
        </w:rPr>
      </w:pPr>
      <w:r w:rsidRPr="00CF523A">
        <w:rPr>
          <w:rStyle w:val="FootnoteReference"/>
          <w:rFonts w:ascii="Arial" w:hAnsi="Arial" w:cs="Arial"/>
        </w:rPr>
        <w:footnoteRef/>
      </w:r>
      <w:r w:rsidRPr="00CF523A">
        <w:rPr>
          <w:rFonts w:ascii="Arial" w:hAnsi="Arial" w:cs="Arial"/>
        </w:rPr>
        <w:t xml:space="preserve"> 20/02893/OUT for </w:t>
      </w:r>
      <w:r w:rsidRPr="00CF523A">
        <w:rPr>
          <w:rFonts w:ascii="Arial" w:hAnsi="Arial" w:cs="Arial"/>
          <w:color w:val="000000"/>
          <w:shd w:val="clear" w:color="auto" w:fill="FFFFFF"/>
        </w:rPr>
        <w:t>up to 1,300 dwellings (Use Class C3), an expanded village centre (comprising flexible units suited to Use Class E and pubs or drinking establishments and/or takeaways in Use Class Sui Generis), community uses, primary school, informal and formal open space, playing pitches.</w:t>
      </w:r>
    </w:p>
  </w:footnote>
  <w:footnote w:id="3">
    <w:p w14:paraId="747C32BA" w14:textId="3828DFF5" w:rsidR="0020078A" w:rsidRPr="00177DFC" w:rsidRDefault="0020078A">
      <w:pPr>
        <w:pStyle w:val="FootnoteText"/>
        <w:rPr>
          <w:rFonts w:ascii="Arial" w:hAnsi="Arial" w:cs="Arial"/>
          <w:sz w:val="18"/>
          <w:szCs w:val="18"/>
        </w:rPr>
      </w:pPr>
      <w:r w:rsidRPr="00CF523A">
        <w:rPr>
          <w:rStyle w:val="FootnoteReference"/>
          <w:rFonts w:ascii="Arial" w:hAnsi="Arial" w:cs="Arial"/>
        </w:rPr>
        <w:footnoteRef/>
      </w:r>
      <w:r w:rsidRPr="00CF523A">
        <w:rPr>
          <w:rFonts w:ascii="Arial" w:hAnsi="Arial" w:cs="Arial"/>
        </w:rPr>
        <w:t xml:space="preserve"> The </w:t>
      </w:r>
      <w:r w:rsidR="000746F7" w:rsidRPr="00CF523A">
        <w:rPr>
          <w:rFonts w:ascii="Arial" w:hAnsi="Arial" w:cs="Arial"/>
        </w:rPr>
        <w:t>c</w:t>
      </w:r>
      <w:r w:rsidRPr="00CF523A">
        <w:rPr>
          <w:rFonts w:ascii="Arial" w:hAnsi="Arial" w:cs="Arial"/>
        </w:rPr>
        <w:t xml:space="preserve">ouncil do not monitor data specific to Hermitage as it forms part of Southbourne parish and lies adjacent to the village of </w:t>
      </w:r>
      <w:proofErr w:type="spellStart"/>
      <w:r w:rsidRPr="00CF523A">
        <w:rPr>
          <w:rFonts w:ascii="Arial" w:hAnsi="Arial" w:cs="Arial"/>
        </w:rPr>
        <w:t>Emsworth</w:t>
      </w:r>
      <w:proofErr w:type="spellEnd"/>
      <w:r w:rsidRPr="00CF523A">
        <w:rPr>
          <w:rFonts w:ascii="Arial" w:hAnsi="Arial" w:cs="Arial"/>
        </w:rPr>
        <w:t xml:space="preserve"> (Havant District). The </w:t>
      </w:r>
      <w:r w:rsidR="000746F7" w:rsidRPr="00CF523A">
        <w:rPr>
          <w:rFonts w:ascii="Arial" w:hAnsi="Arial" w:cs="Arial"/>
        </w:rPr>
        <w:t>c</w:t>
      </w:r>
      <w:r w:rsidRPr="00CF523A">
        <w:rPr>
          <w:rFonts w:ascii="Arial" w:hAnsi="Arial" w:cs="Arial"/>
        </w:rPr>
        <w:t xml:space="preserve">ouncil considers that its proximity to the services in </w:t>
      </w:r>
      <w:proofErr w:type="spellStart"/>
      <w:r w:rsidRPr="00CF523A">
        <w:rPr>
          <w:rFonts w:ascii="Arial" w:hAnsi="Arial" w:cs="Arial"/>
        </w:rPr>
        <w:t>Emsworth</w:t>
      </w:r>
      <w:proofErr w:type="spellEnd"/>
      <w:r w:rsidRPr="00CF523A">
        <w:rPr>
          <w:rFonts w:ascii="Arial" w:hAnsi="Arial" w:cs="Arial"/>
        </w:rPr>
        <w:t xml:space="preserve"> and Southbourne is sufficient to designate Hermitage as a Service Village.</w:t>
      </w:r>
      <w:r w:rsidRPr="00177DFC">
        <w:rPr>
          <w:rFonts w:ascii="Arial" w:hAnsi="Arial" w:cs="Arial"/>
          <w:sz w:val="18"/>
          <w:szCs w:val="18"/>
        </w:rPr>
        <w:t xml:space="preserve"> </w:t>
      </w:r>
    </w:p>
  </w:footnote>
  <w:footnote w:id="4">
    <w:p w14:paraId="5BB2F923" w14:textId="77777777" w:rsidR="00B41AD6" w:rsidRPr="00C617C7" w:rsidRDefault="00B41AD6">
      <w:pPr>
        <w:pStyle w:val="FootnoteText"/>
        <w:rPr>
          <w:rFonts w:ascii="Arial" w:hAnsi="Arial" w:cs="Arial"/>
        </w:rPr>
      </w:pPr>
      <w:r w:rsidRPr="00CF523A">
        <w:rPr>
          <w:rStyle w:val="FootnoteReference"/>
          <w:rFonts w:ascii="Arial" w:hAnsi="Arial" w:cs="Arial"/>
        </w:rPr>
        <w:footnoteRef/>
      </w:r>
      <w:r w:rsidRPr="00CF523A">
        <w:rPr>
          <w:rFonts w:ascii="Arial" w:hAnsi="Arial" w:cs="Arial"/>
        </w:rPr>
        <w:t xml:space="preserve"> Bosham &amp; Broadbridge, </w:t>
      </w:r>
      <w:proofErr w:type="spellStart"/>
      <w:r w:rsidRPr="00CF523A">
        <w:rPr>
          <w:rFonts w:ascii="Arial" w:hAnsi="Arial" w:cs="Arial"/>
        </w:rPr>
        <w:t>Camelsdale</w:t>
      </w:r>
      <w:proofErr w:type="spellEnd"/>
      <w:r w:rsidRPr="00CF523A">
        <w:rPr>
          <w:rFonts w:ascii="Arial" w:hAnsi="Arial" w:cs="Arial"/>
        </w:rPr>
        <w:t xml:space="preserve"> &amp; Hammer, Hambrook &amp; Nutbourne, North Mundham &amp; Runcton, and Plaistow &amp; Ifold are all considered to function together as single settlements. They are within </w:t>
      </w:r>
      <w:proofErr w:type="gramStart"/>
      <w:r w:rsidRPr="00CF523A">
        <w:rPr>
          <w:rFonts w:ascii="Arial" w:hAnsi="Arial" w:cs="Arial"/>
        </w:rPr>
        <w:t>close proximity</w:t>
      </w:r>
      <w:proofErr w:type="gramEnd"/>
      <w:r w:rsidRPr="00CF523A">
        <w:rPr>
          <w:rFonts w:ascii="Arial" w:hAnsi="Arial" w:cs="Arial"/>
        </w:rPr>
        <w:t xml:space="preserve">, and residents of either settlement can easily travel to the other settlement for access to services and facilities.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7072" w14:textId="77777777" w:rsidR="002237EB" w:rsidRPr="00A1605F" w:rsidRDefault="002237EB" w:rsidP="002237EB">
    <w:pPr>
      <w:pStyle w:val="Header"/>
      <w:tabs>
        <w:tab w:val="clear" w:pos="4513"/>
        <w:tab w:val="clear" w:pos="9026"/>
        <w:tab w:val="right" w:pos="10170"/>
      </w:tabs>
      <w:jc w:val="right"/>
      <w:rPr>
        <w:rFonts w:ascii="Arial" w:hAnsi="Arial" w:cs="Arial"/>
        <w:sz w:val="20"/>
        <w:szCs w:val="20"/>
      </w:rPr>
    </w:pPr>
    <w:bookmarkStart w:id="2" w:name="_Hlk166766068"/>
    <w:bookmarkStart w:id="3" w:name="_Hlk166763512"/>
    <w:r w:rsidRPr="00A1605F">
      <w:rPr>
        <w:rFonts w:ascii="Arial" w:hAnsi="Arial" w:cs="Arial"/>
        <w:sz w:val="20"/>
        <w:szCs w:val="20"/>
      </w:rPr>
      <w:t>Chichester Local Plan 2021 – 2039</w:t>
    </w:r>
  </w:p>
  <w:p w14:paraId="2CA79D3B" w14:textId="30AC79A5" w:rsidR="002237EB" w:rsidRPr="00A1605F" w:rsidRDefault="002237EB" w:rsidP="002237EB">
    <w:pPr>
      <w:pStyle w:val="Header"/>
      <w:pBdr>
        <w:bottom w:val="single" w:sz="6" w:space="1" w:color="auto"/>
      </w:pBdr>
      <w:tabs>
        <w:tab w:val="clear" w:pos="4513"/>
        <w:tab w:val="clear" w:pos="9026"/>
      </w:tabs>
      <w:jc w:val="right"/>
      <w:rPr>
        <w:sz w:val="20"/>
        <w:szCs w:val="20"/>
      </w:rPr>
    </w:pPr>
    <w:r w:rsidRPr="00A1605F">
      <w:rPr>
        <w:rFonts w:ascii="Arial" w:hAnsi="Arial" w:cs="Arial"/>
        <w:sz w:val="20"/>
        <w:szCs w:val="20"/>
      </w:rPr>
      <w:tab/>
      <w:t>Settlement Hierarchy Background Paper</w:t>
    </w:r>
    <w:bookmarkEnd w:id="2"/>
  </w:p>
  <w:bookmarkEnd w:id="3"/>
  <w:p w14:paraId="46DEC7E8" w14:textId="77777777" w:rsidR="002237EB" w:rsidRDefault="00223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2B01" w14:textId="77777777" w:rsidR="00282200" w:rsidRDefault="00282200" w:rsidP="002237EB">
    <w:pPr>
      <w:pStyle w:val="Header"/>
      <w:tabs>
        <w:tab w:val="clear" w:pos="4513"/>
        <w:tab w:val="clear" w:pos="9026"/>
        <w:tab w:val="right" w:pos="10170"/>
      </w:tabs>
      <w:jc w:val="right"/>
      <w:rPr>
        <w:rFonts w:ascii="Arial" w:hAnsi="Arial" w:cs="Arial"/>
      </w:rPr>
    </w:pPr>
    <w:r w:rsidRPr="009F0B62">
      <w:rPr>
        <w:rFonts w:ascii="Arial" w:hAnsi="Arial" w:cs="Arial"/>
      </w:rPr>
      <w:t xml:space="preserve">Chichester Local Plan </w:t>
    </w:r>
    <w:r>
      <w:rPr>
        <w:rFonts w:ascii="Arial" w:hAnsi="Arial" w:cs="Arial"/>
      </w:rPr>
      <w:t>2021 – 2039</w:t>
    </w:r>
  </w:p>
  <w:p w14:paraId="1187D049" w14:textId="77777777" w:rsidR="00282200" w:rsidRDefault="00282200" w:rsidP="002237EB">
    <w:pPr>
      <w:pStyle w:val="Header"/>
      <w:pBdr>
        <w:bottom w:val="single" w:sz="6" w:space="1" w:color="auto"/>
      </w:pBdr>
      <w:tabs>
        <w:tab w:val="clear" w:pos="4513"/>
        <w:tab w:val="clear" w:pos="9026"/>
      </w:tabs>
      <w:jc w:val="right"/>
    </w:pPr>
    <w:r w:rsidRPr="009F0B62">
      <w:rPr>
        <w:rFonts w:ascii="Arial" w:hAnsi="Arial" w:cs="Arial"/>
      </w:rPr>
      <w:tab/>
    </w:r>
    <w:r>
      <w:rPr>
        <w:rFonts w:ascii="Arial" w:hAnsi="Arial" w:cs="Arial"/>
      </w:rPr>
      <w:t xml:space="preserve">Settlement Hierarchy </w:t>
    </w:r>
    <w:r w:rsidRPr="009F0B62">
      <w:rPr>
        <w:rFonts w:ascii="Arial" w:hAnsi="Arial" w:cs="Arial"/>
      </w:rPr>
      <w:t>Background Paper</w:t>
    </w:r>
  </w:p>
  <w:p w14:paraId="224E2B02" w14:textId="77777777" w:rsidR="00282200" w:rsidRDefault="002822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37FB"/>
    <w:multiLevelType w:val="hybridMultilevel"/>
    <w:tmpl w:val="BD6684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D55F18"/>
    <w:multiLevelType w:val="multilevel"/>
    <w:tmpl w:val="4968A808"/>
    <w:lvl w:ilvl="0">
      <w:start w:val="1"/>
      <w:numFmt w:val="decimal"/>
      <w:lvlText w:val="%1."/>
      <w:lvlJc w:val="left"/>
      <w:pPr>
        <w:ind w:left="360" w:hanging="360"/>
      </w:pPr>
      <w:rPr>
        <w:color w:val="0073C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3978D2"/>
    <w:multiLevelType w:val="hybridMultilevel"/>
    <w:tmpl w:val="CE96D1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3512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D86208"/>
    <w:multiLevelType w:val="multilevel"/>
    <w:tmpl w:val="B8B4420A"/>
    <w:lvl w:ilvl="0">
      <w:start w:val="1"/>
      <w:numFmt w:val="decimal"/>
      <w:lvlText w:val="%1."/>
      <w:lvlJc w:val="left"/>
      <w:pPr>
        <w:ind w:left="360" w:hanging="360"/>
      </w:pPr>
      <w:rPr>
        <w:color w:val="0073CF"/>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AA24B0"/>
    <w:multiLevelType w:val="hybridMultilevel"/>
    <w:tmpl w:val="00168DC4"/>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8D120E7"/>
    <w:multiLevelType w:val="hybridMultilevel"/>
    <w:tmpl w:val="A2B0D3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E0349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F97D2E"/>
    <w:multiLevelType w:val="multilevel"/>
    <w:tmpl w:val="9C5ACEF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21B1732"/>
    <w:multiLevelType w:val="multilevel"/>
    <w:tmpl w:val="E4DEB648"/>
    <w:lvl w:ilvl="0">
      <w:start w:val="4"/>
      <w:numFmt w:val="decimal"/>
      <w:lvlText w:val="%1."/>
      <w:lvlJc w:val="left"/>
      <w:pPr>
        <w:ind w:left="720" w:hanging="720"/>
      </w:pPr>
      <w:rPr>
        <w:rFonts w:ascii="Arial" w:eastAsiaTheme="minorHAnsi" w:hAnsi="Arial" w:cs="Arial" w:hint="default"/>
        <w:b/>
        <w:bCs w:val="0"/>
        <w:sz w:val="24"/>
        <w:szCs w:val="24"/>
      </w:rPr>
    </w:lvl>
    <w:lvl w:ilvl="1">
      <w:start w:val="11"/>
      <w:numFmt w:val="decimal"/>
      <w:isLgl/>
      <w:lvlText w:val="%1.%2"/>
      <w:lvlJc w:val="left"/>
      <w:pPr>
        <w:ind w:left="360" w:hanging="360"/>
      </w:pPr>
      <w:rPr>
        <w:rFonts w:ascii="Arial" w:hAnsi="Arial" w:cs="Arial" w:hint="default"/>
        <w:b w:val="0"/>
        <w:bCs/>
        <w:i w:val="0"/>
        <w:iCs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37E5D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AD17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04410D"/>
    <w:multiLevelType w:val="multilevel"/>
    <w:tmpl w:val="7E5E3D5C"/>
    <w:lvl w:ilvl="0">
      <w:start w:val="1"/>
      <w:numFmt w:val="decimal"/>
      <w:lvlText w:val="%1."/>
      <w:lvlJc w:val="left"/>
      <w:pPr>
        <w:ind w:left="360" w:hanging="360"/>
      </w:pPr>
      <w:rPr>
        <w:color w:val="0073CF"/>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90209D"/>
    <w:multiLevelType w:val="multilevel"/>
    <w:tmpl w:val="C1C2CE28"/>
    <w:lvl w:ilvl="0">
      <w:start w:val="1"/>
      <w:numFmt w:val="decimal"/>
      <w:lvlText w:val="%1."/>
      <w:lvlJc w:val="left"/>
      <w:pPr>
        <w:ind w:left="720" w:hanging="720"/>
      </w:pPr>
      <w:rPr>
        <w:rFonts w:ascii="Arial" w:eastAsiaTheme="minorHAnsi" w:hAnsi="Arial" w:cs="Arial"/>
        <w:b/>
        <w:bCs w:val="0"/>
        <w:color w:val="0073CF"/>
        <w:sz w:val="28"/>
        <w:szCs w:val="28"/>
      </w:rPr>
    </w:lvl>
    <w:lvl w:ilvl="1">
      <w:start w:val="1"/>
      <w:numFmt w:val="decimal"/>
      <w:isLgl/>
      <w:lvlText w:val="%1.%2"/>
      <w:lvlJc w:val="left"/>
      <w:pPr>
        <w:ind w:left="360" w:hanging="360"/>
      </w:pPr>
      <w:rPr>
        <w:rFonts w:ascii="Arial" w:hAnsi="Arial" w:cs="Arial" w:hint="default"/>
        <w:b w:val="0"/>
        <w:bCs/>
        <w:i w:val="0"/>
        <w:iCs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28352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A6418DE"/>
    <w:multiLevelType w:val="hybridMultilevel"/>
    <w:tmpl w:val="FAD0AD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85175414">
    <w:abstractNumId w:val="13"/>
  </w:num>
  <w:num w:numId="2" w16cid:durableId="1229419007">
    <w:abstractNumId w:val="3"/>
  </w:num>
  <w:num w:numId="3" w16cid:durableId="847524924">
    <w:abstractNumId w:val="4"/>
  </w:num>
  <w:num w:numId="4" w16cid:durableId="1289816678">
    <w:abstractNumId w:val="2"/>
  </w:num>
  <w:num w:numId="5" w16cid:durableId="1702122077">
    <w:abstractNumId w:val="0"/>
  </w:num>
  <w:num w:numId="6" w16cid:durableId="979766752">
    <w:abstractNumId w:val="15"/>
  </w:num>
  <w:num w:numId="7" w16cid:durableId="1694651424">
    <w:abstractNumId w:val="6"/>
  </w:num>
  <w:num w:numId="8" w16cid:durableId="466316972">
    <w:abstractNumId w:val="5"/>
  </w:num>
  <w:num w:numId="9" w16cid:durableId="97264493">
    <w:abstractNumId w:val="8"/>
  </w:num>
  <w:num w:numId="10" w16cid:durableId="1849056420">
    <w:abstractNumId w:val="9"/>
  </w:num>
  <w:num w:numId="11" w16cid:durableId="571893297">
    <w:abstractNumId w:val="7"/>
  </w:num>
  <w:num w:numId="12" w16cid:durableId="2004431221">
    <w:abstractNumId w:val="1"/>
  </w:num>
  <w:num w:numId="13" w16cid:durableId="674840925">
    <w:abstractNumId w:val="10"/>
  </w:num>
  <w:num w:numId="14" w16cid:durableId="1709450932">
    <w:abstractNumId w:val="14"/>
  </w:num>
  <w:num w:numId="15" w16cid:durableId="316998951">
    <w:abstractNumId w:val="11"/>
  </w:num>
  <w:num w:numId="16" w16cid:durableId="919040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C9F"/>
    <w:rsid w:val="00004E3C"/>
    <w:rsid w:val="00007081"/>
    <w:rsid w:val="00010A41"/>
    <w:rsid w:val="00016BA9"/>
    <w:rsid w:val="000264C9"/>
    <w:rsid w:val="00057A92"/>
    <w:rsid w:val="00065057"/>
    <w:rsid w:val="000746F7"/>
    <w:rsid w:val="00076D9A"/>
    <w:rsid w:val="00084395"/>
    <w:rsid w:val="000863B7"/>
    <w:rsid w:val="00095A6E"/>
    <w:rsid w:val="00097656"/>
    <w:rsid w:val="000B61B2"/>
    <w:rsid w:val="000C2506"/>
    <w:rsid w:val="000C7A2E"/>
    <w:rsid w:val="000D158A"/>
    <w:rsid w:val="000E0B8B"/>
    <w:rsid w:val="000F19E1"/>
    <w:rsid w:val="000F21F8"/>
    <w:rsid w:val="000F64EC"/>
    <w:rsid w:val="000F6773"/>
    <w:rsid w:val="000F6E08"/>
    <w:rsid w:val="00101BB5"/>
    <w:rsid w:val="00104390"/>
    <w:rsid w:val="00104528"/>
    <w:rsid w:val="00124F65"/>
    <w:rsid w:val="001250C5"/>
    <w:rsid w:val="00133164"/>
    <w:rsid w:val="00137070"/>
    <w:rsid w:val="00137B15"/>
    <w:rsid w:val="00144E0A"/>
    <w:rsid w:val="001535B0"/>
    <w:rsid w:val="001550C2"/>
    <w:rsid w:val="001559C8"/>
    <w:rsid w:val="00155D9C"/>
    <w:rsid w:val="00157EE6"/>
    <w:rsid w:val="0016242C"/>
    <w:rsid w:val="001629BB"/>
    <w:rsid w:val="00164AF3"/>
    <w:rsid w:val="00167728"/>
    <w:rsid w:val="00177DFC"/>
    <w:rsid w:val="001846E1"/>
    <w:rsid w:val="00195AD6"/>
    <w:rsid w:val="001A2E74"/>
    <w:rsid w:val="001A50DB"/>
    <w:rsid w:val="001A61F7"/>
    <w:rsid w:val="001B48B6"/>
    <w:rsid w:val="001D3D76"/>
    <w:rsid w:val="001E2CEC"/>
    <w:rsid w:val="001F5A47"/>
    <w:rsid w:val="001F6534"/>
    <w:rsid w:val="0020078A"/>
    <w:rsid w:val="00202515"/>
    <w:rsid w:val="002107EB"/>
    <w:rsid w:val="002237EB"/>
    <w:rsid w:val="00226311"/>
    <w:rsid w:val="00231837"/>
    <w:rsid w:val="00234770"/>
    <w:rsid w:val="00241FC4"/>
    <w:rsid w:val="00266E20"/>
    <w:rsid w:val="0027100C"/>
    <w:rsid w:val="00282200"/>
    <w:rsid w:val="002C3518"/>
    <w:rsid w:val="002C72FB"/>
    <w:rsid w:val="002C74A7"/>
    <w:rsid w:val="002E21CD"/>
    <w:rsid w:val="003400B2"/>
    <w:rsid w:val="00345A96"/>
    <w:rsid w:val="00350A9F"/>
    <w:rsid w:val="0035779A"/>
    <w:rsid w:val="00361171"/>
    <w:rsid w:val="0037209B"/>
    <w:rsid w:val="00372D9C"/>
    <w:rsid w:val="00373420"/>
    <w:rsid w:val="00376156"/>
    <w:rsid w:val="00377628"/>
    <w:rsid w:val="00377782"/>
    <w:rsid w:val="00386360"/>
    <w:rsid w:val="003914F0"/>
    <w:rsid w:val="003965E7"/>
    <w:rsid w:val="003A2A3A"/>
    <w:rsid w:val="003A2EE9"/>
    <w:rsid w:val="003B41C4"/>
    <w:rsid w:val="003C2C42"/>
    <w:rsid w:val="003D438B"/>
    <w:rsid w:val="003D6064"/>
    <w:rsid w:val="003E6467"/>
    <w:rsid w:val="00403A1F"/>
    <w:rsid w:val="00413BC1"/>
    <w:rsid w:val="00422A99"/>
    <w:rsid w:val="0042386A"/>
    <w:rsid w:val="004261DE"/>
    <w:rsid w:val="004379D9"/>
    <w:rsid w:val="004520C5"/>
    <w:rsid w:val="004566F1"/>
    <w:rsid w:val="0046604C"/>
    <w:rsid w:val="00471E24"/>
    <w:rsid w:val="00487115"/>
    <w:rsid w:val="00490025"/>
    <w:rsid w:val="004B19A7"/>
    <w:rsid w:val="004D34F6"/>
    <w:rsid w:val="004D3F03"/>
    <w:rsid w:val="004D439F"/>
    <w:rsid w:val="004D44EF"/>
    <w:rsid w:val="004E0DDF"/>
    <w:rsid w:val="004E1D5D"/>
    <w:rsid w:val="004F07AC"/>
    <w:rsid w:val="004F5598"/>
    <w:rsid w:val="005053A1"/>
    <w:rsid w:val="005062E2"/>
    <w:rsid w:val="00506372"/>
    <w:rsid w:val="00513028"/>
    <w:rsid w:val="0051495C"/>
    <w:rsid w:val="00520E89"/>
    <w:rsid w:val="0052241F"/>
    <w:rsid w:val="00523CCD"/>
    <w:rsid w:val="00530DC3"/>
    <w:rsid w:val="00534B49"/>
    <w:rsid w:val="005474EF"/>
    <w:rsid w:val="005571EC"/>
    <w:rsid w:val="005575D8"/>
    <w:rsid w:val="0056093F"/>
    <w:rsid w:val="00576EBD"/>
    <w:rsid w:val="00587463"/>
    <w:rsid w:val="00587F57"/>
    <w:rsid w:val="005B37B5"/>
    <w:rsid w:val="005B3969"/>
    <w:rsid w:val="005B5E0E"/>
    <w:rsid w:val="005B7BCA"/>
    <w:rsid w:val="005C1126"/>
    <w:rsid w:val="005C3CF6"/>
    <w:rsid w:val="005E4DEB"/>
    <w:rsid w:val="005E79AE"/>
    <w:rsid w:val="00604637"/>
    <w:rsid w:val="006245CD"/>
    <w:rsid w:val="00627E36"/>
    <w:rsid w:val="00631D6D"/>
    <w:rsid w:val="00640AD4"/>
    <w:rsid w:val="00650903"/>
    <w:rsid w:val="00652707"/>
    <w:rsid w:val="00653EEF"/>
    <w:rsid w:val="0066345E"/>
    <w:rsid w:val="006642DD"/>
    <w:rsid w:val="0066486D"/>
    <w:rsid w:val="0068417A"/>
    <w:rsid w:val="00692744"/>
    <w:rsid w:val="006C0CAF"/>
    <w:rsid w:val="006C6300"/>
    <w:rsid w:val="006C7F11"/>
    <w:rsid w:val="006D2C05"/>
    <w:rsid w:val="006F63BF"/>
    <w:rsid w:val="007013FB"/>
    <w:rsid w:val="0070746A"/>
    <w:rsid w:val="00716965"/>
    <w:rsid w:val="00717E62"/>
    <w:rsid w:val="007355D2"/>
    <w:rsid w:val="00737665"/>
    <w:rsid w:val="007420E8"/>
    <w:rsid w:val="00745523"/>
    <w:rsid w:val="0075219F"/>
    <w:rsid w:val="00753285"/>
    <w:rsid w:val="00760C1F"/>
    <w:rsid w:val="00791A7F"/>
    <w:rsid w:val="007A315E"/>
    <w:rsid w:val="007B393C"/>
    <w:rsid w:val="007C0D46"/>
    <w:rsid w:val="007C3437"/>
    <w:rsid w:val="007C3C9F"/>
    <w:rsid w:val="007C51D2"/>
    <w:rsid w:val="007D04E5"/>
    <w:rsid w:val="007D57B6"/>
    <w:rsid w:val="00810362"/>
    <w:rsid w:val="00833446"/>
    <w:rsid w:val="00836CF1"/>
    <w:rsid w:val="0084255F"/>
    <w:rsid w:val="00844164"/>
    <w:rsid w:val="00845926"/>
    <w:rsid w:val="008466CB"/>
    <w:rsid w:val="008507FB"/>
    <w:rsid w:val="00852659"/>
    <w:rsid w:val="008621F9"/>
    <w:rsid w:val="008675D7"/>
    <w:rsid w:val="00873F81"/>
    <w:rsid w:val="00885D8D"/>
    <w:rsid w:val="008961D7"/>
    <w:rsid w:val="008A1A3D"/>
    <w:rsid w:val="008C5979"/>
    <w:rsid w:val="008C6FBE"/>
    <w:rsid w:val="008C7E7F"/>
    <w:rsid w:val="008D37AC"/>
    <w:rsid w:val="008D425E"/>
    <w:rsid w:val="008D4A97"/>
    <w:rsid w:val="008D646B"/>
    <w:rsid w:val="008E5153"/>
    <w:rsid w:val="008F09D2"/>
    <w:rsid w:val="0090089D"/>
    <w:rsid w:val="00903D35"/>
    <w:rsid w:val="009056E9"/>
    <w:rsid w:val="00914975"/>
    <w:rsid w:val="00916273"/>
    <w:rsid w:val="0092729E"/>
    <w:rsid w:val="00934226"/>
    <w:rsid w:val="009454C9"/>
    <w:rsid w:val="00947E42"/>
    <w:rsid w:val="0096746C"/>
    <w:rsid w:val="009762FF"/>
    <w:rsid w:val="00981CE1"/>
    <w:rsid w:val="00984CAB"/>
    <w:rsid w:val="0098660A"/>
    <w:rsid w:val="00994162"/>
    <w:rsid w:val="009C460E"/>
    <w:rsid w:val="009D1E60"/>
    <w:rsid w:val="009D3E08"/>
    <w:rsid w:val="009D3E68"/>
    <w:rsid w:val="009D524B"/>
    <w:rsid w:val="009F032E"/>
    <w:rsid w:val="009F61A1"/>
    <w:rsid w:val="00A1605F"/>
    <w:rsid w:val="00A315D9"/>
    <w:rsid w:val="00A3223C"/>
    <w:rsid w:val="00A358A0"/>
    <w:rsid w:val="00A37180"/>
    <w:rsid w:val="00A44F3D"/>
    <w:rsid w:val="00A512B8"/>
    <w:rsid w:val="00A77656"/>
    <w:rsid w:val="00A827B3"/>
    <w:rsid w:val="00A87182"/>
    <w:rsid w:val="00A90839"/>
    <w:rsid w:val="00A9223D"/>
    <w:rsid w:val="00A93440"/>
    <w:rsid w:val="00AB216D"/>
    <w:rsid w:val="00AB4DDE"/>
    <w:rsid w:val="00AB61F9"/>
    <w:rsid w:val="00AC2860"/>
    <w:rsid w:val="00AE3E93"/>
    <w:rsid w:val="00AF0B25"/>
    <w:rsid w:val="00AF0C3A"/>
    <w:rsid w:val="00B04578"/>
    <w:rsid w:val="00B07D8D"/>
    <w:rsid w:val="00B07EA3"/>
    <w:rsid w:val="00B213BC"/>
    <w:rsid w:val="00B315A6"/>
    <w:rsid w:val="00B3188C"/>
    <w:rsid w:val="00B34383"/>
    <w:rsid w:val="00B41AD6"/>
    <w:rsid w:val="00B43961"/>
    <w:rsid w:val="00B56C46"/>
    <w:rsid w:val="00B623F3"/>
    <w:rsid w:val="00B92FE7"/>
    <w:rsid w:val="00BB0DF3"/>
    <w:rsid w:val="00BC41F5"/>
    <w:rsid w:val="00BC5665"/>
    <w:rsid w:val="00BD4FE9"/>
    <w:rsid w:val="00BE695A"/>
    <w:rsid w:val="00C046CF"/>
    <w:rsid w:val="00C05A38"/>
    <w:rsid w:val="00C075BB"/>
    <w:rsid w:val="00C13BB9"/>
    <w:rsid w:val="00C2077D"/>
    <w:rsid w:val="00C27518"/>
    <w:rsid w:val="00C33E9A"/>
    <w:rsid w:val="00C41DE8"/>
    <w:rsid w:val="00C439FE"/>
    <w:rsid w:val="00C44BC6"/>
    <w:rsid w:val="00C470E3"/>
    <w:rsid w:val="00C52262"/>
    <w:rsid w:val="00C617C7"/>
    <w:rsid w:val="00C71F2A"/>
    <w:rsid w:val="00C900C3"/>
    <w:rsid w:val="00C904E9"/>
    <w:rsid w:val="00C933B6"/>
    <w:rsid w:val="00C9579E"/>
    <w:rsid w:val="00CC0A33"/>
    <w:rsid w:val="00CC18C0"/>
    <w:rsid w:val="00CC2408"/>
    <w:rsid w:val="00CC7AAB"/>
    <w:rsid w:val="00CD651A"/>
    <w:rsid w:val="00CE483A"/>
    <w:rsid w:val="00CE6804"/>
    <w:rsid w:val="00CF523A"/>
    <w:rsid w:val="00D00973"/>
    <w:rsid w:val="00D02056"/>
    <w:rsid w:val="00D24E79"/>
    <w:rsid w:val="00D3549B"/>
    <w:rsid w:val="00D507CD"/>
    <w:rsid w:val="00D51F04"/>
    <w:rsid w:val="00D71896"/>
    <w:rsid w:val="00D77A4B"/>
    <w:rsid w:val="00D86F6E"/>
    <w:rsid w:val="00DA5158"/>
    <w:rsid w:val="00DB7096"/>
    <w:rsid w:val="00DC0329"/>
    <w:rsid w:val="00DE2246"/>
    <w:rsid w:val="00E10819"/>
    <w:rsid w:val="00E41DB9"/>
    <w:rsid w:val="00E41DD4"/>
    <w:rsid w:val="00E52351"/>
    <w:rsid w:val="00E5629D"/>
    <w:rsid w:val="00E571B6"/>
    <w:rsid w:val="00E60BEC"/>
    <w:rsid w:val="00E612B8"/>
    <w:rsid w:val="00E66C25"/>
    <w:rsid w:val="00E730C8"/>
    <w:rsid w:val="00E744F2"/>
    <w:rsid w:val="00EA0F3F"/>
    <w:rsid w:val="00EA36F3"/>
    <w:rsid w:val="00EC0E39"/>
    <w:rsid w:val="00ED379E"/>
    <w:rsid w:val="00EE37CF"/>
    <w:rsid w:val="00F06657"/>
    <w:rsid w:val="00F157F3"/>
    <w:rsid w:val="00F167B0"/>
    <w:rsid w:val="00F2654F"/>
    <w:rsid w:val="00F51EBE"/>
    <w:rsid w:val="00F52887"/>
    <w:rsid w:val="00F57CE5"/>
    <w:rsid w:val="00F662D9"/>
    <w:rsid w:val="00F664EB"/>
    <w:rsid w:val="00F76793"/>
    <w:rsid w:val="00F837D8"/>
    <w:rsid w:val="00F92D92"/>
    <w:rsid w:val="00FA6E5B"/>
    <w:rsid w:val="00FB1BB9"/>
    <w:rsid w:val="00FC076A"/>
    <w:rsid w:val="00FC4956"/>
    <w:rsid w:val="00FD4313"/>
    <w:rsid w:val="00FE1535"/>
    <w:rsid w:val="00FE25A1"/>
    <w:rsid w:val="00FE5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03B72"/>
  <w15:docId w15:val="{10507251-1DE2-42D4-AE36-BD49AFCE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75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675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7BCA"/>
    <w:rPr>
      <w:sz w:val="16"/>
      <w:szCs w:val="16"/>
    </w:rPr>
  </w:style>
  <w:style w:type="paragraph" w:styleId="CommentText">
    <w:name w:val="annotation text"/>
    <w:basedOn w:val="Normal"/>
    <w:link w:val="CommentTextChar"/>
    <w:uiPriority w:val="99"/>
    <w:unhideWhenUsed/>
    <w:rsid w:val="005B7BCA"/>
    <w:pPr>
      <w:spacing w:line="240" w:lineRule="auto"/>
    </w:pPr>
    <w:rPr>
      <w:sz w:val="20"/>
      <w:szCs w:val="20"/>
    </w:rPr>
  </w:style>
  <w:style w:type="character" w:customStyle="1" w:styleId="CommentTextChar">
    <w:name w:val="Comment Text Char"/>
    <w:basedOn w:val="DefaultParagraphFont"/>
    <w:link w:val="CommentText"/>
    <w:uiPriority w:val="99"/>
    <w:rsid w:val="005B7BCA"/>
    <w:rPr>
      <w:sz w:val="20"/>
      <w:szCs w:val="20"/>
    </w:rPr>
  </w:style>
  <w:style w:type="paragraph" w:styleId="CommentSubject">
    <w:name w:val="annotation subject"/>
    <w:basedOn w:val="CommentText"/>
    <w:next w:val="CommentText"/>
    <w:link w:val="CommentSubjectChar"/>
    <w:uiPriority w:val="99"/>
    <w:semiHidden/>
    <w:unhideWhenUsed/>
    <w:rsid w:val="005B7BCA"/>
    <w:rPr>
      <w:b/>
      <w:bCs/>
    </w:rPr>
  </w:style>
  <w:style w:type="character" w:customStyle="1" w:styleId="CommentSubjectChar">
    <w:name w:val="Comment Subject Char"/>
    <w:basedOn w:val="CommentTextChar"/>
    <w:link w:val="CommentSubject"/>
    <w:uiPriority w:val="99"/>
    <w:semiHidden/>
    <w:rsid w:val="005B7BCA"/>
    <w:rPr>
      <w:b/>
      <w:bCs/>
      <w:sz w:val="20"/>
      <w:szCs w:val="20"/>
    </w:rPr>
  </w:style>
  <w:style w:type="paragraph" w:styleId="BalloonText">
    <w:name w:val="Balloon Text"/>
    <w:basedOn w:val="Normal"/>
    <w:link w:val="BalloonTextChar"/>
    <w:uiPriority w:val="99"/>
    <w:semiHidden/>
    <w:unhideWhenUsed/>
    <w:rsid w:val="005B7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BCA"/>
    <w:rPr>
      <w:rFonts w:ascii="Tahoma" w:hAnsi="Tahoma" w:cs="Tahoma"/>
      <w:sz w:val="16"/>
      <w:szCs w:val="16"/>
    </w:rPr>
  </w:style>
  <w:style w:type="paragraph" w:styleId="NoSpacing">
    <w:name w:val="No Spacing"/>
    <w:uiPriority w:val="1"/>
    <w:qFormat/>
    <w:rsid w:val="007C3437"/>
    <w:pPr>
      <w:spacing w:after="0" w:line="240" w:lineRule="auto"/>
    </w:pPr>
  </w:style>
  <w:style w:type="paragraph" w:styleId="FootnoteText">
    <w:name w:val="footnote text"/>
    <w:basedOn w:val="Normal"/>
    <w:link w:val="FootnoteTextChar"/>
    <w:uiPriority w:val="99"/>
    <w:semiHidden/>
    <w:unhideWhenUsed/>
    <w:rsid w:val="00FD43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313"/>
    <w:rPr>
      <w:sz w:val="20"/>
      <w:szCs w:val="20"/>
    </w:rPr>
  </w:style>
  <w:style w:type="character" w:styleId="FootnoteReference">
    <w:name w:val="footnote reference"/>
    <w:basedOn w:val="DefaultParagraphFont"/>
    <w:uiPriority w:val="99"/>
    <w:semiHidden/>
    <w:unhideWhenUsed/>
    <w:rsid w:val="00FD4313"/>
    <w:rPr>
      <w:vertAlign w:val="superscript"/>
    </w:rPr>
  </w:style>
  <w:style w:type="table" w:styleId="LightShading-Accent5">
    <w:name w:val="Light Shading Accent 5"/>
    <w:basedOn w:val="TableNormal"/>
    <w:uiPriority w:val="60"/>
    <w:rsid w:val="0037615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3761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4">
    <w:name w:val="Light List Accent 4"/>
    <w:basedOn w:val="TableNormal"/>
    <w:uiPriority w:val="61"/>
    <w:rsid w:val="0020078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iPriority w:val="99"/>
    <w:unhideWhenUsed/>
    <w:rsid w:val="003D4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38B"/>
  </w:style>
  <w:style w:type="paragraph" w:styleId="Footer">
    <w:name w:val="footer"/>
    <w:basedOn w:val="Normal"/>
    <w:link w:val="FooterChar"/>
    <w:uiPriority w:val="99"/>
    <w:unhideWhenUsed/>
    <w:rsid w:val="003D4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38B"/>
  </w:style>
  <w:style w:type="paragraph" w:styleId="ListParagraph">
    <w:name w:val="List Paragraph"/>
    <w:basedOn w:val="Normal"/>
    <w:link w:val="ListParagraphChar"/>
    <w:uiPriority w:val="34"/>
    <w:qFormat/>
    <w:rsid w:val="003D438B"/>
    <w:pPr>
      <w:ind w:left="720"/>
      <w:contextualSpacing/>
    </w:pPr>
  </w:style>
  <w:style w:type="character" w:styleId="Hyperlink">
    <w:name w:val="Hyperlink"/>
    <w:basedOn w:val="DefaultParagraphFont"/>
    <w:uiPriority w:val="99"/>
    <w:unhideWhenUsed/>
    <w:rsid w:val="00AB61F9"/>
    <w:rPr>
      <w:color w:val="0000FF" w:themeColor="hyperlink"/>
      <w:u w:val="single"/>
    </w:rPr>
  </w:style>
  <w:style w:type="character" w:customStyle="1" w:styleId="ListParagraphChar">
    <w:name w:val="List Paragraph Char"/>
    <w:basedOn w:val="DefaultParagraphFont"/>
    <w:link w:val="ListParagraph"/>
    <w:uiPriority w:val="34"/>
    <w:rsid w:val="00AB61F9"/>
  </w:style>
  <w:style w:type="character" w:customStyle="1" w:styleId="Heading2Char">
    <w:name w:val="Heading 2 Char"/>
    <w:basedOn w:val="DefaultParagraphFont"/>
    <w:link w:val="Heading2"/>
    <w:uiPriority w:val="9"/>
    <w:semiHidden/>
    <w:rsid w:val="008675D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8675D7"/>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076D9A"/>
    <w:pPr>
      <w:widowControl w:val="0"/>
      <w:spacing w:after="0" w:line="240" w:lineRule="auto"/>
    </w:pPr>
    <w:rPr>
      <w:lang w:val="en-US"/>
    </w:rPr>
  </w:style>
  <w:style w:type="paragraph" w:styleId="TOCHeading">
    <w:name w:val="TOC Heading"/>
    <w:basedOn w:val="Heading1"/>
    <w:next w:val="Normal"/>
    <w:uiPriority w:val="39"/>
    <w:unhideWhenUsed/>
    <w:qFormat/>
    <w:rsid w:val="00282200"/>
    <w:pPr>
      <w:spacing w:line="259" w:lineRule="auto"/>
      <w:outlineLvl w:val="9"/>
    </w:pPr>
    <w:rPr>
      <w:lang w:val="en-US"/>
    </w:rPr>
  </w:style>
  <w:style w:type="paragraph" w:styleId="TOC1">
    <w:name w:val="toc 1"/>
    <w:basedOn w:val="Normal"/>
    <w:next w:val="Normal"/>
    <w:autoRedefine/>
    <w:uiPriority w:val="39"/>
    <w:unhideWhenUsed/>
    <w:rsid w:val="00282200"/>
    <w:pPr>
      <w:spacing w:after="100"/>
    </w:pPr>
  </w:style>
  <w:style w:type="paragraph" w:styleId="TOC2">
    <w:name w:val="toc 2"/>
    <w:basedOn w:val="Normal"/>
    <w:next w:val="Normal"/>
    <w:autoRedefine/>
    <w:uiPriority w:val="39"/>
    <w:unhideWhenUsed/>
    <w:rsid w:val="00282200"/>
    <w:pPr>
      <w:spacing w:after="100"/>
      <w:ind w:left="220"/>
    </w:pPr>
  </w:style>
  <w:style w:type="paragraph" w:styleId="Revision">
    <w:name w:val="Revision"/>
    <w:hidden/>
    <w:uiPriority w:val="99"/>
    <w:semiHidden/>
    <w:rsid w:val="003E64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6085">
      <w:bodyDiv w:val="1"/>
      <w:marLeft w:val="0"/>
      <w:marRight w:val="0"/>
      <w:marTop w:val="0"/>
      <w:marBottom w:val="0"/>
      <w:divBdr>
        <w:top w:val="none" w:sz="0" w:space="0" w:color="auto"/>
        <w:left w:val="none" w:sz="0" w:space="0" w:color="auto"/>
        <w:bottom w:val="none" w:sz="0" w:space="0" w:color="auto"/>
        <w:right w:val="none" w:sz="0" w:space="0" w:color="auto"/>
      </w:divBdr>
    </w:div>
    <w:div w:id="92865582">
      <w:bodyDiv w:val="1"/>
      <w:marLeft w:val="0"/>
      <w:marRight w:val="0"/>
      <w:marTop w:val="0"/>
      <w:marBottom w:val="0"/>
      <w:divBdr>
        <w:top w:val="none" w:sz="0" w:space="0" w:color="auto"/>
        <w:left w:val="none" w:sz="0" w:space="0" w:color="auto"/>
        <w:bottom w:val="none" w:sz="0" w:space="0" w:color="auto"/>
        <w:right w:val="none" w:sz="0" w:space="0" w:color="auto"/>
      </w:divBdr>
    </w:div>
    <w:div w:id="337126186">
      <w:bodyDiv w:val="1"/>
      <w:marLeft w:val="0"/>
      <w:marRight w:val="0"/>
      <w:marTop w:val="0"/>
      <w:marBottom w:val="0"/>
      <w:divBdr>
        <w:top w:val="none" w:sz="0" w:space="0" w:color="auto"/>
        <w:left w:val="none" w:sz="0" w:space="0" w:color="auto"/>
        <w:bottom w:val="none" w:sz="0" w:space="0" w:color="auto"/>
        <w:right w:val="none" w:sz="0" w:space="0" w:color="auto"/>
      </w:divBdr>
    </w:div>
    <w:div w:id="1342123482">
      <w:bodyDiv w:val="1"/>
      <w:marLeft w:val="0"/>
      <w:marRight w:val="0"/>
      <w:marTop w:val="0"/>
      <w:marBottom w:val="0"/>
      <w:divBdr>
        <w:top w:val="none" w:sz="0" w:space="0" w:color="auto"/>
        <w:left w:val="none" w:sz="0" w:space="0" w:color="auto"/>
        <w:bottom w:val="none" w:sz="0" w:space="0" w:color="auto"/>
        <w:right w:val="none" w:sz="0" w:space="0" w:color="auto"/>
      </w:divBdr>
    </w:div>
    <w:div w:id="1416440373">
      <w:bodyDiv w:val="1"/>
      <w:marLeft w:val="0"/>
      <w:marRight w:val="0"/>
      <w:marTop w:val="0"/>
      <w:marBottom w:val="0"/>
      <w:divBdr>
        <w:top w:val="none" w:sz="0" w:space="0" w:color="auto"/>
        <w:left w:val="none" w:sz="0" w:space="0" w:color="auto"/>
        <w:bottom w:val="none" w:sz="0" w:space="0" w:color="auto"/>
        <w:right w:val="none" w:sz="0" w:space="0" w:color="auto"/>
      </w:divBdr>
    </w:div>
    <w:div w:id="1429035230">
      <w:bodyDiv w:val="1"/>
      <w:marLeft w:val="0"/>
      <w:marRight w:val="0"/>
      <w:marTop w:val="0"/>
      <w:marBottom w:val="0"/>
      <w:divBdr>
        <w:top w:val="none" w:sz="0" w:space="0" w:color="auto"/>
        <w:left w:val="none" w:sz="0" w:space="0" w:color="auto"/>
        <w:bottom w:val="none" w:sz="0" w:space="0" w:color="auto"/>
        <w:right w:val="none" w:sz="0" w:space="0" w:color="auto"/>
      </w:divBdr>
    </w:div>
    <w:div w:id="1482380706">
      <w:bodyDiv w:val="1"/>
      <w:marLeft w:val="0"/>
      <w:marRight w:val="0"/>
      <w:marTop w:val="0"/>
      <w:marBottom w:val="0"/>
      <w:divBdr>
        <w:top w:val="none" w:sz="0" w:space="0" w:color="auto"/>
        <w:left w:val="none" w:sz="0" w:space="0" w:color="auto"/>
        <w:bottom w:val="none" w:sz="0" w:space="0" w:color="auto"/>
        <w:right w:val="none" w:sz="0" w:space="0" w:color="auto"/>
      </w:divBdr>
    </w:div>
    <w:div w:id="1756976186">
      <w:bodyDiv w:val="1"/>
      <w:marLeft w:val="0"/>
      <w:marRight w:val="0"/>
      <w:marTop w:val="0"/>
      <w:marBottom w:val="0"/>
      <w:divBdr>
        <w:top w:val="none" w:sz="0" w:space="0" w:color="auto"/>
        <w:left w:val="none" w:sz="0" w:space="0" w:color="auto"/>
        <w:bottom w:val="none" w:sz="0" w:space="0" w:color="auto"/>
        <w:right w:val="none" w:sz="0" w:space="0" w:color="auto"/>
      </w:divBdr>
    </w:div>
    <w:div w:id="183248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ichester.gov.uk/localplanexaminationlibra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chester.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6DDBA-393C-45C6-989F-0CBA79B1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3642</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Chivers</dc:creator>
  <cp:lastModifiedBy>Gillian Stevens</cp:lastModifiedBy>
  <cp:revision>12</cp:revision>
  <dcterms:created xsi:type="dcterms:W3CDTF">2024-05-08T14:21:00Z</dcterms:created>
  <dcterms:modified xsi:type="dcterms:W3CDTF">2024-05-29T14:54:00Z</dcterms:modified>
</cp:coreProperties>
</file>