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0F92" w14:textId="77777777" w:rsidR="007D7848" w:rsidRDefault="007D7848" w:rsidP="007D7848">
      <w:pPr>
        <w:jc w:val="center"/>
        <w:rPr>
          <w:rStyle w:val="fontstyle01"/>
          <w:rFonts w:eastAsiaTheme="majorEastAsia"/>
          <w:color w:val="000000" w:themeColor="text1"/>
          <w:sz w:val="56"/>
          <w:szCs w:val="56"/>
        </w:rPr>
      </w:pPr>
    </w:p>
    <w:p w14:paraId="0EC00E30" w14:textId="77777777" w:rsidR="007D7848" w:rsidRDefault="007D7848" w:rsidP="007D7848">
      <w:pPr>
        <w:jc w:val="center"/>
        <w:rPr>
          <w:rStyle w:val="fontstyle01"/>
          <w:rFonts w:eastAsiaTheme="majorEastAsia"/>
          <w:color w:val="000000" w:themeColor="text1"/>
          <w:sz w:val="56"/>
          <w:szCs w:val="56"/>
        </w:rPr>
      </w:pPr>
    </w:p>
    <w:p w14:paraId="361DB7C9" w14:textId="77777777" w:rsidR="007D7848" w:rsidRDefault="007D7848" w:rsidP="007D7848">
      <w:pPr>
        <w:jc w:val="center"/>
        <w:rPr>
          <w:rStyle w:val="fontstyle01"/>
          <w:rFonts w:eastAsiaTheme="majorEastAsia"/>
          <w:color w:val="000000" w:themeColor="text1"/>
          <w:sz w:val="56"/>
          <w:szCs w:val="56"/>
        </w:rPr>
      </w:pPr>
      <w:r>
        <w:rPr>
          <w:rStyle w:val="fontstyle01"/>
          <w:rFonts w:eastAsiaTheme="majorEastAsia"/>
          <w:color w:val="000000" w:themeColor="text1"/>
          <w:sz w:val="56"/>
          <w:szCs w:val="56"/>
        </w:rPr>
        <w:t xml:space="preserve">Chichester </w:t>
      </w:r>
      <w:r w:rsidRPr="001B26A2">
        <w:rPr>
          <w:rStyle w:val="fontstyle01"/>
          <w:rFonts w:eastAsiaTheme="majorEastAsia"/>
          <w:color w:val="000000" w:themeColor="text1"/>
          <w:sz w:val="56"/>
          <w:szCs w:val="56"/>
        </w:rPr>
        <w:t xml:space="preserve">Local Plan </w:t>
      </w:r>
      <w:r>
        <w:rPr>
          <w:rStyle w:val="fontstyle01"/>
          <w:rFonts w:eastAsiaTheme="majorEastAsia"/>
          <w:color w:val="000000" w:themeColor="text1"/>
          <w:sz w:val="56"/>
          <w:szCs w:val="56"/>
        </w:rPr>
        <w:t>2021 - 2039</w:t>
      </w:r>
    </w:p>
    <w:p w14:paraId="2D206360" w14:textId="77777777" w:rsidR="007D7848" w:rsidRPr="001B26A2" w:rsidRDefault="007D7848" w:rsidP="007D7848">
      <w:pPr>
        <w:jc w:val="center"/>
        <w:rPr>
          <w:rStyle w:val="fontstyle01"/>
          <w:rFonts w:eastAsiaTheme="majorEastAsia"/>
          <w:color w:val="000000" w:themeColor="text1"/>
          <w:sz w:val="56"/>
          <w:szCs w:val="56"/>
        </w:rPr>
      </w:pPr>
      <w:r w:rsidRPr="001B26A2">
        <w:rPr>
          <w:rStyle w:val="fontstyle01"/>
          <w:rFonts w:eastAsiaTheme="majorEastAsia"/>
          <w:color w:val="000000" w:themeColor="text1"/>
          <w:sz w:val="56"/>
          <w:szCs w:val="56"/>
        </w:rPr>
        <w:t xml:space="preserve"> </w:t>
      </w:r>
    </w:p>
    <w:p w14:paraId="4E912D0B" w14:textId="77777777" w:rsidR="007D7848" w:rsidRPr="00EE27B4" w:rsidRDefault="007D7848" w:rsidP="007D7848">
      <w:pPr>
        <w:jc w:val="center"/>
        <w:rPr>
          <w:rStyle w:val="fontstyle01"/>
          <w:rFonts w:eastAsiaTheme="majorEastAsia"/>
          <w:color w:val="000000" w:themeColor="text1"/>
          <w:sz w:val="48"/>
          <w:szCs w:val="48"/>
        </w:rPr>
      </w:pPr>
      <w:r w:rsidRPr="00EE27B4">
        <w:rPr>
          <w:rStyle w:val="fontstyle01"/>
          <w:rFonts w:eastAsiaTheme="majorEastAsia"/>
          <w:color w:val="000000" w:themeColor="text1"/>
          <w:sz w:val="48"/>
          <w:szCs w:val="48"/>
        </w:rPr>
        <w:t xml:space="preserve">Southbourne Broad Location </w:t>
      </w:r>
    </w:p>
    <w:p w14:paraId="3279F0AA" w14:textId="77777777" w:rsidR="007D7848" w:rsidRPr="00EE27B4" w:rsidRDefault="007D7848" w:rsidP="007D7848">
      <w:pPr>
        <w:jc w:val="center"/>
        <w:rPr>
          <w:rStyle w:val="fontstyle01"/>
          <w:rFonts w:eastAsiaTheme="majorEastAsia"/>
          <w:color w:val="000000" w:themeColor="text1"/>
          <w:sz w:val="48"/>
          <w:szCs w:val="48"/>
        </w:rPr>
      </w:pPr>
      <w:r w:rsidRPr="00EE27B4">
        <w:rPr>
          <w:rStyle w:val="fontstyle01"/>
          <w:rFonts w:eastAsiaTheme="majorEastAsia"/>
          <w:color w:val="000000" w:themeColor="text1"/>
          <w:sz w:val="48"/>
          <w:szCs w:val="48"/>
        </w:rPr>
        <w:t xml:space="preserve">for Development </w:t>
      </w:r>
    </w:p>
    <w:p w14:paraId="5DB75420" w14:textId="77777777" w:rsidR="007D7848" w:rsidRPr="00EE27B4" w:rsidRDefault="007D7848" w:rsidP="007D7848">
      <w:pPr>
        <w:jc w:val="center"/>
        <w:rPr>
          <w:rStyle w:val="fontstyle01"/>
          <w:rFonts w:eastAsiaTheme="majorEastAsia"/>
          <w:color w:val="000000" w:themeColor="text1"/>
          <w:sz w:val="48"/>
          <w:szCs w:val="48"/>
        </w:rPr>
      </w:pPr>
      <w:r w:rsidRPr="00EE27B4">
        <w:rPr>
          <w:rStyle w:val="fontstyle01"/>
          <w:rFonts w:eastAsiaTheme="majorEastAsia"/>
          <w:color w:val="000000" w:themeColor="text1"/>
          <w:sz w:val="48"/>
          <w:szCs w:val="48"/>
        </w:rPr>
        <w:t>Background Paper</w:t>
      </w:r>
    </w:p>
    <w:p w14:paraId="5D234842" w14:textId="77777777" w:rsidR="007D7848" w:rsidRDefault="007D7848" w:rsidP="007D7848">
      <w:pPr>
        <w:jc w:val="center"/>
        <w:rPr>
          <w:rStyle w:val="fontstyle01"/>
          <w:rFonts w:eastAsiaTheme="majorEastAsia"/>
          <w:color w:val="000000" w:themeColor="text1"/>
        </w:rPr>
      </w:pPr>
    </w:p>
    <w:p w14:paraId="2D97F6C0" w14:textId="472EBB0F" w:rsidR="007D7848" w:rsidRDefault="007D7848" w:rsidP="007D7848">
      <w:pPr>
        <w:jc w:val="center"/>
        <w:rPr>
          <w:rStyle w:val="fontstyle01"/>
          <w:rFonts w:eastAsiaTheme="majorEastAsia"/>
          <w:color w:val="000000" w:themeColor="text1"/>
        </w:rPr>
      </w:pPr>
    </w:p>
    <w:p w14:paraId="39E1F75F" w14:textId="77777777" w:rsidR="007D7848" w:rsidRDefault="007D7848" w:rsidP="007D7848">
      <w:pPr>
        <w:jc w:val="center"/>
        <w:rPr>
          <w:rStyle w:val="fontstyle01"/>
          <w:rFonts w:eastAsiaTheme="majorEastAsia"/>
          <w:color w:val="000000" w:themeColor="text1"/>
        </w:rPr>
      </w:pPr>
    </w:p>
    <w:p w14:paraId="2CDBC643" w14:textId="5F331EBA" w:rsidR="007D7848" w:rsidRDefault="00EE27B4" w:rsidP="007D7848">
      <w:pPr>
        <w:rPr>
          <w:rStyle w:val="fontstyle01"/>
          <w:rFonts w:eastAsiaTheme="majorEastAsia"/>
          <w:b w:val="0"/>
          <w:color w:val="000000" w:themeColor="text1"/>
          <w:sz w:val="56"/>
          <w:szCs w:val="56"/>
        </w:rPr>
      </w:pPr>
      <w:r w:rsidRPr="009C212D">
        <w:rPr>
          <w:rFonts w:cs="Arial"/>
          <w:noProof/>
        </w:rPr>
        <w:drawing>
          <wp:anchor distT="0" distB="0" distL="114300" distR="114300" simplePos="0" relativeHeight="251660288" behindDoc="0" locked="0" layoutInCell="1" allowOverlap="1" wp14:anchorId="033B1879" wp14:editId="575D3823">
            <wp:simplePos x="0" y="0"/>
            <wp:positionH relativeFrom="margin">
              <wp:align>center</wp:align>
            </wp:positionH>
            <wp:positionV relativeFrom="margin">
              <wp:posOffset>4745355</wp:posOffset>
            </wp:positionV>
            <wp:extent cx="1533600" cy="1540800"/>
            <wp:effectExtent l="0" t="0" r="0" b="254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600" cy="1540800"/>
                    </a:xfrm>
                    <a:prstGeom prst="rect">
                      <a:avLst/>
                    </a:prstGeom>
                    <a:noFill/>
                  </pic:spPr>
                </pic:pic>
              </a:graphicData>
            </a:graphic>
            <wp14:sizeRelH relativeFrom="margin">
              <wp14:pctWidth>0</wp14:pctWidth>
            </wp14:sizeRelH>
            <wp14:sizeRelV relativeFrom="margin">
              <wp14:pctHeight>0</wp14:pctHeight>
            </wp14:sizeRelV>
          </wp:anchor>
        </w:drawing>
      </w:r>
    </w:p>
    <w:p w14:paraId="0651CE83" w14:textId="77777777" w:rsidR="007D7848" w:rsidRDefault="007D7848" w:rsidP="007D7848">
      <w:pPr>
        <w:rPr>
          <w:rStyle w:val="fontstyle01"/>
          <w:rFonts w:eastAsiaTheme="majorEastAsia"/>
          <w:b w:val="0"/>
          <w:color w:val="000000" w:themeColor="text1"/>
          <w:sz w:val="56"/>
          <w:szCs w:val="56"/>
        </w:rPr>
      </w:pPr>
    </w:p>
    <w:p w14:paraId="0B6C26B9" w14:textId="77777777" w:rsidR="007D7848" w:rsidRDefault="007D7848" w:rsidP="007D7848">
      <w:pPr>
        <w:rPr>
          <w:rStyle w:val="fontstyle01"/>
          <w:rFonts w:eastAsiaTheme="majorEastAsia"/>
          <w:b w:val="0"/>
          <w:color w:val="000000" w:themeColor="text1"/>
          <w:sz w:val="56"/>
          <w:szCs w:val="56"/>
        </w:rPr>
      </w:pPr>
    </w:p>
    <w:p w14:paraId="4F164459" w14:textId="77777777" w:rsidR="007D7848" w:rsidRDefault="007D7848" w:rsidP="007D7848">
      <w:pPr>
        <w:rPr>
          <w:rStyle w:val="fontstyle01"/>
          <w:rFonts w:eastAsiaTheme="majorEastAsia"/>
          <w:b w:val="0"/>
          <w:color w:val="000000" w:themeColor="text1"/>
          <w:sz w:val="56"/>
          <w:szCs w:val="56"/>
        </w:rPr>
      </w:pPr>
    </w:p>
    <w:p w14:paraId="2448EC91" w14:textId="77777777" w:rsidR="007D7848" w:rsidRDefault="007D7848" w:rsidP="007D7848">
      <w:pPr>
        <w:rPr>
          <w:rStyle w:val="fontstyle01"/>
          <w:rFonts w:eastAsiaTheme="majorEastAsia"/>
          <w:b w:val="0"/>
          <w:color w:val="000000" w:themeColor="text1"/>
          <w:sz w:val="56"/>
          <w:szCs w:val="56"/>
        </w:rPr>
      </w:pPr>
    </w:p>
    <w:p w14:paraId="1CA82F2D" w14:textId="77777777" w:rsidR="007D7848" w:rsidRDefault="007D7848" w:rsidP="007D7848">
      <w:pPr>
        <w:rPr>
          <w:rStyle w:val="fontstyle01"/>
          <w:rFonts w:eastAsiaTheme="majorEastAsia"/>
          <w:b w:val="0"/>
          <w:color w:val="000000" w:themeColor="text1"/>
          <w:sz w:val="56"/>
          <w:szCs w:val="56"/>
        </w:rPr>
      </w:pPr>
    </w:p>
    <w:p w14:paraId="5D156B82" w14:textId="77777777" w:rsidR="00EE27B4" w:rsidRDefault="00EE27B4" w:rsidP="007D7848">
      <w:pPr>
        <w:rPr>
          <w:rStyle w:val="fontstyle01"/>
          <w:rFonts w:eastAsiaTheme="majorEastAsia"/>
          <w:b w:val="0"/>
          <w:color w:val="000000" w:themeColor="text1"/>
          <w:sz w:val="56"/>
          <w:szCs w:val="56"/>
        </w:rPr>
      </w:pPr>
    </w:p>
    <w:p w14:paraId="13A4F9AC" w14:textId="77777777" w:rsidR="00B24C42" w:rsidRDefault="00B24C42" w:rsidP="007D7848">
      <w:pPr>
        <w:rPr>
          <w:rStyle w:val="fontstyle01"/>
          <w:rFonts w:eastAsiaTheme="majorEastAsia"/>
          <w:b w:val="0"/>
          <w:color w:val="000000" w:themeColor="text1"/>
          <w:sz w:val="56"/>
          <w:szCs w:val="56"/>
        </w:rPr>
      </w:pPr>
    </w:p>
    <w:p w14:paraId="000801A6" w14:textId="77777777" w:rsidR="00EE27B4" w:rsidRDefault="00EE27B4" w:rsidP="007D7848">
      <w:pPr>
        <w:rPr>
          <w:rStyle w:val="fontstyle01"/>
          <w:rFonts w:eastAsiaTheme="majorEastAsia"/>
          <w:b w:val="0"/>
          <w:color w:val="000000" w:themeColor="text1"/>
          <w:sz w:val="56"/>
          <w:szCs w:val="56"/>
        </w:rPr>
      </w:pPr>
    </w:p>
    <w:p w14:paraId="7B26832C" w14:textId="03132C60" w:rsidR="007D7848" w:rsidRPr="00EE27B4" w:rsidRDefault="00DA08C3" w:rsidP="00EE27B4">
      <w:pPr>
        <w:jc w:val="left"/>
        <w:rPr>
          <w:rStyle w:val="fontstyle01"/>
          <w:rFonts w:eastAsiaTheme="majorEastAsia"/>
          <w:b w:val="0"/>
          <w:color w:val="000000" w:themeColor="text1"/>
          <w:sz w:val="32"/>
          <w:szCs w:val="32"/>
        </w:rPr>
        <w:sectPr w:rsidR="007D7848" w:rsidRPr="00EE27B4" w:rsidSect="00EE27B4">
          <w:headerReference w:type="default" r:id="rId9"/>
          <w:footerReference w:type="default" r:id="rId10"/>
          <w:headerReference w:type="first" r:id="rId11"/>
          <w:footerReference w:type="first" r:id="rId12"/>
          <w:pgSz w:w="11906" w:h="16838" w:code="9"/>
          <w:pgMar w:top="1134" w:right="1134" w:bottom="1134" w:left="1134" w:header="706" w:footer="706" w:gutter="0"/>
          <w:cols w:space="708"/>
          <w:titlePg/>
          <w:docGrid w:linePitch="360"/>
        </w:sectPr>
      </w:pPr>
      <w:hyperlink r:id="rId13" w:history="1">
        <w:r w:rsidR="00EE27B4" w:rsidRPr="00EE27B4">
          <w:rPr>
            <w:rStyle w:val="Hyperlink"/>
            <w:rFonts w:eastAsiaTheme="majorEastAsia" w:cs="Arial"/>
            <w:b/>
            <w:bCs/>
            <w:sz w:val="32"/>
            <w:szCs w:val="32"/>
          </w:rPr>
          <w:t>www.chichester.gov.uk</w:t>
        </w:r>
      </w:hyperlink>
      <w:r w:rsidR="00EE27B4">
        <w:rPr>
          <w:rStyle w:val="fontstyle01"/>
          <w:rFonts w:eastAsiaTheme="majorEastAsia"/>
          <w:color w:val="000000" w:themeColor="text1"/>
          <w:sz w:val="32"/>
          <w:szCs w:val="32"/>
        </w:rPr>
        <w:t xml:space="preserve"> </w:t>
      </w:r>
      <w:r w:rsidR="00EE27B4">
        <w:rPr>
          <w:rStyle w:val="fontstyle01"/>
          <w:rFonts w:eastAsiaTheme="majorEastAsia"/>
          <w:color w:val="000000" w:themeColor="text1"/>
          <w:sz w:val="32"/>
          <w:szCs w:val="32"/>
        </w:rPr>
        <w:tab/>
      </w:r>
      <w:r w:rsidR="00EE27B4">
        <w:rPr>
          <w:rStyle w:val="fontstyle01"/>
          <w:rFonts w:eastAsiaTheme="majorEastAsia"/>
          <w:color w:val="000000" w:themeColor="text1"/>
          <w:sz w:val="32"/>
          <w:szCs w:val="32"/>
        </w:rPr>
        <w:tab/>
      </w:r>
      <w:r w:rsidR="00EE27B4">
        <w:rPr>
          <w:rStyle w:val="fontstyle01"/>
          <w:rFonts w:eastAsiaTheme="majorEastAsia"/>
          <w:color w:val="000000" w:themeColor="text1"/>
          <w:sz w:val="32"/>
          <w:szCs w:val="32"/>
        </w:rPr>
        <w:tab/>
      </w:r>
      <w:r w:rsidR="00EE27B4">
        <w:rPr>
          <w:rStyle w:val="fontstyle01"/>
          <w:rFonts w:eastAsiaTheme="majorEastAsia"/>
          <w:color w:val="000000" w:themeColor="text1"/>
          <w:sz w:val="32"/>
          <w:szCs w:val="32"/>
        </w:rPr>
        <w:tab/>
        <w:t xml:space="preserve">   </w:t>
      </w:r>
      <w:r w:rsidR="003B2E14" w:rsidRPr="00EE27B4">
        <w:rPr>
          <w:rStyle w:val="fontstyle01"/>
          <w:rFonts w:eastAsiaTheme="majorEastAsia"/>
          <w:color w:val="000000" w:themeColor="text1"/>
          <w:sz w:val="32"/>
          <w:szCs w:val="32"/>
        </w:rPr>
        <w:t xml:space="preserve">Updated </w:t>
      </w:r>
      <w:r w:rsidR="00F329F4" w:rsidRPr="00EE27B4">
        <w:rPr>
          <w:rStyle w:val="fontstyle01"/>
          <w:rFonts w:eastAsiaTheme="majorEastAsia"/>
          <w:color w:val="000000" w:themeColor="text1"/>
          <w:sz w:val="32"/>
          <w:szCs w:val="32"/>
        </w:rPr>
        <w:t xml:space="preserve">May </w:t>
      </w:r>
      <w:r w:rsidR="007D7848" w:rsidRPr="00EE27B4">
        <w:rPr>
          <w:rStyle w:val="fontstyle01"/>
          <w:rFonts w:eastAsiaTheme="majorEastAsia"/>
          <w:color w:val="000000" w:themeColor="text1"/>
          <w:sz w:val="32"/>
          <w:szCs w:val="32"/>
        </w:rPr>
        <w:t>202</w:t>
      </w:r>
      <w:r w:rsidR="003B2E14" w:rsidRPr="00EE27B4">
        <w:rPr>
          <w:rStyle w:val="fontstyle01"/>
          <w:rFonts w:eastAsiaTheme="majorEastAsia"/>
          <w:color w:val="000000" w:themeColor="text1"/>
          <w:sz w:val="32"/>
          <w:szCs w:val="32"/>
        </w:rPr>
        <w:t>4</w:t>
      </w:r>
    </w:p>
    <w:sdt>
      <w:sdtPr>
        <w:rPr>
          <w:rFonts w:cs="Arial"/>
          <w:b/>
          <w:bCs/>
          <w:color w:val="00B050"/>
          <w:sz w:val="72"/>
          <w:szCs w:val="72"/>
        </w:rPr>
        <w:id w:val="-920713445"/>
        <w:docPartObj>
          <w:docPartGallery w:val="Table of Contents"/>
          <w:docPartUnique/>
        </w:docPartObj>
      </w:sdtPr>
      <w:sdtEndPr>
        <w:rPr>
          <w:noProof/>
        </w:rPr>
      </w:sdtEndPr>
      <w:sdtContent>
        <w:p w14:paraId="6B0CC742" w14:textId="77777777" w:rsidR="007D7848" w:rsidRPr="00AF74C1" w:rsidRDefault="007D7848" w:rsidP="007D7848">
          <w:pPr>
            <w:spacing w:after="200" w:line="276" w:lineRule="auto"/>
            <w:rPr>
              <w:rFonts w:cs="Arial"/>
              <w:b/>
              <w:bCs/>
              <w:color w:val="0073CF"/>
              <w:sz w:val="28"/>
              <w:szCs w:val="28"/>
            </w:rPr>
          </w:pPr>
          <w:r w:rsidRPr="00AF74C1">
            <w:rPr>
              <w:rFonts w:cs="Arial"/>
              <w:b/>
              <w:bCs/>
              <w:color w:val="0073CF"/>
              <w:sz w:val="28"/>
              <w:szCs w:val="28"/>
            </w:rPr>
            <w:t>Contents</w:t>
          </w:r>
        </w:p>
        <w:p w14:paraId="6B4974C2" w14:textId="39EB220F" w:rsidR="00B739FA" w:rsidRPr="00B739FA" w:rsidRDefault="00B739FA" w:rsidP="00B739FA">
          <w:pPr>
            <w:pStyle w:val="TOC1"/>
            <w:tabs>
              <w:tab w:val="left" w:pos="440"/>
              <w:tab w:val="right" w:leader="dot" w:pos="9628"/>
            </w:tabs>
            <w:spacing w:line="276" w:lineRule="auto"/>
            <w:rPr>
              <w:rFonts w:asciiTheme="minorHAnsi" w:eastAsiaTheme="minorEastAsia" w:hAnsiTheme="minorHAnsi" w:cstheme="minorBidi"/>
              <w:noProof/>
              <w:kern w:val="2"/>
              <w:sz w:val="22"/>
              <w:szCs w:val="22"/>
              <w14:ligatures w14:val="standardContextual"/>
            </w:rPr>
          </w:pPr>
          <w:r>
            <w:rPr>
              <w:rFonts w:cs="Arial"/>
            </w:rPr>
            <w:fldChar w:fldCharType="begin"/>
          </w:r>
          <w:r>
            <w:rPr>
              <w:rFonts w:cs="Arial"/>
            </w:rPr>
            <w:instrText xml:space="preserve"> TOC \o "1-1" \h \z \u </w:instrText>
          </w:r>
          <w:r>
            <w:rPr>
              <w:rFonts w:cs="Arial"/>
            </w:rPr>
            <w:fldChar w:fldCharType="separate"/>
          </w:r>
          <w:hyperlink w:anchor="_Toc167896091" w:history="1">
            <w:r w:rsidRPr="00B739FA">
              <w:rPr>
                <w:rStyle w:val="Hyperlink"/>
                <w:rFonts w:cs="Arial"/>
                <w:noProof/>
              </w:rPr>
              <w:t>1.</w:t>
            </w:r>
            <w:r w:rsidRPr="00B739FA">
              <w:rPr>
                <w:rFonts w:asciiTheme="minorHAnsi" w:eastAsiaTheme="minorEastAsia" w:hAnsiTheme="minorHAnsi" w:cstheme="minorBidi"/>
                <w:noProof/>
                <w:kern w:val="2"/>
                <w:sz w:val="22"/>
                <w:szCs w:val="22"/>
                <w14:ligatures w14:val="standardContextual"/>
              </w:rPr>
              <w:tab/>
            </w:r>
            <w:r w:rsidRPr="00B739FA">
              <w:rPr>
                <w:rStyle w:val="Hyperlink"/>
                <w:rFonts w:cs="Arial"/>
                <w:noProof/>
              </w:rPr>
              <w:t>Introduction</w:t>
            </w:r>
            <w:r w:rsidRPr="00B739FA">
              <w:rPr>
                <w:noProof/>
                <w:webHidden/>
              </w:rPr>
              <w:tab/>
            </w:r>
            <w:r w:rsidRPr="00B739FA">
              <w:rPr>
                <w:noProof/>
                <w:webHidden/>
              </w:rPr>
              <w:fldChar w:fldCharType="begin"/>
            </w:r>
            <w:r w:rsidRPr="00B739FA">
              <w:rPr>
                <w:noProof/>
                <w:webHidden/>
              </w:rPr>
              <w:instrText xml:space="preserve"> PAGEREF _Toc167896091 \h </w:instrText>
            </w:r>
            <w:r w:rsidRPr="00B739FA">
              <w:rPr>
                <w:noProof/>
                <w:webHidden/>
              </w:rPr>
            </w:r>
            <w:r w:rsidRPr="00B739FA">
              <w:rPr>
                <w:noProof/>
                <w:webHidden/>
              </w:rPr>
              <w:fldChar w:fldCharType="separate"/>
            </w:r>
            <w:r w:rsidRPr="00B739FA">
              <w:rPr>
                <w:noProof/>
                <w:webHidden/>
              </w:rPr>
              <w:t>3</w:t>
            </w:r>
            <w:r w:rsidRPr="00B739FA">
              <w:rPr>
                <w:noProof/>
                <w:webHidden/>
              </w:rPr>
              <w:fldChar w:fldCharType="end"/>
            </w:r>
          </w:hyperlink>
        </w:p>
        <w:p w14:paraId="7C1136E6" w14:textId="7AFAC0DA" w:rsidR="00B739FA" w:rsidRPr="00B739FA" w:rsidRDefault="00DA08C3" w:rsidP="00B739FA">
          <w:pPr>
            <w:pStyle w:val="TOC1"/>
            <w:tabs>
              <w:tab w:val="left" w:pos="440"/>
              <w:tab w:val="right" w:leader="dot" w:pos="9628"/>
            </w:tabs>
            <w:spacing w:line="276" w:lineRule="auto"/>
            <w:rPr>
              <w:rFonts w:asciiTheme="minorHAnsi" w:eastAsiaTheme="minorEastAsia" w:hAnsiTheme="minorHAnsi" w:cstheme="minorBidi"/>
              <w:noProof/>
              <w:kern w:val="2"/>
              <w:sz w:val="22"/>
              <w:szCs w:val="22"/>
              <w14:ligatures w14:val="standardContextual"/>
            </w:rPr>
          </w:pPr>
          <w:hyperlink w:anchor="_Toc167896092" w:history="1">
            <w:r w:rsidR="00B739FA" w:rsidRPr="00B739FA">
              <w:rPr>
                <w:rStyle w:val="Hyperlink"/>
                <w:rFonts w:cs="Arial"/>
                <w:noProof/>
              </w:rPr>
              <w:t>2.</w:t>
            </w:r>
            <w:r w:rsidR="00B739FA" w:rsidRPr="00B739FA">
              <w:rPr>
                <w:rFonts w:asciiTheme="minorHAnsi" w:eastAsiaTheme="minorEastAsia" w:hAnsiTheme="minorHAnsi" w:cstheme="minorBidi"/>
                <w:noProof/>
                <w:kern w:val="2"/>
                <w:sz w:val="22"/>
                <w:szCs w:val="22"/>
                <w14:ligatures w14:val="standardContextual"/>
              </w:rPr>
              <w:tab/>
            </w:r>
            <w:r w:rsidR="00B739FA" w:rsidRPr="00B739FA">
              <w:rPr>
                <w:rStyle w:val="Hyperlink"/>
                <w:rFonts w:cs="Arial"/>
                <w:noProof/>
              </w:rPr>
              <w:t>Background</w:t>
            </w:r>
            <w:r w:rsidR="00B739FA" w:rsidRPr="00B739FA">
              <w:rPr>
                <w:noProof/>
                <w:webHidden/>
              </w:rPr>
              <w:tab/>
            </w:r>
            <w:r w:rsidR="00B739FA" w:rsidRPr="00B739FA">
              <w:rPr>
                <w:noProof/>
                <w:webHidden/>
              </w:rPr>
              <w:fldChar w:fldCharType="begin"/>
            </w:r>
            <w:r w:rsidR="00B739FA" w:rsidRPr="00B739FA">
              <w:rPr>
                <w:noProof/>
                <w:webHidden/>
              </w:rPr>
              <w:instrText xml:space="preserve"> PAGEREF _Toc167896092 \h </w:instrText>
            </w:r>
            <w:r w:rsidR="00B739FA" w:rsidRPr="00B739FA">
              <w:rPr>
                <w:noProof/>
                <w:webHidden/>
              </w:rPr>
            </w:r>
            <w:r w:rsidR="00B739FA" w:rsidRPr="00B739FA">
              <w:rPr>
                <w:noProof/>
                <w:webHidden/>
              </w:rPr>
              <w:fldChar w:fldCharType="separate"/>
            </w:r>
            <w:r w:rsidR="00B739FA" w:rsidRPr="00B739FA">
              <w:rPr>
                <w:noProof/>
                <w:webHidden/>
              </w:rPr>
              <w:t>3</w:t>
            </w:r>
            <w:r w:rsidR="00B739FA" w:rsidRPr="00B739FA">
              <w:rPr>
                <w:noProof/>
                <w:webHidden/>
              </w:rPr>
              <w:fldChar w:fldCharType="end"/>
            </w:r>
          </w:hyperlink>
        </w:p>
        <w:p w14:paraId="3B7422A5" w14:textId="2160893B" w:rsidR="00B739FA" w:rsidRPr="00B739FA" w:rsidRDefault="00DA08C3" w:rsidP="00B739FA">
          <w:pPr>
            <w:pStyle w:val="TOC1"/>
            <w:tabs>
              <w:tab w:val="left" w:pos="440"/>
              <w:tab w:val="right" w:leader="dot" w:pos="9628"/>
            </w:tabs>
            <w:spacing w:line="276" w:lineRule="auto"/>
            <w:rPr>
              <w:rFonts w:asciiTheme="minorHAnsi" w:eastAsiaTheme="minorEastAsia" w:hAnsiTheme="minorHAnsi" w:cstheme="minorBidi"/>
              <w:noProof/>
              <w:kern w:val="2"/>
              <w:sz w:val="22"/>
              <w:szCs w:val="22"/>
              <w14:ligatures w14:val="standardContextual"/>
            </w:rPr>
          </w:pPr>
          <w:hyperlink w:anchor="_Toc167896093" w:history="1">
            <w:r w:rsidR="00B739FA" w:rsidRPr="00B739FA">
              <w:rPr>
                <w:rStyle w:val="Hyperlink"/>
                <w:rFonts w:cs="Arial"/>
                <w:noProof/>
              </w:rPr>
              <w:t>3.</w:t>
            </w:r>
            <w:r w:rsidR="00B739FA" w:rsidRPr="00B739FA">
              <w:rPr>
                <w:rFonts w:asciiTheme="minorHAnsi" w:eastAsiaTheme="minorEastAsia" w:hAnsiTheme="minorHAnsi" w:cstheme="minorBidi"/>
                <w:noProof/>
                <w:kern w:val="2"/>
                <w:sz w:val="22"/>
                <w:szCs w:val="22"/>
                <w14:ligatures w14:val="standardContextual"/>
              </w:rPr>
              <w:tab/>
            </w:r>
            <w:r w:rsidR="00B739FA" w:rsidRPr="00B739FA">
              <w:rPr>
                <w:rStyle w:val="Hyperlink"/>
                <w:rFonts w:cs="Arial"/>
                <w:noProof/>
              </w:rPr>
              <w:t>Delivering Strategic Development in Southbourne</w:t>
            </w:r>
            <w:r w:rsidR="00B739FA" w:rsidRPr="00B739FA">
              <w:rPr>
                <w:noProof/>
                <w:webHidden/>
              </w:rPr>
              <w:tab/>
            </w:r>
            <w:r w:rsidR="00B739FA" w:rsidRPr="00B739FA">
              <w:rPr>
                <w:noProof/>
                <w:webHidden/>
              </w:rPr>
              <w:fldChar w:fldCharType="begin"/>
            </w:r>
            <w:r w:rsidR="00B739FA" w:rsidRPr="00B739FA">
              <w:rPr>
                <w:noProof/>
                <w:webHidden/>
              </w:rPr>
              <w:instrText xml:space="preserve"> PAGEREF _Toc167896093 \h </w:instrText>
            </w:r>
            <w:r w:rsidR="00B739FA" w:rsidRPr="00B739FA">
              <w:rPr>
                <w:noProof/>
                <w:webHidden/>
              </w:rPr>
            </w:r>
            <w:r w:rsidR="00B739FA" w:rsidRPr="00B739FA">
              <w:rPr>
                <w:noProof/>
                <w:webHidden/>
              </w:rPr>
              <w:fldChar w:fldCharType="separate"/>
            </w:r>
            <w:r w:rsidR="00B739FA" w:rsidRPr="00B739FA">
              <w:rPr>
                <w:noProof/>
                <w:webHidden/>
              </w:rPr>
              <w:t>5</w:t>
            </w:r>
            <w:r w:rsidR="00B739FA" w:rsidRPr="00B739FA">
              <w:rPr>
                <w:noProof/>
                <w:webHidden/>
              </w:rPr>
              <w:fldChar w:fldCharType="end"/>
            </w:r>
          </w:hyperlink>
        </w:p>
        <w:p w14:paraId="7161EEFA" w14:textId="14B0B20B" w:rsidR="00B739FA" w:rsidRPr="00B739FA" w:rsidRDefault="00DA08C3" w:rsidP="00B739FA">
          <w:pPr>
            <w:pStyle w:val="TOC1"/>
            <w:tabs>
              <w:tab w:val="left" w:pos="440"/>
              <w:tab w:val="right" w:leader="dot" w:pos="9628"/>
            </w:tabs>
            <w:spacing w:line="276" w:lineRule="auto"/>
            <w:rPr>
              <w:rFonts w:asciiTheme="minorHAnsi" w:eastAsiaTheme="minorEastAsia" w:hAnsiTheme="minorHAnsi" w:cstheme="minorBidi"/>
              <w:noProof/>
              <w:kern w:val="2"/>
              <w:sz w:val="22"/>
              <w:szCs w:val="22"/>
              <w14:ligatures w14:val="standardContextual"/>
            </w:rPr>
          </w:pPr>
          <w:hyperlink w:anchor="_Toc167896094" w:history="1">
            <w:r w:rsidR="00B739FA" w:rsidRPr="00B739FA">
              <w:rPr>
                <w:rStyle w:val="Hyperlink"/>
                <w:rFonts w:cs="Arial"/>
                <w:noProof/>
              </w:rPr>
              <w:t>4.</w:t>
            </w:r>
            <w:r w:rsidR="00B739FA" w:rsidRPr="00B739FA">
              <w:rPr>
                <w:rFonts w:asciiTheme="minorHAnsi" w:eastAsiaTheme="minorEastAsia" w:hAnsiTheme="minorHAnsi" w:cstheme="minorBidi"/>
                <w:noProof/>
                <w:kern w:val="2"/>
                <w:sz w:val="22"/>
                <w:szCs w:val="22"/>
                <w14:ligatures w14:val="standardContextual"/>
              </w:rPr>
              <w:tab/>
            </w:r>
            <w:r w:rsidR="00B739FA" w:rsidRPr="00B739FA">
              <w:rPr>
                <w:rStyle w:val="Hyperlink"/>
                <w:rFonts w:cs="Arial"/>
                <w:noProof/>
              </w:rPr>
              <w:t>How The BLD Boundary As Identified</w:t>
            </w:r>
            <w:r w:rsidR="00B739FA" w:rsidRPr="00B739FA">
              <w:rPr>
                <w:noProof/>
                <w:webHidden/>
              </w:rPr>
              <w:tab/>
            </w:r>
            <w:r w:rsidR="00B739FA" w:rsidRPr="00B739FA">
              <w:rPr>
                <w:noProof/>
                <w:webHidden/>
              </w:rPr>
              <w:fldChar w:fldCharType="begin"/>
            </w:r>
            <w:r w:rsidR="00B739FA" w:rsidRPr="00B739FA">
              <w:rPr>
                <w:noProof/>
                <w:webHidden/>
              </w:rPr>
              <w:instrText xml:space="preserve"> PAGEREF _Toc167896094 \h </w:instrText>
            </w:r>
            <w:r w:rsidR="00B739FA" w:rsidRPr="00B739FA">
              <w:rPr>
                <w:noProof/>
                <w:webHidden/>
              </w:rPr>
            </w:r>
            <w:r w:rsidR="00B739FA" w:rsidRPr="00B739FA">
              <w:rPr>
                <w:noProof/>
                <w:webHidden/>
              </w:rPr>
              <w:fldChar w:fldCharType="separate"/>
            </w:r>
            <w:r w:rsidR="00B739FA" w:rsidRPr="00B739FA">
              <w:rPr>
                <w:noProof/>
                <w:webHidden/>
              </w:rPr>
              <w:t>7</w:t>
            </w:r>
            <w:r w:rsidR="00B739FA" w:rsidRPr="00B739FA">
              <w:rPr>
                <w:noProof/>
                <w:webHidden/>
              </w:rPr>
              <w:fldChar w:fldCharType="end"/>
            </w:r>
          </w:hyperlink>
        </w:p>
        <w:p w14:paraId="5519E142" w14:textId="3B2346D8" w:rsidR="00B739FA" w:rsidRPr="00B739FA" w:rsidRDefault="00DA08C3" w:rsidP="00B739FA">
          <w:pPr>
            <w:pStyle w:val="TOC1"/>
            <w:tabs>
              <w:tab w:val="left" w:pos="440"/>
              <w:tab w:val="right" w:leader="dot" w:pos="9628"/>
            </w:tabs>
            <w:spacing w:line="276" w:lineRule="auto"/>
            <w:rPr>
              <w:rFonts w:asciiTheme="minorHAnsi" w:eastAsiaTheme="minorEastAsia" w:hAnsiTheme="minorHAnsi" w:cstheme="minorBidi"/>
              <w:noProof/>
              <w:kern w:val="2"/>
              <w:sz w:val="22"/>
              <w:szCs w:val="22"/>
              <w14:ligatures w14:val="standardContextual"/>
            </w:rPr>
          </w:pPr>
          <w:hyperlink w:anchor="_Toc167896095" w:history="1">
            <w:r w:rsidR="00B739FA" w:rsidRPr="00B739FA">
              <w:rPr>
                <w:rStyle w:val="Hyperlink"/>
                <w:rFonts w:cs="Arial"/>
                <w:noProof/>
              </w:rPr>
              <w:t>5.</w:t>
            </w:r>
            <w:r w:rsidR="00B739FA" w:rsidRPr="00B739FA">
              <w:rPr>
                <w:rFonts w:asciiTheme="minorHAnsi" w:eastAsiaTheme="minorEastAsia" w:hAnsiTheme="minorHAnsi" w:cstheme="minorBidi"/>
                <w:noProof/>
                <w:kern w:val="2"/>
                <w:sz w:val="22"/>
                <w:szCs w:val="22"/>
                <w14:ligatures w14:val="standardContextual"/>
              </w:rPr>
              <w:tab/>
            </w:r>
            <w:r w:rsidR="00B739FA" w:rsidRPr="00B739FA">
              <w:rPr>
                <w:rStyle w:val="Hyperlink"/>
                <w:rFonts w:cs="Arial"/>
                <w:noProof/>
              </w:rPr>
              <w:t>BLD Availability And Deliverability</w:t>
            </w:r>
            <w:r w:rsidR="00B739FA" w:rsidRPr="00B739FA">
              <w:rPr>
                <w:noProof/>
                <w:webHidden/>
              </w:rPr>
              <w:tab/>
            </w:r>
            <w:r w:rsidR="00B739FA" w:rsidRPr="00B739FA">
              <w:rPr>
                <w:noProof/>
                <w:webHidden/>
              </w:rPr>
              <w:fldChar w:fldCharType="begin"/>
            </w:r>
            <w:r w:rsidR="00B739FA" w:rsidRPr="00B739FA">
              <w:rPr>
                <w:noProof/>
                <w:webHidden/>
              </w:rPr>
              <w:instrText xml:space="preserve"> PAGEREF _Toc167896095 \h </w:instrText>
            </w:r>
            <w:r w:rsidR="00B739FA" w:rsidRPr="00B739FA">
              <w:rPr>
                <w:noProof/>
                <w:webHidden/>
              </w:rPr>
            </w:r>
            <w:r w:rsidR="00B739FA" w:rsidRPr="00B739FA">
              <w:rPr>
                <w:noProof/>
                <w:webHidden/>
              </w:rPr>
              <w:fldChar w:fldCharType="separate"/>
            </w:r>
            <w:r w:rsidR="00B739FA" w:rsidRPr="00B739FA">
              <w:rPr>
                <w:noProof/>
                <w:webHidden/>
              </w:rPr>
              <w:t>9</w:t>
            </w:r>
            <w:r w:rsidR="00B739FA" w:rsidRPr="00B739FA">
              <w:rPr>
                <w:noProof/>
                <w:webHidden/>
              </w:rPr>
              <w:fldChar w:fldCharType="end"/>
            </w:r>
          </w:hyperlink>
        </w:p>
        <w:p w14:paraId="5CE3854E" w14:textId="031455A1" w:rsidR="00B739FA" w:rsidRPr="00B739FA" w:rsidRDefault="00DA08C3" w:rsidP="00B739FA">
          <w:pPr>
            <w:pStyle w:val="TOC1"/>
            <w:tabs>
              <w:tab w:val="left" w:pos="440"/>
              <w:tab w:val="right" w:leader="dot" w:pos="9628"/>
            </w:tabs>
            <w:spacing w:line="276" w:lineRule="auto"/>
            <w:rPr>
              <w:rFonts w:asciiTheme="minorHAnsi" w:eastAsiaTheme="minorEastAsia" w:hAnsiTheme="minorHAnsi" w:cstheme="minorBidi"/>
              <w:noProof/>
              <w:kern w:val="2"/>
              <w:sz w:val="22"/>
              <w:szCs w:val="22"/>
              <w14:ligatures w14:val="standardContextual"/>
            </w:rPr>
          </w:pPr>
          <w:hyperlink w:anchor="_Toc167896096" w:history="1">
            <w:r w:rsidR="00B739FA" w:rsidRPr="00B739FA">
              <w:rPr>
                <w:rStyle w:val="Hyperlink"/>
                <w:rFonts w:cs="Arial"/>
                <w:noProof/>
              </w:rPr>
              <w:t>6.</w:t>
            </w:r>
            <w:r w:rsidR="00B739FA" w:rsidRPr="00B739FA">
              <w:rPr>
                <w:rFonts w:asciiTheme="minorHAnsi" w:eastAsiaTheme="minorEastAsia" w:hAnsiTheme="minorHAnsi" w:cstheme="minorBidi"/>
                <w:noProof/>
                <w:kern w:val="2"/>
                <w:sz w:val="22"/>
                <w:szCs w:val="22"/>
                <w14:ligatures w14:val="standardContextual"/>
              </w:rPr>
              <w:tab/>
            </w:r>
            <w:r w:rsidR="00B739FA" w:rsidRPr="00B739FA">
              <w:rPr>
                <w:rStyle w:val="Hyperlink"/>
                <w:rFonts w:cs="Arial"/>
                <w:noProof/>
              </w:rPr>
              <w:t>BLD Capacity</w:t>
            </w:r>
            <w:r w:rsidR="00B739FA" w:rsidRPr="00B739FA">
              <w:rPr>
                <w:noProof/>
                <w:webHidden/>
              </w:rPr>
              <w:tab/>
            </w:r>
            <w:r w:rsidR="00B739FA" w:rsidRPr="00B739FA">
              <w:rPr>
                <w:noProof/>
                <w:webHidden/>
              </w:rPr>
              <w:fldChar w:fldCharType="begin"/>
            </w:r>
            <w:r w:rsidR="00B739FA" w:rsidRPr="00B739FA">
              <w:rPr>
                <w:noProof/>
                <w:webHidden/>
              </w:rPr>
              <w:instrText xml:space="preserve"> PAGEREF _Toc167896096 \h </w:instrText>
            </w:r>
            <w:r w:rsidR="00B739FA" w:rsidRPr="00B739FA">
              <w:rPr>
                <w:noProof/>
                <w:webHidden/>
              </w:rPr>
            </w:r>
            <w:r w:rsidR="00B739FA" w:rsidRPr="00B739FA">
              <w:rPr>
                <w:noProof/>
                <w:webHidden/>
              </w:rPr>
              <w:fldChar w:fldCharType="separate"/>
            </w:r>
            <w:r w:rsidR="00B739FA" w:rsidRPr="00B739FA">
              <w:rPr>
                <w:noProof/>
                <w:webHidden/>
              </w:rPr>
              <w:t>10</w:t>
            </w:r>
            <w:r w:rsidR="00B739FA" w:rsidRPr="00B739FA">
              <w:rPr>
                <w:noProof/>
                <w:webHidden/>
              </w:rPr>
              <w:fldChar w:fldCharType="end"/>
            </w:r>
          </w:hyperlink>
        </w:p>
        <w:p w14:paraId="1F7DE37F" w14:textId="73239859" w:rsidR="00B739FA" w:rsidRPr="00B739FA" w:rsidRDefault="00DA08C3" w:rsidP="00B739FA">
          <w:pPr>
            <w:pStyle w:val="TOC1"/>
            <w:tabs>
              <w:tab w:val="left" w:pos="440"/>
              <w:tab w:val="right" w:leader="dot" w:pos="9628"/>
            </w:tabs>
            <w:spacing w:line="276" w:lineRule="auto"/>
            <w:rPr>
              <w:rFonts w:asciiTheme="minorHAnsi" w:eastAsiaTheme="minorEastAsia" w:hAnsiTheme="minorHAnsi" w:cstheme="minorBidi"/>
              <w:noProof/>
              <w:kern w:val="2"/>
              <w:sz w:val="22"/>
              <w:szCs w:val="22"/>
              <w14:ligatures w14:val="standardContextual"/>
            </w:rPr>
          </w:pPr>
          <w:hyperlink w:anchor="_Toc167896097" w:history="1">
            <w:r w:rsidR="00B739FA" w:rsidRPr="00B739FA">
              <w:rPr>
                <w:rStyle w:val="Hyperlink"/>
                <w:rFonts w:cs="Arial"/>
                <w:noProof/>
              </w:rPr>
              <w:t>7.</w:t>
            </w:r>
            <w:r w:rsidR="00B739FA" w:rsidRPr="00B739FA">
              <w:rPr>
                <w:rFonts w:asciiTheme="minorHAnsi" w:eastAsiaTheme="minorEastAsia" w:hAnsiTheme="minorHAnsi" w:cstheme="minorBidi"/>
                <w:noProof/>
                <w:kern w:val="2"/>
                <w:sz w:val="22"/>
                <w:szCs w:val="22"/>
                <w14:ligatures w14:val="standardContextual"/>
              </w:rPr>
              <w:tab/>
            </w:r>
            <w:r w:rsidR="00B739FA" w:rsidRPr="00B739FA">
              <w:rPr>
                <w:rStyle w:val="Hyperlink"/>
                <w:rFonts w:cs="Arial"/>
                <w:noProof/>
              </w:rPr>
              <w:t>Delivery</w:t>
            </w:r>
            <w:r w:rsidR="00B739FA" w:rsidRPr="00B739FA">
              <w:rPr>
                <w:noProof/>
                <w:webHidden/>
              </w:rPr>
              <w:tab/>
            </w:r>
            <w:r w:rsidR="00B739FA" w:rsidRPr="00B739FA">
              <w:rPr>
                <w:noProof/>
                <w:webHidden/>
              </w:rPr>
              <w:fldChar w:fldCharType="begin"/>
            </w:r>
            <w:r w:rsidR="00B739FA" w:rsidRPr="00B739FA">
              <w:rPr>
                <w:noProof/>
                <w:webHidden/>
              </w:rPr>
              <w:instrText xml:space="preserve"> PAGEREF _Toc167896097 \h </w:instrText>
            </w:r>
            <w:r w:rsidR="00B739FA" w:rsidRPr="00B739FA">
              <w:rPr>
                <w:noProof/>
                <w:webHidden/>
              </w:rPr>
            </w:r>
            <w:r w:rsidR="00B739FA" w:rsidRPr="00B739FA">
              <w:rPr>
                <w:noProof/>
                <w:webHidden/>
              </w:rPr>
              <w:fldChar w:fldCharType="separate"/>
            </w:r>
            <w:r w:rsidR="00B739FA" w:rsidRPr="00B739FA">
              <w:rPr>
                <w:noProof/>
                <w:webHidden/>
              </w:rPr>
              <w:t>11</w:t>
            </w:r>
            <w:r w:rsidR="00B739FA" w:rsidRPr="00B739FA">
              <w:rPr>
                <w:noProof/>
                <w:webHidden/>
              </w:rPr>
              <w:fldChar w:fldCharType="end"/>
            </w:r>
          </w:hyperlink>
        </w:p>
        <w:p w14:paraId="3B8D30AA" w14:textId="0BE45319" w:rsidR="00B739FA" w:rsidRPr="00B739FA" w:rsidRDefault="00DA08C3" w:rsidP="00B739FA">
          <w:pPr>
            <w:pStyle w:val="TOC1"/>
            <w:tabs>
              <w:tab w:val="left" w:pos="440"/>
              <w:tab w:val="right" w:leader="dot" w:pos="9628"/>
            </w:tabs>
            <w:spacing w:line="276" w:lineRule="auto"/>
            <w:rPr>
              <w:rFonts w:asciiTheme="minorHAnsi" w:eastAsiaTheme="minorEastAsia" w:hAnsiTheme="minorHAnsi" w:cstheme="minorBidi"/>
              <w:noProof/>
              <w:kern w:val="2"/>
              <w:sz w:val="22"/>
              <w:szCs w:val="22"/>
              <w14:ligatures w14:val="standardContextual"/>
            </w:rPr>
          </w:pPr>
          <w:hyperlink w:anchor="_Toc167896098" w:history="1">
            <w:r w:rsidR="00B739FA" w:rsidRPr="00B739FA">
              <w:rPr>
                <w:rStyle w:val="Hyperlink"/>
                <w:rFonts w:cs="Arial"/>
                <w:noProof/>
              </w:rPr>
              <w:t>8.</w:t>
            </w:r>
            <w:r w:rsidR="00B739FA" w:rsidRPr="00B739FA">
              <w:rPr>
                <w:rFonts w:asciiTheme="minorHAnsi" w:eastAsiaTheme="minorEastAsia" w:hAnsiTheme="minorHAnsi" w:cstheme="minorBidi"/>
                <w:noProof/>
                <w:kern w:val="2"/>
                <w:sz w:val="22"/>
                <w:szCs w:val="22"/>
                <w14:ligatures w14:val="standardContextual"/>
              </w:rPr>
              <w:tab/>
            </w:r>
            <w:r w:rsidR="00B739FA" w:rsidRPr="00B739FA">
              <w:rPr>
                <w:rStyle w:val="Hyperlink"/>
                <w:rFonts w:cs="Arial"/>
                <w:noProof/>
              </w:rPr>
              <w:t>Policy Considerations</w:t>
            </w:r>
            <w:r w:rsidR="00B739FA" w:rsidRPr="00B739FA">
              <w:rPr>
                <w:noProof/>
                <w:webHidden/>
              </w:rPr>
              <w:tab/>
            </w:r>
            <w:r w:rsidR="00B739FA" w:rsidRPr="00B739FA">
              <w:rPr>
                <w:noProof/>
                <w:webHidden/>
              </w:rPr>
              <w:fldChar w:fldCharType="begin"/>
            </w:r>
            <w:r w:rsidR="00B739FA" w:rsidRPr="00B739FA">
              <w:rPr>
                <w:noProof/>
                <w:webHidden/>
              </w:rPr>
              <w:instrText xml:space="preserve"> PAGEREF _Toc167896098 \h </w:instrText>
            </w:r>
            <w:r w:rsidR="00B739FA" w:rsidRPr="00B739FA">
              <w:rPr>
                <w:noProof/>
                <w:webHidden/>
              </w:rPr>
            </w:r>
            <w:r w:rsidR="00B739FA" w:rsidRPr="00B739FA">
              <w:rPr>
                <w:noProof/>
                <w:webHidden/>
              </w:rPr>
              <w:fldChar w:fldCharType="separate"/>
            </w:r>
            <w:r w:rsidR="00B739FA" w:rsidRPr="00B739FA">
              <w:rPr>
                <w:noProof/>
                <w:webHidden/>
              </w:rPr>
              <w:t>11</w:t>
            </w:r>
            <w:r w:rsidR="00B739FA" w:rsidRPr="00B739FA">
              <w:rPr>
                <w:noProof/>
                <w:webHidden/>
              </w:rPr>
              <w:fldChar w:fldCharType="end"/>
            </w:r>
          </w:hyperlink>
        </w:p>
        <w:p w14:paraId="3290C612" w14:textId="6B851787" w:rsidR="00B739FA" w:rsidRPr="00B739FA" w:rsidRDefault="00DA08C3" w:rsidP="00B739FA">
          <w:pPr>
            <w:pStyle w:val="TOC1"/>
            <w:tabs>
              <w:tab w:val="right" w:leader="dot" w:pos="9628"/>
            </w:tabs>
            <w:spacing w:line="276" w:lineRule="auto"/>
            <w:rPr>
              <w:rFonts w:asciiTheme="minorHAnsi" w:eastAsiaTheme="minorEastAsia" w:hAnsiTheme="minorHAnsi" w:cstheme="minorBidi"/>
              <w:noProof/>
              <w:kern w:val="2"/>
              <w:sz w:val="22"/>
              <w:szCs w:val="22"/>
              <w14:ligatures w14:val="standardContextual"/>
            </w:rPr>
          </w:pPr>
          <w:hyperlink w:anchor="_Toc167896099" w:history="1">
            <w:r w:rsidR="00B739FA" w:rsidRPr="00B739FA">
              <w:rPr>
                <w:rStyle w:val="Hyperlink"/>
                <w:rFonts w:cs="Arial"/>
                <w:noProof/>
              </w:rPr>
              <w:t>Appendix 1 – HELAA (2021) sites in Southbourne Parish</w:t>
            </w:r>
            <w:r w:rsidR="00B739FA" w:rsidRPr="00B739FA">
              <w:rPr>
                <w:noProof/>
                <w:webHidden/>
              </w:rPr>
              <w:tab/>
            </w:r>
            <w:r w:rsidR="00B739FA" w:rsidRPr="00B739FA">
              <w:rPr>
                <w:noProof/>
                <w:webHidden/>
              </w:rPr>
              <w:fldChar w:fldCharType="begin"/>
            </w:r>
            <w:r w:rsidR="00B739FA" w:rsidRPr="00B739FA">
              <w:rPr>
                <w:noProof/>
                <w:webHidden/>
              </w:rPr>
              <w:instrText xml:space="preserve"> PAGEREF _Toc167896099 \h </w:instrText>
            </w:r>
            <w:r w:rsidR="00B739FA" w:rsidRPr="00B739FA">
              <w:rPr>
                <w:noProof/>
                <w:webHidden/>
              </w:rPr>
            </w:r>
            <w:r w:rsidR="00B739FA" w:rsidRPr="00B739FA">
              <w:rPr>
                <w:noProof/>
                <w:webHidden/>
              </w:rPr>
              <w:fldChar w:fldCharType="separate"/>
            </w:r>
            <w:r w:rsidR="00B739FA" w:rsidRPr="00B739FA">
              <w:rPr>
                <w:noProof/>
                <w:webHidden/>
              </w:rPr>
              <w:t>13</w:t>
            </w:r>
            <w:r w:rsidR="00B739FA" w:rsidRPr="00B739FA">
              <w:rPr>
                <w:noProof/>
                <w:webHidden/>
              </w:rPr>
              <w:fldChar w:fldCharType="end"/>
            </w:r>
          </w:hyperlink>
        </w:p>
        <w:p w14:paraId="770B71FC" w14:textId="5ACC223B" w:rsidR="00B739FA" w:rsidRPr="00B739FA" w:rsidRDefault="00DA08C3" w:rsidP="00B739FA">
          <w:pPr>
            <w:pStyle w:val="TOC1"/>
            <w:tabs>
              <w:tab w:val="right" w:leader="dot" w:pos="9628"/>
            </w:tabs>
            <w:spacing w:line="276" w:lineRule="auto"/>
            <w:rPr>
              <w:rFonts w:asciiTheme="minorHAnsi" w:eastAsiaTheme="minorEastAsia" w:hAnsiTheme="minorHAnsi" w:cstheme="minorBidi"/>
              <w:noProof/>
              <w:kern w:val="2"/>
              <w:sz w:val="22"/>
              <w:szCs w:val="22"/>
              <w14:ligatures w14:val="standardContextual"/>
            </w:rPr>
          </w:pPr>
          <w:hyperlink w:anchor="_Toc167896100" w:history="1">
            <w:r w:rsidR="00B739FA" w:rsidRPr="00B739FA">
              <w:rPr>
                <w:rStyle w:val="Hyperlink"/>
                <w:rFonts w:cs="Arial"/>
                <w:noProof/>
              </w:rPr>
              <w:t>Appendix 2 – Proposed extent of BLD</w:t>
            </w:r>
            <w:r w:rsidR="00B739FA" w:rsidRPr="00B739FA">
              <w:rPr>
                <w:noProof/>
                <w:webHidden/>
              </w:rPr>
              <w:tab/>
            </w:r>
            <w:r w:rsidR="00B739FA" w:rsidRPr="00B739FA">
              <w:rPr>
                <w:noProof/>
                <w:webHidden/>
              </w:rPr>
              <w:fldChar w:fldCharType="begin"/>
            </w:r>
            <w:r w:rsidR="00B739FA" w:rsidRPr="00B739FA">
              <w:rPr>
                <w:noProof/>
                <w:webHidden/>
              </w:rPr>
              <w:instrText xml:space="preserve"> PAGEREF _Toc167896100 \h </w:instrText>
            </w:r>
            <w:r w:rsidR="00B739FA" w:rsidRPr="00B739FA">
              <w:rPr>
                <w:noProof/>
                <w:webHidden/>
              </w:rPr>
            </w:r>
            <w:r w:rsidR="00B739FA" w:rsidRPr="00B739FA">
              <w:rPr>
                <w:noProof/>
                <w:webHidden/>
              </w:rPr>
              <w:fldChar w:fldCharType="separate"/>
            </w:r>
            <w:r w:rsidR="00B739FA" w:rsidRPr="00B739FA">
              <w:rPr>
                <w:noProof/>
                <w:webHidden/>
              </w:rPr>
              <w:t>14</w:t>
            </w:r>
            <w:r w:rsidR="00B739FA" w:rsidRPr="00B739FA">
              <w:rPr>
                <w:noProof/>
                <w:webHidden/>
              </w:rPr>
              <w:fldChar w:fldCharType="end"/>
            </w:r>
          </w:hyperlink>
        </w:p>
        <w:p w14:paraId="0D20BB66" w14:textId="0CC24DC6" w:rsidR="00B739FA" w:rsidRPr="00B739FA" w:rsidRDefault="00DA08C3" w:rsidP="00B739FA">
          <w:pPr>
            <w:pStyle w:val="TOC1"/>
            <w:tabs>
              <w:tab w:val="right" w:leader="dot" w:pos="9628"/>
            </w:tabs>
            <w:spacing w:line="276" w:lineRule="auto"/>
            <w:rPr>
              <w:rFonts w:asciiTheme="minorHAnsi" w:eastAsiaTheme="minorEastAsia" w:hAnsiTheme="minorHAnsi" w:cstheme="minorBidi"/>
              <w:noProof/>
              <w:kern w:val="2"/>
              <w:sz w:val="22"/>
              <w:szCs w:val="22"/>
              <w14:ligatures w14:val="standardContextual"/>
            </w:rPr>
          </w:pPr>
          <w:hyperlink w:anchor="_Toc167896101" w:history="1">
            <w:r w:rsidR="00B739FA" w:rsidRPr="00B739FA">
              <w:rPr>
                <w:rStyle w:val="Hyperlink"/>
                <w:rFonts w:cs="Arial"/>
                <w:noProof/>
              </w:rPr>
              <w:t>Appendix 3 - HELAA (2021) site capacities within BLD</w:t>
            </w:r>
            <w:r w:rsidR="00B739FA" w:rsidRPr="00B739FA">
              <w:rPr>
                <w:noProof/>
                <w:webHidden/>
              </w:rPr>
              <w:tab/>
            </w:r>
            <w:r w:rsidR="00B739FA" w:rsidRPr="00B739FA">
              <w:rPr>
                <w:noProof/>
                <w:webHidden/>
              </w:rPr>
              <w:fldChar w:fldCharType="begin"/>
            </w:r>
            <w:r w:rsidR="00B739FA" w:rsidRPr="00B739FA">
              <w:rPr>
                <w:noProof/>
                <w:webHidden/>
              </w:rPr>
              <w:instrText xml:space="preserve"> PAGEREF _Toc167896101 \h </w:instrText>
            </w:r>
            <w:r w:rsidR="00B739FA" w:rsidRPr="00B739FA">
              <w:rPr>
                <w:noProof/>
                <w:webHidden/>
              </w:rPr>
            </w:r>
            <w:r w:rsidR="00B739FA" w:rsidRPr="00B739FA">
              <w:rPr>
                <w:noProof/>
                <w:webHidden/>
              </w:rPr>
              <w:fldChar w:fldCharType="separate"/>
            </w:r>
            <w:r w:rsidR="00B739FA" w:rsidRPr="00B739FA">
              <w:rPr>
                <w:noProof/>
                <w:webHidden/>
              </w:rPr>
              <w:t>15</w:t>
            </w:r>
            <w:r w:rsidR="00B739FA" w:rsidRPr="00B739FA">
              <w:rPr>
                <w:noProof/>
                <w:webHidden/>
              </w:rPr>
              <w:fldChar w:fldCharType="end"/>
            </w:r>
          </w:hyperlink>
        </w:p>
        <w:p w14:paraId="3BC1EC6E" w14:textId="652E6617" w:rsidR="00B739FA" w:rsidRPr="00B739FA" w:rsidRDefault="00DA08C3" w:rsidP="00B739FA">
          <w:pPr>
            <w:pStyle w:val="TOC1"/>
            <w:tabs>
              <w:tab w:val="right" w:leader="dot" w:pos="9628"/>
            </w:tabs>
            <w:spacing w:line="276" w:lineRule="auto"/>
            <w:rPr>
              <w:rFonts w:asciiTheme="minorHAnsi" w:eastAsiaTheme="minorEastAsia" w:hAnsiTheme="minorHAnsi" w:cstheme="minorBidi"/>
              <w:noProof/>
              <w:kern w:val="2"/>
              <w:sz w:val="22"/>
              <w:szCs w:val="22"/>
              <w14:ligatures w14:val="standardContextual"/>
            </w:rPr>
          </w:pPr>
          <w:hyperlink w:anchor="_Toc167896102" w:history="1">
            <w:r w:rsidR="00B739FA" w:rsidRPr="00B739FA">
              <w:rPr>
                <w:rStyle w:val="Hyperlink"/>
                <w:rFonts w:cs="Arial"/>
                <w:noProof/>
              </w:rPr>
              <w:t>Appendix 4 – Southbourne BLD Policy A13</w:t>
            </w:r>
            <w:r w:rsidR="00B739FA" w:rsidRPr="00B739FA">
              <w:rPr>
                <w:noProof/>
                <w:webHidden/>
              </w:rPr>
              <w:tab/>
            </w:r>
            <w:r w:rsidR="00B739FA" w:rsidRPr="00B739FA">
              <w:rPr>
                <w:noProof/>
                <w:webHidden/>
              </w:rPr>
              <w:fldChar w:fldCharType="begin"/>
            </w:r>
            <w:r w:rsidR="00B739FA" w:rsidRPr="00B739FA">
              <w:rPr>
                <w:noProof/>
                <w:webHidden/>
              </w:rPr>
              <w:instrText xml:space="preserve"> PAGEREF _Toc167896102 \h </w:instrText>
            </w:r>
            <w:r w:rsidR="00B739FA" w:rsidRPr="00B739FA">
              <w:rPr>
                <w:noProof/>
                <w:webHidden/>
              </w:rPr>
            </w:r>
            <w:r w:rsidR="00B739FA" w:rsidRPr="00B739FA">
              <w:rPr>
                <w:noProof/>
                <w:webHidden/>
              </w:rPr>
              <w:fldChar w:fldCharType="separate"/>
            </w:r>
            <w:r w:rsidR="00B739FA" w:rsidRPr="00B739FA">
              <w:rPr>
                <w:noProof/>
                <w:webHidden/>
              </w:rPr>
              <w:t>16</w:t>
            </w:r>
            <w:r w:rsidR="00B739FA" w:rsidRPr="00B739FA">
              <w:rPr>
                <w:noProof/>
                <w:webHidden/>
              </w:rPr>
              <w:fldChar w:fldCharType="end"/>
            </w:r>
          </w:hyperlink>
        </w:p>
        <w:p w14:paraId="740EAAF0" w14:textId="19981087" w:rsidR="007D7848" w:rsidRDefault="00B739FA" w:rsidP="007D7848">
          <w:pPr>
            <w:rPr>
              <w:rFonts w:cs="Arial"/>
              <w:b/>
              <w:bCs/>
              <w:noProof/>
              <w:color w:val="00B050"/>
              <w:sz w:val="20"/>
              <w:szCs w:val="20"/>
            </w:rPr>
          </w:pPr>
          <w:r>
            <w:rPr>
              <w:rFonts w:cs="Arial"/>
            </w:rPr>
            <w:fldChar w:fldCharType="end"/>
          </w:r>
        </w:p>
      </w:sdtContent>
    </w:sdt>
    <w:p w14:paraId="4442D35E" w14:textId="52B3A346" w:rsidR="00FB5B50" w:rsidRDefault="00FB5B50" w:rsidP="007D7848">
      <w:pPr>
        <w:rPr>
          <w:rFonts w:cs="Arial"/>
          <w:b/>
          <w:bCs/>
          <w:noProof/>
          <w:color w:val="00B050"/>
          <w:sz w:val="20"/>
          <w:szCs w:val="20"/>
        </w:rPr>
      </w:pPr>
    </w:p>
    <w:p w14:paraId="508BA45F" w14:textId="182DB897" w:rsidR="00FB5B50" w:rsidRDefault="00FB5B50" w:rsidP="007D7848">
      <w:pPr>
        <w:rPr>
          <w:rFonts w:cs="Arial"/>
          <w:b/>
          <w:bCs/>
          <w:noProof/>
          <w:color w:val="00B050"/>
          <w:sz w:val="20"/>
          <w:szCs w:val="20"/>
        </w:rPr>
      </w:pPr>
    </w:p>
    <w:p w14:paraId="2D0F37CC" w14:textId="3BDC56C4" w:rsidR="00FB5B50" w:rsidRDefault="00FB5B50" w:rsidP="007D7848">
      <w:pPr>
        <w:rPr>
          <w:rFonts w:cs="Arial"/>
          <w:b/>
          <w:bCs/>
          <w:noProof/>
          <w:color w:val="00B050"/>
          <w:sz w:val="20"/>
          <w:szCs w:val="20"/>
        </w:rPr>
      </w:pPr>
    </w:p>
    <w:p w14:paraId="0EF965E3" w14:textId="10C67049" w:rsidR="00FB5B50" w:rsidRDefault="00FB5B50" w:rsidP="007D7848">
      <w:pPr>
        <w:rPr>
          <w:rFonts w:cs="Arial"/>
          <w:b/>
          <w:bCs/>
          <w:noProof/>
          <w:color w:val="00B050"/>
          <w:sz w:val="20"/>
          <w:szCs w:val="20"/>
        </w:rPr>
      </w:pPr>
    </w:p>
    <w:p w14:paraId="27CE6A8D" w14:textId="34DA6862" w:rsidR="00FB5B50" w:rsidRDefault="00FB5B50" w:rsidP="007D7848">
      <w:pPr>
        <w:rPr>
          <w:rFonts w:cs="Arial"/>
          <w:b/>
          <w:bCs/>
          <w:noProof/>
          <w:color w:val="00B050"/>
          <w:sz w:val="20"/>
          <w:szCs w:val="20"/>
        </w:rPr>
      </w:pPr>
    </w:p>
    <w:p w14:paraId="39E3442E" w14:textId="5EBB649D" w:rsidR="00FB5B50" w:rsidRDefault="00FB5B50" w:rsidP="007D7848">
      <w:pPr>
        <w:rPr>
          <w:rFonts w:cs="Arial"/>
          <w:b/>
          <w:bCs/>
          <w:noProof/>
          <w:color w:val="00B050"/>
          <w:sz w:val="20"/>
          <w:szCs w:val="20"/>
        </w:rPr>
      </w:pPr>
    </w:p>
    <w:p w14:paraId="560FB4F3" w14:textId="339DA6EB" w:rsidR="00FB5B50" w:rsidRDefault="00FB5B50" w:rsidP="007D7848">
      <w:pPr>
        <w:rPr>
          <w:rFonts w:cs="Arial"/>
          <w:b/>
          <w:bCs/>
          <w:noProof/>
          <w:color w:val="00B050"/>
          <w:sz w:val="20"/>
          <w:szCs w:val="20"/>
        </w:rPr>
      </w:pPr>
    </w:p>
    <w:p w14:paraId="42195AA4" w14:textId="61B7142D" w:rsidR="00FB5B50" w:rsidRDefault="00FB5B50" w:rsidP="007D7848">
      <w:pPr>
        <w:rPr>
          <w:rFonts w:cs="Arial"/>
          <w:b/>
          <w:bCs/>
          <w:noProof/>
          <w:color w:val="00B050"/>
          <w:sz w:val="20"/>
          <w:szCs w:val="20"/>
        </w:rPr>
      </w:pPr>
    </w:p>
    <w:p w14:paraId="478DF0F1" w14:textId="2B612B4A" w:rsidR="00FB5B50" w:rsidRDefault="00FB5B50" w:rsidP="007D7848">
      <w:pPr>
        <w:rPr>
          <w:rFonts w:cs="Arial"/>
          <w:b/>
          <w:bCs/>
          <w:noProof/>
          <w:color w:val="00B050"/>
          <w:sz w:val="20"/>
          <w:szCs w:val="20"/>
        </w:rPr>
      </w:pPr>
    </w:p>
    <w:p w14:paraId="49C67246" w14:textId="5D1AD0B4" w:rsidR="00FB5B50" w:rsidRDefault="00FB5B50" w:rsidP="007D7848">
      <w:pPr>
        <w:rPr>
          <w:rFonts w:cs="Arial"/>
          <w:b/>
          <w:bCs/>
          <w:noProof/>
          <w:color w:val="00B050"/>
          <w:sz w:val="20"/>
          <w:szCs w:val="20"/>
        </w:rPr>
      </w:pPr>
    </w:p>
    <w:p w14:paraId="68C56B18" w14:textId="78AA7286" w:rsidR="00FB5B50" w:rsidRDefault="00FB5B50" w:rsidP="007D7848">
      <w:pPr>
        <w:rPr>
          <w:rFonts w:cs="Arial"/>
          <w:b/>
          <w:bCs/>
          <w:noProof/>
          <w:color w:val="00B050"/>
          <w:sz w:val="20"/>
          <w:szCs w:val="20"/>
        </w:rPr>
      </w:pPr>
    </w:p>
    <w:p w14:paraId="3DF873B8" w14:textId="7F7C2930" w:rsidR="00FB5B50" w:rsidRDefault="00FB5B50" w:rsidP="007D7848">
      <w:pPr>
        <w:rPr>
          <w:rFonts w:cs="Arial"/>
          <w:b/>
          <w:bCs/>
          <w:noProof/>
          <w:color w:val="00B050"/>
          <w:sz w:val="20"/>
          <w:szCs w:val="20"/>
        </w:rPr>
      </w:pPr>
    </w:p>
    <w:p w14:paraId="5945245A" w14:textId="4C906BBC" w:rsidR="00FB5B50" w:rsidRDefault="00FB5B50" w:rsidP="007D7848">
      <w:pPr>
        <w:rPr>
          <w:rFonts w:cs="Arial"/>
          <w:b/>
          <w:bCs/>
          <w:noProof/>
          <w:color w:val="00B050"/>
          <w:sz w:val="20"/>
          <w:szCs w:val="20"/>
        </w:rPr>
      </w:pPr>
    </w:p>
    <w:p w14:paraId="5B81D95F" w14:textId="1F7CF5B1" w:rsidR="00FB5B50" w:rsidRDefault="00FB5B50" w:rsidP="007D7848">
      <w:pPr>
        <w:rPr>
          <w:rFonts w:cs="Arial"/>
          <w:b/>
          <w:bCs/>
          <w:noProof/>
          <w:color w:val="00B050"/>
          <w:sz w:val="20"/>
          <w:szCs w:val="20"/>
        </w:rPr>
      </w:pPr>
    </w:p>
    <w:p w14:paraId="17EA5B86" w14:textId="14C5DD74" w:rsidR="00FB5B50" w:rsidRDefault="00FB5B50" w:rsidP="007D7848">
      <w:pPr>
        <w:rPr>
          <w:rFonts w:cs="Arial"/>
          <w:b/>
          <w:bCs/>
          <w:noProof/>
          <w:color w:val="00B050"/>
          <w:sz w:val="20"/>
          <w:szCs w:val="20"/>
        </w:rPr>
      </w:pPr>
    </w:p>
    <w:p w14:paraId="05CD6058" w14:textId="32F5C219" w:rsidR="00FB5B50" w:rsidRDefault="00FB5B50" w:rsidP="007D7848">
      <w:pPr>
        <w:rPr>
          <w:rFonts w:cs="Arial"/>
          <w:b/>
          <w:bCs/>
          <w:noProof/>
          <w:color w:val="00B050"/>
          <w:sz w:val="20"/>
          <w:szCs w:val="20"/>
        </w:rPr>
      </w:pPr>
    </w:p>
    <w:p w14:paraId="1924006B" w14:textId="1530B95A" w:rsidR="00FB5B50" w:rsidRDefault="00FB5B50" w:rsidP="007D7848">
      <w:pPr>
        <w:rPr>
          <w:rFonts w:cs="Arial"/>
          <w:b/>
          <w:bCs/>
          <w:noProof/>
          <w:color w:val="00B050"/>
          <w:sz w:val="20"/>
          <w:szCs w:val="20"/>
        </w:rPr>
      </w:pPr>
    </w:p>
    <w:p w14:paraId="0943792E" w14:textId="7C8C981F" w:rsidR="00FB5B50" w:rsidRDefault="00FB5B50" w:rsidP="007D7848">
      <w:pPr>
        <w:rPr>
          <w:rFonts w:cs="Arial"/>
          <w:b/>
          <w:bCs/>
          <w:noProof/>
          <w:color w:val="00B050"/>
          <w:sz w:val="20"/>
          <w:szCs w:val="20"/>
        </w:rPr>
      </w:pPr>
    </w:p>
    <w:p w14:paraId="46F8EC7E" w14:textId="77777777" w:rsidR="002E4CAD" w:rsidRDefault="002E4CAD">
      <w:pPr>
        <w:spacing w:after="160" w:line="259" w:lineRule="auto"/>
        <w:jc w:val="left"/>
        <w:rPr>
          <w:rFonts w:eastAsiaTheme="minorHAnsi" w:cs="Arial"/>
          <w:b/>
          <w:bCs/>
          <w:color w:val="000000" w:themeColor="text1"/>
          <w:sz w:val="26"/>
          <w:szCs w:val="26"/>
          <w:lang w:eastAsia="en-US"/>
        </w:rPr>
      </w:pPr>
      <w:r>
        <w:rPr>
          <w:rFonts w:cs="Arial"/>
          <w:b/>
          <w:bCs/>
          <w:color w:val="000000" w:themeColor="text1"/>
          <w:sz w:val="26"/>
          <w:szCs w:val="26"/>
        </w:rPr>
        <w:br w:type="page"/>
      </w:r>
    </w:p>
    <w:p w14:paraId="066D477F" w14:textId="08643976" w:rsidR="007D7848" w:rsidRPr="00294613" w:rsidRDefault="007D7848" w:rsidP="00294613">
      <w:pPr>
        <w:pStyle w:val="Heading1"/>
        <w:numPr>
          <w:ilvl w:val="0"/>
          <w:numId w:val="42"/>
        </w:numPr>
        <w:spacing w:after="240"/>
        <w:ind w:hanging="720"/>
        <w:rPr>
          <w:rFonts w:ascii="Arial" w:hAnsi="Arial" w:cs="Arial"/>
          <w:b/>
          <w:bCs/>
        </w:rPr>
      </w:pPr>
      <w:bookmarkStart w:id="0" w:name="_Toc167896091"/>
      <w:r w:rsidRPr="00294613">
        <w:rPr>
          <w:rFonts w:ascii="Arial" w:hAnsi="Arial" w:cs="Arial"/>
          <w:b/>
          <w:bCs/>
          <w:color w:val="0073CF"/>
        </w:rPr>
        <w:lastRenderedPageBreak/>
        <w:t>Introduction</w:t>
      </w:r>
      <w:bookmarkEnd w:id="0"/>
    </w:p>
    <w:p w14:paraId="295C74EE" w14:textId="5ADC9CFC" w:rsidR="007D7848" w:rsidRDefault="007D7848" w:rsidP="007D7848">
      <w:pPr>
        <w:pStyle w:val="ListParagraph"/>
        <w:numPr>
          <w:ilvl w:val="1"/>
          <w:numId w:val="22"/>
        </w:numPr>
        <w:ind w:left="720" w:hanging="720"/>
        <w:rPr>
          <w:rFonts w:ascii="Arial" w:hAnsi="Arial" w:cs="Arial"/>
          <w:color w:val="000000" w:themeColor="text1"/>
          <w:sz w:val="24"/>
          <w:szCs w:val="24"/>
        </w:rPr>
      </w:pPr>
      <w:r w:rsidRPr="00772893">
        <w:rPr>
          <w:rFonts w:ascii="Arial" w:hAnsi="Arial" w:cs="Arial"/>
          <w:color w:val="000000" w:themeColor="text1"/>
          <w:sz w:val="24"/>
          <w:szCs w:val="24"/>
        </w:rPr>
        <w:t xml:space="preserve">Chichester District Council is in the process of </w:t>
      </w:r>
      <w:r>
        <w:rPr>
          <w:rFonts w:ascii="Arial" w:hAnsi="Arial" w:cs="Arial"/>
          <w:color w:val="000000" w:themeColor="text1"/>
          <w:sz w:val="24"/>
          <w:szCs w:val="24"/>
        </w:rPr>
        <w:t>preparing the Chichester Local Plan 2021 – 2039.</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It will </w:t>
      </w:r>
      <w:r w:rsidRPr="00772893">
        <w:rPr>
          <w:rFonts w:ascii="Arial" w:hAnsi="Arial" w:cs="Arial"/>
          <w:color w:val="000000" w:themeColor="text1"/>
          <w:sz w:val="24"/>
          <w:szCs w:val="24"/>
        </w:rPr>
        <w:t xml:space="preserve">identify land </w:t>
      </w:r>
      <w:r>
        <w:rPr>
          <w:rFonts w:ascii="Arial" w:hAnsi="Arial" w:cs="Arial"/>
          <w:color w:val="000000" w:themeColor="text1"/>
          <w:sz w:val="24"/>
          <w:szCs w:val="24"/>
        </w:rPr>
        <w:t xml:space="preserve">allocations or, in some cases, the </w:t>
      </w:r>
      <w:r w:rsidRPr="00772893">
        <w:rPr>
          <w:rFonts w:ascii="Arial" w:hAnsi="Arial" w:cs="Arial"/>
          <w:color w:val="000000" w:themeColor="text1"/>
          <w:sz w:val="24"/>
          <w:szCs w:val="24"/>
        </w:rPr>
        <w:t xml:space="preserve">locations to deliver growth for the Chichester </w:t>
      </w:r>
      <w:r w:rsidR="006455B9">
        <w:rPr>
          <w:rFonts w:ascii="Arial" w:hAnsi="Arial" w:cs="Arial"/>
          <w:color w:val="000000" w:themeColor="text1"/>
          <w:sz w:val="24"/>
          <w:szCs w:val="24"/>
        </w:rPr>
        <w:t>P</w:t>
      </w:r>
      <w:r w:rsidRPr="00772893">
        <w:rPr>
          <w:rFonts w:ascii="Arial" w:hAnsi="Arial" w:cs="Arial"/>
          <w:color w:val="000000" w:themeColor="text1"/>
          <w:sz w:val="24"/>
          <w:szCs w:val="24"/>
        </w:rPr>
        <w:t xml:space="preserve">lan </w:t>
      </w:r>
      <w:r w:rsidR="006455B9">
        <w:rPr>
          <w:rFonts w:ascii="Arial" w:hAnsi="Arial" w:cs="Arial"/>
          <w:color w:val="000000" w:themeColor="text1"/>
          <w:sz w:val="24"/>
          <w:szCs w:val="24"/>
        </w:rPr>
        <w:t>A</w:t>
      </w:r>
      <w:r w:rsidRPr="00772893">
        <w:rPr>
          <w:rFonts w:ascii="Arial" w:hAnsi="Arial" w:cs="Arial"/>
          <w:color w:val="000000" w:themeColor="text1"/>
          <w:sz w:val="24"/>
          <w:szCs w:val="24"/>
        </w:rPr>
        <w:t xml:space="preserve">rea over the next 17 years to 2039. </w:t>
      </w:r>
      <w:r>
        <w:rPr>
          <w:rFonts w:ascii="Arial" w:hAnsi="Arial" w:cs="Arial"/>
          <w:color w:val="000000" w:themeColor="text1"/>
          <w:sz w:val="24"/>
          <w:szCs w:val="24"/>
        </w:rPr>
        <w:t xml:space="preserve">When adopted, it will replace the </w:t>
      </w:r>
      <w:r w:rsidRPr="00772893">
        <w:rPr>
          <w:rFonts w:ascii="Arial" w:hAnsi="Arial" w:cs="Arial"/>
          <w:color w:val="000000" w:themeColor="text1"/>
          <w:sz w:val="24"/>
          <w:szCs w:val="24"/>
        </w:rPr>
        <w:t>Chichester Local Plan Key Policies 2014-2029</w:t>
      </w:r>
      <w:r>
        <w:rPr>
          <w:rFonts w:ascii="Arial" w:hAnsi="Arial" w:cs="Arial"/>
          <w:color w:val="000000" w:themeColor="text1"/>
          <w:sz w:val="24"/>
          <w:szCs w:val="24"/>
        </w:rPr>
        <w:t>.</w:t>
      </w:r>
    </w:p>
    <w:p w14:paraId="5AFEA53A" w14:textId="77777777" w:rsidR="007D7848" w:rsidRPr="00772893" w:rsidRDefault="007D7848" w:rsidP="007D7848">
      <w:pPr>
        <w:pStyle w:val="ListParagraph"/>
        <w:rPr>
          <w:rFonts w:ascii="Arial" w:hAnsi="Arial" w:cs="Arial"/>
          <w:color w:val="000000" w:themeColor="text1"/>
          <w:sz w:val="24"/>
          <w:szCs w:val="24"/>
        </w:rPr>
      </w:pPr>
    </w:p>
    <w:p w14:paraId="761588F2" w14:textId="6119673C"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The purpose of this background paper is to set out how the identification of a Broad Location for Development (BLD) at Southbourne has evolved, future delivery and policy considerations.</w:t>
      </w:r>
    </w:p>
    <w:p w14:paraId="269A47BC" w14:textId="77777777" w:rsidR="002E4CAD" w:rsidRDefault="002E4CAD" w:rsidP="002E4CAD">
      <w:pPr>
        <w:pStyle w:val="ListParagraph"/>
        <w:rPr>
          <w:rFonts w:ascii="Arial" w:hAnsi="Arial" w:cs="Arial"/>
          <w:color w:val="000000" w:themeColor="text1"/>
          <w:sz w:val="24"/>
          <w:szCs w:val="24"/>
        </w:rPr>
      </w:pPr>
    </w:p>
    <w:p w14:paraId="7AC216ED" w14:textId="31EC50A5" w:rsidR="002E4CAD" w:rsidRDefault="002E4CAD"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The background paper was first published in January 2023 and has been updated to reflect progress with the preparation of the Southbourne Mod</w:t>
      </w:r>
      <w:r w:rsidR="0039252B">
        <w:rPr>
          <w:rFonts w:ascii="Arial" w:hAnsi="Arial" w:cs="Arial"/>
          <w:color w:val="000000" w:themeColor="text1"/>
          <w:sz w:val="24"/>
          <w:szCs w:val="24"/>
        </w:rPr>
        <w:t>ified Neighbourhood Plan, granting of planning permission on several sites within the proposed BLD and representations to the Chichester Local Plan at Regulation 19 stage.</w:t>
      </w:r>
    </w:p>
    <w:p w14:paraId="5CE0D4CA" w14:textId="77777777" w:rsidR="007D7848" w:rsidRPr="00294613" w:rsidRDefault="007D7848" w:rsidP="00294613">
      <w:pPr>
        <w:pStyle w:val="Heading1"/>
        <w:numPr>
          <w:ilvl w:val="0"/>
          <w:numId w:val="42"/>
        </w:numPr>
        <w:spacing w:after="240"/>
        <w:ind w:hanging="720"/>
        <w:rPr>
          <w:rFonts w:ascii="Arial" w:hAnsi="Arial" w:cs="Arial"/>
          <w:b/>
          <w:bCs/>
          <w:color w:val="0073CF"/>
        </w:rPr>
      </w:pPr>
      <w:bookmarkStart w:id="1" w:name="_Toc167896092"/>
      <w:r w:rsidRPr="00294613">
        <w:rPr>
          <w:rFonts w:ascii="Arial" w:hAnsi="Arial" w:cs="Arial"/>
          <w:b/>
          <w:bCs/>
          <w:color w:val="0073CF"/>
        </w:rPr>
        <w:t>Background</w:t>
      </w:r>
      <w:bookmarkEnd w:id="1"/>
    </w:p>
    <w:p w14:paraId="3850326F" w14:textId="77777777" w:rsidR="007D7848" w:rsidRDefault="007D7848" w:rsidP="007D7848">
      <w:pPr>
        <w:pStyle w:val="ListParagraph"/>
        <w:outlineLvl w:val="1"/>
        <w:rPr>
          <w:rFonts w:ascii="Arial" w:hAnsi="Arial" w:cs="Arial"/>
          <w:i/>
          <w:iCs/>
          <w:color w:val="000000" w:themeColor="text1"/>
          <w:sz w:val="24"/>
          <w:szCs w:val="24"/>
        </w:rPr>
      </w:pPr>
      <w:r w:rsidRPr="00777ADF">
        <w:rPr>
          <w:rFonts w:ascii="Arial" w:hAnsi="Arial" w:cs="Arial"/>
          <w:i/>
          <w:iCs/>
          <w:color w:val="000000" w:themeColor="text1"/>
          <w:sz w:val="24"/>
          <w:szCs w:val="24"/>
        </w:rPr>
        <w:t>Local Plan</w:t>
      </w:r>
      <w:r>
        <w:rPr>
          <w:rFonts w:ascii="Arial" w:hAnsi="Arial" w:cs="Arial"/>
          <w:i/>
          <w:iCs/>
          <w:color w:val="000000" w:themeColor="text1"/>
          <w:sz w:val="24"/>
          <w:szCs w:val="24"/>
        </w:rPr>
        <w:t xml:space="preserve"> Review</w:t>
      </w:r>
    </w:p>
    <w:p w14:paraId="515E8951" w14:textId="77777777" w:rsidR="00294613" w:rsidRPr="00777ADF" w:rsidRDefault="00294613" w:rsidP="007D7848">
      <w:pPr>
        <w:pStyle w:val="ListParagraph"/>
        <w:outlineLvl w:val="1"/>
        <w:rPr>
          <w:rFonts w:ascii="Arial" w:hAnsi="Arial" w:cs="Arial"/>
          <w:i/>
          <w:iCs/>
          <w:color w:val="000000" w:themeColor="text1"/>
          <w:sz w:val="24"/>
          <w:szCs w:val="24"/>
        </w:rPr>
      </w:pPr>
    </w:p>
    <w:p w14:paraId="42DC22BD" w14:textId="77777777" w:rsidR="00294613" w:rsidRPr="00294613" w:rsidRDefault="00294613" w:rsidP="00294613">
      <w:pPr>
        <w:pStyle w:val="ListParagraph"/>
        <w:numPr>
          <w:ilvl w:val="0"/>
          <w:numId w:val="22"/>
        </w:numPr>
        <w:rPr>
          <w:rFonts w:ascii="Arial" w:hAnsi="Arial" w:cs="Arial"/>
          <w:vanish/>
          <w:color w:val="000000" w:themeColor="text1"/>
          <w:sz w:val="24"/>
          <w:szCs w:val="24"/>
        </w:rPr>
      </w:pPr>
    </w:p>
    <w:p w14:paraId="77AB991F" w14:textId="1B517F94" w:rsidR="007D7848" w:rsidRDefault="007D7848" w:rsidP="00294613">
      <w:pPr>
        <w:pStyle w:val="ListParagraph"/>
        <w:numPr>
          <w:ilvl w:val="1"/>
          <w:numId w:val="22"/>
        </w:numPr>
        <w:ind w:left="709" w:hanging="709"/>
        <w:rPr>
          <w:rFonts w:ascii="Arial" w:hAnsi="Arial" w:cs="Arial"/>
          <w:color w:val="000000" w:themeColor="text1"/>
          <w:sz w:val="24"/>
          <w:szCs w:val="24"/>
        </w:rPr>
      </w:pPr>
      <w:r>
        <w:rPr>
          <w:rFonts w:ascii="Arial" w:hAnsi="Arial" w:cs="Arial"/>
          <w:color w:val="000000" w:themeColor="text1"/>
          <w:sz w:val="24"/>
          <w:szCs w:val="24"/>
        </w:rPr>
        <w:t>The Chichester Local Plan Key Policies 2014-2029 was adopted in July 2015.</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Southbourne is identified in the second tier of the adopted Local Plan settlement hierarchy as one of four ‘Settlement Hubs’, which are considered appropriate locations for strategic scale allocations together with development for employment, leisure, </w:t>
      </w:r>
      <w:proofErr w:type="gramStart"/>
      <w:r>
        <w:rPr>
          <w:rFonts w:ascii="Arial" w:hAnsi="Arial" w:cs="Arial"/>
          <w:color w:val="000000" w:themeColor="text1"/>
          <w:sz w:val="24"/>
          <w:szCs w:val="24"/>
        </w:rPr>
        <w:t>retail</w:t>
      </w:r>
      <w:proofErr w:type="gramEnd"/>
      <w:r>
        <w:rPr>
          <w:rFonts w:ascii="Arial" w:hAnsi="Arial" w:cs="Arial"/>
          <w:color w:val="000000" w:themeColor="text1"/>
          <w:sz w:val="24"/>
          <w:szCs w:val="24"/>
        </w:rPr>
        <w:t xml:space="preserve"> and community facilities.</w:t>
      </w:r>
    </w:p>
    <w:p w14:paraId="0D1E4170" w14:textId="77777777" w:rsidR="007D7848" w:rsidRDefault="007D7848" w:rsidP="007D7848">
      <w:pPr>
        <w:pStyle w:val="ListParagraph"/>
        <w:rPr>
          <w:rFonts w:ascii="Arial" w:hAnsi="Arial" w:cs="Arial"/>
          <w:color w:val="000000" w:themeColor="text1"/>
          <w:sz w:val="24"/>
          <w:szCs w:val="24"/>
        </w:rPr>
      </w:pPr>
    </w:p>
    <w:p w14:paraId="5CC10CE0" w14:textId="62273FA9"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 xml:space="preserve">Southbourne was identified in the adopted Local Plan as a location for medium scale expansion with land to be identified through the Southbourne Neighbourhood Plan for 300 dwellings and supporting infrastructure (Policy 20). The new development would meet identified local needs and reinforce Southbourne’s role as a centre providing a range of dwellings, workplaces, social and community facilities. </w:t>
      </w:r>
    </w:p>
    <w:p w14:paraId="7517C723" w14:textId="77777777" w:rsidR="007D7848" w:rsidRDefault="007D7848" w:rsidP="007D7848">
      <w:pPr>
        <w:pStyle w:val="ListParagraph"/>
        <w:rPr>
          <w:rFonts w:ascii="Arial" w:hAnsi="Arial" w:cs="Arial"/>
          <w:color w:val="000000" w:themeColor="text1"/>
          <w:sz w:val="24"/>
          <w:szCs w:val="24"/>
        </w:rPr>
      </w:pPr>
    </w:p>
    <w:p w14:paraId="2C3F7AC8" w14:textId="03B3A704"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 xml:space="preserve">However, due to uncertainty about delivery of future infrastructure, the adopted Local Plan was not able to meet the full identified housing need for the area. To address this, the </w:t>
      </w:r>
      <w:r w:rsidR="006455B9">
        <w:rPr>
          <w:rFonts w:ascii="Arial" w:hAnsi="Arial" w:cs="Arial"/>
          <w:color w:val="000000" w:themeColor="text1"/>
          <w:sz w:val="24"/>
          <w:szCs w:val="24"/>
        </w:rPr>
        <w:t>c</w:t>
      </w:r>
      <w:r>
        <w:rPr>
          <w:rFonts w:ascii="Arial" w:hAnsi="Arial" w:cs="Arial"/>
          <w:color w:val="000000" w:themeColor="text1"/>
          <w:sz w:val="24"/>
          <w:szCs w:val="24"/>
        </w:rPr>
        <w:t xml:space="preserve">ouncil committed to undertake a </w:t>
      </w:r>
      <w:r w:rsidR="006455B9">
        <w:rPr>
          <w:rFonts w:ascii="Arial" w:hAnsi="Arial" w:cs="Arial"/>
          <w:color w:val="000000" w:themeColor="text1"/>
          <w:sz w:val="24"/>
          <w:szCs w:val="24"/>
        </w:rPr>
        <w:t>l</w:t>
      </w:r>
      <w:r>
        <w:rPr>
          <w:rFonts w:ascii="Arial" w:hAnsi="Arial" w:cs="Arial"/>
          <w:color w:val="000000" w:themeColor="text1"/>
          <w:sz w:val="24"/>
          <w:szCs w:val="24"/>
        </w:rPr>
        <w:t xml:space="preserve">ocal </w:t>
      </w:r>
      <w:r w:rsidR="006455B9">
        <w:rPr>
          <w:rFonts w:ascii="Arial" w:hAnsi="Arial" w:cs="Arial"/>
          <w:color w:val="000000" w:themeColor="text1"/>
          <w:sz w:val="24"/>
          <w:szCs w:val="24"/>
        </w:rPr>
        <w:t>p</w:t>
      </w:r>
      <w:r>
        <w:rPr>
          <w:rFonts w:ascii="Arial" w:hAnsi="Arial" w:cs="Arial"/>
          <w:color w:val="000000" w:themeColor="text1"/>
          <w:sz w:val="24"/>
          <w:szCs w:val="24"/>
        </w:rPr>
        <w:t xml:space="preserve">lan </w:t>
      </w:r>
      <w:r w:rsidR="006455B9">
        <w:rPr>
          <w:rFonts w:ascii="Arial" w:hAnsi="Arial" w:cs="Arial"/>
          <w:color w:val="000000" w:themeColor="text1"/>
          <w:sz w:val="24"/>
          <w:szCs w:val="24"/>
        </w:rPr>
        <w:t>r</w:t>
      </w:r>
      <w:r>
        <w:rPr>
          <w:rFonts w:ascii="Arial" w:hAnsi="Arial" w:cs="Arial"/>
          <w:color w:val="000000" w:themeColor="text1"/>
          <w:sz w:val="24"/>
          <w:szCs w:val="24"/>
        </w:rPr>
        <w:t>eview within five years of adoption with the aim of identifying further sites to meet the unmet housing need.</w:t>
      </w:r>
      <w:r w:rsidR="00AF74C1">
        <w:rPr>
          <w:rFonts w:ascii="Arial" w:hAnsi="Arial" w:cs="Arial"/>
          <w:color w:val="000000" w:themeColor="text1"/>
          <w:sz w:val="24"/>
          <w:szCs w:val="24"/>
        </w:rPr>
        <w:t xml:space="preserve"> </w:t>
      </w:r>
    </w:p>
    <w:p w14:paraId="1A56283F" w14:textId="77777777" w:rsidR="007D7848" w:rsidRPr="000724D4" w:rsidRDefault="007D7848" w:rsidP="007D7848">
      <w:pPr>
        <w:pStyle w:val="ListParagraph"/>
        <w:rPr>
          <w:rFonts w:ascii="Arial" w:hAnsi="Arial" w:cs="Arial"/>
          <w:color w:val="000000" w:themeColor="text1"/>
          <w:sz w:val="24"/>
          <w:szCs w:val="24"/>
        </w:rPr>
      </w:pPr>
    </w:p>
    <w:p w14:paraId="7652A757" w14:textId="59AC1E13" w:rsidR="007D7848" w:rsidRDefault="007D7848" w:rsidP="007D7848">
      <w:pPr>
        <w:pStyle w:val="ListParagraph"/>
        <w:numPr>
          <w:ilvl w:val="1"/>
          <w:numId w:val="22"/>
        </w:numPr>
        <w:ind w:left="720" w:hanging="720"/>
        <w:rPr>
          <w:rFonts w:ascii="Arial" w:hAnsi="Arial" w:cs="Arial"/>
          <w:color w:val="000000" w:themeColor="text1"/>
          <w:sz w:val="24"/>
          <w:szCs w:val="24"/>
        </w:rPr>
      </w:pPr>
      <w:r w:rsidRPr="000724D4">
        <w:rPr>
          <w:rFonts w:ascii="Arial" w:hAnsi="Arial" w:cs="Arial"/>
          <w:color w:val="000000" w:themeColor="text1"/>
          <w:sz w:val="24"/>
          <w:szCs w:val="24"/>
        </w:rPr>
        <w:t xml:space="preserve">An </w:t>
      </w:r>
      <w:hyperlink r:id="rId14" w:history="1">
        <w:r w:rsidRPr="000724D4">
          <w:rPr>
            <w:rStyle w:val="Hyperlink"/>
            <w:rFonts w:ascii="Arial" w:hAnsi="Arial" w:cs="Arial"/>
            <w:sz w:val="24"/>
            <w:szCs w:val="24"/>
          </w:rPr>
          <w:t>Issues and Options</w:t>
        </w:r>
      </w:hyperlink>
      <w:r w:rsidRPr="000724D4">
        <w:rPr>
          <w:rFonts w:ascii="Arial" w:hAnsi="Arial" w:cs="Arial"/>
          <w:color w:val="000000" w:themeColor="text1"/>
          <w:sz w:val="24"/>
          <w:szCs w:val="24"/>
        </w:rPr>
        <w:t xml:space="preserve"> consultation was published in June 2017. This identified </w:t>
      </w:r>
      <w:proofErr w:type="gramStart"/>
      <w:r w:rsidRPr="000724D4">
        <w:rPr>
          <w:rFonts w:ascii="Arial" w:hAnsi="Arial" w:cs="Arial"/>
          <w:color w:val="000000" w:themeColor="text1"/>
          <w:sz w:val="24"/>
          <w:szCs w:val="24"/>
        </w:rPr>
        <w:t>a number of</w:t>
      </w:r>
      <w:proofErr w:type="gramEnd"/>
      <w:r w:rsidRPr="000724D4">
        <w:rPr>
          <w:rFonts w:ascii="Arial" w:hAnsi="Arial" w:cs="Arial"/>
          <w:color w:val="000000" w:themeColor="text1"/>
          <w:sz w:val="24"/>
          <w:szCs w:val="24"/>
        </w:rPr>
        <w:t xml:space="preserve"> ‘broad locations’ that may have potential for large scale development (more than 500 dwellings); one of the identified locations was Southbourne</w:t>
      </w:r>
      <w:r>
        <w:rPr>
          <w:rStyle w:val="FootnoteReference"/>
          <w:rFonts w:cs="Arial"/>
          <w:color w:val="000000" w:themeColor="text1"/>
          <w:sz w:val="24"/>
          <w:szCs w:val="24"/>
        </w:rPr>
        <w:footnoteReference w:id="1"/>
      </w:r>
      <w:r w:rsidRPr="000724D4">
        <w:rPr>
          <w:rFonts w:ascii="Arial" w:hAnsi="Arial" w:cs="Arial"/>
          <w:color w:val="000000" w:themeColor="text1"/>
          <w:sz w:val="24"/>
          <w:szCs w:val="24"/>
        </w:rPr>
        <w:t xml:space="preserve">. In 2018, the </w:t>
      </w:r>
      <w:r w:rsidR="006455B9">
        <w:rPr>
          <w:rFonts w:ascii="Arial" w:hAnsi="Arial" w:cs="Arial"/>
          <w:color w:val="000000" w:themeColor="text1"/>
          <w:sz w:val="24"/>
          <w:szCs w:val="24"/>
        </w:rPr>
        <w:t>c</w:t>
      </w:r>
      <w:r w:rsidRPr="000724D4">
        <w:rPr>
          <w:rFonts w:ascii="Arial" w:hAnsi="Arial" w:cs="Arial"/>
          <w:color w:val="000000" w:themeColor="text1"/>
          <w:sz w:val="24"/>
          <w:szCs w:val="24"/>
        </w:rPr>
        <w:t xml:space="preserve">ouncil published the </w:t>
      </w:r>
      <w:hyperlink r:id="rId15" w:history="1">
        <w:r w:rsidRPr="000724D4">
          <w:rPr>
            <w:rStyle w:val="Hyperlink"/>
            <w:rFonts w:ascii="Arial" w:hAnsi="Arial" w:cs="Arial"/>
            <w:sz w:val="24"/>
            <w:szCs w:val="24"/>
          </w:rPr>
          <w:t>Local Plan Review 2016-2035 Preferred Approach</w:t>
        </w:r>
      </w:hyperlink>
      <w:r w:rsidRPr="000724D4">
        <w:rPr>
          <w:rFonts w:ascii="Arial" w:hAnsi="Arial" w:cs="Arial"/>
          <w:color w:val="000000" w:themeColor="text1"/>
          <w:sz w:val="24"/>
          <w:szCs w:val="24"/>
        </w:rPr>
        <w:t xml:space="preserve"> for public consultation under Regulation 18. This proposed that Southbourne be identified as a </w:t>
      </w:r>
      <w:r w:rsidRPr="000724D4">
        <w:rPr>
          <w:rFonts w:ascii="Arial" w:hAnsi="Arial" w:cs="Arial"/>
          <w:color w:val="000000" w:themeColor="text1"/>
          <w:sz w:val="24"/>
          <w:szCs w:val="24"/>
        </w:rPr>
        <w:lastRenderedPageBreak/>
        <w:t>Strategic Development Location (SDL).</w:t>
      </w:r>
      <w:r w:rsidR="00AF74C1">
        <w:rPr>
          <w:rFonts w:ascii="Arial" w:hAnsi="Arial" w:cs="Arial"/>
          <w:color w:val="000000" w:themeColor="text1"/>
          <w:sz w:val="24"/>
          <w:szCs w:val="24"/>
        </w:rPr>
        <w:t xml:space="preserve"> </w:t>
      </w:r>
      <w:r w:rsidRPr="000724D4">
        <w:rPr>
          <w:rFonts w:ascii="Arial" w:hAnsi="Arial" w:cs="Arial"/>
          <w:color w:val="000000" w:themeColor="text1"/>
          <w:sz w:val="24"/>
          <w:szCs w:val="24"/>
        </w:rPr>
        <w:t>Policy AL13 provided for 1</w:t>
      </w:r>
      <w:r>
        <w:rPr>
          <w:rFonts w:ascii="Arial" w:hAnsi="Arial" w:cs="Arial"/>
          <w:color w:val="000000" w:themeColor="text1"/>
          <w:sz w:val="24"/>
          <w:szCs w:val="24"/>
        </w:rPr>
        <w:t>,</w:t>
      </w:r>
      <w:r w:rsidRPr="000724D4">
        <w:rPr>
          <w:rFonts w:ascii="Arial" w:hAnsi="Arial" w:cs="Arial"/>
          <w:color w:val="000000" w:themeColor="text1"/>
          <w:sz w:val="24"/>
          <w:szCs w:val="24"/>
        </w:rPr>
        <w:t>250 dwellings to come forward through the Neighbourhood Plan process together with employment land and community uses</w:t>
      </w:r>
      <w:r>
        <w:rPr>
          <w:rFonts w:ascii="Arial" w:hAnsi="Arial" w:cs="Arial"/>
          <w:color w:val="000000" w:themeColor="text1"/>
          <w:sz w:val="24"/>
          <w:szCs w:val="24"/>
        </w:rPr>
        <w:t>.</w:t>
      </w:r>
      <w:r w:rsidR="00AF74C1">
        <w:rPr>
          <w:rFonts w:ascii="Arial" w:hAnsi="Arial" w:cs="Arial"/>
          <w:color w:val="000000" w:themeColor="text1"/>
          <w:sz w:val="24"/>
          <w:szCs w:val="24"/>
        </w:rPr>
        <w:t xml:space="preserve">  </w:t>
      </w:r>
    </w:p>
    <w:p w14:paraId="346AF599" w14:textId="77777777" w:rsidR="00AF74C1" w:rsidRPr="00AF74C1" w:rsidRDefault="00AF74C1" w:rsidP="00AF74C1">
      <w:pPr>
        <w:pStyle w:val="ListParagraph"/>
        <w:rPr>
          <w:rFonts w:ascii="Arial" w:hAnsi="Arial" w:cs="Arial"/>
          <w:color w:val="000000" w:themeColor="text1"/>
          <w:sz w:val="24"/>
          <w:szCs w:val="24"/>
        </w:rPr>
      </w:pPr>
    </w:p>
    <w:p w14:paraId="53F3D44B" w14:textId="77777777" w:rsidR="007D7848" w:rsidRPr="002831EA" w:rsidRDefault="007D7848" w:rsidP="007D7848">
      <w:pPr>
        <w:pStyle w:val="ListParagraph"/>
        <w:numPr>
          <w:ilvl w:val="1"/>
          <w:numId w:val="22"/>
        </w:numPr>
        <w:ind w:left="720" w:hanging="720"/>
        <w:rPr>
          <w:rFonts w:ascii="Arial" w:hAnsi="Arial" w:cs="Arial"/>
          <w:color w:val="000000" w:themeColor="text1"/>
          <w:sz w:val="24"/>
          <w:szCs w:val="24"/>
        </w:rPr>
      </w:pPr>
      <w:r w:rsidRPr="002831EA">
        <w:rPr>
          <w:rFonts w:ascii="Arial" w:hAnsi="Arial" w:cs="Arial"/>
          <w:color w:val="000000" w:themeColor="text1"/>
          <w:sz w:val="24"/>
          <w:szCs w:val="24"/>
        </w:rPr>
        <w:t xml:space="preserve">The scale of development proposed has since been reduced to 1,050 dwellings to reflect the proportionate reduction in housing numbers across the parishes in the east west corridor </w:t>
      </w:r>
      <w:proofErr w:type="gramStart"/>
      <w:r w:rsidRPr="002831EA">
        <w:rPr>
          <w:rFonts w:ascii="Arial" w:hAnsi="Arial" w:cs="Arial"/>
          <w:color w:val="000000" w:themeColor="text1"/>
          <w:sz w:val="24"/>
          <w:szCs w:val="24"/>
        </w:rPr>
        <w:t>as a consequence of</w:t>
      </w:r>
      <w:proofErr w:type="gramEnd"/>
      <w:r w:rsidRPr="002831EA">
        <w:rPr>
          <w:rFonts w:ascii="Arial" w:hAnsi="Arial" w:cs="Arial"/>
          <w:color w:val="000000" w:themeColor="text1"/>
          <w:sz w:val="24"/>
          <w:szCs w:val="24"/>
        </w:rPr>
        <w:t xml:space="preserve"> the limit on numbers in the southern plan area.</w:t>
      </w:r>
    </w:p>
    <w:p w14:paraId="4C2423B4" w14:textId="77777777" w:rsidR="007D7848" w:rsidRPr="00FC7B28" w:rsidRDefault="007D7848" w:rsidP="007D7848">
      <w:pPr>
        <w:pStyle w:val="ListParagraph"/>
        <w:rPr>
          <w:rFonts w:ascii="Arial" w:hAnsi="Arial" w:cs="Arial"/>
          <w:color w:val="000000" w:themeColor="text1"/>
          <w:sz w:val="24"/>
          <w:szCs w:val="24"/>
        </w:rPr>
      </w:pPr>
    </w:p>
    <w:p w14:paraId="217A7DCB" w14:textId="20AC6189"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 xml:space="preserve">The </w:t>
      </w:r>
      <w:r w:rsidR="006455B9">
        <w:rPr>
          <w:rFonts w:ascii="Arial" w:hAnsi="Arial" w:cs="Arial"/>
          <w:color w:val="000000" w:themeColor="text1"/>
          <w:sz w:val="24"/>
          <w:szCs w:val="24"/>
        </w:rPr>
        <w:t>c</w:t>
      </w:r>
      <w:r>
        <w:rPr>
          <w:rFonts w:ascii="Arial" w:hAnsi="Arial" w:cs="Arial"/>
          <w:color w:val="000000" w:themeColor="text1"/>
          <w:sz w:val="24"/>
          <w:szCs w:val="24"/>
        </w:rPr>
        <w:t>ouncil publi</w:t>
      </w:r>
      <w:r w:rsidR="006455B9">
        <w:rPr>
          <w:rFonts w:ascii="Arial" w:hAnsi="Arial" w:cs="Arial"/>
          <w:color w:val="000000" w:themeColor="text1"/>
          <w:sz w:val="24"/>
          <w:szCs w:val="24"/>
        </w:rPr>
        <w:t>shed</w:t>
      </w:r>
      <w:r>
        <w:rPr>
          <w:rFonts w:ascii="Arial" w:hAnsi="Arial" w:cs="Arial"/>
          <w:color w:val="000000" w:themeColor="text1"/>
          <w:sz w:val="24"/>
          <w:szCs w:val="24"/>
        </w:rPr>
        <w:t xml:space="preserve"> the Chichester Local Plan 2021 – 2039 for pre-submission consultation under Regulation 19 Local Plan in February 2023 (Regulation 19 Local Plan).</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For the reasons set out in this paper it </w:t>
      </w:r>
      <w:r w:rsidR="006455B9">
        <w:rPr>
          <w:rFonts w:ascii="Arial" w:hAnsi="Arial" w:cs="Arial"/>
          <w:color w:val="000000" w:themeColor="text1"/>
          <w:sz w:val="24"/>
          <w:szCs w:val="24"/>
        </w:rPr>
        <w:t>w</w:t>
      </w:r>
      <w:r>
        <w:rPr>
          <w:rFonts w:ascii="Arial" w:hAnsi="Arial" w:cs="Arial"/>
          <w:color w:val="000000" w:themeColor="text1"/>
          <w:sz w:val="24"/>
          <w:szCs w:val="24"/>
        </w:rPr>
        <w:t>as decided not to continue with the policy approach as proposed in the Preferred Approach but rather identify Southbourne as a Broad Location for Development (BLD).</w:t>
      </w:r>
    </w:p>
    <w:p w14:paraId="7338A092" w14:textId="77777777" w:rsidR="007D7848" w:rsidRPr="00FC7B28" w:rsidRDefault="007D7848" w:rsidP="007D7848">
      <w:pPr>
        <w:pStyle w:val="ListParagraph"/>
        <w:rPr>
          <w:rFonts w:ascii="Arial" w:hAnsi="Arial" w:cs="Arial"/>
          <w:color w:val="000000" w:themeColor="text1"/>
          <w:sz w:val="24"/>
          <w:szCs w:val="24"/>
        </w:rPr>
      </w:pPr>
    </w:p>
    <w:p w14:paraId="5E74FA59" w14:textId="77777777" w:rsidR="007D7848" w:rsidRDefault="007D7848" w:rsidP="007D7848">
      <w:pPr>
        <w:pStyle w:val="ListParagraph"/>
        <w:outlineLvl w:val="1"/>
        <w:rPr>
          <w:rFonts w:ascii="Arial" w:hAnsi="Arial" w:cs="Arial"/>
          <w:i/>
          <w:iCs/>
          <w:color w:val="000000" w:themeColor="text1"/>
          <w:sz w:val="24"/>
          <w:szCs w:val="24"/>
        </w:rPr>
      </w:pPr>
      <w:r w:rsidRPr="00777ADF">
        <w:rPr>
          <w:rFonts w:ascii="Arial" w:hAnsi="Arial" w:cs="Arial"/>
          <w:i/>
          <w:iCs/>
          <w:color w:val="000000" w:themeColor="text1"/>
          <w:sz w:val="24"/>
          <w:szCs w:val="24"/>
        </w:rPr>
        <w:t>Southbourne Neighbourhood Plan</w:t>
      </w:r>
    </w:p>
    <w:p w14:paraId="620716B5" w14:textId="77777777" w:rsidR="00294613" w:rsidRPr="00777ADF" w:rsidRDefault="00294613" w:rsidP="007D7848">
      <w:pPr>
        <w:pStyle w:val="ListParagraph"/>
        <w:outlineLvl w:val="1"/>
        <w:rPr>
          <w:rFonts w:ascii="Arial" w:hAnsi="Arial" w:cs="Arial"/>
          <w:i/>
          <w:iCs/>
          <w:color w:val="000000" w:themeColor="text1"/>
          <w:sz w:val="24"/>
          <w:szCs w:val="24"/>
        </w:rPr>
      </w:pPr>
    </w:p>
    <w:p w14:paraId="48B5052B" w14:textId="2EFF7923"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 xml:space="preserve">The Southbourne Parish Neighbourhood Plan 2014-2029 was made in December 2015.  The Southbourne Parish Neighbourhood Plan Review 2019-2037 (NP2) was commenced in March 2018, </w:t>
      </w:r>
      <w:proofErr w:type="gramStart"/>
      <w:r>
        <w:rPr>
          <w:rFonts w:ascii="Arial" w:hAnsi="Arial" w:cs="Arial"/>
          <w:color w:val="000000" w:themeColor="text1"/>
          <w:sz w:val="24"/>
          <w:szCs w:val="24"/>
        </w:rPr>
        <w:t>in order to</w:t>
      </w:r>
      <w:proofErr w:type="gramEnd"/>
      <w:r>
        <w:rPr>
          <w:rFonts w:ascii="Arial" w:hAnsi="Arial" w:cs="Arial"/>
          <w:color w:val="000000" w:themeColor="text1"/>
          <w:sz w:val="24"/>
          <w:szCs w:val="24"/>
        </w:rPr>
        <w:t xml:space="preserve"> bring it into line with the strategic requirements of the emerging Local Plan.</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The NP2 was progressed, therefore, </w:t>
      </w:r>
      <w:proofErr w:type="gramStart"/>
      <w:r>
        <w:rPr>
          <w:rFonts w:ascii="Arial" w:hAnsi="Arial" w:cs="Arial"/>
          <w:color w:val="000000" w:themeColor="text1"/>
          <w:sz w:val="24"/>
          <w:szCs w:val="24"/>
        </w:rPr>
        <w:t>on the basis of</w:t>
      </w:r>
      <w:proofErr w:type="gramEnd"/>
      <w:r>
        <w:rPr>
          <w:rFonts w:ascii="Arial" w:hAnsi="Arial" w:cs="Arial"/>
          <w:color w:val="000000" w:themeColor="text1"/>
          <w:sz w:val="24"/>
          <w:szCs w:val="24"/>
        </w:rPr>
        <w:t xml:space="preserve"> meeting the requirements of the Local Plan Preferred Approach and sought to make provision for 1,250 dwellings.</w:t>
      </w:r>
    </w:p>
    <w:p w14:paraId="63941E7B" w14:textId="77777777" w:rsidR="007D7848" w:rsidRDefault="007D7848" w:rsidP="007D7848">
      <w:pPr>
        <w:pStyle w:val="ListParagraph"/>
        <w:rPr>
          <w:rFonts w:ascii="Arial" w:hAnsi="Arial" w:cs="Arial"/>
          <w:color w:val="000000" w:themeColor="text1"/>
          <w:sz w:val="24"/>
          <w:szCs w:val="24"/>
        </w:rPr>
      </w:pPr>
    </w:p>
    <w:p w14:paraId="4462490C" w14:textId="7C5FE9B9" w:rsidR="007D7848" w:rsidRDefault="007D7848" w:rsidP="007D7848">
      <w:pPr>
        <w:pStyle w:val="ListParagraph"/>
        <w:numPr>
          <w:ilvl w:val="1"/>
          <w:numId w:val="22"/>
        </w:numPr>
        <w:ind w:left="720" w:hanging="720"/>
        <w:rPr>
          <w:rFonts w:ascii="Arial" w:hAnsi="Arial" w:cs="Arial"/>
          <w:color w:val="000000" w:themeColor="text1"/>
          <w:sz w:val="24"/>
          <w:szCs w:val="24"/>
        </w:rPr>
      </w:pPr>
      <w:r w:rsidRPr="009E66E5">
        <w:rPr>
          <w:rFonts w:ascii="Arial" w:hAnsi="Arial" w:cs="Arial"/>
          <w:color w:val="000000" w:themeColor="text1"/>
          <w:sz w:val="24"/>
          <w:szCs w:val="24"/>
        </w:rPr>
        <w:t>In the early stages of NP2, three site options were the subject of public consultation: land to the east of Southbourne, to the west or using a combination of small</w:t>
      </w:r>
      <w:r>
        <w:rPr>
          <w:rFonts w:ascii="Arial" w:hAnsi="Arial" w:cs="Arial"/>
          <w:color w:val="000000" w:themeColor="text1"/>
          <w:sz w:val="24"/>
          <w:szCs w:val="24"/>
        </w:rPr>
        <w:t>er</w:t>
      </w:r>
      <w:r w:rsidRPr="009E66E5">
        <w:rPr>
          <w:rFonts w:ascii="Arial" w:hAnsi="Arial" w:cs="Arial"/>
          <w:color w:val="000000" w:themeColor="text1"/>
          <w:sz w:val="24"/>
          <w:szCs w:val="24"/>
        </w:rPr>
        <w:t xml:space="preserve"> sites.</w:t>
      </w:r>
      <w:r w:rsidR="00AF74C1">
        <w:rPr>
          <w:rFonts w:ascii="Arial" w:hAnsi="Arial" w:cs="Arial"/>
          <w:color w:val="000000" w:themeColor="text1"/>
          <w:sz w:val="24"/>
          <w:szCs w:val="24"/>
        </w:rPr>
        <w:t xml:space="preserve"> </w:t>
      </w:r>
      <w:r w:rsidRPr="009E66E5">
        <w:rPr>
          <w:rFonts w:ascii="Arial" w:hAnsi="Arial" w:cs="Arial"/>
          <w:color w:val="000000" w:themeColor="text1"/>
          <w:sz w:val="24"/>
          <w:szCs w:val="24"/>
        </w:rPr>
        <w:t xml:space="preserve">The small sites option was discounted as this would not provide sufficient land to deliver 1,250 dwellings, would result in piecemeal development and not provide </w:t>
      </w:r>
      <w:r>
        <w:rPr>
          <w:rFonts w:ascii="Arial" w:hAnsi="Arial" w:cs="Arial"/>
          <w:color w:val="000000" w:themeColor="text1"/>
          <w:sz w:val="24"/>
          <w:szCs w:val="24"/>
        </w:rPr>
        <w:t xml:space="preserve">the required </w:t>
      </w:r>
      <w:r w:rsidRPr="009E66E5">
        <w:rPr>
          <w:rFonts w:ascii="Arial" w:hAnsi="Arial" w:cs="Arial"/>
          <w:color w:val="000000" w:themeColor="text1"/>
          <w:sz w:val="24"/>
          <w:szCs w:val="24"/>
        </w:rPr>
        <w:t>community infrastructure improvements.</w:t>
      </w:r>
      <w:r w:rsidR="00AF74C1">
        <w:rPr>
          <w:rFonts w:ascii="Arial" w:hAnsi="Arial" w:cs="Arial"/>
          <w:color w:val="000000" w:themeColor="text1"/>
          <w:sz w:val="24"/>
          <w:szCs w:val="24"/>
        </w:rPr>
        <w:t xml:space="preserve"> </w:t>
      </w:r>
      <w:r w:rsidRPr="009E66E5">
        <w:rPr>
          <w:rFonts w:ascii="Arial" w:hAnsi="Arial" w:cs="Arial"/>
          <w:color w:val="000000" w:themeColor="text1"/>
          <w:sz w:val="24"/>
          <w:szCs w:val="24"/>
        </w:rPr>
        <w:t>The two remaining site options were subject to further public consultation</w:t>
      </w:r>
      <w:r>
        <w:rPr>
          <w:rFonts w:ascii="Arial" w:hAnsi="Arial" w:cs="Arial"/>
          <w:color w:val="000000" w:themeColor="text1"/>
          <w:sz w:val="24"/>
          <w:szCs w:val="24"/>
        </w:rPr>
        <w:t xml:space="preserve"> and assessment, which led to the </w:t>
      </w:r>
      <w:r w:rsidRPr="009E66E5">
        <w:rPr>
          <w:rFonts w:ascii="Arial" w:hAnsi="Arial" w:cs="Arial"/>
          <w:color w:val="000000" w:themeColor="text1"/>
          <w:sz w:val="24"/>
          <w:szCs w:val="24"/>
        </w:rPr>
        <w:t xml:space="preserve">Pre-Submission NP2 </w:t>
      </w:r>
      <w:r>
        <w:rPr>
          <w:rFonts w:ascii="Arial" w:hAnsi="Arial" w:cs="Arial"/>
          <w:color w:val="000000" w:themeColor="text1"/>
          <w:sz w:val="24"/>
          <w:szCs w:val="24"/>
        </w:rPr>
        <w:t xml:space="preserve">(September 2020) </w:t>
      </w:r>
      <w:r w:rsidRPr="009E66E5">
        <w:rPr>
          <w:rFonts w:ascii="Arial" w:hAnsi="Arial" w:cs="Arial"/>
          <w:color w:val="000000" w:themeColor="text1"/>
          <w:sz w:val="24"/>
          <w:szCs w:val="24"/>
        </w:rPr>
        <w:t>propos</w:t>
      </w:r>
      <w:r>
        <w:rPr>
          <w:rFonts w:ascii="Arial" w:hAnsi="Arial" w:cs="Arial"/>
          <w:color w:val="000000" w:themeColor="text1"/>
          <w:sz w:val="24"/>
          <w:szCs w:val="24"/>
        </w:rPr>
        <w:t>ing</w:t>
      </w:r>
      <w:r w:rsidRPr="009E66E5">
        <w:rPr>
          <w:rFonts w:ascii="Arial" w:hAnsi="Arial" w:cs="Arial"/>
          <w:color w:val="000000" w:themeColor="text1"/>
          <w:sz w:val="24"/>
          <w:szCs w:val="24"/>
        </w:rPr>
        <w:t xml:space="preserve"> to allocate land to the east of Southbourne</w:t>
      </w:r>
      <w:r>
        <w:rPr>
          <w:rFonts w:ascii="Arial" w:hAnsi="Arial" w:cs="Arial"/>
          <w:color w:val="000000" w:themeColor="text1"/>
          <w:sz w:val="24"/>
          <w:szCs w:val="24"/>
        </w:rPr>
        <w:t>.</w:t>
      </w:r>
      <w:r w:rsidR="00AF74C1">
        <w:rPr>
          <w:rFonts w:ascii="Arial" w:hAnsi="Arial" w:cs="Arial"/>
          <w:color w:val="000000" w:themeColor="text1"/>
          <w:sz w:val="24"/>
          <w:szCs w:val="24"/>
        </w:rPr>
        <w:t xml:space="preserve"> </w:t>
      </w:r>
    </w:p>
    <w:p w14:paraId="09992E93" w14:textId="77777777" w:rsidR="007D7848" w:rsidRPr="00ED55C4" w:rsidRDefault="007D7848" w:rsidP="007D7848">
      <w:pPr>
        <w:pStyle w:val="ListParagraph"/>
        <w:rPr>
          <w:rFonts w:ascii="Arial" w:hAnsi="Arial" w:cs="Arial"/>
          <w:color w:val="000000" w:themeColor="text1"/>
          <w:sz w:val="24"/>
          <w:szCs w:val="24"/>
        </w:rPr>
      </w:pPr>
    </w:p>
    <w:p w14:paraId="549C6F61" w14:textId="26CC5ABE"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The accompanying Sustainability Appraisal (SA) assessed the relative sustainability merits of each option against nine SA themes.</w:t>
      </w:r>
      <w:r w:rsidR="00AF74C1">
        <w:rPr>
          <w:rFonts w:ascii="Arial" w:hAnsi="Arial" w:cs="Arial"/>
          <w:color w:val="000000" w:themeColor="text1"/>
          <w:sz w:val="24"/>
          <w:szCs w:val="24"/>
        </w:rPr>
        <w:t xml:space="preserve"> </w:t>
      </w:r>
      <w:r>
        <w:rPr>
          <w:rFonts w:ascii="Arial" w:hAnsi="Arial" w:cs="Arial"/>
          <w:color w:val="000000" w:themeColor="text1"/>
          <w:sz w:val="24"/>
          <w:szCs w:val="24"/>
        </w:rPr>
        <w:t>This found that other than the land to the east having the potential for impacts on the setting of designated heritage assets, both the east and west options would be likely to have similar effects.</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Both options were assessed as being likely to have significant adverse impacts, in the absence of mitigation measures, on the integrity of European and nationally designated sites </w:t>
      </w:r>
      <w:proofErr w:type="gramStart"/>
      <w:r>
        <w:rPr>
          <w:rFonts w:ascii="Arial" w:hAnsi="Arial" w:cs="Arial"/>
          <w:color w:val="000000" w:themeColor="text1"/>
          <w:sz w:val="24"/>
          <w:szCs w:val="24"/>
        </w:rPr>
        <w:t>and also</w:t>
      </w:r>
      <w:proofErr w:type="gramEnd"/>
      <w:r>
        <w:rPr>
          <w:rFonts w:ascii="Arial" w:hAnsi="Arial" w:cs="Arial"/>
          <w:color w:val="000000" w:themeColor="text1"/>
          <w:sz w:val="24"/>
          <w:szCs w:val="24"/>
        </w:rPr>
        <w:t xml:space="preserve"> lead to a reduction in the gap between Southbourne and Hambrook and Westbourne respectively.</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However, both options would have positive impacts on the SA themes of community (through delivery of a mix of housing types and tenures), economic viability (through the provision of community infrastructure and employment land), health and wellbeing (through the provision of multi-functional </w:t>
      </w:r>
      <w:r>
        <w:rPr>
          <w:rFonts w:ascii="Arial" w:hAnsi="Arial" w:cs="Arial"/>
          <w:color w:val="000000" w:themeColor="text1"/>
          <w:sz w:val="24"/>
          <w:szCs w:val="24"/>
        </w:rPr>
        <w:lastRenderedPageBreak/>
        <w:t>green infrastructure networks) and transportation (through design and location of development areas and facilitating active travel measures).</w:t>
      </w:r>
    </w:p>
    <w:p w14:paraId="1069BC00" w14:textId="77777777" w:rsidR="007D7848" w:rsidRPr="005A11C7" w:rsidRDefault="007D7848" w:rsidP="007D7848">
      <w:pPr>
        <w:pStyle w:val="ListParagraph"/>
        <w:rPr>
          <w:rFonts w:ascii="Arial" w:hAnsi="Arial" w:cs="Arial"/>
          <w:color w:val="000000" w:themeColor="text1"/>
          <w:sz w:val="24"/>
          <w:szCs w:val="24"/>
        </w:rPr>
      </w:pPr>
    </w:p>
    <w:p w14:paraId="435E04B9" w14:textId="245139A5" w:rsidR="007D7848" w:rsidRPr="009E66E5" w:rsidRDefault="007D7848" w:rsidP="007D7848">
      <w:pPr>
        <w:pStyle w:val="ListParagraph"/>
        <w:numPr>
          <w:ilvl w:val="1"/>
          <w:numId w:val="22"/>
        </w:numPr>
        <w:ind w:left="720" w:hanging="720"/>
        <w:rPr>
          <w:rFonts w:ascii="Arial" w:hAnsi="Arial" w:cs="Arial"/>
          <w:color w:val="000000" w:themeColor="text1"/>
          <w:sz w:val="24"/>
          <w:szCs w:val="24"/>
        </w:rPr>
      </w:pPr>
      <w:r w:rsidRPr="009E66E5">
        <w:rPr>
          <w:rFonts w:ascii="Arial" w:hAnsi="Arial" w:cs="Arial"/>
          <w:color w:val="000000" w:themeColor="text1"/>
          <w:sz w:val="24"/>
          <w:szCs w:val="24"/>
        </w:rPr>
        <w:t xml:space="preserve">The allocation </w:t>
      </w:r>
      <w:r>
        <w:rPr>
          <w:rFonts w:ascii="Arial" w:hAnsi="Arial" w:cs="Arial"/>
          <w:color w:val="000000" w:themeColor="text1"/>
          <w:sz w:val="24"/>
          <w:szCs w:val="24"/>
        </w:rPr>
        <w:t xml:space="preserve">of land to the east of Southbourne </w:t>
      </w:r>
      <w:r w:rsidRPr="009E66E5">
        <w:rPr>
          <w:rFonts w:ascii="Arial" w:hAnsi="Arial" w:cs="Arial"/>
          <w:color w:val="000000" w:themeColor="text1"/>
          <w:sz w:val="24"/>
          <w:szCs w:val="24"/>
        </w:rPr>
        <w:t>was confirmed in the Submission NP2 (as Policy SB2).</w:t>
      </w:r>
      <w:r w:rsidR="00AF74C1">
        <w:rPr>
          <w:rFonts w:ascii="Arial" w:hAnsi="Arial" w:cs="Arial"/>
          <w:color w:val="000000" w:themeColor="text1"/>
          <w:sz w:val="24"/>
          <w:szCs w:val="24"/>
        </w:rPr>
        <w:t xml:space="preserve"> </w:t>
      </w:r>
      <w:r w:rsidRPr="009E66E5">
        <w:rPr>
          <w:rFonts w:ascii="Arial" w:hAnsi="Arial" w:cs="Arial"/>
          <w:color w:val="000000" w:themeColor="text1"/>
          <w:sz w:val="24"/>
          <w:szCs w:val="24"/>
        </w:rPr>
        <w:t xml:space="preserve">The NP2 was published for </w:t>
      </w:r>
      <w:hyperlink r:id="rId16" w:history="1">
        <w:r w:rsidRPr="009E66E5">
          <w:rPr>
            <w:rStyle w:val="Hyperlink"/>
            <w:rFonts w:ascii="Arial" w:hAnsi="Arial" w:cs="Arial"/>
            <w:sz w:val="24"/>
            <w:szCs w:val="24"/>
          </w:rPr>
          <w:t>consultation under Regulation 16</w:t>
        </w:r>
      </w:hyperlink>
      <w:r w:rsidRPr="009E66E5">
        <w:rPr>
          <w:rFonts w:ascii="Arial" w:hAnsi="Arial" w:cs="Arial"/>
          <w:color w:val="000000" w:themeColor="text1"/>
          <w:sz w:val="24"/>
          <w:szCs w:val="24"/>
        </w:rPr>
        <w:t xml:space="preserve"> from April to June 2021.</w:t>
      </w:r>
      <w:r w:rsidR="00AF74C1">
        <w:rPr>
          <w:rFonts w:ascii="Arial" w:hAnsi="Arial" w:cs="Arial"/>
          <w:color w:val="000000" w:themeColor="text1"/>
          <w:sz w:val="24"/>
          <w:szCs w:val="24"/>
        </w:rPr>
        <w:t xml:space="preserve"> </w:t>
      </w:r>
      <w:r w:rsidRPr="009E66E5">
        <w:rPr>
          <w:rFonts w:ascii="Arial" w:hAnsi="Arial" w:cs="Arial"/>
          <w:color w:val="000000" w:themeColor="text1"/>
          <w:sz w:val="24"/>
          <w:szCs w:val="24"/>
        </w:rPr>
        <w:t>The examiner appointed to examine NPD held a hearing in January 2022; the single matter considered were the issues raised by the proposed Policy SB2.</w:t>
      </w:r>
      <w:r w:rsidR="00AF74C1">
        <w:rPr>
          <w:rFonts w:ascii="Arial" w:hAnsi="Arial" w:cs="Arial"/>
          <w:color w:val="000000" w:themeColor="text1"/>
          <w:sz w:val="24"/>
          <w:szCs w:val="24"/>
        </w:rPr>
        <w:t xml:space="preserve"> </w:t>
      </w:r>
    </w:p>
    <w:p w14:paraId="08E7F3F1" w14:textId="77777777" w:rsidR="007D7848" w:rsidRPr="005D6634" w:rsidRDefault="007D7848" w:rsidP="007D7848">
      <w:pPr>
        <w:pStyle w:val="ListParagraph"/>
        <w:rPr>
          <w:rFonts w:ascii="Arial" w:hAnsi="Arial" w:cs="Arial"/>
          <w:color w:val="000000" w:themeColor="text1"/>
          <w:sz w:val="24"/>
          <w:szCs w:val="24"/>
        </w:rPr>
      </w:pPr>
    </w:p>
    <w:p w14:paraId="45862A02" w14:textId="08288FC3" w:rsidR="007D7848" w:rsidRDefault="007D7848" w:rsidP="007D7848">
      <w:pPr>
        <w:pStyle w:val="ListParagraph"/>
        <w:numPr>
          <w:ilvl w:val="1"/>
          <w:numId w:val="22"/>
        </w:numPr>
        <w:ind w:left="720" w:hanging="720"/>
        <w:rPr>
          <w:rFonts w:ascii="Arial" w:hAnsi="Arial" w:cs="Arial"/>
          <w:color w:val="000000" w:themeColor="text1"/>
          <w:sz w:val="24"/>
          <w:szCs w:val="24"/>
        </w:rPr>
      </w:pPr>
      <w:r w:rsidRPr="00816413">
        <w:rPr>
          <w:rFonts w:ascii="Arial" w:hAnsi="Arial" w:cs="Arial"/>
          <w:color w:val="000000" w:themeColor="text1"/>
          <w:sz w:val="24"/>
          <w:szCs w:val="24"/>
        </w:rPr>
        <w:t>The examiner is required to consider if the submitted neighbourhood plan meets ‘Basic Conditions’, including whether the plan is in general conformity with the strategic policies contained in the development plan for the area</w:t>
      </w:r>
      <w:r>
        <w:rPr>
          <w:rFonts w:ascii="Arial" w:hAnsi="Arial" w:cs="Arial"/>
          <w:color w:val="000000" w:themeColor="text1"/>
          <w:sz w:val="24"/>
          <w:szCs w:val="24"/>
        </w:rPr>
        <w:t>, which at the time of the examination was the Local Plan Key Policies 2014-2029</w:t>
      </w:r>
      <w:r w:rsidRPr="00816413">
        <w:rPr>
          <w:rFonts w:ascii="Arial" w:hAnsi="Arial" w:cs="Arial"/>
          <w:color w:val="000000" w:themeColor="text1"/>
          <w:sz w:val="24"/>
          <w:szCs w:val="24"/>
        </w:rPr>
        <w:t>.</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In his </w:t>
      </w:r>
      <w:hyperlink r:id="rId17" w:history="1">
        <w:r w:rsidRPr="00DF1932">
          <w:rPr>
            <w:rStyle w:val="Hyperlink"/>
            <w:rFonts w:ascii="Arial" w:hAnsi="Arial" w:cs="Arial"/>
            <w:sz w:val="24"/>
            <w:szCs w:val="24"/>
          </w:rPr>
          <w:t>report of March 2022</w:t>
        </w:r>
      </w:hyperlink>
      <w:r>
        <w:rPr>
          <w:rFonts w:ascii="Arial" w:hAnsi="Arial" w:cs="Arial"/>
          <w:color w:val="000000" w:themeColor="text1"/>
          <w:sz w:val="24"/>
          <w:szCs w:val="24"/>
        </w:rPr>
        <w:t>, t</w:t>
      </w:r>
      <w:r w:rsidRPr="00816413">
        <w:rPr>
          <w:rFonts w:ascii="Arial" w:hAnsi="Arial" w:cs="Arial"/>
          <w:color w:val="000000" w:themeColor="text1"/>
          <w:sz w:val="24"/>
          <w:szCs w:val="24"/>
        </w:rPr>
        <w:t xml:space="preserve">he examiner </w:t>
      </w:r>
      <w:r>
        <w:rPr>
          <w:rFonts w:ascii="Arial" w:hAnsi="Arial" w:cs="Arial"/>
          <w:color w:val="000000" w:themeColor="text1"/>
          <w:sz w:val="24"/>
          <w:szCs w:val="24"/>
        </w:rPr>
        <w:t>concluded that:</w:t>
      </w:r>
    </w:p>
    <w:p w14:paraId="4706772D" w14:textId="77777777" w:rsidR="007D7848" w:rsidRPr="00816413" w:rsidRDefault="007D7848" w:rsidP="007D7848">
      <w:pPr>
        <w:pStyle w:val="ListParagraph"/>
        <w:rPr>
          <w:rFonts w:ascii="Arial" w:hAnsi="Arial" w:cs="Arial"/>
          <w:color w:val="000000" w:themeColor="text1"/>
          <w:sz w:val="24"/>
          <w:szCs w:val="24"/>
        </w:rPr>
      </w:pPr>
    </w:p>
    <w:p w14:paraId="5E16DB21" w14:textId="77777777" w:rsidR="007D7848" w:rsidRDefault="007D7848" w:rsidP="007D7848">
      <w:pPr>
        <w:pStyle w:val="ListParagraph"/>
        <w:ind w:left="1440" w:right="818"/>
        <w:rPr>
          <w:rFonts w:ascii="Arial" w:hAnsi="Arial" w:cs="Arial"/>
          <w:i/>
          <w:iCs/>
          <w:color w:val="000000" w:themeColor="text1"/>
          <w:sz w:val="24"/>
          <w:szCs w:val="24"/>
        </w:rPr>
      </w:pPr>
      <w:r w:rsidRPr="00DF1932">
        <w:rPr>
          <w:rFonts w:ascii="Arial" w:hAnsi="Arial" w:cs="Arial"/>
          <w:i/>
          <w:iCs/>
          <w:color w:val="000000" w:themeColor="text1"/>
          <w:sz w:val="24"/>
          <w:szCs w:val="24"/>
        </w:rPr>
        <w:t>‘…. NP2, taken as a whole, is not in general conformity with those strategic policies. It proposes a major strategic allocation, quite inconsistent with the LP and not in general conformity with it. I therefore conclude that NP2 does not comply with the Basic Conditions, and that it must be refused.’</w:t>
      </w:r>
    </w:p>
    <w:p w14:paraId="2DE15C67" w14:textId="77777777" w:rsidR="007D7848" w:rsidRDefault="007D7848" w:rsidP="007D7848">
      <w:pPr>
        <w:pStyle w:val="ListParagraph"/>
        <w:ind w:left="1440" w:right="818"/>
        <w:rPr>
          <w:rFonts w:ascii="Arial" w:hAnsi="Arial" w:cs="Arial"/>
          <w:i/>
          <w:iCs/>
          <w:color w:val="000000" w:themeColor="text1"/>
          <w:sz w:val="24"/>
          <w:szCs w:val="24"/>
        </w:rPr>
      </w:pPr>
    </w:p>
    <w:p w14:paraId="39A2A5F9" w14:textId="77777777"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Because the Examiner found that NP2 failed to meet the Basic Conditions, he did not go on to consider the merits of the proposed allocation SB2.</w:t>
      </w:r>
    </w:p>
    <w:p w14:paraId="2FC61108" w14:textId="77777777" w:rsidR="007D7848" w:rsidRDefault="007D7848" w:rsidP="007D7848">
      <w:pPr>
        <w:pStyle w:val="ListParagraph"/>
        <w:rPr>
          <w:rFonts w:ascii="Arial" w:hAnsi="Arial" w:cs="Arial"/>
          <w:color w:val="000000" w:themeColor="text1"/>
          <w:sz w:val="24"/>
          <w:szCs w:val="24"/>
        </w:rPr>
      </w:pPr>
    </w:p>
    <w:p w14:paraId="5C8835FF" w14:textId="3CDB1731"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Following consideration of the Examiner’s report, Southbourne Parish Council decided on the 12 April 2022 to withdraw NP2 from further consideration.</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The </w:t>
      </w:r>
      <w:r w:rsidR="006455B9">
        <w:rPr>
          <w:rFonts w:ascii="Arial" w:hAnsi="Arial" w:cs="Arial"/>
          <w:color w:val="000000" w:themeColor="text1"/>
          <w:sz w:val="24"/>
          <w:szCs w:val="24"/>
        </w:rPr>
        <w:t>p</w:t>
      </w:r>
      <w:r>
        <w:rPr>
          <w:rFonts w:ascii="Arial" w:hAnsi="Arial" w:cs="Arial"/>
          <w:color w:val="000000" w:themeColor="text1"/>
          <w:sz w:val="24"/>
          <w:szCs w:val="24"/>
        </w:rPr>
        <w:t xml:space="preserve">arish </w:t>
      </w:r>
      <w:r w:rsidR="006455B9">
        <w:rPr>
          <w:rFonts w:ascii="Arial" w:hAnsi="Arial" w:cs="Arial"/>
          <w:color w:val="000000" w:themeColor="text1"/>
          <w:sz w:val="24"/>
          <w:szCs w:val="24"/>
        </w:rPr>
        <w:t>c</w:t>
      </w:r>
      <w:r>
        <w:rPr>
          <w:rFonts w:ascii="Arial" w:hAnsi="Arial" w:cs="Arial"/>
          <w:color w:val="000000" w:themeColor="text1"/>
          <w:sz w:val="24"/>
          <w:szCs w:val="24"/>
        </w:rPr>
        <w:t xml:space="preserve">ouncil subsequently advised the </w:t>
      </w:r>
      <w:r w:rsidR="006455B9">
        <w:rPr>
          <w:rFonts w:ascii="Arial" w:hAnsi="Arial" w:cs="Arial"/>
          <w:color w:val="000000" w:themeColor="text1"/>
          <w:sz w:val="24"/>
          <w:szCs w:val="24"/>
        </w:rPr>
        <w:t>c</w:t>
      </w:r>
      <w:r>
        <w:rPr>
          <w:rFonts w:ascii="Arial" w:hAnsi="Arial" w:cs="Arial"/>
          <w:color w:val="000000" w:themeColor="text1"/>
          <w:sz w:val="24"/>
          <w:szCs w:val="24"/>
        </w:rPr>
        <w:t>ouncil of their intention to ‘hand back’ the strategic housing allocation for the Local Plan to make and justify.</w:t>
      </w:r>
    </w:p>
    <w:p w14:paraId="708C6C86" w14:textId="77777777" w:rsidR="007D7848" w:rsidRDefault="007D7848" w:rsidP="007D7848">
      <w:pPr>
        <w:pStyle w:val="ListParagraph"/>
        <w:rPr>
          <w:rFonts w:ascii="Arial" w:hAnsi="Arial" w:cs="Arial"/>
          <w:color w:val="000000" w:themeColor="text1"/>
          <w:sz w:val="24"/>
          <w:szCs w:val="24"/>
        </w:rPr>
      </w:pPr>
    </w:p>
    <w:p w14:paraId="562C384E" w14:textId="41993488" w:rsidR="007D7848" w:rsidRPr="00816413"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On th</w:t>
      </w:r>
      <w:r w:rsidR="003B2E14">
        <w:rPr>
          <w:rFonts w:ascii="Arial" w:hAnsi="Arial" w:cs="Arial"/>
          <w:color w:val="000000" w:themeColor="text1"/>
          <w:sz w:val="24"/>
          <w:szCs w:val="24"/>
        </w:rPr>
        <w:t>e 2 March 2023</w:t>
      </w:r>
      <w:r>
        <w:rPr>
          <w:rFonts w:ascii="Arial" w:hAnsi="Arial" w:cs="Arial"/>
          <w:color w:val="000000" w:themeColor="text1"/>
          <w:sz w:val="24"/>
          <w:szCs w:val="24"/>
        </w:rPr>
        <w:t xml:space="preserve">, the </w:t>
      </w:r>
      <w:r w:rsidR="003B2E14">
        <w:rPr>
          <w:rFonts w:ascii="Arial" w:hAnsi="Arial" w:cs="Arial"/>
          <w:color w:val="000000" w:themeColor="text1"/>
          <w:sz w:val="24"/>
          <w:szCs w:val="24"/>
        </w:rPr>
        <w:t>Southbourne Modified Neighbourhood Plan 2014-2029 was published for c</w:t>
      </w:r>
      <w:r>
        <w:rPr>
          <w:rFonts w:ascii="Arial" w:hAnsi="Arial" w:cs="Arial"/>
          <w:color w:val="000000" w:themeColor="text1"/>
          <w:sz w:val="24"/>
          <w:szCs w:val="24"/>
        </w:rPr>
        <w:t>onsultation under Regulation 1</w:t>
      </w:r>
      <w:r w:rsidR="003B2E14">
        <w:rPr>
          <w:rFonts w:ascii="Arial" w:hAnsi="Arial" w:cs="Arial"/>
          <w:color w:val="000000" w:themeColor="text1"/>
          <w:sz w:val="24"/>
          <w:szCs w:val="24"/>
        </w:rPr>
        <w:t>6</w:t>
      </w:r>
      <w:r>
        <w:rPr>
          <w:rFonts w:ascii="Arial" w:hAnsi="Arial" w:cs="Arial"/>
          <w:color w:val="000000" w:themeColor="text1"/>
          <w:sz w:val="24"/>
          <w:szCs w:val="24"/>
        </w:rPr>
        <w:t>.</w:t>
      </w:r>
      <w:r w:rsidR="00AF74C1">
        <w:rPr>
          <w:rFonts w:ascii="Arial" w:hAnsi="Arial" w:cs="Arial"/>
          <w:color w:val="000000" w:themeColor="text1"/>
          <w:sz w:val="24"/>
          <w:szCs w:val="24"/>
        </w:rPr>
        <w:t xml:space="preserve"> </w:t>
      </w:r>
      <w:r w:rsidR="00641768">
        <w:rPr>
          <w:rFonts w:ascii="Arial" w:hAnsi="Arial" w:cs="Arial"/>
          <w:color w:val="000000" w:themeColor="text1"/>
          <w:sz w:val="24"/>
          <w:szCs w:val="24"/>
        </w:rPr>
        <w:t>The modified plan did not include any new housing allocations.</w:t>
      </w:r>
      <w:r w:rsidR="00AF74C1">
        <w:rPr>
          <w:rFonts w:ascii="Arial" w:hAnsi="Arial" w:cs="Arial"/>
          <w:color w:val="000000" w:themeColor="text1"/>
          <w:sz w:val="24"/>
          <w:szCs w:val="24"/>
        </w:rPr>
        <w:t xml:space="preserve"> </w:t>
      </w:r>
      <w:r w:rsidR="003B2E14">
        <w:rPr>
          <w:rFonts w:ascii="Arial" w:hAnsi="Arial" w:cs="Arial"/>
          <w:color w:val="000000" w:themeColor="text1"/>
          <w:sz w:val="24"/>
          <w:szCs w:val="24"/>
        </w:rPr>
        <w:t xml:space="preserve">Following examination, the </w:t>
      </w:r>
      <w:r w:rsidR="00A97D28">
        <w:rPr>
          <w:rFonts w:ascii="Arial" w:hAnsi="Arial" w:cs="Arial"/>
          <w:color w:val="000000" w:themeColor="text1"/>
          <w:sz w:val="24"/>
          <w:szCs w:val="24"/>
        </w:rPr>
        <w:t xml:space="preserve">examiner recommended that, subject to the making of </w:t>
      </w:r>
      <w:proofErr w:type="gramStart"/>
      <w:r w:rsidR="00A97D28">
        <w:rPr>
          <w:rFonts w:ascii="Arial" w:hAnsi="Arial" w:cs="Arial"/>
          <w:color w:val="000000" w:themeColor="text1"/>
          <w:sz w:val="24"/>
          <w:szCs w:val="24"/>
        </w:rPr>
        <w:t>a number of</w:t>
      </w:r>
      <w:proofErr w:type="gramEnd"/>
      <w:r w:rsidR="00A97D28">
        <w:rPr>
          <w:rFonts w:ascii="Arial" w:hAnsi="Arial" w:cs="Arial"/>
          <w:color w:val="000000" w:themeColor="text1"/>
          <w:sz w:val="24"/>
          <w:szCs w:val="24"/>
        </w:rPr>
        <w:t xml:space="preserve"> modifications, the Modified Neighbourhood Plan proceed to referendum.</w:t>
      </w:r>
      <w:r w:rsidR="00AF74C1">
        <w:rPr>
          <w:rFonts w:ascii="Arial" w:hAnsi="Arial" w:cs="Arial"/>
          <w:color w:val="000000" w:themeColor="text1"/>
          <w:sz w:val="24"/>
          <w:szCs w:val="24"/>
        </w:rPr>
        <w:t xml:space="preserve"> </w:t>
      </w:r>
      <w:r w:rsidR="007554B6">
        <w:rPr>
          <w:rFonts w:ascii="Arial" w:hAnsi="Arial" w:cs="Arial"/>
          <w:color w:val="000000" w:themeColor="text1"/>
          <w:sz w:val="24"/>
          <w:szCs w:val="24"/>
        </w:rPr>
        <w:t xml:space="preserve">Following a successful </w:t>
      </w:r>
      <w:r w:rsidR="00A97D28">
        <w:rPr>
          <w:rFonts w:ascii="Arial" w:hAnsi="Arial" w:cs="Arial"/>
          <w:color w:val="000000" w:themeColor="text1"/>
          <w:sz w:val="24"/>
          <w:szCs w:val="24"/>
        </w:rPr>
        <w:t>referendum held on the 25 January 2024</w:t>
      </w:r>
      <w:r w:rsidR="007554B6">
        <w:rPr>
          <w:rFonts w:ascii="Arial" w:hAnsi="Arial" w:cs="Arial"/>
          <w:color w:val="000000" w:themeColor="text1"/>
          <w:sz w:val="24"/>
          <w:szCs w:val="24"/>
        </w:rPr>
        <w:t xml:space="preserve">, the Southbourne Modified Neighbourhood Plan </w:t>
      </w:r>
      <w:r w:rsidR="004711DC">
        <w:rPr>
          <w:rFonts w:ascii="Arial" w:hAnsi="Arial" w:cs="Arial"/>
          <w:color w:val="000000" w:themeColor="text1"/>
          <w:sz w:val="24"/>
          <w:szCs w:val="24"/>
        </w:rPr>
        <w:t>was made on the 27 February 2024</w:t>
      </w:r>
      <w:r w:rsidR="00A97D28">
        <w:rPr>
          <w:rFonts w:ascii="Arial" w:hAnsi="Arial" w:cs="Arial"/>
          <w:color w:val="000000" w:themeColor="text1"/>
          <w:sz w:val="24"/>
          <w:szCs w:val="24"/>
        </w:rPr>
        <w:t>.</w:t>
      </w:r>
      <w:r w:rsidR="00AF74C1">
        <w:rPr>
          <w:rFonts w:ascii="Arial" w:hAnsi="Arial" w:cs="Arial"/>
          <w:color w:val="000000" w:themeColor="text1"/>
          <w:sz w:val="24"/>
          <w:szCs w:val="24"/>
        </w:rPr>
        <w:t xml:space="preserve">  </w:t>
      </w:r>
    </w:p>
    <w:p w14:paraId="2EC01C0E" w14:textId="4232CFDA" w:rsidR="007D7848" w:rsidRPr="00294613" w:rsidRDefault="007D7848" w:rsidP="00294613">
      <w:pPr>
        <w:pStyle w:val="Heading1"/>
        <w:numPr>
          <w:ilvl w:val="0"/>
          <w:numId w:val="22"/>
        </w:numPr>
        <w:spacing w:after="240"/>
        <w:rPr>
          <w:rFonts w:ascii="Arial" w:hAnsi="Arial" w:cs="Arial"/>
          <w:b/>
          <w:bCs/>
          <w:color w:val="0073CF"/>
        </w:rPr>
      </w:pPr>
      <w:bookmarkStart w:id="2" w:name="_Toc167896093"/>
      <w:r w:rsidRPr="00294613">
        <w:rPr>
          <w:rFonts w:ascii="Arial" w:hAnsi="Arial" w:cs="Arial"/>
          <w:b/>
          <w:bCs/>
          <w:color w:val="0073CF"/>
        </w:rPr>
        <w:t xml:space="preserve">Delivering </w:t>
      </w:r>
      <w:r w:rsidR="00AF74C1">
        <w:rPr>
          <w:rFonts w:ascii="Arial" w:hAnsi="Arial" w:cs="Arial"/>
          <w:b/>
          <w:bCs/>
          <w:color w:val="0073CF"/>
        </w:rPr>
        <w:t>S</w:t>
      </w:r>
      <w:r w:rsidRPr="00294613">
        <w:rPr>
          <w:rFonts w:ascii="Arial" w:hAnsi="Arial" w:cs="Arial"/>
          <w:b/>
          <w:bCs/>
          <w:color w:val="0073CF"/>
        </w:rPr>
        <w:t xml:space="preserve">trategic </w:t>
      </w:r>
      <w:r w:rsidR="00AF74C1">
        <w:rPr>
          <w:rFonts w:ascii="Arial" w:hAnsi="Arial" w:cs="Arial"/>
          <w:b/>
          <w:bCs/>
          <w:color w:val="0073CF"/>
        </w:rPr>
        <w:t>D</w:t>
      </w:r>
      <w:r w:rsidRPr="00294613">
        <w:rPr>
          <w:rFonts w:ascii="Arial" w:hAnsi="Arial" w:cs="Arial"/>
          <w:b/>
          <w:bCs/>
          <w:color w:val="0073CF"/>
        </w:rPr>
        <w:t>evelopment in Southbourne</w:t>
      </w:r>
      <w:bookmarkEnd w:id="2"/>
    </w:p>
    <w:p w14:paraId="1B01078D" w14:textId="2059A3D1"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 xml:space="preserve">With the decision of Southbourne Parish Council </w:t>
      </w:r>
      <w:r w:rsidR="004711DC">
        <w:rPr>
          <w:rFonts w:ascii="Arial" w:hAnsi="Arial" w:cs="Arial"/>
          <w:color w:val="000000" w:themeColor="text1"/>
          <w:sz w:val="24"/>
          <w:szCs w:val="24"/>
        </w:rPr>
        <w:t xml:space="preserve">in 2022 </w:t>
      </w:r>
      <w:r>
        <w:rPr>
          <w:rFonts w:ascii="Arial" w:hAnsi="Arial" w:cs="Arial"/>
          <w:color w:val="000000" w:themeColor="text1"/>
          <w:sz w:val="24"/>
          <w:szCs w:val="24"/>
        </w:rPr>
        <w:t xml:space="preserve">to no longer proceed with the inclusion of a strategic allocation in their neighbourhood plan, the </w:t>
      </w:r>
      <w:r w:rsidR="006455B9">
        <w:rPr>
          <w:rFonts w:ascii="Arial" w:hAnsi="Arial" w:cs="Arial"/>
          <w:color w:val="000000" w:themeColor="text1"/>
          <w:sz w:val="24"/>
          <w:szCs w:val="24"/>
        </w:rPr>
        <w:t>c</w:t>
      </w:r>
      <w:r>
        <w:rPr>
          <w:rFonts w:ascii="Arial" w:hAnsi="Arial" w:cs="Arial"/>
          <w:color w:val="000000" w:themeColor="text1"/>
          <w:sz w:val="24"/>
          <w:szCs w:val="24"/>
        </w:rPr>
        <w:t>ouncil considered three options for taking forward development in Southbourne, namely:</w:t>
      </w:r>
    </w:p>
    <w:p w14:paraId="118B641F" w14:textId="77777777" w:rsidR="007D7848" w:rsidRDefault="007D7848" w:rsidP="007D7848">
      <w:pPr>
        <w:pStyle w:val="ListParagraph"/>
        <w:numPr>
          <w:ilvl w:val="0"/>
          <w:numId w:val="29"/>
        </w:numPr>
        <w:rPr>
          <w:rFonts w:ascii="Arial" w:hAnsi="Arial" w:cs="Arial"/>
          <w:color w:val="000000" w:themeColor="text1"/>
          <w:sz w:val="24"/>
          <w:szCs w:val="24"/>
        </w:rPr>
      </w:pPr>
      <w:r>
        <w:rPr>
          <w:rFonts w:ascii="Arial" w:hAnsi="Arial" w:cs="Arial"/>
          <w:color w:val="000000" w:themeColor="text1"/>
          <w:sz w:val="24"/>
          <w:szCs w:val="24"/>
        </w:rPr>
        <w:t xml:space="preserve">Option 1 - redistribute the housing number </w:t>
      </w:r>
      <w:proofErr w:type="gramStart"/>
      <w:r>
        <w:rPr>
          <w:rFonts w:ascii="Arial" w:hAnsi="Arial" w:cs="Arial"/>
          <w:color w:val="000000" w:themeColor="text1"/>
          <w:sz w:val="24"/>
          <w:szCs w:val="24"/>
        </w:rPr>
        <w:t>elsewhere</w:t>
      </w:r>
      <w:proofErr w:type="gramEnd"/>
    </w:p>
    <w:p w14:paraId="2B8CC012" w14:textId="77777777" w:rsidR="007D7848" w:rsidRDefault="007D7848" w:rsidP="007D7848">
      <w:pPr>
        <w:pStyle w:val="ListParagraph"/>
        <w:numPr>
          <w:ilvl w:val="0"/>
          <w:numId w:val="29"/>
        </w:numPr>
        <w:rPr>
          <w:rFonts w:ascii="Arial" w:hAnsi="Arial" w:cs="Arial"/>
          <w:color w:val="000000" w:themeColor="text1"/>
          <w:sz w:val="24"/>
          <w:szCs w:val="24"/>
        </w:rPr>
      </w:pPr>
      <w:r>
        <w:rPr>
          <w:rFonts w:ascii="Arial" w:hAnsi="Arial" w:cs="Arial"/>
          <w:color w:val="000000" w:themeColor="text1"/>
          <w:sz w:val="24"/>
          <w:szCs w:val="24"/>
        </w:rPr>
        <w:t xml:space="preserve">Option 2 - allocate a strategic </w:t>
      </w:r>
      <w:proofErr w:type="gramStart"/>
      <w:r>
        <w:rPr>
          <w:rFonts w:ascii="Arial" w:hAnsi="Arial" w:cs="Arial"/>
          <w:color w:val="000000" w:themeColor="text1"/>
          <w:sz w:val="24"/>
          <w:szCs w:val="24"/>
        </w:rPr>
        <w:t>site</w:t>
      </w:r>
      <w:proofErr w:type="gramEnd"/>
    </w:p>
    <w:p w14:paraId="51B13EF7" w14:textId="77777777" w:rsidR="007D7848" w:rsidRDefault="007D7848" w:rsidP="007D7848">
      <w:pPr>
        <w:pStyle w:val="ListParagraph"/>
        <w:numPr>
          <w:ilvl w:val="0"/>
          <w:numId w:val="29"/>
        </w:numPr>
        <w:spacing w:after="0"/>
        <w:contextualSpacing w:val="0"/>
        <w:rPr>
          <w:rFonts w:ascii="Arial" w:hAnsi="Arial" w:cs="Arial"/>
          <w:color w:val="000000" w:themeColor="text1"/>
          <w:sz w:val="24"/>
          <w:szCs w:val="24"/>
        </w:rPr>
      </w:pPr>
      <w:r>
        <w:rPr>
          <w:rFonts w:ascii="Arial" w:hAnsi="Arial" w:cs="Arial"/>
          <w:color w:val="000000" w:themeColor="text1"/>
          <w:sz w:val="24"/>
          <w:szCs w:val="24"/>
        </w:rPr>
        <w:t>Option 3 - identify a Broad Location for Development</w:t>
      </w:r>
    </w:p>
    <w:p w14:paraId="2590179B" w14:textId="77777777" w:rsidR="007D7848" w:rsidRDefault="007D7848" w:rsidP="007D7848">
      <w:pPr>
        <w:pStyle w:val="ListParagraph"/>
        <w:rPr>
          <w:rFonts w:ascii="Arial" w:hAnsi="Arial" w:cs="Arial"/>
          <w:sz w:val="24"/>
          <w:szCs w:val="24"/>
        </w:rPr>
      </w:pPr>
      <w:r>
        <w:rPr>
          <w:rFonts w:ascii="Arial" w:hAnsi="Arial" w:cs="Arial"/>
          <w:sz w:val="24"/>
          <w:szCs w:val="24"/>
        </w:rPr>
        <w:lastRenderedPageBreak/>
        <w:t>Option 1</w:t>
      </w:r>
    </w:p>
    <w:p w14:paraId="2AF5D878" w14:textId="77777777" w:rsidR="00AF74C1" w:rsidRPr="00E94C7E" w:rsidRDefault="00AF74C1" w:rsidP="007D7848">
      <w:pPr>
        <w:pStyle w:val="ListParagraph"/>
        <w:rPr>
          <w:rFonts w:ascii="Arial" w:hAnsi="Arial" w:cs="Arial"/>
          <w:color w:val="000000" w:themeColor="text1"/>
          <w:sz w:val="24"/>
          <w:szCs w:val="24"/>
        </w:rPr>
      </w:pPr>
    </w:p>
    <w:p w14:paraId="23E66D34" w14:textId="77777777" w:rsidR="007D7848" w:rsidRPr="00E94C7E" w:rsidRDefault="007D7848" w:rsidP="007D7848">
      <w:pPr>
        <w:pStyle w:val="ListParagraph"/>
        <w:numPr>
          <w:ilvl w:val="0"/>
          <w:numId w:val="30"/>
        </w:numPr>
        <w:rPr>
          <w:rFonts w:ascii="Arial" w:hAnsi="Arial" w:cs="Arial"/>
          <w:vanish/>
          <w:sz w:val="24"/>
          <w:szCs w:val="24"/>
        </w:rPr>
      </w:pPr>
    </w:p>
    <w:p w14:paraId="59F819D6" w14:textId="77777777" w:rsidR="007D7848" w:rsidRPr="00E94C7E" w:rsidRDefault="007D7848" w:rsidP="007D7848">
      <w:pPr>
        <w:pStyle w:val="ListParagraph"/>
        <w:numPr>
          <w:ilvl w:val="0"/>
          <w:numId w:val="30"/>
        </w:numPr>
        <w:rPr>
          <w:rFonts w:ascii="Arial" w:hAnsi="Arial" w:cs="Arial"/>
          <w:vanish/>
          <w:sz w:val="24"/>
          <w:szCs w:val="24"/>
        </w:rPr>
      </w:pPr>
    </w:p>
    <w:p w14:paraId="1E041E8E" w14:textId="77777777" w:rsidR="007D7848" w:rsidRPr="00E94C7E" w:rsidRDefault="007D7848" w:rsidP="007D7848">
      <w:pPr>
        <w:pStyle w:val="ListParagraph"/>
        <w:numPr>
          <w:ilvl w:val="0"/>
          <w:numId w:val="30"/>
        </w:numPr>
        <w:rPr>
          <w:rFonts w:ascii="Arial" w:hAnsi="Arial" w:cs="Arial"/>
          <w:vanish/>
          <w:sz w:val="24"/>
          <w:szCs w:val="24"/>
        </w:rPr>
      </w:pPr>
    </w:p>
    <w:p w14:paraId="1F14F213" w14:textId="77777777" w:rsidR="007D7848" w:rsidRPr="00E94C7E" w:rsidRDefault="007D7848" w:rsidP="007D7848">
      <w:pPr>
        <w:pStyle w:val="ListParagraph"/>
        <w:numPr>
          <w:ilvl w:val="1"/>
          <w:numId w:val="30"/>
        </w:numPr>
        <w:rPr>
          <w:rFonts w:ascii="Arial" w:hAnsi="Arial" w:cs="Arial"/>
          <w:vanish/>
          <w:sz w:val="24"/>
          <w:szCs w:val="24"/>
        </w:rPr>
      </w:pPr>
    </w:p>
    <w:p w14:paraId="01977722" w14:textId="05E461D3" w:rsidR="007D7848" w:rsidRPr="00B74E3B" w:rsidRDefault="007D7848" w:rsidP="007D7848">
      <w:pPr>
        <w:pStyle w:val="ListParagraph"/>
        <w:numPr>
          <w:ilvl w:val="1"/>
          <w:numId w:val="30"/>
        </w:numPr>
        <w:ind w:left="720" w:hanging="720"/>
        <w:rPr>
          <w:rFonts w:ascii="Arial" w:hAnsi="Arial" w:cs="Arial"/>
          <w:color w:val="000000" w:themeColor="text1"/>
          <w:sz w:val="24"/>
          <w:szCs w:val="24"/>
        </w:rPr>
      </w:pPr>
      <w:r>
        <w:rPr>
          <w:rFonts w:ascii="Arial" w:hAnsi="Arial" w:cs="Arial"/>
          <w:sz w:val="24"/>
          <w:szCs w:val="24"/>
        </w:rPr>
        <w:t xml:space="preserve">As set out in the </w:t>
      </w:r>
      <w:r w:rsidRPr="00FD3713">
        <w:rPr>
          <w:rFonts w:ascii="Arial" w:hAnsi="Arial" w:cs="Arial"/>
          <w:sz w:val="24"/>
          <w:szCs w:val="24"/>
        </w:rPr>
        <w:t xml:space="preserve">Housing </w:t>
      </w:r>
      <w:r w:rsidR="00B739FA">
        <w:rPr>
          <w:rFonts w:ascii="Arial" w:hAnsi="Arial" w:cs="Arial"/>
          <w:sz w:val="24"/>
          <w:szCs w:val="24"/>
        </w:rPr>
        <w:t xml:space="preserve">Distribution </w:t>
      </w:r>
      <w:r w:rsidRPr="00FD3713">
        <w:rPr>
          <w:rFonts w:ascii="Arial" w:hAnsi="Arial" w:cs="Arial"/>
          <w:sz w:val="24"/>
          <w:szCs w:val="24"/>
        </w:rPr>
        <w:t>Background Paper</w:t>
      </w:r>
      <w:r w:rsidR="00F329F4">
        <w:rPr>
          <w:rFonts w:ascii="Arial" w:hAnsi="Arial" w:cs="Arial"/>
          <w:sz w:val="24"/>
          <w:szCs w:val="24"/>
        </w:rPr>
        <w:t xml:space="preserve"> (</w:t>
      </w:r>
      <w:r w:rsidR="00B739FA">
        <w:rPr>
          <w:rFonts w:ascii="Arial" w:hAnsi="Arial" w:cs="Arial"/>
          <w:sz w:val="24"/>
          <w:szCs w:val="24"/>
        </w:rPr>
        <w:t>BP05</w:t>
      </w:r>
      <w:r w:rsidR="00F329F4">
        <w:rPr>
          <w:rFonts w:ascii="Arial" w:hAnsi="Arial" w:cs="Arial"/>
          <w:sz w:val="24"/>
          <w:szCs w:val="24"/>
        </w:rPr>
        <w:t>)</w:t>
      </w:r>
      <w:r>
        <w:rPr>
          <w:rFonts w:ascii="Arial" w:hAnsi="Arial" w:cs="Arial"/>
          <w:sz w:val="24"/>
          <w:szCs w:val="24"/>
        </w:rPr>
        <w:t xml:space="preserve">, the preferred spatial strategy is to focus </w:t>
      </w:r>
      <w:proofErr w:type="gramStart"/>
      <w:r>
        <w:rPr>
          <w:rFonts w:ascii="Arial" w:hAnsi="Arial" w:cs="Arial"/>
          <w:sz w:val="24"/>
          <w:szCs w:val="24"/>
        </w:rPr>
        <w:t>the majority of</w:t>
      </w:r>
      <w:proofErr w:type="gramEnd"/>
      <w:r>
        <w:rPr>
          <w:rFonts w:ascii="Arial" w:hAnsi="Arial" w:cs="Arial"/>
          <w:sz w:val="24"/>
          <w:szCs w:val="24"/>
        </w:rPr>
        <w:t xml:space="preserve"> growth at Chichester and the east west corridor, with a focus on the Settlement Hubs within the corridor.</w:t>
      </w:r>
      <w:r w:rsidR="00AF74C1">
        <w:rPr>
          <w:rFonts w:ascii="Arial" w:hAnsi="Arial" w:cs="Arial"/>
          <w:sz w:val="24"/>
          <w:szCs w:val="24"/>
        </w:rPr>
        <w:t xml:space="preserve"> </w:t>
      </w:r>
      <w:r>
        <w:rPr>
          <w:rFonts w:ascii="Arial" w:hAnsi="Arial" w:cs="Arial"/>
          <w:sz w:val="24"/>
          <w:szCs w:val="24"/>
        </w:rPr>
        <w:t>To redistribute the housing number to other parts of the plan area would not be consistent with the preferred spatial strategy nor reflective of the role of Southbourne as one of the more sustainable locations in the plan area capable of delivering strategic scale development.</w:t>
      </w:r>
      <w:r w:rsidR="00AF74C1">
        <w:rPr>
          <w:rFonts w:ascii="Arial" w:hAnsi="Arial" w:cs="Arial"/>
          <w:sz w:val="24"/>
          <w:szCs w:val="24"/>
        </w:rPr>
        <w:t xml:space="preserve"> </w:t>
      </w:r>
      <w:r>
        <w:rPr>
          <w:rFonts w:ascii="Arial" w:hAnsi="Arial" w:cs="Arial"/>
          <w:sz w:val="24"/>
          <w:szCs w:val="24"/>
        </w:rPr>
        <w:t>The ability to redistribute the number to other locations within the east/west corridor is also severely limited due to infrastructure constraints (impact on A27 junctions) or environmental restrictions (wastewater treatment capacity).</w:t>
      </w:r>
      <w:r w:rsidR="00AF74C1">
        <w:rPr>
          <w:rFonts w:ascii="Arial" w:hAnsi="Arial" w:cs="Arial"/>
          <w:sz w:val="24"/>
          <w:szCs w:val="24"/>
        </w:rPr>
        <w:t xml:space="preserve"> </w:t>
      </w:r>
      <w:r>
        <w:rPr>
          <w:rFonts w:ascii="Arial" w:hAnsi="Arial" w:cs="Arial"/>
          <w:sz w:val="24"/>
          <w:szCs w:val="24"/>
        </w:rPr>
        <w:t xml:space="preserve">For these reasons, Option 1 was discounted. </w:t>
      </w:r>
    </w:p>
    <w:p w14:paraId="2AC1F79E" w14:textId="77777777" w:rsidR="007D7848" w:rsidRDefault="007D7848" w:rsidP="007D7848">
      <w:pPr>
        <w:pStyle w:val="ListParagraph"/>
        <w:rPr>
          <w:rFonts w:ascii="Arial" w:hAnsi="Arial" w:cs="Arial"/>
          <w:sz w:val="24"/>
          <w:szCs w:val="24"/>
        </w:rPr>
      </w:pPr>
    </w:p>
    <w:p w14:paraId="6E453EF0" w14:textId="77777777" w:rsidR="007D7848" w:rsidRDefault="007D7848" w:rsidP="007D7848">
      <w:pPr>
        <w:pStyle w:val="ListParagraph"/>
        <w:rPr>
          <w:rFonts w:ascii="Arial" w:hAnsi="Arial" w:cs="Arial"/>
          <w:sz w:val="24"/>
          <w:szCs w:val="24"/>
        </w:rPr>
      </w:pPr>
      <w:r>
        <w:rPr>
          <w:rFonts w:ascii="Arial" w:hAnsi="Arial" w:cs="Arial"/>
          <w:sz w:val="24"/>
          <w:szCs w:val="24"/>
        </w:rPr>
        <w:t>Option 2</w:t>
      </w:r>
    </w:p>
    <w:p w14:paraId="43051F3A" w14:textId="77777777" w:rsidR="00294613" w:rsidRPr="0033238A" w:rsidRDefault="00294613" w:rsidP="007D7848">
      <w:pPr>
        <w:pStyle w:val="ListParagraph"/>
        <w:rPr>
          <w:rFonts w:ascii="Arial" w:hAnsi="Arial" w:cs="Arial"/>
          <w:color w:val="000000" w:themeColor="text1"/>
          <w:sz w:val="24"/>
          <w:szCs w:val="24"/>
        </w:rPr>
      </w:pPr>
    </w:p>
    <w:p w14:paraId="718C8105" w14:textId="75C42A41" w:rsidR="007D7848" w:rsidRPr="007F575D" w:rsidRDefault="007D7848" w:rsidP="007D7848">
      <w:pPr>
        <w:pStyle w:val="ListParagraph"/>
        <w:numPr>
          <w:ilvl w:val="1"/>
          <w:numId w:val="30"/>
        </w:numPr>
        <w:ind w:left="720" w:hanging="720"/>
        <w:rPr>
          <w:rFonts w:ascii="Arial" w:hAnsi="Arial" w:cs="Arial"/>
          <w:color w:val="000000" w:themeColor="text1"/>
          <w:sz w:val="24"/>
          <w:szCs w:val="24"/>
        </w:rPr>
      </w:pPr>
      <w:proofErr w:type="gramStart"/>
      <w:r>
        <w:rPr>
          <w:rFonts w:ascii="Arial" w:hAnsi="Arial" w:cs="Arial"/>
          <w:color w:val="000000" w:themeColor="text1"/>
          <w:sz w:val="24"/>
          <w:szCs w:val="24"/>
        </w:rPr>
        <w:t>In order to</w:t>
      </w:r>
      <w:proofErr w:type="gramEnd"/>
      <w:r>
        <w:rPr>
          <w:rFonts w:ascii="Arial" w:hAnsi="Arial" w:cs="Arial"/>
          <w:color w:val="000000" w:themeColor="text1"/>
          <w:sz w:val="24"/>
          <w:szCs w:val="24"/>
        </w:rPr>
        <w:t xml:space="preserve"> allocate a site in a </w:t>
      </w:r>
      <w:r w:rsidR="006455B9">
        <w:rPr>
          <w:rFonts w:ascii="Arial" w:hAnsi="Arial" w:cs="Arial"/>
          <w:color w:val="000000" w:themeColor="text1"/>
          <w:sz w:val="24"/>
          <w:szCs w:val="24"/>
        </w:rPr>
        <w:t>l</w:t>
      </w:r>
      <w:r>
        <w:rPr>
          <w:rFonts w:ascii="Arial" w:hAnsi="Arial" w:cs="Arial"/>
          <w:color w:val="000000" w:themeColor="text1"/>
          <w:sz w:val="24"/>
          <w:szCs w:val="24"/>
        </w:rPr>
        <w:t xml:space="preserve">ocal </w:t>
      </w:r>
      <w:r w:rsidR="006455B9">
        <w:rPr>
          <w:rFonts w:ascii="Arial" w:hAnsi="Arial" w:cs="Arial"/>
          <w:color w:val="000000" w:themeColor="text1"/>
          <w:sz w:val="24"/>
          <w:szCs w:val="24"/>
        </w:rPr>
        <w:t>p</w:t>
      </w:r>
      <w:r>
        <w:rPr>
          <w:rFonts w:ascii="Arial" w:hAnsi="Arial" w:cs="Arial"/>
          <w:color w:val="000000" w:themeColor="text1"/>
          <w:sz w:val="24"/>
          <w:szCs w:val="24"/>
        </w:rPr>
        <w:t xml:space="preserve">lan, it needs to have gone through a rigorous process to ensure that the </w:t>
      </w:r>
      <w:r w:rsidR="006455B9">
        <w:rPr>
          <w:rFonts w:ascii="Arial" w:hAnsi="Arial" w:cs="Arial"/>
          <w:color w:val="000000" w:themeColor="text1"/>
          <w:sz w:val="24"/>
          <w:szCs w:val="24"/>
        </w:rPr>
        <w:t>c</w:t>
      </w:r>
      <w:r>
        <w:rPr>
          <w:rFonts w:ascii="Arial" w:hAnsi="Arial" w:cs="Arial"/>
          <w:color w:val="000000" w:themeColor="text1"/>
          <w:sz w:val="24"/>
          <w:szCs w:val="24"/>
        </w:rPr>
        <w:t>ouncil can demonstrate that the allocated site is suitable, given reasonable alternatives, and is based on proportionate evidence.</w:t>
      </w:r>
      <w:r w:rsidR="00AF74C1">
        <w:rPr>
          <w:rFonts w:ascii="Arial" w:hAnsi="Arial" w:cs="Arial"/>
          <w:color w:val="000000" w:themeColor="text1"/>
          <w:sz w:val="24"/>
          <w:szCs w:val="24"/>
        </w:rPr>
        <w:t xml:space="preserve"> </w:t>
      </w:r>
      <w:r>
        <w:rPr>
          <w:rFonts w:ascii="Arial" w:hAnsi="Arial" w:cs="Arial"/>
          <w:sz w:val="24"/>
          <w:szCs w:val="24"/>
        </w:rPr>
        <w:t>Given there is more than one site or combination of sites that could come forward as an allocation in Southbourne, a clear process setting out for why one site was chosen over another would be needed, informed by site specific technical information.</w:t>
      </w:r>
      <w:r w:rsidR="00AF74C1">
        <w:rPr>
          <w:rFonts w:ascii="Arial" w:hAnsi="Arial" w:cs="Arial"/>
          <w:sz w:val="24"/>
          <w:szCs w:val="24"/>
        </w:rPr>
        <w:t xml:space="preserve"> </w:t>
      </w:r>
    </w:p>
    <w:p w14:paraId="363EA0C4" w14:textId="77777777" w:rsidR="007D7848" w:rsidRPr="007F575D" w:rsidRDefault="007D7848" w:rsidP="007D7848">
      <w:pPr>
        <w:pStyle w:val="ListParagraph"/>
        <w:rPr>
          <w:rFonts w:ascii="Arial" w:hAnsi="Arial" w:cs="Arial"/>
          <w:color w:val="000000" w:themeColor="text1"/>
          <w:sz w:val="24"/>
          <w:szCs w:val="24"/>
        </w:rPr>
      </w:pPr>
    </w:p>
    <w:p w14:paraId="1BAA5419" w14:textId="5D0D3F25" w:rsidR="007D7848" w:rsidRDefault="007D7848" w:rsidP="007D7848">
      <w:pPr>
        <w:pStyle w:val="ListParagraph"/>
        <w:numPr>
          <w:ilvl w:val="1"/>
          <w:numId w:val="30"/>
        </w:numPr>
        <w:ind w:left="720" w:hanging="720"/>
        <w:rPr>
          <w:rFonts w:ascii="Arial" w:hAnsi="Arial" w:cs="Arial"/>
          <w:color w:val="000000" w:themeColor="text1"/>
          <w:sz w:val="24"/>
          <w:szCs w:val="24"/>
        </w:rPr>
      </w:pPr>
      <w:r>
        <w:rPr>
          <w:rFonts w:ascii="Arial" w:hAnsi="Arial" w:cs="Arial"/>
          <w:sz w:val="24"/>
          <w:szCs w:val="24"/>
        </w:rPr>
        <w:t xml:space="preserve">The work carried out by the </w:t>
      </w:r>
      <w:r w:rsidR="006455B9">
        <w:rPr>
          <w:rFonts w:ascii="Arial" w:hAnsi="Arial" w:cs="Arial"/>
          <w:sz w:val="24"/>
          <w:szCs w:val="24"/>
        </w:rPr>
        <w:t>c</w:t>
      </w:r>
      <w:r>
        <w:rPr>
          <w:rFonts w:ascii="Arial" w:hAnsi="Arial" w:cs="Arial"/>
          <w:sz w:val="24"/>
          <w:szCs w:val="24"/>
        </w:rPr>
        <w:t xml:space="preserve">ouncil to date on Southbourne has been based on the principle of it being a suitable location for strategic scale development rather than considering the comparative </w:t>
      </w:r>
      <w:r>
        <w:rPr>
          <w:rFonts w:ascii="Arial" w:hAnsi="Arial" w:cs="Arial"/>
          <w:color w:val="000000" w:themeColor="text1"/>
          <w:sz w:val="24"/>
          <w:szCs w:val="24"/>
        </w:rPr>
        <w:t>suitability of specific sites to deliver that development.</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Whilst some technical work was available for the preparation of the Southbourne Neighbourhood Plan review, this was not at a sufficiently detailed or consistent basis across all potential sites to justify the making of a </w:t>
      </w:r>
      <w:r w:rsidR="006455B9">
        <w:rPr>
          <w:rFonts w:ascii="Arial" w:hAnsi="Arial" w:cs="Arial"/>
          <w:color w:val="000000" w:themeColor="text1"/>
          <w:sz w:val="24"/>
          <w:szCs w:val="24"/>
        </w:rPr>
        <w:t>l</w:t>
      </w:r>
      <w:r>
        <w:rPr>
          <w:rFonts w:ascii="Arial" w:hAnsi="Arial" w:cs="Arial"/>
          <w:color w:val="000000" w:themeColor="text1"/>
          <w:sz w:val="24"/>
          <w:szCs w:val="24"/>
        </w:rPr>
        <w:t xml:space="preserve">ocal </w:t>
      </w:r>
      <w:r w:rsidR="006455B9">
        <w:rPr>
          <w:rFonts w:ascii="Arial" w:hAnsi="Arial" w:cs="Arial"/>
          <w:color w:val="000000" w:themeColor="text1"/>
          <w:sz w:val="24"/>
          <w:szCs w:val="24"/>
        </w:rPr>
        <w:t>p</w:t>
      </w:r>
      <w:r>
        <w:rPr>
          <w:rFonts w:ascii="Arial" w:hAnsi="Arial" w:cs="Arial"/>
          <w:color w:val="000000" w:themeColor="text1"/>
          <w:sz w:val="24"/>
          <w:szCs w:val="24"/>
        </w:rPr>
        <w:t>lan allocation.</w:t>
      </w:r>
      <w:r w:rsidR="00AF74C1">
        <w:rPr>
          <w:rFonts w:ascii="Arial" w:hAnsi="Arial" w:cs="Arial"/>
          <w:color w:val="000000" w:themeColor="text1"/>
          <w:sz w:val="24"/>
          <w:szCs w:val="24"/>
        </w:rPr>
        <w:t xml:space="preserve"> </w:t>
      </w:r>
    </w:p>
    <w:p w14:paraId="70691533" w14:textId="77777777" w:rsidR="007D7848" w:rsidRPr="00C83658" w:rsidRDefault="007D7848" w:rsidP="007D7848">
      <w:pPr>
        <w:pStyle w:val="ListParagraph"/>
        <w:rPr>
          <w:rFonts w:ascii="Arial" w:hAnsi="Arial" w:cs="Arial"/>
          <w:color w:val="000000" w:themeColor="text1"/>
          <w:sz w:val="24"/>
          <w:szCs w:val="24"/>
        </w:rPr>
      </w:pPr>
    </w:p>
    <w:p w14:paraId="0A5F48BB" w14:textId="54E8E5D6" w:rsidR="007D7848" w:rsidRDefault="007D7848" w:rsidP="007D7848">
      <w:pPr>
        <w:pStyle w:val="ListParagraph"/>
        <w:numPr>
          <w:ilvl w:val="1"/>
          <w:numId w:val="30"/>
        </w:numPr>
        <w:ind w:left="720" w:hanging="720"/>
        <w:rPr>
          <w:rFonts w:ascii="Arial" w:hAnsi="Arial" w:cs="Arial"/>
          <w:color w:val="000000" w:themeColor="text1"/>
          <w:sz w:val="24"/>
          <w:szCs w:val="24"/>
        </w:rPr>
      </w:pPr>
      <w:r>
        <w:rPr>
          <w:rFonts w:ascii="Arial" w:hAnsi="Arial" w:cs="Arial"/>
          <w:color w:val="000000" w:themeColor="text1"/>
          <w:sz w:val="24"/>
          <w:szCs w:val="24"/>
        </w:rPr>
        <w:t>The allocation of a strategic site at Southbourne would also be a significant change in approach at a late stage of the Local Plan preparation process.</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The additional technical evidence that would need to be undertaken to justify a </w:t>
      </w:r>
      <w:r w:rsidR="006455B9">
        <w:rPr>
          <w:rFonts w:ascii="Arial" w:hAnsi="Arial" w:cs="Arial"/>
          <w:color w:val="000000" w:themeColor="text1"/>
          <w:sz w:val="24"/>
          <w:szCs w:val="24"/>
        </w:rPr>
        <w:t>l</w:t>
      </w:r>
      <w:r>
        <w:rPr>
          <w:rFonts w:ascii="Arial" w:hAnsi="Arial" w:cs="Arial"/>
          <w:color w:val="000000" w:themeColor="text1"/>
          <w:sz w:val="24"/>
          <w:szCs w:val="24"/>
        </w:rPr>
        <w:t xml:space="preserve">ocal </w:t>
      </w:r>
      <w:r w:rsidR="006455B9">
        <w:rPr>
          <w:rFonts w:ascii="Arial" w:hAnsi="Arial" w:cs="Arial"/>
          <w:color w:val="000000" w:themeColor="text1"/>
          <w:sz w:val="24"/>
          <w:szCs w:val="24"/>
        </w:rPr>
        <w:t>p</w:t>
      </w:r>
      <w:r>
        <w:rPr>
          <w:rFonts w:ascii="Arial" w:hAnsi="Arial" w:cs="Arial"/>
          <w:color w:val="000000" w:themeColor="text1"/>
          <w:sz w:val="24"/>
          <w:szCs w:val="24"/>
        </w:rPr>
        <w:t>lan allocation at this stage would impact significantly in terms of delay to the finalisation of the Regulation 19 Local Plan and its subsequent submission to the Secretary of State for examination.</w:t>
      </w:r>
      <w:r w:rsidR="00AF74C1">
        <w:rPr>
          <w:rFonts w:ascii="Arial" w:hAnsi="Arial" w:cs="Arial"/>
          <w:color w:val="000000" w:themeColor="text1"/>
          <w:sz w:val="24"/>
          <w:szCs w:val="24"/>
        </w:rPr>
        <w:t xml:space="preserve"> </w:t>
      </w:r>
      <w:r>
        <w:rPr>
          <w:rFonts w:ascii="Arial" w:hAnsi="Arial" w:cs="Arial"/>
          <w:color w:val="000000" w:themeColor="text1"/>
          <w:sz w:val="24"/>
          <w:szCs w:val="24"/>
        </w:rPr>
        <w:t>For these reasons Option 2 was discounted.</w:t>
      </w:r>
    </w:p>
    <w:p w14:paraId="0475E383" w14:textId="77777777" w:rsidR="007D7848" w:rsidRPr="00B214B1" w:rsidRDefault="007D7848" w:rsidP="007D7848">
      <w:pPr>
        <w:pStyle w:val="ListParagraph"/>
        <w:rPr>
          <w:rFonts w:ascii="Arial" w:hAnsi="Arial" w:cs="Arial"/>
          <w:color w:val="000000" w:themeColor="text1"/>
          <w:sz w:val="24"/>
          <w:szCs w:val="24"/>
        </w:rPr>
      </w:pPr>
    </w:p>
    <w:p w14:paraId="39A5C732" w14:textId="77777777" w:rsidR="007D7848" w:rsidRDefault="007D7848" w:rsidP="007D7848">
      <w:pPr>
        <w:pStyle w:val="ListParagraph"/>
        <w:rPr>
          <w:rFonts w:ascii="Arial" w:hAnsi="Arial" w:cs="Arial"/>
          <w:color w:val="000000" w:themeColor="text1"/>
          <w:sz w:val="24"/>
          <w:szCs w:val="24"/>
        </w:rPr>
      </w:pPr>
      <w:r>
        <w:rPr>
          <w:rFonts w:ascii="Arial" w:hAnsi="Arial" w:cs="Arial"/>
          <w:color w:val="000000" w:themeColor="text1"/>
          <w:sz w:val="24"/>
          <w:szCs w:val="24"/>
        </w:rPr>
        <w:t>Option 3</w:t>
      </w:r>
    </w:p>
    <w:p w14:paraId="2E3BF75D" w14:textId="77777777" w:rsidR="00294613" w:rsidRDefault="00294613" w:rsidP="007D7848">
      <w:pPr>
        <w:pStyle w:val="ListParagraph"/>
        <w:rPr>
          <w:rFonts w:ascii="Arial" w:hAnsi="Arial" w:cs="Arial"/>
          <w:color w:val="000000" w:themeColor="text1"/>
          <w:sz w:val="24"/>
          <w:szCs w:val="24"/>
        </w:rPr>
      </w:pPr>
    </w:p>
    <w:p w14:paraId="27D7A241" w14:textId="77777777" w:rsidR="007D7848" w:rsidRPr="00A54E41" w:rsidRDefault="007D7848" w:rsidP="007D7848">
      <w:pPr>
        <w:pStyle w:val="ListParagraph"/>
        <w:numPr>
          <w:ilvl w:val="1"/>
          <w:numId w:val="22"/>
        </w:numPr>
        <w:rPr>
          <w:rFonts w:ascii="Arial" w:hAnsi="Arial" w:cs="Arial"/>
          <w:vanish/>
          <w:color w:val="000000" w:themeColor="text1"/>
          <w:sz w:val="24"/>
          <w:szCs w:val="24"/>
        </w:rPr>
      </w:pPr>
    </w:p>
    <w:p w14:paraId="16787055" w14:textId="77777777" w:rsidR="007D7848" w:rsidRPr="00A54E41" w:rsidRDefault="007D7848" w:rsidP="007D7848">
      <w:pPr>
        <w:pStyle w:val="ListParagraph"/>
        <w:numPr>
          <w:ilvl w:val="1"/>
          <w:numId w:val="22"/>
        </w:numPr>
        <w:rPr>
          <w:rFonts w:ascii="Arial" w:hAnsi="Arial" w:cs="Arial"/>
          <w:vanish/>
          <w:color w:val="000000" w:themeColor="text1"/>
          <w:sz w:val="24"/>
          <w:szCs w:val="24"/>
        </w:rPr>
      </w:pPr>
    </w:p>
    <w:p w14:paraId="257A22C1" w14:textId="77777777" w:rsidR="007D7848" w:rsidRPr="00A54E41" w:rsidRDefault="007D7848" w:rsidP="007D7848">
      <w:pPr>
        <w:pStyle w:val="ListParagraph"/>
        <w:numPr>
          <w:ilvl w:val="1"/>
          <w:numId w:val="22"/>
        </w:numPr>
        <w:rPr>
          <w:rFonts w:ascii="Arial" w:hAnsi="Arial" w:cs="Arial"/>
          <w:vanish/>
          <w:color w:val="000000" w:themeColor="text1"/>
          <w:sz w:val="24"/>
          <w:szCs w:val="24"/>
        </w:rPr>
      </w:pPr>
    </w:p>
    <w:p w14:paraId="59941097" w14:textId="77777777" w:rsidR="007D7848" w:rsidRPr="00A54E41" w:rsidRDefault="007D7848" w:rsidP="007D7848">
      <w:pPr>
        <w:pStyle w:val="ListParagraph"/>
        <w:numPr>
          <w:ilvl w:val="1"/>
          <w:numId w:val="22"/>
        </w:numPr>
        <w:rPr>
          <w:rFonts w:ascii="Arial" w:hAnsi="Arial" w:cs="Arial"/>
          <w:vanish/>
          <w:color w:val="000000" w:themeColor="text1"/>
          <w:sz w:val="24"/>
          <w:szCs w:val="24"/>
        </w:rPr>
      </w:pPr>
    </w:p>
    <w:p w14:paraId="204D5FD4" w14:textId="5E91B422"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The identification of a BLD is consistent with the National Planning Policy Framework (NPPF).</w:t>
      </w:r>
      <w:r w:rsidR="00AF74C1">
        <w:rPr>
          <w:rFonts w:ascii="Arial" w:hAnsi="Arial" w:cs="Arial"/>
          <w:color w:val="000000" w:themeColor="text1"/>
          <w:sz w:val="24"/>
          <w:szCs w:val="24"/>
        </w:rPr>
        <w:t xml:space="preserve"> </w:t>
      </w:r>
      <w:r>
        <w:rPr>
          <w:rFonts w:ascii="Arial" w:hAnsi="Arial" w:cs="Arial"/>
          <w:color w:val="000000" w:themeColor="text1"/>
          <w:sz w:val="24"/>
          <w:szCs w:val="24"/>
        </w:rPr>
        <w:t>Paragraph 6</w:t>
      </w:r>
      <w:r w:rsidR="00F23F60">
        <w:rPr>
          <w:rFonts w:ascii="Arial" w:hAnsi="Arial" w:cs="Arial"/>
          <w:color w:val="000000" w:themeColor="text1"/>
          <w:sz w:val="24"/>
          <w:szCs w:val="24"/>
        </w:rPr>
        <w:t>9</w:t>
      </w:r>
      <w:r w:rsidRPr="004C709F">
        <w:rPr>
          <w:rFonts w:ascii="Arial" w:hAnsi="Arial" w:cs="Arial"/>
          <w:color w:val="000000" w:themeColor="text1"/>
          <w:sz w:val="24"/>
          <w:szCs w:val="24"/>
        </w:rPr>
        <w:t xml:space="preserve"> states that for years 6 -10 of the </w:t>
      </w:r>
      <w:proofErr w:type="gramStart"/>
      <w:r w:rsidRPr="004C709F">
        <w:rPr>
          <w:rFonts w:ascii="Arial" w:hAnsi="Arial" w:cs="Arial"/>
          <w:color w:val="000000" w:themeColor="text1"/>
          <w:sz w:val="24"/>
          <w:szCs w:val="24"/>
        </w:rPr>
        <w:t>plan</w:t>
      </w:r>
      <w:proofErr w:type="gramEnd"/>
      <w:r w:rsidRPr="004C709F">
        <w:rPr>
          <w:rFonts w:ascii="Arial" w:hAnsi="Arial" w:cs="Arial"/>
          <w:color w:val="000000" w:themeColor="text1"/>
          <w:sz w:val="24"/>
          <w:szCs w:val="24"/>
        </w:rPr>
        <w:t xml:space="preserve">, local authorities should </w:t>
      </w:r>
      <w:r>
        <w:rPr>
          <w:rFonts w:ascii="Arial" w:hAnsi="Arial" w:cs="Arial"/>
          <w:color w:val="000000" w:themeColor="text1"/>
          <w:sz w:val="24"/>
          <w:szCs w:val="24"/>
        </w:rPr>
        <w:t xml:space="preserve">through their planning policies </w:t>
      </w:r>
      <w:r w:rsidRPr="004C709F">
        <w:rPr>
          <w:rFonts w:ascii="Arial" w:hAnsi="Arial" w:cs="Arial"/>
          <w:color w:val="000000" w:themeColor="text1"/>
          <w:sz w:val="24"/>
          <w:szCs w:val="24"/>
        </w:rPr>
        <w:t xml:space="preserve">identify </w:t>
      </w:r>
      <w:r>
        <w:rPr>
          <w:rFonts w:ascii="Arial" w:hAnsi="Arial" w:cs="Arial"/>
          <w:color w:val="000000" w:themeColor="text1"/>
          <w:sz w:val="24"/>
          <w:szCs w:val="24"/>
        </w:rPr>
        <w:t xml:space="preserve">a supply of </w:t>
      </w:r>
      <w:r w:rsidRPr="004C709F">
        <w:rPr>
          <w:rFonts w:ascii="Arial" w:hAnsi="Arial" w:cs="Arial"/>
          <w:color w:val="000000" w:themeColor="text1"/>
          <w:sz w:val="24"/>
          <w:szCs w:val="24"/>
        </w:rPr>
        <w:t>‘</w:t>
      </w:r>
      <w:r>
        <w:rPr>
          <w:rFonts w:ascii="Arial" w:hAnsi="Arial" w:cs="Arial"/>
          <w:color w:val="000000" w:themeColor="text1"/>
          <w:sz w:val="24"/>
          <w:szCs w:val="24"/>
        </w:rPr>
        <w:t xml:space="preserve">specific, </w:t>
      </w:r>
      <w:r w:rsidRPr="004C709F">
        <w:rPr>
          <w:rFonts w:ascii="Arial" w:hAnsi="Arial" w:cs="Arial"/>
          <w:color w:val="000000" w:themeColor="text1"/>
          <w:sz w:val="24"/>
          <w:szCs w:val="24"/>
        </w:rPr>
        <w:t>developable sites or broad locations for growth’.</w:t>
      </w:r>
      <w:r w:rsidR="00AF74C1">
        <w:rPr>
          <w:rFonts w:ascii="Arial" w:hAnsi="Arial" w:cs="Arial"/>
          <w:color w:val="000000" w:themeColor="text1"/>
          <w:sz w:val="24"/>
          <w:szCs w:val="24"/>
        </w:rPr>
        <w:t xml:space="preserve"> </w:t>
      </w:r>
    </w:p>
    <w:p w14:paraId="5361FBDD" w14:textId="77777777" w:rsidR="007D7848" w:rsidRDefault="007D7848" w:rsidP="007D7848">
      <w:pPr>
        <w:pStyle w:val="ListParagraph"/>
        <w:rPr>
          <w:rFonts w:ascii="Arial" w:hAnsi="Arial" w:cs="Arial"/>
          <w:color w:val="000000" w:themeColor="text1"/>
          <w:sz w:val="24"/>
          <w:szCs w:val="24"/>
        </w:rPr>
      </w:pPr>
    </w:p>
    <w:p w14:paraId="710841CC" w14:textId="5245FA67" w:rsidR="007D7848" w:rsidRPr="00F84D3C" w:rsidRDefault="007D7848" w:rsidP="007D7848">
      <w:pPr>
        <w:pStyle w:val="ListParagraph"/>
        <w:numPr>
          <w:ilvl w:val="1"/>
          <w:numId w:val="22"/>
        </w:numPr>
        <w:ind w:left="720" w:hanging="720"/>
        <w:rPr>
          <w:rFonts w:ascii="Arial" w:hAnsi="Arial" w:cs="Arial"/>
          <w:color w:val="000000" w:themeColor="text1"/>
          <w:sz w:val="24"/>
          <w:szCs w:val="24"/>
        </w:rPr>
      </w:pPr>
      <w:r w:rsidRPr="00F84D3C">
        <w:rPr>
          <w:rFonts w:ascii="Arial" w:hAnsi="Arial" w:cs="Arial"/>
          <w:color w:val="000000" w:themeColor="text1"/>
          <w:sz w:val="24"/>
          <w:szCs w:val="24"/>
        </w:rPr>
        <w:lastRenderedPageBreak/>
        <w:t>There is no definition of ‘broad locations’ in national policy.</w:t>
      </w:r>
      <w:r w:rsidR="00AF74C1">
        <w:rPr>
          <w:rFonts w:ascii="Arial" w:hAnsi="Arial" w:cs="Arial"/>
          <w:color w:val="000000" w:themeColor="text1"/>
          <w:sz w:val="24"/>
          <w:szCs w:val="24"/>
        </w:rPr>
        <w:t xml:space="preserve"> </w:t>
      </w:r>
      <w:r w:rsidRPr="00F84D3C">
        <w:rPr>
          <w:rFonts w:ascii="Arial" w:hAnsi="Arial" w:cs="Arial"/>
          <w:color w:val="000000" w:themeColor="text1"/>
          <w:sz w:val="24"/>
          <w:szCs w:val="24"/>
        </w:rPr>
        <w:t>It is generally taken to be a</w:t>
      </w:r>
      <w:r>
        <w:rPr>
          <w:rFonts w:ascii="Arial" w:hAnsi="Arial" w:cs="Arial"/>
          <w:color w:val="000000" w:themeColor="text1"/>
          <w:sz w:val="24"/>
          <w:szCs w:val="24"/>
        </w:rPr>
        <w:t>n</w:t>
      </w:r>
      <w:r w:rsidRPr="00F84D3C">
        <w:rPr>
          <w:rFonts w:ascii="Arial" w:hAnsi="Arial" w:cs="Arial"/>
          <w:color w:val="000000" w:themeColor="text1"/>
          <w:sz w:val="24"/>
          <w:szCs w:val="24"/>
        </w:rPr>
        <w:t xml:space="preserve"> area within which housebuilding could reasonably be expected to take place based on the availability of land having regard to the Housing and Economic Land Availability Assessment (HELAA).</w:t>
      </w:r>
      <w:r w:rsidR="00AF74C1">
        <w:rPr>
          <w:rFonts w:ascii="Arial" w:hAnsi="Arial" w:cs="Arial"/>
          <w:color w:val="000000" w:themeColor="text1"/>
          <w:sz w:val="24"/>
          <w:szCs w:val="24"/>
        </w:rPr>
        <w:t xml:space="preserve"> </w:t>
      </w:r>
      <w:r w:rsidRPr="00F84D3C">
        <w:rPr>
          <w:rFonts w:ascii="Arial" w:hAnsi="Arial" w:cs="Arial"/>
          <w:color w:val="000000" w:themeColor="text1"/>
          <w:sz w:val="24"/>
          <w:szCs w:val="24"/>
        </w:rPr>
        <w:t>A BLD does not have a specific geographic location or physical boundary.</w:t>
      </w:r>
      <w:r w:rsidR="00AF74C1">
        <w:rPr>
          <w:rFonts w:ascii="Arial" w:hAnsi="Arial" w:cs="Arial"/>
          <w:color w:val="000000" w:themeColor="text1"/>
          <w:sz w:val="24"/>
          <w:szCs w:val="24"/>
        </w:rPr>
        <w:t xml:space="preserve"> </w:t>
      </w:r>
      <w:r w:rsidRPr="00F84D3C">
        <w:rPr>
          <w:rFonts w:ascii="Arial" w:hAnsi="Arial" w:cs="Arial"/>
          <w:color w:val="000000" w:themeColor="text1"/>
          <w:sz w:val="24"/>
          <w:szCs w:val="24"/>
        </w:rPr>
        <w:t>Areas are identified as broad locations because at that stage it is not yet possible to identify the precise boundaries of a site until further detailed site work has been done.</w:t>
      </w:r>
      <w:r w:rsidR="00AF74C1">
        <w:rPr>
          <w:rFonts w:ascii="Arial" w:hAnsi="Arial" w:cs="Arial"/>
          <w:color w:val="000000" w:themeColor="text1"/>
          <w:sz w:val="24"/>
          <w:szCs w:val="24"/>
        </w:rPr>
        <w:t xml:space="preserve"> </w:t>
      </w:r>
      <w:r w:rsidRPr="00F84D3C">
        <w:rPr>
          <w:rFonts w:ascii="Arial" w:hAnsi="Arial" w:cs="Arial"/>
          <w:color w:val="000000" w:themeColor="text1"/>
          <w:sz w:val="24"/>
          <w:szCs w:val="24"/>
        </w:rPr>
        <w:t xml:space="preserve">By identifying a broad location gives flexibility and may increase the prospect of appropriate and effective growth </w:t>
      </w:r>
      <w:proofErr w:type="gramStart"/>
      <w:r w:rsidRPr="00F84D3C">
        <w:rPr>
          <w:rFonts w:ascii="Arial" w:hAnsi="Arial" w:cs="Arial"/>
          <w:color w:val="000000" w:themeColor="text1"/>
          <w:sz w:val="24"/>
          <w:szCs w:val="24"/>
        </w:rPr>
        <w:t>i.e.</w:t>
      </w:r>
      <w:proofErr w:type="gramEnd"/>
      <w:r w:rsidRPr="00F84D3C">
        <w:rPr>
          <w:rFonts w:ascii="Arial" w:hAnsi="Arial" w:cs="Arial"/>
          <w:color w:val="000000" w:themeColor="text1"/>
          <w:sz w:val="24"/>
          <w:szCs w:val="24"/>
        </w:rPr>
        <w:t xml:space="preserve"> where there is some doubt as to the most effective site boundary could prevent growth coming forward or prevent the most sustainable solution.</w:t>
      </w:r>
      <w:r w:rsidR="00AF74C1">
        <w:rPr>
          <w:rFonts w:ascii="Arial" w:hAnsi="Arial" w:cs="Arial"/>
          <w:color w:val="000000" w:themeColor="text1"/>
          <w:sz w:val="24"/>
          <w:szCs w:val="24"/>
        </w:rPr>
        <w:t xml:space="preserve"> </w:t>
      </w:r>
      <w:r w:rsidRPr="00F84D3C">
        <w:rPr>
          <w:rFonts w:ascii="Arial" w:hAnsi="Arial" w:cs="Arial"/>
          <w:color w:val="000000" w:themeColor="text1"/>
          <w:sz w:val="24"/>
          <w:szCs w:val="24"/>
        </w:rPr>
        <w:t xml:space="preserve">However, a broad location might be expected to accommodate a significant amount of development; in some </w:t>
      </w:r>
      <w:proofErr w:type="gramStart"/>
      <w:r w:rsidRPr="00F84D3C">
        <w:rPr>
          <w:rFonts w:ascii="Arial" w:hAnsi="Arial" w:cs="Arial"/>
          <w:color w:val="000000" w:themeColor="text1"/>
          <w:sz w:val="24"/>
          <w:szCs w:val="24"/>
        </w:rPr>
        <w:t>cases</w:t>
      </w:r>
      <w:proofErr w:type="gramEnd"/>
      <w:r w:rsidRPr="00F84D3C">
        <w:rPr>
          <w:rFonts w:ascii="Arial" w:hAnsi="Arial" w:cs="Arial"/>
          <w:color w:val="000000" w:themeColor="text1"/>
          <w:sz w:val="24"/>
          <w:szCs w:val="24"/>
        </w:rPr>
        <w:t xml:space="preserve"> a single site may be of a sufficient size to accommodate all of the potential development or a number of sites that abut other sites may be considered together.</w:t>
      </w:r>
      <w:r w:rsidR="00AF74C1">
        <w:rPr>
          <w:rFonts w:ascii="Arial" w:hAnsi="Arial" w:cs="Arial"/>
          <w:color w:val="000000" w:themeColor="text1"/>
          <w:sz w:val="24"/>
          <w:szCs w:val="24"/>
        </w:rPr>
        <w:t xml:space="preserve"> </w:t>
      </w:r>
      <w:r w:rsidRPr="00F84D3C">
        <w:rPr>
          <w:rFonts w:ascii="Arial" w:hAnsi="Arial" w:cs="Arial"/>
          <w:color w:val="000000" w:themeColor="text1"/>
          <w:sz w:val="24"/>
          <w:szCs w:val="24"/>
        </w:rPr>
        <w:t xml:space="preserve"> </w:t>
      </w:r>
    </w:p>
    <w:p w14:paraId="64D11A41" w14:textId="77777777" w:rsidR="007D7848" w:rsidRPr="0094193C" w:rsidRDefault="007D7848" w:rsidP="007D7848">
      <w:pPr>
        <w:pStyle w:val="ListParagraph"/>
        <w:rPr>
          <w:rFonts w:ascii="Arial" w:hAnsi="Arial" w:cs="Arial"/>
          <w:color w:val="000000" w:themeColor="text1"/>
          <w:sz w:val="24"/>
          <w:szCs w:val="24"/>
        </w:rPr>
      </w:pPr>
    </w:p>
    <w:p w14:paraId="44E9263A" w14:textId="77777777"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The identification of a BLD at Southbourne would have the benefit of avoiding the loss of the strategic growth already planned at Southbourne whilst allowing for further site specific technical work to be undertaken to enable an appropriate site(s) to be identified and allocated through a later Site Allocation DPD.</w:t>
      </w:r>
    </w:p>
    <w:p w14:paraId="37F272F8" w14:textId="69BD8267" w:rsidR="007D7848" w:rsidRPr="00294613" w:rsidRDefault="007D7848" w:rsidP="00294613">
      <w:pPr>
        <w:pStyle w:val="Heading1"/>
        <w:numPr>
          <w:ilvl w:val="0"/>
          <w:numId w:val="30"/>
        </w:numPr>
        <w:spacing w:after="240"/>
        <w:ind w:left="709" w:hanging="709"/>
        <w:rPr>
          <w:rFonts w:ascii="Arial" w:hAnsi="Arial" w:cs="Arial"/>
          <w:b/>
          <w:bCs/>
        </w:rPr>
      </w:pPr>
      <w:bookmarkStart w:id="3" w:name="_Toc167896094"/>
      <w:r w:rsidRPr="00294613">
        <w:rPr>
          <w:rFonts w:ascii="Arial" w:hAnsi="Arial" w:cs="Arial"/>
          <w:b/>
          <w:bCs/>
          <w:color w:val="0073CF"/>
        </w:rPr>
        <w:t xml:space="preserve">How </w:t>
      </w:r>
      <w:r w:rsidR="00AF74C1">
        <w:rPr>
          <w:rFonts w:ascii="Arial" w:hAnsi="Arial" w:cs="Arial"/>
          <w:b/>
          <w:bCs/>
          <w:color w:val="0073CF"/>
        </w:rPr>
        <w:t>T</w:t>
      </w:r>
      <w:r w:rsidRPr="00294613">
        <w:rPr>
          <w:rFonts w:ascii="Arial" w:hAnsi="Arial" w:cs="Arial"/>
          <w:b/>
          <w:bCs/>
          <w:color w:val="0073CF"/>
        </w:rPr>
        <w:t xml:space="preserve">he BLD </w:t>
      </w:r>
      <w:r w:rsidR="00AF74C1">
        <w:rPr>
          <w:rFonts w:ascii="Arial" w:hAnsi="Arial" w:cs="Arial"/>
          <w:b/>
          <w:bCs/>
          <w:color w:val="0073CF"/>
        </w:rPr>
        <w:t>B</w:t>
      </w:r>
      <w:r w:rsidRPr="00294613">
        <w:rPr>
          <w:rFonts w:ascii="Arial" w:hAnsi="Arial" w:cs="Arial"/>
          <w:b/>
          <w:bCs/>
          <w:color w:val="0073CF"/>
        </w:rPr>
        <w:t xml:space="preserve">oundary </w:t>
      </w:r>
      <w:r w:rsidR="00AF74C1">
        <w:rPr>
          <w:rFonts w:ascii="Arial" w:hAnsi="Arial" w:cs="Arial"/>
          <w:b/>
          <w:bCs/>
          <w:color w:val="0073CF"/>
        </w:rPr>
        <w:t>A</w:t>
      </w:r>
      <w:r w:rsidRPr="00294613">
        <w:rPr>
          <w:rFonts w:ascii="Arial" w:hAnsi="Arial" w:cs="Arial"/>
          <w:b/>
          <w:bCs/>
          <w:color w:val="0073CF"/>
        </w:rPr>
        <w:t xml:space="preserve">s </w:t>
      </w:r>
      <w:r w:rsidR="00AF74C1">
        <w:rPr>
          <w:rFonts w:ascii="Arial" w:hAnsi="Arial" w:cs="Arial"/>
          <w:b/>
          <w:bCs/>
          <w:color w:val="0073CF"/>
        </w:rPr>
        <w:t>I</w:t>
      </w:r>
      <w:r w:rsidRPr="00294613">
        <w:rPr>
          <w:rFonts w:ascii="Arial" w:hAnsi="Arial" w:cs="Arial"/>
          <w:b/>
          <w:bCs/>
          <w:color w:val="0073CF"/>
        </w:rPr>
        <w:t>dentified</w:t>
      </w:r>
      <w:bookmarkEnd w:id="3"/>
    </w:p>
    <w:p w14:paraId="6B3158BA" w14:textId="77777777" w:rsidR="007D7848" w:rsidRDefault="007D7848" w:rsidP="007D7848">
      <w:pPr>
        <w:pStyle w:val="ListParagraph"/>
        <w:outlineLvl w:val="1"/>
        <w:rPr>
          <w:rFonts w:ascii="Arial" w:hAnsi="Arial" w:cs="Arial"/>
          <w:i/>
          <w:iCs/>
          <w:color w:val="000000" w:themeColor="text1"/>
          <w:sz w:val="24"/>
          <w:szCs w:val="24"/>
        </w:rPr>
      </w:pPr>
      <w:r w:rsidRPr="00777ADF">
        <w:rPr>
          <w:rFonts w:ascii="Arial" w:hAnsi="Arial" w:cs="Arial"/>
          <w:i/>
          <w:iCs/>
          <w:color w:val="000000" w:themeColor="text1"/>
          <w:sz w:val="24"/>
          <w:szCs w:val="24"/>
        </w:rPr>
        <w:t>Housing and Economic Land Availability Assessment</w:t>
      </w:r>
    </w:p>
    <w:p w14:paraId="366FD186" w14:textId="77777777" w:rsidR="00294613" w:rsidRPr="00777ADF" w:rsidRDefault="00294613" w:rsidP="007D7848">
      <w:pPr>
        <w:pStyle w:val="ListParagraph"/>
        <w:outlineLvl w:val="1"/>
        <w:rPr>
          <w:rFonts w:ascii="Arial" w:hAnsi="Arial" w:cs="Arial"/>
          <w:i/>
          <w:iCs/>
          <w:color w:val="000000" w:themeColor="text1"/>
          <w:sz w:val="24"/>
          <w:szCs w:val="24"/>
        </w:rPr>
      </w:pPr>
    </w:p>
    <w:p w14:paraId="555EE0E1" w14:textId="77777777" w:rsidR="00294613" w:rsidRPr="00294613" w:rsidRDefault="00294613" w:rsidP="00294613">
      <w:pPr>
        <w:pStyle w:val="ListParagraph"/>
        <w:numPr>
          <w:ilvl w:val="0"/>
          <w:numId w:val="22"/>
        </w:numPr>
        <w:rPr>
          <w:rFonts w:ascii="Arial" w:hAnsi="Arial" w:cs="Arial"/>
          <w:vanish/>
          <w:color w:val="000000" w:themeColor="text1"/>
          <w:sz w:val="24"/>
          <w:szCs w:val="24"/>
        </w:rPr>
      </w:pPr>
    </w:p>
    <w:p w14:paraId="5F25C018" w14:textId="159115DC" w:rsidR="007D7848" w:rsidRDefault="007D7848" w:rsidP="00294613">
      <w:pPr>
        <w:pStyle w:val="ListParagraph"/>
        <w:numPr>
          <w:ilvl w:val="1"/>
          <w:numId w:val="22"/>
        </w:numPr>
        <w:ind w:left="709" w:hanging="709"/>
        <w:rPr>
          <w:rFonts w:ascii="Arial" w:hAnsi="Arial" w:cs="Arial"/>
          <w:color w:val="000000" w:themeColor="text1"/>
          <w:sz w:val="24"/>
          <w:szCs w:val="24"/>
        </w:rPr>
      </w:pPr>
      <w:r>
        <w:rPr>
          <w:rFonts w:ascii="Arial" w:hAnsi="Arial" w:cs="Arial"/>
          <w:color w:val="000000" w:themeColor="text1"/>
          <w:sz w:val="24"/>
          <w:szCs w:val="24"/>
        </w:rPr>
        <w:t xml:space="preserve">The starting point for the identification of the extent of the BLD was the </w:t>
      </w:r>
      <w:hyperlink r:id="rId18" w:history="1">
        <w:r w:rsidRPr="00E171EB">
          <w:rPr>
            <w:rStyle w:val="Hyperlink"/>
            <w:rFonts w:ascii="Arial" w:hAnsi="Arial" w:cs="Arial"/>
            <w:sz w:val="24"/>
            <w:szCs w:val="24"/>
          </w:rPr>
          <w:t>Housing and Economic Land Availability Assessment (HELAA) (March 2021)</w:t>
        </w:r>
      </w:hyperlink>
      <w:r w:rsidR="00B739FA">
        <w:rPr>
          <w:rStyle w:val="Hyperlink"/>
          <w:rFonts w:ascii="Arial" w:hAnsi="Arial" w:cs="Arial"/>
          <w:sz w:val="24"/>
          <w:szCs w:val="24"/>
        </w:rPr>
        <w:t xml:space="preserve"> </w:t>
      </w:r>
      <w:r w:rsidR="00B739FA" w:rsidRPr="00B739FA">
        <w:rPr>
          <w:rStyle w:val="Hyperlink"/>
          <w:rFonts w:ascii="Arial" w:hAnsi="Arial" w:cs="Arial"/>
          <w:color w:val="auto"/>
          <w:sz w:val="24"/>
          <w:szCs w:val="24"/>
          <w:u w:val="none"/>
        </w:rPr>
        <w:t>(H09)</w:t>
      </w:r>
      <w:r>
        <w:rPr>
          <w:rFonts w:ascii="Arial" w:hAnsi="Arial" w:cs="Arial"/>
          <w:color w:val="000000" w:themeColor="text1"/>
          <w:sz w:val="24"/>
          <w:szCs w:val="24"/>
        </w:rPr>
        <w:t>.</w:t>
      </w:r>
      <w:r w:rsidR="00AF74C1">
        <w:rPr>
          <w:rFonts w:ascii="Arial" w:hAnsi="Arial" w:cs="Arial"/>
          <w:color w:val="000000" w:themeColor="text1"/>
          <w:sz w:val="24"/>
          <w:szCs w:val="24"/>
        </w:rPr>
        <w:t xml:space="preserve"> </w:t>
      </w:r>
      <w:r>
        <w:rPr>
          <w:rFonts w:ascii="Arial" w:hAnsi="Arial" w:cs="Arial"/>
          <w:color w:val="000000" w:themeColor="text1"/>
          <w:sz w:val="24"/>
          <w:szCs w:val="24"/>
        </w:rPr>
        <w:t>The HELAA is an assessment of the potential for housing development based on information provided by the site promoter.</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The HELAA involves a thorough strategic level assessment of whether a site is considered suitable, </w:t>
      </w:r>
      <w:proofErr w:type="gramStart"/>
      <w:r>
        <w:rPr>
          <w:rFonts w:ascii="Arial" w:hAnsi="Arial" w:cs="Arial"/>
          <w:color w:val="000000" w:themeColor="text1"/>
          <w:sz w:val="24"/>
          <w:szCs w:val="24"/>
        </w:rPr>
        <w:t>available</w:t>
      </w:r>
      <w:proofErr w:type="gramEnd"/>
      <w:r>
        <w:rPr>
          <w:rFonts w:ascii="Arial" w:hAnsi="Arial" w:cs="Arial"/>
          <w:color w:val="000000" w:themeColor="text1"/>
          <w:sz w:val="24"/>
          <w:szCs w:val="24"/>
        </w:rPr>
        <w:t xml:space="preserve"> and achievable during the plan period.</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Many sites have </w:t>
      </w:r>
      <w:proofErr w:type="gramStart"/>
      <w:r>
        <w:rPr>
          <w:rFonts w:ascii="Arial" w:hAnsi="Arial" w:cs="Arial"/>
          <w:color w:val="000000" w:themeColor="text1"/>
          <w:sz w:val="24"/>
          <w:szCs w:val="24"/>
        </w:rPr>
        <w:t>a number of</w:t>
      </w:r>
      <w:proofErr w:type="gramEnd"/>
      <w:r>
        <w:rPr>
          <w:rFonts w:ascii="Arial" w:hAnsi="Arial" w:cs="Arial"/>
          <w:color w:val="000000" w:themeColor="text1"/>
          <w:sz w:val="24"/>
          <w:szCs w:val="24"/>
        </w:rPr>
        <w:t xml:space="preserve"> constraints that need to be overcome before development can proceed.</w:t>
      </w:r>
      <w:r w:rsidR="00AF74C1">
        <w:rPr>
          <w:rFonts w:ascii="Arial" w:hAnsi="Arial" w:cs="Arial"/>
          <w:color w:val="000000" w:themeColor="text1"/>
          <w:sz w:val="24"/>
          <w:szCs w:val="24"/>
        </w:rPr>
        <w:t xml:space="preserve"> </w:t>
      </w:r>
      <w:r>
        <w:rPr>
          <w:rFonts w:ascii="Arial" w:hAnsi="Arial" w:cs="Arial"/>
          <w:color w:val="000000" w:themeColor="text1"/>
          <w:sz w:val="24"/>
          <w:szCs w:val="24"/>
        </w:rPr>
        <w:t>The HELAA considers whether such constraints can be overcome, whether constraints may reduce or limit the quantum of development in any way and whether such constraints may affect achievability.</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 </w:t>
      </w:r>
    </w:p>
    <w:p w14:paraId="4647418B" w14:textId="77777777" w:rsidR="007D7848" w:rsidRDefault="007D7848" w:rsidP="007D7848">
      <w:pPr>
        <w:pStyle w:val="ListParagraph"/>
        <w:rPr>
          <w:rFonts w:ascii="Arial" w:hAnsi="Arial" w:cs="Arial"/>
          <w:color w:val="000000" w:themeColor="text1"/>
          <w:sz w:val="24"/>
          <w:szCs w:val="24"/>
        </w:rPr>
      </w:pPr>
    </w:p>
    <w:p w14:paraId="36AA4FC2" w14:textId="77777777"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The HELAA assesses sites as ‘green’ unless:</w:t>
      </w:r>
    </w:p>
    <w:p w14:paraId="3EC28C49" w14:textId="3914811F" w:rsidR="007D7848" w:rsidRDefault="007D7848" w:rsidP="007D7848">
      <w:pPr>
        <w:pStyle w:val="ListParagraph"/>
        <w:numPr>
          <w:ilvl w:val="0"/>
          <w:numId w:val="33"/>
        </w:numPr>
        <w:rPr>
          <w:rFonts w:ascii="Arial" w:hAnsi="Arial" w:cs="Arial"/>
          <w:color w:val="000000" w:themeColor="text1"/>
          <w:sz w:val="24"/>
          <w:szCs w:val="24"/>
        </w:rPr>
      </w:pPr>
      <w:r>
        <w:rPr>
          <w:rFonts w:ascii="Arial" w:hAnsi="Arial" w:cs="Arial"/>
          <w:color w:val="000000" w:themeColor="text1"/>
          <w:sz w:val="24"/>
          <w:szCs w:val="24"/>
        </w:rPr>
        <w:t xml:space="preserve">They already have planning permission or an existing site allocation under the </w:t>
      </w:r>
      <w:r w:rsidR="006455B9">
        <w:rPr>
          <w:rFonts w:ascii="Arial" w:hAnsi="Arial" w:cs="Arial"/>
          <w:color w:val="000000" w:themeColor="text1"/>
          <w:sz w:val="24"/>
          <w:szCs w:val="24"/>
        </w:rPr>
        <w:t>l</w:t>
      </w:r>
      <w:r>
        <w:rPr>
          <w:rFonts w:ascii="Arial" w:hAnsi="Arial" w:cs="Arial"/>
          <w:color w:val="000000" w:themeColor="text1"/>
          <w:sz w:val="24"/>
          <w:szCs w:val="24"/>
        </w:rPr>
        <w:t xml:space="preserve">ocal </w:t>
      </w:r>
      <w:r w:rsidR="006455B9">
        <w:rPr>
          <w:rFonts w:ascii="Arial" w:hAnsi="Arial" w:cs="Arial"/>
          <w:color w:val="000000" w:themeColor="text1"/>
          <w:sz w:val="24"/>
          <w:szCs w:val="24"/>
        </w:rPr>
        <w:t>p</w:t>
      </w:r>
      <w:r>
        <w:rPr>
          <w:rFonts w:ascii="Arial" w:hAnsi="Arial" w:cs="Arial"/>
          <w:color w:val="000000" w:themeColor="text1"/>
          <w:sz w:val="24"/>
          <w:szCs w:val="24"/>
        </w:rPr>
        <w:t xml:space="preserve">lan or a made </w:t>
      </w:r>
      <w:r w:rsidR="006455B9">
        <w:rPr>
          <w:rFonts w:ascii="Arial" w:hAnsi="Arial" w:cs="Arial"/>
          <w:color w:val="000000" w:themeColor="text1"/>
          <w:sz w:val="24"/>
          <w:szCs w:val="24"/>
        </w:rPr>
        <w:t>n</w:t>
      </w:r>
      <w:r>
        <w:rPr>
          <w:rFonts w:ascii="Arial" w:hAnsi="Arial" w:cs="Arial"/>
          <w:color w:val="000000" w:themeColor="text1"/>
          <w:sz w:val="24"/>
          <w:szCs w:val="24"/>
        </w:rPr>
        <w:t xml:space="preserve">eighbourhood </w:t>
      </w:r>
      <w:r w:rsidR="006455B9">
        <w:rPr>
          <w:rFonts w:ascii="Arial" w:hAnsi="Arial" w:cs="Arial"/>
          <w:color w:val="000000" w:themeColor="text1"/>
          <w:sz w:val="24"/>
          <w:szCs w:val="24"/>
        </w:rPr>
        <w:t>p</w:t>
      </w:r>
      <w:r>
        <w:rPr>
          <w:rFonts w:ascii="Arial" w:hAnsi="Arial" w:cs="Arial"/>
          <w:color w:val="000000" w:themeColor="text1"/>
          <w:sz w:val="24"/>
          <w:szCs w:val="24"/>
        </w:rPr>
        <w:t>lan and no changes are proposed;</w:t>
      </w:r>
    </w:p>
    <w:p w14:paraId="488C98F2" w14:textId="77777777" w:rsidR="007D7848" w:rsidRDefault="007D7848" w:rsidP="007D7848">
      <w:pPr>
        <w:pStyle w:val="ListParagraph"/>
        <w:numPr>
          <w:ilvl w:val="0"/>
          <w:numId w:val="33"/>
        </w:numPr>
        <w:rPr>
          <w:rFonts w:ascii="Arial" w:hAnsi="Arial" w:cs="Arial"/>
          <w:color w:val="000000" w:themeColor="text1"/>
          <w:sz w:val="24"/>
          <w:szCs w:val="24"/>
        </w:rPr>
      </w:pPr>
      <w:r>
        <w:rPr>
          <w:rFonts w:ascii="Arial" w:hAnsi="Arial" w:cs="Arial"/>
          <w:color w:val="000000" w:themeColor="text1"/>
          <w:sz w:val="24"/>
          <w:szCs w:val="24"/>
        </w:rPr>
        <w:t xml:space="preserve">There </w:t>
      </w:r>
      <w:proofErr w:type="gramStart"/>
      <w:r>
        <w:rPr>
          <w:rFonts w:ascii="Arial" w:hAnsi="Arial" w:cs="Arial"/>
          <w:color w:val="000000" w:themeColor="text1"/>
          <w:sz w:val="24"/>
          <w:szCs w:val="24"/>
        </w:rPr>
        <w:t>are</w:t>
      </w:r>
      <w:proofErr w:type="gramEnd"/>
      <w:r>
        <w:rPr>
          <w:rFonts w:ascii="Arial" w:hAnsi="Arial" w:cs="Arial"/>
          <w:color w:val="000000" w:themeColor="text1"/>
          <w:sz w:val="24"/>
          <w:szCs w:val="24"/>
        </w:rPr>
        <w:t xml:space="preserve"> significant national policy or built or natural environmental designations affecting the site that would mean that development would in principle, be unacceptable;</w:t>
      </w:r>
    </w:p>
    <w:p w14:paraId="54D4603E" w14:textId="77777777" w:rsidR="007D7848" w:rsidRDefault="007D7848" w:rsidP="007D7848">
      <w:pPr>
        <w:pStyle w:val="ListParagraph"/>
        <w:numPr>
          <w:ilvl w:val="0"/>
          <w:numId w:val="33"/>
        </w:numPr>
        <w:rPr>
          <w:rFonts w:ascii="Arial" w:hAnsi="Arial" w:cs="Arial"/>
          <w:color w:val="000000" w:themeColor="text1"/>
          <w:sz w:val="24"/>
          <w:szCs w:val="24"/>
        </w:rPr>
      </w:pPr>
      <w:r>
        <w:rPr>
          <w:rFonts w:ascii="Arial" w:hAnsi="Arial" w:cs="Arial"/>
          <w:color w:val="000000" w:themeColor="text1"/>
          <w:sz w:val="24"/>
          <w:szCs w:val="24"/>
        </w:rPr>
        <w:t>The site’s characteristics (gradient, existing use, access, proximity to hazards or sources of nuisance) and are such that development would likely not be achievable, either through direct impacts or the absence of appropriate mitigation;</w:t>
      </w:r>
    </w:p>
    <w:p w14:paraId="727D0CAD" w14:textId="77777777" w:rsidR="007D7848" w:rsidRDefault="007D7848" w:rsidP="007D7848">
      <w:pPr>
        <w:pStyle w:val="ListParagraph"/>
        <w:numPr>
          <w:ilvl w:val="0"/>
          <w:numId w:val="33"/>
        </w:numPr>
        <w:rPr>
          <w:rFonts w:ascii="Arial" w:hAnsi="Arial" w:cs="Arial"/>
          <w:color w:val="000000" w:themeColor="text1"/>
          <w:sz w:val="24"/>
          <w:szCs w:val="24"/>
        </w:rPr>
      </w:pPr>
      <w:r>
        <w:rPr>
          <w:rFonts w:ascii="Arial" w:hAnsi="Arial" w:cs="Arial"/>
          <w:color w:val="000000" w:themeColor="text1"/>
          <w:sz w:val="24"/>
          <w:szCs w:val="24"/>
        </w:rPr>
        <w:t>There are legal or viability reasons why a development would be unlikely to deliver within the 15 year timeframe.</w:t>
      </w:r>
    </w:p>
    <w:p w14:paraId="425C471A" w14:textId="77777777" w:rsidR="007D7848" w:rsidRDefault="007D7848" w:rsidP="007D7848">
      <w:pPr>
        <w:pStyle w:val="ListParagraph"/>
        <w:ind w:left="1080"/>
        <w:rPr>
          <w:rFonts w:ascii="Arial" w:hAnsi="Arial" w:cs="Arial"/>
          <w:color w:val="000000" w:themeColor="text1"/>
          <w:sz w:val="24"/>
          <w:szCs w:val="24"/>
        </w:rPr>
      </w:pPr>
    </w:p>
    <w:p w14:paraId="69208CD4" w14:textId="5D474181"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 xml:space="preserve">The 2021 HELAA </w:t>
      </w:r>
      <w:r w:rsidR="00B739FA">
        <w:rPr>
          <w:rFonts w:ascii="Arial" w:hAnsi="Arial" w:cs="Arial"/>
          <w:color w:val="000000" w:themeColor="text1"/>
          <w:sz w:val="24"/>
          <w:szCs w:val="24"/>
        </w:rPr>
        <w:t xml:space="preserve">(H09) </w:t>
      </w:r>
      <w:r>
        <w:rPr>
          <w:rFonts w:ascii="Arial" w:hAnsi="Arial" w:cs="Arial"/>
          <w:color w:val="000000" w:themeColor="text1"/>
          <w:sz w:val="24"/>
          <w:szCs w:val="24"/>
        </w:rPr>
        <w:t>assessed 41 sites in Southbourne Parish (see Appendix 1).</w:t>
      </w:r>
      <w:r w:rsidR="00AF74C1">
        <w:rPr>
          <w:rFonts w:ascii="Arial" w:hAnsi="Arial" w:cs="Arial"/>
          <w:color w:val="000000" w:themeColor="text1"/>
          <w:sz w:val="24"/>
          <w:szCs w:val="24"/>
        </w:rPr>
        <w:t xml:space="preserve"> </w:t>
      </w:r>
      <w:r>
        <w:rPr>
          <w:rFonts w:ascii="Arial" w:hAnsi="Arial" w:cs="Arial"/>
          <w:color w:val="000000" w:themeColor="text1"/>
          <w:sz w:val="24"/>
          <w:szCs w:val="24"/>
        </w:rPr>
        <w:t>Of these, 18 sites were discounted because the site either had planning permission/were under construction (five sites); it was within the Chichester Harbour Area of Outstanding Natural Beauty (AONB) (eight sites); there was insurmountable access issues (two sites); it was in Flood Zone 3 (one site); or there was a legal restriction on the site use (in this case a Section 106 Agreement restricting use to open space) (two sites).</w:t>
      </w:r>
      <w:r w:rsidR="00AF74C1">
        <w:rPr>
          <w:rFonts w:ascii="Arial" w:hAnsi="Arial" w:cs="Arial"/>
          <w:color w:val="000000" w:themeColor="text1"/>
          <w:sz w:val="24"/>
          <w:szCs w:val="24"/>
        </w:rPr>
        <w:t xml:space="preserve"> </w:t>
      </w:r>
      <w:r>
        <w:rPr>
          <w:rFonts w:ascii="Arial" w:hAnsi="Arial" w:cs="Arial"/>
          <w:color w:val="000000" w:themeColor="text1"/>
          <w:sz w:val="24"/>
          <w:szCs w:val="24"/>
        </w:rPr>
        <w:t>These sites were not considered further for inclusion within the BLD.</w:t>
      </w:r>
    </w:p>
    <w:p w14:paraId="20C79FCC" w14:textId="77777777" w:rsidR="007D7848" w:rsidRDefault="007D7848" w:rsidP="007D7848">
      <w:pPr>
        <w:pStyle w:val="ListParagraph"/>
        <w:rPr>
          <w:rFonts w:ascii="Arial" w:hAnsi="Arial" w:cs="Arial"/>
          <w:color w:val="000000" w:themeColor="text1"/>
          <w:sz w:val="24"/>
          <w:szCs w:val="24"/>
        </w:rPr>
      </w:pPr>
    </w:p>
    <w:p w14:paraId="254A157A" w14:textId="6A4E6062"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The remaining 23 ‘green’ sites</w:t>
      </w:r>
      <w:r>
        <w:rPr>
          <w:rStyle w:val="FootnoteReference"/>
          <w:rFonts w:cs="Arial"/>
          <w:color w:val="000000" w:themeColor="text1"/>
          <w:sz w:val="24"/>
          <w:szCs w:val="24"/>
        </w:rPr>
        <w:footnoteReference w:id="2"/>
      </w:r>
      <w:r>
        <w:rPr>
          <w:rFonts w:ascii="Arial" w:hAnsi="Arial" w:cs="Arial"/>
          <w:color w:val="000000" w:themeColor="text1"/>
          <w:sz w:val="24"/>
          <w:szCs w:val="24"/>
        </w:rPr>
        <w:t xml:space="preserve"> were then considered further in terms of their relationship to the built up area of Southbourne village; relationship to other potential BLD sites and ability to form a cohesive development; and any site constraints that may limit their development potential.</w:t>
      </w:r>
      <w:r w:rsidR="00AF74C1">
        <w:rPr>
          <w:rFonts w:ascii="Arial" w:hAnsi="Arial" w:cs="Arial"/>
          <w:color w:val="000000" w:themeColor="text1"/>
          <w:sz w:val="24"/>
          <w:szCs w:val="24"/>
        </w:rPr>
        <w:t xml:space="preserve"> </w:t>
      </w:r>
      <w:r>
        <w:rPr>
          <w:rFonts w:ascii="Arial" w:hAnsi="Arial" w:cs="Arial"/>
          <w:color w:val="000000" w:themeColor="text1"/>
          <w:sz w:val="24"/>
          <w:szCs w:val="24"/>
        </w:rPr>
        <w:t>A further six sites were discounted at this stage from inclusion within a possible BLD (see Table 1).</w:t>
      </w:r>
    </w:p>
    <w:p w14:paraId="26269DEC" w14:textId="77777777" w:rsidR="007D7848" w:rsidRDefault="007D7848" w:rsidP="007D7848">
      <w:pPr>
        <w:pStyle w:val="ListParagraph"/>
        <w:rPr>
          <w:rFonts w:ascii="Arial" w:hAnsi="Arial" w:cs="Arial"/>
          <w:color w:val="000000" w:themeColor="text1"/>
          <w:sz w:val="24"/>
          <w:szCs w:val="24"/>
        </w:rPr>
      </w:pPr>
    </w:p>
    <w:p w14:paraId="32852DD8" w14:textId="31E806FC" w:rsidR="007D7848" w:rsidRDefault="007D7848" w:rsidP="007D7848">
      <w:pPr>
        <w:pStyle w:val="ListParagraph"/>
        <w:rPr>
          <w:rFonts w:ascii="Arial" w:hAnsi="Arial" w:cs="Arial"/>
          <w:b/>
          <w:bCs/>
          <w:color w:val="000000" w:themeColor="text1"/>
          <w:sz w:val="20"/>
          <w:szCs w:val="20"/>
        </w:rPr>
      </w:pPr>
      <w:r>
        <w:rPr>
          <w:rFonts w:ascii="Arial" w:hAnsi="Arial" w:cs="Arial"/>
          <w:b/>
          <w:bCs/>
          <w:color w:val="000000" w:themeColor="text1"/>
          <w:sz w:val="20"/>
          <w:szCs w:val="20"/>
        </w:rPr>
        <w:t xml:space="preserve">Table 1 – Sites excluded from </w:t>
      </w:r>
      <w:proofErr w:type="gramStart"/>
      <w:r>
        <w:rPr>
          <w:rFonts w:ascii="Arial" w:hAnsi="Arial" w:cs="Arial"/>
          <w:b/>
          <w:bCs/>
          <w:color w:val="000000" w:themeColor="text1"/>
          <w:sz w:val="20"/>
          <w:szCs w:val="20"/>
        </w:rPr>
        <w:t>BLD</w:t>
      </w:r>
      <w:proofErr w:type="gramEnd"/>
    </w:p>
    <w:p w14:paraId="3A3C7968" w14:textId="77777777" w:rsidR="007D7848" w:rsidRPr="007648F1" w:rsidRDefault="007D7848" w:rsidP="007D7848">
      <w:pPr>
        <w:pStyle w:val="ListParagraph"/>
        <w:rPr>
          <w:rFonts w:ascii="Arial" w:hAnsi="Arial" w:cs="Arial"/>
          <w:color w:val="000000" w:themeColor="text1"/>
          <w:sz w:val="24"/>
          <w:szCs w:val="24"/>
        </w:rPr>
      </w:pPr>
    </w:p>
    <w:tbl>
      <w:tblPr>
        <w:tblStyle w:val="TableGrid"/>
        <w:tblW w:w="0" w:type="auto"/>
        <w:tblInd w:w="720" w:type="dxa"/>
        <w:tblLook w:val="04A0" w:firstRow="1" w:lastRow="0" w:firstColumn="1" w:lastColumn="0" w:noHBand="0" w:noVBand="1"/>
        <w:tblCaption w:val="Table 1 - Sites excluded from the BLD"/>
        <w:tblDescription w:val="Details of six HELAA sites discounted from further assessment and the reasons for that."/>
      </w:tblPr>
      <w:tblGrid>
        <w:gridCol w:w="1886"/>
        <w:gridCol w:w="3743"/>
        <w:gridCol w:w="3279"/>
      </w:tblGrid>
      <w:tr w:rsidR="007D7848" w:rsidRPr="007648F1" w14:paraId="01315A7D" w14:textId="77777777" w:rsidTr="002F2A56">
        <w:trPr>
          <w:tblHeader/>
        </w:trPr>
        <w:tc>
          <w:tcPr>
            <w:tcW w:w="1975" w:type="dxa"/>
          </w:tcPr>
          <w:p w14:paraId="3D0A5EA0" w14:textId="77777777" w:rsidR="007D7848" w:rsidRPr="007648F1" w:rsidRDefault="007D7848" w:rsidP="002F2A56">
            <w:pPr>
              <w:pStyle w:val="ListParagraph"/>
              <w:spacing w:after="0" w:line="240" w:lineRule="auto"/>
              <w:ind w:left="0"/>
              <w:rPr>
                <w:rFonts w:ascii="Arial" w:hAnsi="Arial" w:cs="Arial"/>
                <w:b/>
                <w:bCs/>
                <w:color w:val="000000" w:themeColor="text1"/>
                <w:sz w:val="20"/>
                <w:szCs w:val="20"/>
              </w:rPr>
            </w:pPr>
            <w:r w:rsidRPr="007648F1">
              <w:rPr>
                <w:rFonts w:ascii="Arial" w:hAnsi="Arial" w:cs="Arial"/>
                <w:b/>
                <w:bCs/>
                <w:color w:val="000000" w:themeColor="text1"/>
                <w:sz w:val="20"/>
                <w:szCs w:val="20"/>
              </w:rPr>
              <w:t>HELAA Reference</w:t>
            </w:r>
          </w:p>
        </w:tc>
        <w:tc>
          <w:tcPr>
            <w:tcW w:w="4050" w:type="dxa"/>
          </w:tcPr>
          <w:p w14:paraId="51DD03C7" w14:textId="77777777" w:rsidR="007D7848" w:rsidRPr="007648F1" w:rsidRDefault="007D7848" w:rsidP="002F2A56">
            <w:pPr>
              <w:pStyle w:val="ListParagraph"/>
              <w:spacing w:after="0" w:line="240" w:lineRule="auto"/>
              <w:ind w:left="0"/>
              <w:rPr>
                <w:rFonts w:ascii="Arial" w:hAnsi="Arial" w:cs="Arial"/>
                <w:b/>
                <w:bCs/>
                <w:color w:val="000000" w:themeColor="text1"/>
                <w:sz w:val="20"/>
                <w:szCs w:val="20"/>
              </w:rPr>
            </w:pPr>
            <w:r w:rsidRPr="007648F1">
              <w:rPr>
                <w:rFonts w:ascii="Arial" w:hAnsi="Arial" w:cs="Arial"/>
                <w:b/>
                <w:bCs/>
                <w:color w:val="000000" w:themeColor="text1"/>
                <w:sz w:val="20"/>
                <w:szCs w:val="20"/>
              </w:rPr>
              <w:t>Site Address</w:t>
            </w:r>
          </w:p>
        </w:tc>
        <w:tc>
          <w:tcPr>
            <w:tcW w:w="3423" w:type="dxa"/>
          </w:tcPr>
          <w:p w14:paraId="26E6D976" w14:textId="77777777" w:rsidR="007D7848" w:rsidRPr="007648F1" w:rsidRDefault="007D7848" w:rsidP="002F2A56">
            <w:pPr>
              <w:pStyle w:val="ListParagraph"/>
              <w:spacing w:after="0" w:line="240" w:lineRule="auto"/>
              <w:ind w:left="0"/>
              <w:rPr>
                <w:rFonts w:ascii="Arial" w:hAnsi="Arial" w:cs="Arial"/>
                <w:b/>
                <w:bCs/>
                <w:color w:val="000000" w:themeColor="text1"/>
                <w:sz w:val="20"/>
                <w:szCs w:val="20"/>
              </w:rPr>
            </w:pPr>
            <w:r w:rsidRPr="007648F1">
              <w:rPr>
                <w:rFonts w:ascii="Arial" w:hAnsi="Arial" w:cs="Arial"/>
                <w:b/>
                <w:bCs/>
                <w:color w:val="000000" w:themeColor="text1"/>
                <w:sz w:val="20"/>
                <w:szCs w:val="20"/>
              </w:rPr>
              <w:t>Reason for exclusion from BLD</w:t>
            </w:r>
          </w:p>
        </w:tc>
      </w:tr>
      <w:tr w:rsidR="007D7848" w:rsidRPr="007648F1" w14:paraId="642941D0" w14:textId="77777777" w:rsidTr="002F2A56">
        <w:tc>
          <w:tcPr>
            <w:tcW w:w="1975" w:type="dxa"/>
          </w:tcPr>
          <w:p w14:paraId="5D691FFC"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HSB0001a</w:t>
            </w:r>
          </w:p>
        </w:tc>
        <w:tc>
          <w:tcPr>
            <w:tcW w:w="4050" w:type="dxa"/>
          </w:tcPr>
          <w:p w14:paraId="24FCF7B1"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Land at Willowbrook Riding Centre</w:t>
            </w:r>
          </w:p>
        </w:tc>
        <w:tc>
          <w:tcPr>
            <w:tcW w:w="3423" w:type="dxa"/>
          </w:tcPr>
          <w:p w14:paraId="17B70AE2" w14:textId="002596FC" w:rsidR="007D7848" w:rsidRPr="005D6AE1" w:rsidRDefault="007D7848" w:rsidP="002F2A56">
            <w:pPr>
              <w:pStyle w:val="ListParagraph"/>
              <w:spacing w:after="0" w:line="240" w:lineRule="auto"/>
              <w:ind w:left="0"/>
              <w:rPr>
                <w:sz w:val="20"/>
                <w:szCs w:val="20"/>
              </w:rPr>
            </w:pPr>
            <w:r>
              <w:rPr>
                <w:rFonts w:ascii="Arial" w:hAnsi="Arial" w:cs="Arial"/>
                <w:color w:val="000000" w:themeColor="text1"/>
                <w:sz w:val="20"/>
                <w:szCs w:val="20"/>
              </w:rPr>
              <w:t>The site’s location means that it is more related to Hambrook then Southbourne.</w:t>
            </w:r>
            <w:r w:rsidR="00AF74C1">
              <w:rPr>
                <w:rFonts w:ascii="Arial" w:hAnsi="Arial" w:cs="Arial"/>
                <w:color w:val="000000" w:themeColor="text1"/>
                <w:sz w:val="20"/>
                <w:szCs w:val="20"/>
              </w:rPr>
              <w:t xml:space="preserve"> </w:t>
            </w:r>
            <w:r>
              <w:rPr>
                <w:rFonts w:ascii="Arial" w:hAnsi="Arial" w:cs="Arial"/>
                <w:color w:val="000000" w:themeColor="text1"/>
                <w:sz w:val="20"/>
                <w:szCs w:val="20"/>
              </w:rPr>
              <w:t xml:space="preserve">It lies to the east of an area identified in the </w:t>
            </w:r>
            <w:hyperlink r:id="rId19" w:history="1">
              <w:r w:rsidRPr="004B7A84">
                <w:rPr>
                  <w:rStyle w:val="Hyperlink"/>
                  <w:rFonts w:ascii="Arial" w:hAnsi="Arial" w:cs="Arial"/>
                  <w:sz w:val="20"/>
                  <w:szCs w:val="20"/>
                </w:rPr>
                <w:t>Landscape Gap Assessment (May 2019)</w:t>
              </w:r>
            </w:hyperlink>
            <w:r>
              <w:rPr>
                <w:rFonts w:ascii="Arial" w:hAnsi="Arial" w:cs="Arial"/>
                <w:color w:val="000000" w:themeColor="text1"/>
                <w:sz w:val="20"/>
                <w:szCs w:val="20"/>
              </w:rPr>
              <w:t xml:space="preserve"> as a potential strategic gap and is partly within the proposed Hambrook/Nutbourne Strategic Wildlife Corridor.</w:t>
            </w:r>
          </w:p>
        </w:tc>
      </w:tr>
      <w:tr w:rsidR="007D7848" w:rsidRPr="007648F1" w14:paraId="0197CEA4" w14:textId="77777777" w:rsidTr="002F2A56">
        <w:tc>
          <w:tcPr>
            <w:tcW w:w="1975" w:type="dxa"/>
          </w:tcPr>
          <w:p w14:paraId="1DCEADDE"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HSB0005a</w:t>
            </w:r>
          </w:p>
        </w:tc>
        <w:tc>
          <w:tcPr>
            <w:tcW w:w="4050" w:type="dxa"/>
          </w:tcPr>
          <w:p w14:paraId="1CF0E74E"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Land at Wayside Cottage</w:t>
            </w:r>
          </w:p>
        </w:tc>
        <w:tc>
          <w:tcPr>
            <w:tcW w:w="3423" w:type="dxa"/>
          </w:tcPr>
          <w:p w14:paraId="60E66404"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The site now has the benefit of planning permission for 8 dwellings (permitted 23 June 2022)</w:t>
            </w:r>
          </w:p>
        </w:tc>
      </w:tr>
      <w:tr w:rsidR="007D7848" w:rsidRPr="007648F1" w14:paraId="20976E4F" w14:textId="77777777" w:rsidTr="002F2A56">
        <w:tc>
          <w:tcPr>
            <w:tcW w:w="1975" w:type="dxa"/>
          </w:tcPr>
          <w:p w14:paraId="37DF0D3F"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HSB0006a</w:t>
            </w:r>
          </w:p>
        </w:tc>
        <w:tc>
          <w:tcPr>
            <w:tcW w:w="4050" w:type="dxa"/>
          </w:tcPr>
          <w:p w14:paraId="030BEF0D"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Land north of Woodfield Park Road</w:t>
            </w:r>
          </w:p>
        </w:tc>
        <w:tc>
          <w:tcPr>
            <w:tcW w:w="3423" w:type="dxa"/>
          </w:tcPr>
          <w:p w14:paraId="7BDE7766"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Site is physically separated from any other potential BLD site</w:t>
            </w:r>
          </w:p>
        </w:tc>
      </w:tr>
      <w:tr w:rsidR="007D7848" w:rsidRPr="007648F1" w14:paraId="6D37D5EA" w14:textId="77777777" w:rsidTr="002F2A56">
        <w:tc>
          <w:tcPr>
            <w:tcW w:w="1975" w:type="dxa"/>
          </w:tcPr>
          <w:p w14:paraId="6C6F869E"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HSB0009</w:t>
            </w:r>
          </w:p>
        </w:tc>
        <w:tc>
          <w:tcPr>
            <w:tcW w:w="4050" w:type="dxa"/>
          </w:tcPr>
          <w:p w14:paraId="0D8C44E7"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 xml:space="preserve">Land at </w:t>
            </w:r>
            <w:proofErr w:type="spellStart"/>
            <w:r>
              <w:rPr>
                <w:rFonts w:ascii="Arial" w:hAnsi="Arial" w:cs="Arial"/>
                <w:color w:val="000000" w:themeColor="text1"/>
                <w:sz w:val="20"/>
                <w:szCs w:val="20"/>
              </w:rPr>
              <w:t>Hamcroft</w:t>
            </w:r>
            <w:proofErr w:type="spellEnd"/>
            <w:r>
              <w:rPr>
                <w:rFonts w:ascii="Arial" w:hAnsi="Arial" w:cs="Arial"/>
                <w:color w:val="000000" w:themeColor="text1"/>
                <w:sz w:val="20"/>
                <w:szCs w:val="20"/>
              </w:rPr>
              <w:t xml:space="preserve"> between Nutbourne West and East</w:t>
            </w:r>
          </w:p>
        </w:tc>
        <w:tc>
          <w:tcPr>
            <w:tcW w:w="3423" w:type="dxa"/>
          </w:tcPr>
          <w:p w14:paraId="593BFBCD" w14:textId="77777777" w:rsidR="007D7848" w:rsidRPr="00A2238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sz w:val="20"/>
                <w:szCs w:val="20"/>
              </w:rPr>
              <w:t xml:space="preserve">The site does not immediately adjoin another potential BLD site and as a </w:t>
            </w:r>
            <w:proofErr w:type="spellStart"/>
            <w:r>
              <w:rPr>
                <w:rFonts w:ascii="Arial" w:hAnsi="Arial" w:cs="Arial"/>
                <w:color w:val="000000"/>
                <w:sz w:val="20"/>
                <w:szCs w:val="20"/>
              </w:rPr>
              <w:t>stand alone</w:t>
            </w:r>
            <w:proofErr w:type="spellEnd"/>
            <w:r>
              <w:rPr>
                <w:rFonts w:ascii="Arial" w:hAnsi="Arial" w:cs="Arial"/>
                <w:color w:val="000000"/>
                <w:sz w:val="20"/>
                <w:szCs w:val="20"/>
              </w:rPr>
              <w:t xml:space="preserve"> site it would not </w:t>
            </w:r>
            <w:r w:rsidRPr="00A22381">
              <w:rPr>
                <w:rFonts w:ascii="Arial" w:hAnsi="Arial" w:cs="Arial"/>
                <w:color w:val="000000"/>
                <w:sz w:val="20"/>
                <w:szCs w:val="20"/>
              </w:rPr>
              <w:t xml:space="preserve">form </w:t>
            </w:r>
            <w:r>
              <w:rPr>
                <w:rFonts w:ascii="Arial" w:hAnsi="Arial" w:cs="Arial"/>
                <w:color w:val="000000"/>
                <w:sz w:val="20"/>
                <w:szCs w:val="20"/>
              </w:rPr>
              <w:t xml:space="preserve">a sustainable </w:t>
            </w:r>
            <w:r w:rsidRPr="00A22381">
              <w:rPr>
                <w:rFonts w:ascii="Arial" w:hAnsi="Arial" w:cs="Arial"/>
                <w:color w:val="000000"/>
                <w:sz w:val="20"/>
                <w:szCs w:val="20"/>
              </w:rPr>
              <w:t>extension to Southbourne</w:t>
            </w:r>
            <w:r>
              <w:rPr>
                <w:rFonts w:ascii="Arial" w:hAnsi="Arial" w:cs="Arial"/>
                <w:color w:val="000000"/>
                <w:sz w:val="20"/>
                <w:szCs w:val="20"/>
              </w:rPr>
              <w:t xml:space="preserve"> having more of a relationship to Nutbourne.</w:t>
            </w:r>
          </w:p>
        </w:tc>
      </w:tr>
      <w:tr w:rsidR="007D7848" w:rsidRPr="007648F1" w14:paraId="18AE1561" w14:textId="77777777" w:rsidTr="002F2A56">
        <w:tc>
          <w:tcPr>
            <w:tcW w:w="1975" w:type="dxa"/>
          </w:tcPr>
          <w:p w14:paraId="1216682C"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HSB0029</w:t>
            </w:r>
          </w:p>
        </w:tc>
        <w:tc>
          <w:tcPr>
            <w:tcW w:w="4050" w:type="dxa"/>
          </w:tcPr>
          <w:p w14:paraId="00A724B3"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Camp and Caravan Club site</w:t>
            </w:r>
          </w:p>
        </w:tc>
        <w:tc>
          <w:tcPr>
            <w:tcW w:w="3423" w:type="dxa"/>
          </w:tcPr>
          <w:p w14:paraId="273789CC" w14:textId="3FD249ED" w:rsidR="007D7848" w:rsidRPr="00A2238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sz w:val="20"/>
                <w:szCs w:val="20"/>
              </w:rPr>
              <w:t>Site is separated from any other potential BLD site.</w:t>
            </w:r>
            <w:r w:rsidR="00AF74C1">
              <w:rPr>
                <w:rFonts w:ascii="Arial" w:hAnsi="Arial" w:cs="Arial"/>
                <w:color w:val="000000"/>
                <w:sz w:val="20"/>
                <w:szCs w:val="20"/>
              </w:rPr>
              <w:t xml:space="preserve"> </w:t>
            </w:r>
            <w:r>
              <w:rPr>
                <w:rFonts w:ascii="Arial" w:hAnsi="Arial" w:cs="Arial"/>
                <w:color w:val="000000"/>
                <w:sz w:val="20"/>
                <w:szCs w:val="20"/>
              </w:rPr>
              <w:t>It is b</w:t>
            </w:r>
            <w:r w:rsidRPr="00A22381">
              <w:rPr>
                <w:rFonts w:ascii="Arial" w:hAnsi="Arial" w:cs="Arial"/>
                <w:color w:val="000000"/>
                <w:sz w:val="20"/>
                <w:szCs w:val="20"/>
              </w:rPr>
              <w:t>etween existing residential development</w:t>
            </w:r>
            <w:r>
              <w:rPr>
                <w:rFonts w:ascii="Arial" w:hAnsi="Arial" w:cs="Arial"/>
                <w:color w:val="000000"/>
                <w:sz w:val="20"/>
                <w:szCs w:val="20"/>
              </w:rPr>
              <w:t xml:space="preserve"> </w:t>
            </w:r>
            <w:r w:rsidR="007554B6">
              <w:rPr>
                <w:rFonts w:ascii="Arial" w:hAnsi="Arial" w:cs="Arial"/>
                <w:color w:val="000000"/>
                <w:sz w:val="20"/>
                <w:szCs w:val="20"/>
              </w:rPr>
              <w:t xml:space="preserve">within the Southbourne Settlement Boundary </w:t>
            </w:r>
            <w:r>
              <w:rPr>
                <w:rFonts w:ascii="Arial" w:hAnsi="Arial" w:cs="Arial"/>
                <w:color w:val="000000"/>
                <w:sz w:val="20"/>
                <w:szCs w:val="20"/>
              </w:rPr>
              <w:t>and</w:t>
            </w:r>
            <w:r w:rsidRPr="00A22381">
              <w:rPr>
                <w:rFonts w:ascii="Arial" w:hAnsi="Arial" w:cs="Arial"/>
                <w:color w:val="000000"/>
                <w:sz w:val="20"/>
                <w:szCs w:val="20"/>
              </w:rPr>
              <w:t xml:space="preserve"> could come forward </w:t>
            </w:r>
            <w:r>
              <w:rPr>
                <w:rFonts w:ascii="Arial" w:hAnsi="Arial" w:cs="Arial"/>
                <w:color w:val="000000"/>
                <w:sz w:val="20"/>
                <w:szCs w:val="20"/>
              </w:rPr>
              <w:t>for development independently.</w:t>
            </w:r>
          </w:p>
        </w:tc>
      </w:tr>
      <w:tr w:rsidR="007D7848" w:rsidRPr="007648F1" w14:paraId="6F29F95A" w14:textId="77777777" w:rsidTr="002F2A56">
        <w:tc>
          <w:tcPr>
            <w:tcW w:w="1975" w:type="dxa"/>
          </w:tcPr>
          <w:p w14:paraId="6976E70A"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HSB0048</w:t>
            </w:r>
          </w:p>
        </w:tc>
        <w:tc>
          <w:tcPr>
            <w:tcW w:w="4050" w:type="dxa"/>
          </w:tcPr>
          <w:p w14:paraId="118A670E" w14:textId="77777777" w:rsidR="007D7848" w:rsidRPr="007648F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themeColor="text1"/>
                <w:sz w:val="20"/>
                <w:szCs w:val="20"/>
              </w:rPr>
              <w:t>Chichester Grain Stores</w:t>
            </w:r>
          </w:p>
        </w:tc>
        <w:tc>
          <w:tcPr>
            <w:tcW w:w="3423" w:type="dxa"/>
          </w:tcPr>
          <w:p w14:paraId="05A03BFD" w14:textId="79F0411E" w:rsidR="007D7848" w:rsidRPr="00A22381" w:rsidRDefault="007D7848" w:rsidP="002F2A56">
            <w:pPr>
              <w:pStyle w:val="ListParagraph"/>
              <w:spacing w:after="0" w:line="240" w:lineRule="auto"/>
              <w:ind w:left="0"/>
              <w:rPr>
                <w:rFonts w:ascii="Arial" w:hAnsi="Arial" w:cs="Arial"/>
                <w:color w:val="000000" w:themeColor="text1"/>
                <w:sz w:val="20"/>
                <w:szCs w:val="20"/>
              </w:rPr>
            </w:pPr>
            <w:r>
              <w:rPr>
                <w:rFonts w:ascii="Arial" w:hAnsi="Arial" w:cs="Arial"/>
                <w:color w:val="000000"/>
                <w:sz w:val="20"/>
                <w:szCs w:val="20"/>
              </w:rPr>
              <w:t>The site’s location means that it is m</w:t>
            </w:r>
            <w:r w:rsidRPr="00A22381">
              <w:rPr>
                <w:rFonts w:ascii="Arial" w:hAnsi="Arial" w:cs="Arial"/>
                <w:color w:val="000000"/>
                <w:sz w:val="20"/>
                <w:szCs w:val="20"/>
              </w:rPr>
              <w:t>ore related to Hambrook</w:t>
            </w:r>
            <w:r>
              <w:rPr>
                <w:rFonts w:ascii="Arial" w:hAnsi="Arial" w:cs="Arial"/>
                <w:color w:val="000000"/>
                <w:sz w:val="20"/>
                <w:szCs w:val="20"/>
              </w:rPr>
              <w:t xml:space="preserve"> than Southbourne.</w:t>
            </w:r>
            <w:r w:rsidR="00AF74C1">
              <w:rPr>
                <w:rFonts w:ascii="Arial" w:hAnsi="Arial" w:cs="Arial"/>
                <w:color w:val="000000"/>
                <w:sz w:val="20"/>
                <w:szCs w:val="20"/>
              </w:rPr>
              <w:t xml:space="preserve"> </w:t>
            </w:r>
            <w:r>
              <w:rPr>
                <w:rFonts w:ascii="Arial" w:hAnsi="Arial" w:cs="Arial"/>
                <w:color w:val="000000"/>
                <w:sz w:val="20"/>
                <w:szCs w:val="20"/>
              </w:rPr>
              <w:t xml:space="preserve">It lies to the east of an area identified in the Landscape </w:t>
            </w:r>
            <w:r>
              <w:rPr>
                <w:rFonts w:ascii="Arial" w:hAnsi="Arial" w:cs="Arial"/>
                <w:color w:val="000000"/>
                <w:sz w:val="20"/>
                <w:szCs w:val="20"/>
              </w:rPr>
              <w:lastRenderedPageBreak/>
              <w:t>Gap Assessment (May 2019) as a potential strategic gap.</w:t>
            </w:r>
          </w:p>
        </w:tc>
      </w:tr>
    </w:tbl>
    <w:p w14:paraId="6FF4EC74" w14:textId="72414223" w:rsidR="00F6570B" w:rsidRDefault="00DA11FD" w:rsidP="00B739FA">
      <w:pPr>
        <w:pStyle w:val="ListParagraph"/>
        <w:numPr>
          <w:ilvl w:val="1"/>
          <w:numId w:val="22"/>
        </w:numPr>
        <w:spacing w:before="240"/>
        <w:ind w:left="720" w:hanging="720"/>
        <w:rPr>
          <w:rFonts w:ascii="Arial" w:hAnsi="Arial" w:cs="Arial"/>
          <w:color w:val="000000" w:themeColor="text1"/>
          <w:sz w:val="24"/>
          <w:szCs w:val="24"/>
        </w:rPr>
      </w:pPr>
      <w:r>
        <w:rPr>
          <w:rFonts w:ascii="Arial" w:hAnsi="Arial" w:cs="Arial"/>
          <w:color w:val="000000" w:themeColor="text1"/>
          <w:sz w:val="24"/>
          <w:szCs w:val="24"/>
        </w:rPr>
        <w:lastRenderedPageBreak/>
        <w:t xml:space="preserve">To the north of Cooks Lane, the extent of the BLD includes </w:t>
      </w:r>
      <w:r w:rsidR="00847015">
        <w:rPr>
          <w:rFonts w:ascii="Arial" w:hAnsi="Arial" w:cs="Arial"/>
          <w:color w:val="000000" w:themeColor="text1"/>
          <w:sz w:val="24"/>
          <w:szCs w:val="24"/>
        </w:rPr>
        <w:t>a small</w:t>
      </w:r>
      <w:r>
        <w:rPr>
          <w:rFonts w:ascii="Arial" w:hAnsi="Arial" w:cs="Arial"/>
          <w:color w:val="000000" w:themeColor="text1"/>
          <w:sz w:val="24"/>
          <w:szCs w:val="24"/>
        </w:rPr>
        <w:t xml:space="preserve"> area of land that </w:t>
      </w:r>
      <w:r w:rsidR="00E66129">
        <w:rPr>
          <w:rFonts w:ascii="Arial" w:hAnsi="Arial" w:cs="Arial"/>
          <w:color w:val="000000" w:themeColor="text1"/>
          <w:sz w:val="24"/>
          <w:szCs w:val="24"/>
        </w:rPr>
        <w:t xml:space="preserve">has not been promoted through the HELAA but has been the subject of </w:t>
      </w:r>
      <w:r w:rsidR="00486374">
        <w:rPr>
          <w:rFonts w:ascii="Arial" w:hAnsi="Arial" w:cs="Arial"/>
          <w:color w:val="000000" w:themeColor="text1"/>
          <w:sz w:val="24"/>
          <w:szCs w:val="24"/>
        </w:rPr>
        <w:t xml:space="preserve">past </w:t>
      </w:r>
      <w:r w:rsidR="00E66129">
        <w:rPr>
          <w:rFonts w:ascii="Arial" w:hAnsi="Arial" w:cs="Arial"/>
          <w:color w:val="000000" w:themeColor="text1"/>
          <w:sz w:val="24"/>
          <w:szCs w:val="24"/>
        </w:rPr>
        <w:t>planning applications</w:t>
      </w:r>
      <w:r w:rsidR="00F6570B">
        <w:rPr>
          <w:rFonts w:ascii="Arial" w:hAnsi="Arial" w:cs="Arial"/>
          <w:color w:val="000000" w:themeColor="text1"/>
          <w:sz w:val="24"/>
          <w:szCs w:val="24"/>
        </w:rPr>
        <w:t>.</w:t>
      </w:r>
      <w:r w:rsidR="00AF74C1">
        <w:rPr>
          <w:rFonts w:ascii="Arial" w:hAnsi="Arial" w:cs="Arial"/>
          <w:color w:val="000000" w:themeColor="text1"/>
          <w:sz w:val="24"/>
          <w:szCs w:val="24"/>
        </w:rPr>
        <w:t xml:space="preserve"> </w:t>
      </w:r>
      <w:r w:rsidR="00F6570B">
        <w:rPr>
          <w:rFonts w:ascii="Arial" w:hAnsi="Arial" w:cs="Arial"/>
          <w:color w:val="000000" w:themeColor="text1"/>
          <w:sz w:val="24"/>
          <w:szCs w:val="24"/>
        </w:rPr>
        <w:t xml:space="preserve">As this area </w:t>
      </w:r>
      <w:r w:rsidR="00E66129">
        <w:rPr>
          <w:rFonts w:ascii="Arial" w:hAnsi="Arial" w:cs="Arial"/>
          <w:color w:val="000000" w:themeColor="text1"/>
          <w:sz w:val="24"/>
          <w:szCs w:val="24"/>
        </w:rPr>
        <w:t xml:space="preserve">lies </w:t>
      </w:r>
      <w:r w:rsidR="00F6570B">
        <w:rPr>
          <w:rFonts w:ascii="Arial" w:hAnsi="Arial" w:cs="Arial"/>
          <w:color w:val="000000" w:themeColor="text1"/>
          <w:sz w:val="24"/>
          <w:szCs w:val="24"/>
        </w:rPr>
        <w:t xml:space="preserve">between </w:t>
      </w:r>
      <w:r w:rsidR="00E66129">
        <w:rPr>
          <w:rFonts w:ascii="Arial" w:hAnsi="Arial" w:cs="Arial"/>
          <w:color w:val="000000" w:themeColor="text1"/>
          <w:sz w:val="24"/>
          <w:szCs w:val="24"/>
        </w:rPr>
        <w:t>already consented development</w:t>
      </w:r>
      <w:r w:rsidR="00F6570B">
        <w:rPr>
          <w:rFonts w:ascii="Arial" w:hAnsi="Arial" w:cs="Arial"/>
          <w:color w:val="000000" w:themeColor="text1"/>
          <w:sz w:val="24"/>
          <w:szCs w:val="24"/>
        </w:rPr>
        <w:t xml:space="preserve"> and </w:t>
      </w:r>
      <w:r>
        <w:rPr>
          <w:rFonts w:ascii="Arial" w:hAnsi="Arial" w:cs="Arial"/>
          <w:color w:val="000000" w:themeColor="text1"/>
          <w:sz w:val="24"/>
          <w:szCs w:val="24"/>
        </w:rPr>
        <w:t>HELAA site HSB0026a</w:t>
      </w:r>
      <w:r w:rsidR="00F6570B">
        <w:rPr>
          <w:rFonts w:ascii="Arial" w:hAnsi="Arial" w:cs="Arial"/>
          <w:color w:val="000000" w:themeColor="text1"/>
          <w:sz w:val="24"/>
          <w:szCs w:val="24"/>
        </w:rPr>
        <w:t xml:space="preserve">, it </w:t>
      </w:r>
      <w:r w:rsidR="00C16397">
        <w:rPr>
          <w:rFonts w:ascii="Arial" w:hAnsi="Arial" w:cs="Arial"/>
          <w:color w:val="000000" w:themeColor="text1"/>
          <w:sz w:val="24"/>
          <w:szCs w:val="24"/>
        </w:rPr>
        <w:t>wa</w:t>
      </w:r>
      <w:r w:rsidR="00F6570B">
        <w:rPr>
          <w:rFonts w:ascii="Arial" w:hAnsi="Arial" w:cs="Arial"/>
          <w:color w:val="000000" w:themeColor="text1"/>
          <w:sz w:val="24"/>
          <w:szCs w:val="24"/>
        </w:rPr>
        <w:t>s considered appropriate to also include it within the BLD.</w:t>
      </w:r>
      <w:r w:rsidR="00AF74C1">
        <w:rPr>
          <w:rFonts w:ascii="Arial" w:hAnsi="Arial" w:cs="Arial"/>
          <w:color w:val="000000" w:themeColor="text1"/>
          <w:sz w:val="24"/>
          <w:szCs w:val="24"/>
        </w:rPr>
        <w:t xml:space="preserve"> </w:t>
      </w:r>
      <w:r w:rsidR="00DD3F4C">
        <w:rPr>
          <w:rFonts w:ascii="Arial" w:hAnsi="Arial" w:cs="Arial"/>
          <w:color w:val="000000" w:themeColor="text1"/>
          <w:sz w:val="24"/>
          <w:szCs w:val="24"/>
        </w:rPr>
        <w:t xml:space="preserve">Subsequently, </w:t>
      </w:r>
      <w:r w:rsidR="00486374">
        <w:rPr>
          <w:rFonts w:ascii="Arial" w:hAnsi="Arial" w:cs="Arial"/>
          <w:color w:val="000000" w:themeColor="text1"/>
          <w:sz w:val="24"/>
          <w:szCs w:val="24"/>
        </w:rPr>
        <w:t xml:space="preserve">the </w:t>
      </w:r>
      <w:r w:rsidR="006455B9">
        <w:rPr>
          <w:rFonts w:ascii="Arial" w:hAnsi="Arial" w:cs="Arial"/>
          <w:color w:val="000000" w:themeColor="text1"/>
          <w:sz w:val="24"/>
          <w:szCs w:val="24"/>
        </w:rPr>
        <w:t>c</w:t>
      </w:r>
      <w:r w:rsidR="00486374">
        <w:rPr>
          <w:rFonts w:ascii="Arial" w:hAnsi="Arial" w:cs="Arial"/>
          <w:color w:val="000000" w:themeColor="text1"/>
          <w:sz w:val="24"/>
          <w:szCs w:val="24"/>
        </w:rPr>
        <w:t xml:space="preserve">ouncil resolved to grant </w:t>
      </w:r>
      <w:r w:rsidR="00DD3F4C">
        <w:rPr>
          <w:rFonts w:ascii="Arial" w:hAnsi="Arial" w:cs="Arial"/>
          <w:color w:val="000000" w:themeColor="text1"/>
          <w:sz w:val="24"/>
          <w:szCs w:val="24"/>
        </w:rPr>
        <w:t xml:space="preserve">outline planning permission for </w:t>
      </w:r>
      <w:r w:rsidR="00246ECD">
        <w:rPr>
          <w:rFonts w:ascii="Arial" w:hAnsi="Arial" w:cs="Arial"/>
          <w:color w:val="000000" w:themeColor="text1"/>
          <w:sz w:val="24"/>
          <w:szCs w:val="24"/>
        </w:rPr>
        <w:t xml:space="preserve">the development of </w:t>
      </w:r>
      <w:r w:rsidR="00DD3F4C">
        <w:rPr>
          <w:rFonts w:ascii="Arial" w:hAnsi="Arial" w:cs="Arial"/>
          <w:color w:val="000000" w:themeColor="text1"/>
          <w:sz w:val="24"/>
          <w:szCs w:val="24"/>
        </w:rPr>
        <w:t xml:space="preserve">40 dwellings </w:t>
      </w:r>
      <w:r w:rsidR="00246ECD">
        <w:rPr>
          <w:rFonts w:ascii="Arial" w:hAnsi="Arial" w:cs="Arial"/>
          <w:color w:val="000000" w:themeColor="text1"/>
          <w:sz w:val="24"/>
          <w:szCs w:val="24"/>
        </w:rPr>
        <w:t>on this area of land</w:t>
      </w:r>
      <w:r w:rsidR="007554B6">
        <w:rPr>
          <w:rFonts w:ascii="Arial" w:hAnsi="Arial" w:cs="Arial"/>
          <w:color w:val="000000" w:themeColor="text1"/>
          <w:sz w:val="24"/>
          <w:szCs w:val="24"/>
        </w:rPr>
        <w:t xml:space="preserve"> (and a small part of HSB0026a)</w:t>
      </w:r>
      <w:r w:rsidR="00DD3F4C">
        <w:rPr>
          <w:rFonts w:ascii="Arial" w:hAnsi="Arial" w:cs="Arial"/>
          <w:color w:val="000000" w:themeColor="text1"/>
          <w:sz w:val="24"/>
          <w:szCs w:val="24"/>
        </w:rPr>
        <w:t>, subject to the completion of a Section 106 Agreement</w:t>
      </w:r>
      <w:r w:rsidR="00CE77DE">
        <w:rPr>
          <w:rFonts w:ascii="Arial" w:hAnsi="Arial" w:cs="Arial"/>
          <w:color w:val="000000" w:themeColor="text1"/>
          <w:sz w:val="24"/>
          <w:szCs w:val="24"/>
        </w:rPr>
        <w:t xml:space="preserve"> (22/01903/OUT)</w:t>
      </w:r>
      <w:r w:rsidR="00DD3F4C">
        <w:rPr>
          <w:rFonts w:ascii="Arial" w:hAnsi="Arial" w:cs="Arial"/>
          <w:color w:val="000000" w:themeColor="text1"/>
          <w:sz w:val="24"/>
          <w:szCs w:val="24"/>
        </w:rPr>
        <w:t>.</w:t>
      </w:r>
      <w:r w:rsidR="00C16397">
        <w:rPr>
          <w:rFonts w:ascii="Arial" w:hAnsi="Arial" w:cs="Arial"/>
          <w:color w:val="000000" w:themeColor="text1"/>
          <w:sz w:val="24"/>
          <w:szCs w:val="24"/>
        </w:rPr>
        <w:t xml:space="preserve"> </w:t>
      </w:r>
    </w:p>
    <w:p w14:paraId="75C9F13D" w14:textId="0488A147" w:rsidR="00246ECD" w:rsidRDefault="00246ECD" w:rsidP="00246ECD">
      <w:pPr>
        <w:pStyle w:val="ListParagraph"/>
        <w:rPr>
          <w:rFonts w:ascii="Arial" w:hAnsi="Arial" w:cs="Arial"/>
          <w:color w:val="000000" w:themeColor="text1"/>
          <w:sz w:val="24"/>
          <w:szCs w:val="24"/>
        </w:rPr>
      </w:pPr>
    </w:p>
    <w:p w14:paraId="54C094CA" w14:textId="7E1C8170" w:rsidR="00246ECD" w:rsidRDefault="00246ECD"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It should also be noted that t</w:t>
      </w:r>
      <w:r w:rsidR="00F91297">
        <w:rPr>
          <w:rFonts w:ascii="Arial" w:hAnsi="Arial" w:cs="Arial"/>
          <w:color w:val="000000" w:themeColor="text1"/>
          <w:sz w:val="24"/>
          <w:szCs w:val="24"/>
        </w:rPr>
        <w:t>hree</w:t>
      </w:r>
      <w:r>
        <w:rPr>
          <w:rFonts w:ascii="Arial" w:hAnsi="Arial" w:cs="Arial"/>
          <w:color w:val="000000" w:themeColor="text1"/>
          <w:sz w:val="24"/>
          <w:szCs w:val="24"/>
        </w:rPr>
        <w:t xml:space="preserve"> of the remaining 23 ‘green’ sites have </w:t>
      </w:r>
      <w:r w:rsidR="00742323">
        <w:rPr>
          <w:rFonts w:ascii="Arial" w:hAnsi="Arial" w:cs="Arial"/>
          <w:color w:val="000000" w:themeColor="text1"/>
          <w:sz w:val="24"/>
          <w:szCs w:val="24"/>
        </w:rPr>
        <w:t xml:space="preserve">recently </w:t>
      </w:r>
      <w:r>
        <w:rPr>
          <w:rFonts w:ascii="Arial" w:hAnsi="Arial" w:cs="Arial"/>
          <w:color w:val="000000" w:themeColor="text1"/>
          <w:sz w:val="24"/>
          <w:szCs w:val="24"/>
        </w:rPr>
        <w:t>received planning permission:</w:t>
      </w:r>
    </w:p>
    <w:p w14:paraId="391B71EE" w14:textId="5E16339C" w:rsidR="00246ECD" w:rsidRDefault="00246ECD" w:rsidP="00246ECD">
      <w:pPr>
        <w:pStyle w:val="ListParagraph"/>
        <w:numPr>
          <w:ilvl w:val="0"/>
          <w:numId w:val="40"/>
        </w:numPr>
        <w:rPr>
          <w:rFonts w:ascii="Arial" w:hAnsi="Arial" w:cs="Arial"/>
          <w:color w:val="000000" w:themeColor="text1"/>
          <w:sz w:val="24"/>
          <w:szCs w:val="24"/>
        </w:rPr>
      </w:pPr>
      <w:r>
        <w:rPr>
          <w:rFonts w:ascii="Arial" w:hAnsi="Arial" w:cs="Arial"/>
          <w:color w:val="000000" w:themeColor="text1"/>
          <w:sz w:val="24"/>
          <w:szCs w:val="24"/>
        </w:rPr>
        <w:t xml:space="preserve">HSB0027 – southern part of site </w:t>
      </w:r>
      <w:r w:rsidR="0007471A">
        <w:rPr>
          <w:rFonts w:ascii="Arial" w:hAnsi="Arial" w:cs="Arial"/>
          <w:color w:val="000000" w:themeColor="text1"/>
          <w:sz w:val="24"/>
          <w:szCs w:val="24"/>
        </w:rPr>
        <w:t xml:space="preserve">granted </w:t>
      </w:r>
      <w:r>
        <w:rPr>
          <w:rFonts w:ascii="Arial" w:hAnsi="Arial" w:cs="Arial"/>
          <w:color w:val="000000" w:themeColor="text1"/>
          <w:sz w:val="24"/>
          <w:szCs w:val="24"/>
        </w:rPr>
        <w:t>full planning permission for seven dwellings (22/00593/FUL)</w:t>
      </w:r>
      <w:r w:rsidR="00742323">
        <w:rPr>
          <w:rFonts w:ascii="Arial" w:hAnsi="Arial" w:cs="Arial"/>
          <w:color w:val="000000" w:themeColor="text1"/>
          <w:sz w:val="24"/>
          <w:szCs w:val="24"/>
        </w:rPr>
        <w:t>.</w:t>
      </w:r>
    </w:p>
    <w:p w14:paraId="0067DE6B" w14:textId="71A76B8E" w:rsidR="00246ECD" w:rsidRDefault="00246ECD" w:rsidP="00246ECD">
      <w:pPr>
        <w:pStyle w:val="ListParagraph"/>
        <w:numPr>
          <w:ilvl w:val="0"/>
          <w:numId w:val="40"/>
        </w:numPr>
        <w:rPr>
          <w:rFonts w:ascii="Arial" w:hAnsi="Arial" w:cs="Arial"/>
          <w:color w:val="000000" w:themeColor="text1"/>
          <w:sz w:val="24"/>
          <w:szCs w:val="24"/>
        </w:rPr>
      </w:pPr>
      <w:r>
        <w:rPr>
          <w:rFonts w:ascii="Arial" w:hAnsi="Arial" w:cs="Arial"/>
          <w:color w:val="000000" w:themeColor="text1"/>
          <w:sz w:val="24"/>
          <w:szCs w:val="24"/>
        </w:rPr>
        <w:t xml:space="preserve">HSB0012a (with HSB0012b) </w:t>
      </w:r>
      <w:r w:rsidR="0007471A">
        <w:rPr>
          <w:rFonts w:ascii="Arial" w:hAnsi="Arial" w:cs="Arial"/>
          <w:color w:val="000000" w:themeColor="text1"/>
          <w:sz w:val="24"/>
          <w:szCs w:val="24"/>
        </w:rPr>
        <w:t>–</w:t>
      </w:r>
      <w:r>
        <w:rPr>
          <w:rFonts w:ascii="Arial" w:hAnsi="Arial" w:cs="Arial"/>
          <w:color w:val="000000" w:themeColor="text1"/>
          <w:sz w:val="24"/>
          <w:szCs w:val="24"/>
        </w:rPr>
        <w:t xml:space="preserve"> </w:t>
      </w:r>
      <w:r w:rsidR="0007471A">
        <w:rPr>
          <w:rFonts w:ascii="Arial" w:hAnsi="Arial" w:cs="Arial"/>
          <w:color w:val="000000" w:themeColor="text1"/>
          <w:sz w:val="24"/>
          <w:szCs w:val="24"/>
        </w:rPr>
        <w:t>granted full planning permission on appeal (22/01283/FULEIA) for 103 dwellings</w:t>
      </w:r>
      <w:r w:rsidR="00742323">
        <w:rPr>
          <w:rFonts w:ascii="Arial" w:hAnsi="Arial" w:cs="Arial"/>
          <w:color w:val="000000" w:themeColor="text1"/>
          <w:sz w:val="24"/>
          <w:szCs w:val="24"/>
        </w:rPr>
        <w:t>.</w:t>
      </w:r>
    </w:p>
    <w:p w14:paraId="2ED35310" w14:textId="44BECAA3" w:rsidR="00F91297" w:rsidRDefault="00F91297" w:rsidP="00246ECD">
      <w:pPr>
        <w:pStyle w:val="ListParagraph"/>
        <w:numPr>
          <w:ilvl w:val="0"/>
          <w:numId w:val="40"/>
        </w:numPr>
        <w:rPr>
          <w:rFonts w:ascii="Arial" w:hAnsi="Arial" w:cs="Arial"/>
          <w:color w:val="000000" w:themeColor="text1"/>
          <w:sz w:val="24"/>
          <w:szCs w:val="24"/>
        </w:rPr>
      </w:pPr>
      <w:r>
        <w:rPr>
          <w:rFonts w:ascii="Arial" w:hAnsi="Arial" w:cs="Arial"/>
          <w:color w:val="000000" w:themeColor="text1"/>
          <w:sz w:val="24"/>
          <w:szCs w:val="24"/>
        </w:rPr>
        <w:t>HSB0007 – outline planning permission for 84 dwellings (23/00024/OUT) subject to completion of a S106 Agreement.</w:t>
      </w:r>
    </w:p>
    <w:p w14:paraId="6961C1D8" w14:textId="77777777" w:rsidR="00F91297" w:rsidRDefault="00F91297" w:rsidP="00F91297">
      <w:pPr>
        <w:pStyle w:val="ListParagraph"/>
        <w:rPr>
          <w:rFonts w:ascii="Arial" w:hAnsi="Arial" w:cs="Arial"/>
          <w:color w:val="000000" w:themeColor="text1"/>
          <w:sz w:val="24"/>
          <w:szCs w:val="24"/>
        </w:rPr>
      </w:pPr>
    </w:p>
    <w:p w14:paraId="6BFD4D60" w14:textId="4F542023" w:rsidR="007D7848" w:rsidRDefault="00F6570B"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T</w:t>
      </w:r>
      <w:r w:rsidR="007D7848">
        <w:rPr>
          <w:rFonts w:ascii="Arial" w:hAnsi="Arial" w:cs="Arial"/>
          <w:color w:val="000000" w:themeColor="text1"/>
          <w:sz w:val="24"/>
          <w:szCs w:val="24"/>
        </w:rPr>
        <w:t>he</w:t>
      </w:r>
      <w:r>
        <w:rPr>
          <w:rFonts w:ascii="Arial" w:hAnsi="Arial" w:cs="Arial"/>
          <w:color w:val="000000" w:themeColor="text1"/>
          <w:sz w:val="24"/>
          <w:szCs w:val="24"/>
        </w:rPr>
        <w:t xml:space="preserve"> </w:t>
      </w:r>
      <w:r w:rsidR="007D7848">
        <w:rPr>
          <w:rFonts w:ascii="Arial" w:hAnsi="Arial" w:cs="Arial"/>
          <w:color w:val="000000" w:themeColor="text1"/>
          <w:sz w:val="24"/>
          <w:szCs w:val="24"/>
        </w:rPr>
        <w:t>proposed extent of the BLD is shown in Appendix 2.</w:t>
      </w:r>
    </w:p>
    <w:p w14:paraId="6F8E3E07" w14:textId="77777777" w:rsidR="007D7848" w:rsidRDefault="007D7848" w:rsidP="007D7848">
      <w:pPr>
        <w:pStyle w:val="ListParagraph"/>
        <w:rPr>
          <w:rFonts w:ascii="Arial" w:hAnsi="Arial" w:cs="Arial"/>
          <w:color w:val="000000" w:themeColor="text1"/>
          <w:sz w:val="24"/>
          <w:szCs w:val="24"/>
        </w:rPr>
      </w:pPr>
    </w:p>
    <w:p w14:paraId="3EEE90F3" w14:textId="77777777" w:rsidR="007D7848" w:rsidRDefault="007D7848" w:rsidP="007D7848">
      <w:pPr>
        <w:pStyle w:val="ListParagraph"/>
        <w:outlineLvl w:val="1"/>
        <w:rPr>
          <w:rFonts w:ascii="Arial" w:hAnsi="Arial" w:cs="Arial"/>
          <w:i/>
          <w:iCs/>
          <w:color w:val="000000" w:themeColor="text1"/>
          <w:sz w:val="24"/>
          <w:szCs w:val="24"/>
        </w:rPr>
      </w:pPr>
      <w:r w:rsidRPr="00777ADF">
        <w:rPr>
          <w:rFonts w:ascii="Arial" w:hAnsi="Arial" w:cs="Arial"/>
          <w:i/>
          <w:iCs/>
          <w:color w:val="000000" w:themeColor="text1"/>
          <w:sz w:val="24"/>
          <w:szCs w:val="24"/>
        </w:rPr>
        <w:t>Sustainability Appraisal</w:t>
      </w:r>
    </w:p>
    <w:p w14:paraId="7E1BB50C" w14:textId="77777777" w:rsidR="00294613" w:rsidRPr="00777ADF" w:rsidRDefault="00294613" w:rsidP="007D7848">
      <w:pPr>
        <w:pStyle w:val="ListParagraph"/>
        <w:outlineLvl w:val="1"/>
        <w:rPr>
          <w:rFonts w:ascii="Arial" w:hAnsi="Arial" w:cs="Arial"/>
          <w:i/>
          <w:iCs/>
          <w:color w:val="000000" w:themeColor="text1"/>
          <w:sz w:val="24"/>
          <w:szCs w:val="24"/>
        </w:rPr>
      </w:pPr>
    </w:p>
    <w:p w14:paraId="613B7E3C" w14:textId="6429BFE7" w:rsidR="007D7848" w:rsidRDefault="007D7848"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 xml:space="preserve">The </w:t>
      </w:r>
      <w:r w:rsidR="006455B9">
        <w:rPr>
          <w:rFonts w:ascii="Arial" w:hAnsi="Arial" w:cs="Arial"/>
          <w:color w:val="000000" w:themeColor="text1"/>
          <w:sz w:val="24"/>
          <w:szCs w:val="24"/>
        </w:rPr>
        <w:t>c</w:t>
      </w:r>
      <w:r>
        <w:rPr>
          <w:rFonts w:ascii="Arial" w:hAnsi="Arial" w:cs="Arial"/>
          <w:color w:val="000000" w:themeColor="text1"/>
          <w:sz w:val="24"/>
          <w:szCs w:val="24"/>
        </w:rPr>
        <w:t xml:space="preserve">ouncil commissioned independent consultants to undertake the Sustainability Appraisal (SA) </w:t>
      </w:r>
      <w:r w:rsidR="00B739FA">
        <w:rPr>
          <w:rFonts w:ascii="Arial" w:hAnsi="Arial" w:cs="Arial"/>
          <w:color w:val="000000" w:themeColor="text1"/>
          <w:sz w:val="24"/>
          <w:szCs w:val="24"/>
        </w:rPr>
        <w:t xml:space="preserve">(SD03.01) </w:t>
      </w:r>
      <w:r>
        <w:rPr>
          <w:rFonts w:ascii="Arial" w:hAnsi="Arial" w:cs="Arial"/>
          <w:color w:val="000000" w:themeColor="text1"/>
          <w:sz w:val="24"/>
          <w:szCs w:val="24"/>
        </w:rPr>
        <w:t>to inform the Regulation 19 Local Plan.</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The SA was prepared iteratively and tests the plan proposals against </w:t>
      </w:r>
      <w:proofErr w:type="gramStart"/>
      <w:r>
        <w:rPr>
          <w:rFonts w:ascii="Arial" w:hAnsi="Arial" w:cs="Arial"/>
          <w:color w:val="000000" w:themeColor="text1"/>
          <w:sz w:val="24"/>
          <w:szCs w:val="24"/>
        </w:rPr>
        <w:t>a number of</w:t>
      </w:r>
      <w:proofErr w:type="gramEnd"/>
      <w:r>
        <w:rPr>
          <w:rFonts w:ascii="Arial" w:hAnsi="Arial" w:cs="Arial"/>
          <w:color w:val="000000" w:themeColor="text1"/>
          <w:sz w:val="24"/>
          <w:szCs w:val="24"/>
        </w:rPr>
        <w:t xml:space="preserve"> reasonable alternatives and a series of sustainability objectives in order to ascertain if any significant effects are likely as a result of taking the proposals forward. </w:t>
      </w:r>
    </w:p>
    <w:p w14:paraId="0BC1A7DF" w14:textId="77777777" w:rsidR="00F91297" w:rsidRDefault="00F91297" w:rsidP="00F91297">
      <w:pPr>
        <w:pStyle w:val="ListParagraph"/>
        <w:rPr>
          <w:rFonts w:ascii="Arial" w:hAnsi="Arial" w:cs="Arial"/>
          <w:color w:val="000000" w:themeColor="text1"/>
          <w:sz w:val="24"/>
          <w:szCs w:val="24"/>
        </w:rPr>
      </w:pPr>
    </w:p>
    <w:p w14:paraId="7A07365A" w14:textId="4A706D33" w:rsidR="007D7848" w:rsidRPr="00E65BAF" w:rsidRDefault="007D7848" w:rsidP="007D7848">
      <w:pPr>
        <w:pStyle w:val="ListParagraph"/>
        <w:numPr>
          <w:ilvl w:val="1"/>
          <w:numId w:val="22"/>
        </w:numPr>
        <w:ind w:left="720" w:hanging="720"/>
        <w:rPr>
          <w:rFonts w:ascii="Arial" w:hAnsi="Arial" w:cs="Arial"/>
          <w:color w:val="000000" w:themeColor="text1"/>
          <w:sz w:val="24"/>
          <w:szCs w:val="24"/>
        </w:rPr>
      </w:pPr>
      <w:proofErr w:type="gramStart"/>
      <w:r w:rsidRPr="00E65BAF">
        <w:rPr>
          <w:rFonts w:ascii="Arial" w:hAnsi="Arial" w:cs="Arial"/>
          <w:color w:val="000000" w:themeColor="text1"/>
          <w:sz w:val="24"/>
          <w:szCs w:val="24"/>
        </w:rPr>
        <w:t>With regard to</w:t>
      </w:r>
      <w:proofErr w:type="gramEnd"/>
      <w:r w:rsidRPr="00E65BAF">
        <w:rPr>
          <w:rFonts w:ascii="Arial" w:hAnsi="Arial" w:cs="Arial"/>
          <w:color w:val="000000" w:themeColor="text1"/>
          <w:sz w:val="24"/>
          <w:szCs w:val="24"/>
        </w:rPr>
        <w:t xml:space="preserve"> the extent of the BLD, the SA considered the matter to be fairly uncontentious.</w:t>
      </w:r>
      <w:r w:rsidR="00AF74C1">
        <w:rPr>
          <w:rFonts w:ascii="Arial" w:hAnsi="Arial" w:cs="Arial"/>
          <w:color w:val="000000" w:themeColor="text1"/>
          <w:sz w:val="24"/>
          <w:szCs w:val="24"/>
        </w:rPr>
        <w:t xml:space="preserve"> </w:t>
      </w:r>
      <w:r w:rsidRPr="00E65BAF">
        <w:rPr>
          <w:rFonts w:ascii="Arial" w:hAnsi="Arial" w:cs="Arial"/>
          <w:color w:val="000000" w:themeColor="text1"/>
          <w:sz w:val="24"/>
          <w:szCs w:val="24"/>
        </w:rPr>
        <w:t>The SA did consider whether, as a reasonable alternative, higher growth should be considered at Southbourne.</w:t>
      </w:r>
      <w:r w:rsidR="00AF74C1">
        <w:rPr>
          <w:rFonts w:ascii="Arial" w:hAnsi="Arial" w:cs="Arial"/>
          <w:color w:val="000000" w:themeColor="text1"/>
          <w:sz w:val="24"/>
          <w:szCs w:val="24"/>
        </w:rPr>
        <w:t xml:space="preserve"> </w:t>
      </w:r>
      <w:r w:rsidRPr="00E65BAF">
        <w:rPr>
          <w:rFonts w:ascii="Arial" w:hAnsi="Arial" w:cs="Arial"/>
          <w:color w:val="000000" w:themeColor="text1"/>
          <w:sz w:val="24"/>
          <w:szCs w:val="24"/>
        </w:rPr>
        <w:t>Whilst the SA highlighted that in</w:t>
      </w:r>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a number of</w:t>
      </w:r>
      <w:proofErr w:type="gramEnd"/>
      <w:r>
        <w:rPr>
          <w:rFonts w:ascii="Arial" w:hAnsi="Arial" w:cs="Arial"/>
          <w:color w:val="000000" w:themeColor="text1"/>
          <w:sz w:val="24"/>
          <w:szCs w:val="24"/>
        </w:rPr>
        <w:t xml:space="preserve"> </w:t>
      </w:r>
      <w:r w:rsidRPr="00E65BAF">
        <w:rPr>
          <w:rFonts w:ascii="Arial" w:hAnsi="Arial" w:cs="Arial"/>
          <w:color w:val="000000" w:themeColor="text1"/>
          <w:sz w:val="24"/>
          <w:szCs w:val="24"/>
        </w:rPr>
        <w:t>respects there was merit in the idea of supporting more comprehensive growth</w:t>
      </w:r>
      <w:r>
        <w:rPr>
          <w:rFonts w:ascii="Arial" w:hAnsi="Arial" w:cs="Arial"/>
          <w:color w:val="000000" w:themeColor="text1"/>
          <w:sz w:val="24"/>
          <w:szCs w:val="24"/>
        </w:rPr>
        <w:t xml:space="preserve">, the issues of </w:t>
      </w:r>
      <w:r w:rsidRPr="00E65BAF">
        <w:rPr>
          <w:rFonts w:ascii="Arial" w:hAnsi="Arial" w:cs="Arial"/>
          <w:color w:val="000000" w:themeColor="text1"/>
          <w:sz w:val="24"/>
          <w:szCs w:val="24"/>
        </w:rPr>
        <w:t xml:space="preserve">nutrient neutrality/wastewater treatment capacity </w:t>
      </w:r>
      <w:r>
        <w:rPr>
          <w:rFonts w:ascii="Arial" w:hAnsi="Arial" w:cs="Arial"/>
          <w:color w:val="000000" w:themeColor="text1"/>
          <w:sz w:val="24"/>
          <w:szCs w:val="24"/>
        </w:rPr>
        <w:t>wa</w:t>
      </w:r>
      <w:r w:rsidRPr="00E65BAF">
        <w:rPr>
          <w:rFonts w:ascii="Arial" w:hAnsi="Arial" w:cs="Arial"/>
          <w:color w:val="000000" w:themeColor="text1"/>
          <w:sz w:val="24"/>
          <w:szCs w:val="24"/>
        </w:rPr>
        <w:t>s a major barrier to higher growth and serve</w:t>
      </w:r>
      <w:r>
        <w:rPr>
          <w:rFonts w:ascii="Arial" w:hAnsi="Arial" w:cs="Arial"/>
          <w:color w:val="000000" w:themeColor="text1"/>
          <w:sz w:val="24"/>
          <w:szCs w:val="24"/>
        </w:rPr>
        <w:t>d</w:t>
      </w:r>
      <w:r w:rsidRPr="00E65BAF">
        <w:rPr>
          <w:rFonts w:ascii="Arial" w:hAnsi="Arial" w:cs="Arial"/>
          <w:color w:val="000000" w:themeColor="text1"/>
          <w:sz w:val="24"/>
          <w:szCs w:val="24"/>
        </w:rPr>
        <w:t xml:space="preserve"> a</w:t>
      </w:r>
      <w:r>
        <w:rPr>
          <w:rFonts w:ascii="Arial" w:hAnsi="Arial" w:cs="Arial"/>
          <w:color w:val="000000" w:themeColor="text1"/>
          <w:sz w:val="24"/>
          <w:szCs w:val="24"/>
        </w:rPr>
        <w:t>s a</w:t>
      </w:r>
      <w:r w:rsidRPr="00E65BAF">
        <w:rPr>
          <w:rFonts w:ascii="Arial" w:hAnsi="Arial" w:cs="Arial"/>
          <w:color w:val="000000" w:themeColor="text1"/>
          <w:sz w:val="24"/>
          <w:szCs w:val="24"/>
        </w:rPr>
        <w:t xml:space="preserve"> strong argument for supporting higher growth to the east of Chichester.</w:t>
      </w:r>
    </w:p>
    <w:p w14:paraId="4DDAA571" w14:textId="0BCFE4C2" w:rsidR="007D7848" w:rsidRPr="00294613" w:rsidRDefault="007D7848" w:rsidP="00F733F1">
      <w:pPr>
        <w:pStyle w:val="Heading1"/>
        <w:numPr>
          <w:ilvl w:val="0"/>
          <w:numId w:val="22"/>
        </w:numPr>
        <w:spacing w:after="240"/>
        <w:ind w:left="709" w:hanging="709"/>
        <w:rPr>
          <w:rFonts w:ascii="Arial" w:hAnsi="Arial" w:cs="Arial"/>
          <w:b/>
          <w:bCs/>
          <w:color w:val="0073CF"/>
        </w:rPr>
      </w:pPr>
      <w:bookmarkStart w:id="4" w:name="_Toc167896095"/>
      <w:r w:rsidRPr="00294613">
        <w:rPr>
          <w:rFonts w:ascii="Arial" w:hAnsi="Arial" w:cs="Arial"/>
          <w:b/>
          <w:bCs/>
          <w:color w:val="0073CF"/>
        </w:rPr>
        <w:t xml:space="preserve">BLD </w:t>
      </w:r>
      <w:r w:rsidR="00AF74C1">
        <w:rPr>
          <w:rFonts w:ascii="Arial" w:hAnsi="Arial" w:cs="Arial"/>
          <w:b/>
          <w:bCs/>
          <w:color w:val="0073CF"/>
        </w:rPr>
        <w:t>A</w:t>
      </w:r>
      <w:r w:rsidRPr="00294613">
        <w:rPr>
          <w:rFonts w:ascii="Arial" w:hAnsi="Arial" w:cs="Arial"/>
          <w:b/>
          <w:bCs/>
          <w:color w:val="0073CF"/>
        </w:rPr>
        <w:t xml:space="preserve">vailability </w:t>
      </w:r>
      <w:r w:rsidR="00AF74C1">
        <w:rPr>
          <w:rFonts w:ascii="Arial" w:hAnsi="Arial" w:cs="Arial"/>
          <w:b/>
          <w:bCs/>
          <w:color w:val="0073CF"/>
        </w:rPr>
        <w:t>A</w:t>
      </w:r>
      <w:r w:rsidRPr="00294613">
        <w:rPr>
          <w:rFonts w:ascii="Arial" w:hAnsi="Arial" w:cs="Arial"/>
          <w:b/>
          <w:bCs/>
          <w:color w:val="0073CF"/>
        </w:rPr>
        <w:t xml:space="preserve">nd </w:t>
      </w:r>
      <w:r w:rsidR="00AF74C1">
        <w:rPr>
          <w:rFonts w:ascii="Arial" w:hAnsi="Arial" w:cs="Arial"/>
          <w:b/>
          <w:bCs/>
          <w:color w:val="0073CF"/>
        </w:rPr>
        <w:t>D</w:t>
      </w:r>
      <w:r w:rsidRPr="00294613">
        <w:rPr>
          <w:rFonts w:ascii="Arial" w:hAnsi="Arial" w:cs="Arial"/>
          <w:b/>
          <w:bCs/>
          <w:color w:val="0073CF"/>
        </w:rPr>
        <w:t>eliverability</w:t>
      </w:r>
      <w:bookmarkEnd w:id="4"/>
    </w:p>
    <w:p w14:paraId="5809CC19" w14:textId="4166E9AD" w:rsidR="007D7848" w:rsidRDefault="007D7848" w:rsidP="007D7848">
      <w:pPr>
        <w:pStyle w:val="ListParagraph"/>
        <w:numPr>
          <w:ilvl w:val="1"/>
          <w:numId w:val="22"/>
        </w:numPr>
        <w:ind w:left="720" w:hanging="720"/>
        <w:rPr>
          <w:rFonts w:ascii="Arial" w:hAnsi="Arial" w:cs="Arial"/>
          <w:color w:val="000000" w:themeColor="text1"/>
          <w:sz w:val="24"/>
          <w:szCs w:val="24"/>
        </w:rPr>
      </w:pPr>
      <w:r w:rsidRPr="003A6D05">
        <w:rPr>
          <w:rFonts w:ascii="Arial" w:hAnsi="Arial" w:cs="Arial"/>
          <w:color w:val="000000" w:themeColor="text1"/>
          <w:sz w:val="24"/>
          <w:szCs w:val="24"/>
        </w:rPr>
        <w:t>Although the land within the BLD is in multiple landownerships all landowners within the BLD have expressed an interest in their land being developed, as shown by the promotion of their site through the HELAA.</w:t>
      </w:r>
      <w:r w:rsidR="00AF74C1">
        <w:rPr>
          <w:rFonts w:ascii="Arial" w:hAnsi="Arial" w:cs="Arial"/>
          <w:color w:val="000000" w:themeColor="text1"/>
          <w:sz w:val="24"/>
          <w:szCs w:val="24"/>
        </w:rPr>
        <w:t xml:space="preserve"> </w:t>
      </w:r>
    </w:p>
    <w:p w14:paraId="0AE7C915" w14:textId="77777777" w:rsidR="007D7848" w:rsidRPr="003A6D05" w:rsidRDefault="007D7848" w:rsidP="007D7848">
      <w:pPr>
        <w:pStyle w:val="ListParagraph"/>
        <w:rPr>
          <w:rFonts w:ascii="Arial" w:hAnsi="Arial" w:cs="Arial"/>
          <w:color w:val="000000" w:themeColor="text1"/>
          <w:sz w:val="24"/>
          <w:szCs w:val="24"/>
        </w:rPr>
      </w:pPr>
    </w:p>
    <w:p w14:paraId="7919D09D" w14:textId="2A0E2D24" w:rsidR="007D7848" w:rsidRDefault="007D7848" w:rsidP="007D7848">
      <w:pPr>
        <w:pStyle w:val="ListParagraph"/>
        <w:numPr>
          <w:ilvl w:val="1"/>
          <w:numId w:val="22"/>
        </w:numPr>
        <w:ind w:left="720" w:hanging="720"/>
        <w:rPr>
          <w:rFonts w:ascii="Arial" w:hAnsi="Arial" w:cs="Arial"/>
          <w:color w:val="000000" w:themeColor="text1"/>
          <w:sz w:val="24"/>
          <w:szCs w:val="24"/>
        </w:rPr>
      </w:pPr>
      <w:proofErr w:type="gramStart"/>
      <w:r>
        <w:rPr>
          <w:rFonts w:ascii="Arial" w:hAnsi="Arial" w:cs="Arial"/>
          <w:color w:val="000000" w:themeColor="text1"/>
          <w:sz w:val="24"/>
          <w:szCs w:val="24"/>
        </w:rPr>
        <w:lastRenderedPageBreak/>
        <w:t>The majority of</w:t>
      </w:r>
      <w:proofErr w:type="gramEnd"/>
      <w:r>
        <w:rPr>
          <w:rFonts w:ascii="Arial" w:hAnsi="Arial" w:cs="Arial"/>
          <w:color w:val="000000" w:themeColor="text1"/>
          <w:sz w:val="24"/>
          <w:szCs w:val="24"/>
        </w:rPr>
        <w:t xml:space="preserve"> the sites within the proposed BLD are being promoted on behalf of a housebuilder or development company.</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This includes a consortium representing 12 sites to the east of Southbourne (under site HSB0037a), although one of the sites (HSB0012) </w:t>
      </w:r>
      <w:r w:rsidR="008409A4">
        <w:rPr>
          <w:rFonts w:ascii="Arial" w:hAnsi="Arial" w:cs="Arial"/>
          <w:color w:val="000000" w:themeColor="text1"/>
          <w:sz w:val="24"/>
          <w:szCs w:val="24"/>
        </w:rPr>
        <w:t xml:space="preserve">was </w:t>
      </w:r>
      <w:r>
        <w:rPr>
          <w:rFonts w:ascii="Arial" w:hAnsi="Arial" w:cs="Arial"/>
          <w:color w:val="000000" w:themeColor="text1"/>
          <w:sz w:val="24"/>
          <w:szCs w:val="24"/>
        </w:rPr>
        <w:t>also promoted separately.</w:t>
      </w:r>
      <w:r w:rsidR="00AF74C1">
        <w:rPr>
          <w:rFonts w:ascii="Arial" w:hAnsi="Arial" w:cs="Arial"/>
          <w:color w:val="000000" w:themeColor="text1"/>
          <w:sz w:val="24"/>
          <w:szCs w:val="24"/>
        </w:rPr>
        <w:t xml:space="preserve"> </w:t>
      </w:r>
      <w:r>
        <w:rPr>
          <w:rFonts w:ascii="Arial" w:hAnsi="Arial" w:cs="Arial"/>
          <w:color w:val="000000" w:themeColor="text1"/>
          <w:sz w:val="24"/>
          <w:szCs w:val="24"/>
        </w:rPr>
        <w:t>The remaining sites are being promoted by the respective landowner.</w:t>
      </w:r>
      <w:r w:rsidR="00AF74C1">
        <w:rPr>
          <w:rFonts w:ascii="Arial" w:hAnsi="Arial" w:cs="Arial"/>
          <w:color w:val="000000" w:themeColor="text1"/>
          <w:sz w:val="24"/>
          <w:szCs w:val="24"/>
        </w:rPr>
        <w:t xml:space="preserve"> </w:t>
      </w:r>
    </w:p>
    <w:p w14:paraId="6E651AC2" w14:textId="77777777" w:rsidR="007D7848" w:rsidRPr="003A6D05" w:rsidRDefault="007D7848" w:rsidP="007D7848">
      <w:pPr>
        <w:pStyle w:val="ListParagraph"/>
        <w:rPr>
          <w:rFonts w:ascii="Arial" w:hAnsi="Arial" w:cs="Arial"/>
          <w:color w:val="000000" w:themeColor="text1"/>
          <w:sz w:val="24"/>
          <w:szCs w:val="24"/>
        </w:rPr>
      </w:pPr>
    </w:p>
    <w:p w14:paraId="37C06AE8" w14:textId="3156F279" w:rsidR="007D7848" w:rsidRDefault="007D7848" w:rsidP="007D7848">
      <w:pPr>
        <w:pStyle w:val="ListParagraph"/>
        <w:numPr>
          <w:ilvl w:val="1"/>
          <w:numId w:val="22"/>
        </w:numPr>
        <w:ind w:left="720" w:hanging="720"/>
        <w:rPr>
          <w:rFonts w:ascii="Arial" w:hAnsi="Arial" w:cs="Arial"/>
          <w:color w:val="000000" w:themeColor="text1"/>
          <w:sz w:val="24"/>
          <w:szCs w:val="24"/>
        </w:rPr>
      </w:pPr>
      <w:bookmarkStart w:id="5" w:name="_Hlk113893662"/>
      <w:r>
        <w:rPr>
          <w:rFonts w:ascii="Arial" w:hAnsi="Arial" w:cs="Arial"/>
          <w:color w:val="000000" w:themeColor="text1"/>
          <w:sz w:val="24"/>
          <w:szCs w:val="24"/>
        </w:rPr>
        <w:t xml:space="preserve">To confirm that there are no overriding constraints to development within the proposed BLD and there is a reasonable prospect that development is viable and deliverable within the plan period, all site promoters were contacted in August 2022 to obtain updated information on site constraints, </w:t>
      </w:r>
      <w:proofErr w:type="gramStart"/>
      <w:r>
        <w:rPr>
          <w:rFonts w:ascii="Arial" w:hAnsi="Arial" w:cs="Arial"/>
          <w:color w:val="000000" w:themeColor="text1"/>
          <w:sz w:val="24"/>
          <w:szCs w:val="24"/>
        </w:rPr>
        <w:t>availability</w:t>
      </w:r>
      <w:proofErr w:type="gramEnd"/>
      <w:r>
        <w:rPr>
          <w:rFonts w:ascii="Arial" w:hAnsi="Arial" w:cs="Arial"/>
          <w:color w:val="000000" w:themeColor="text1"/>
          <w:sz w:val="24"/>
          <w:szCs w:val="24"/>
        </w:rPr>
        <w:t xml:space="preserve"> and delivery information.</w:t>
      </w:r>
      <w:r w:rsidR="00AF74C1">
        <w:rPr>
          <w:rFonts w:ascii="Arial" w:hAnsi="Arial" w:cs="Arial"/>
          <w:color w:val="000000" w:themeColor="text1"/>
          <w:sz w:val="24"/>
          <w:szCs w:val="24"/>
        </w:rPr>
        <w:t xml:space="preserve"> </w:t>
      </w:r>
      <w:bookmarkEnd w:id="5"/>
    </w:p>
    <w:p w14:paraId="095F3C3B" w14:textId="77777777" w:rsidR="00F6570B" w:rsidRPr="00F6570B" w:rsidRDefault="00F6570B" w:rsidP="00F6570B">
      <w:pPr>
        <w:pStyle w:val="ListParagraph"/>
        <w:rPr>
          <w:rFonts w:ascii="Arial" w:hAnsi="Arial" w:cs="Arial"/>
          <w:color w:val="000000" w:themeColor="text1"/>
          <w:sz w:val="24"/>
          <w:szCs w:val="24"/>
        </w:rPr>
      </w:pPr>
    </w:p>
    <w:p w14:paraId="6BD20572" w14:textId="66454C57" w:rsidR="007D7848" w:rsidRDefault="007D7848" w:rsidP="007D7848">
      <w:pPr>
        <w:pStyle w:val="ListParagraph"/>
        <w:numPr>
          <w:ilvl w:val="1"/>
          <w:numId w:val="22"/>
        </w:numPr>
        <w:ind w:left="720" w:hanging="720"/>
        <w:rPr>
          <w:rFonts w:ascii="Arial" w:hAnsi="Arial" w:cs="Arial"/>
          <w:color w:val="000000" w:themeColor="text1"/>
          <w:sz w:val="24"/>
          <w:szCs w:val="24"/>
        </w:rPr>
      </w:pPr>
      <w:bookmarkStart w:id="6" w:name="_Hlk113893767"/>
      <w:r w:rsidRPr="00D71E75">
        <w:rPr>
          <w:rFonts w:ascii="Arial" w:hAnsi="Arial" w:cs="Arial"/>
          <w:color w:val="000000" w:themeColor="text1"/>
          <w:sz w:val="24"/>
          <w:szCs w:val="24"/>
        </w:rPr>
        <w:t>Responses were received in respect of all but three of the sites (which cover less than 5% of the land within the BLD boundary).</w:t>
      </w:r>
      <w:r w:rsidR="00AF74C1">
        <w:rPr>
          <w:rFonts w:ascii="Arial" w:hAnsi="Arial" w:cs="Arial"/>
          <w:color w:val="000000" w:themeColor="text1"/>
          <w:sz w:val="24"/>
          <w:szCs w:val="24"/>
        </w:rPr>
        <w:t xml:space="preserve"> </w:t>
      </w:r>
      <w:r w:rsidRPr="00D71E75">
        <w:rPr>
          <w:rFonts w:ascii="Arial" w:hAnsi="Arial" w:cs="Arial"/>
          <w:color w:val="000000" w:themeColor="text1"/>
          <w:sz w:val="24"/>
          <w:szCs w:val="24"/>
        </w:rPr>
        <w:t xml:space="preserve">The responses confirmed that </w:t>
      </w:r>
      <w:r>
        <w:rPr>
          <w:rFonts w:ascii="Arial" w:hAnsi="Arial" w:cs="Arial"/>
          <w:color w:val="000000" w:themeColor="text1"/>
          <w:sz w:val="24"/>
          <w:szCs w:val="24"/>
        </w:rPr>
        <w:t xml:space="preserve">the land was available and that </w:t>
      </w:r>
      <w:r w:rsidRPr="00D71E75">
        <w:rPr>
          <w:rFonts w:ascii="Arial" w:hAnsi="Arial" w:cs="Arial"/>
          <w:color w:val="000000" w:themeColor="text1"/>
          <w:sz w:val="24"/>
          <w:szCs w:val="24"/>
        </w:rPr>
        <w:t>there were no overriding constraints</w:t>
      </w:r>
      <w:r>
        <w:rPr>
          <w:rFonts w:ascii="Arial" w:hAnsi="Arial" w:cs="Arial"/>
          <w:color w:val="000000" w:themeColor="text1"/>
          <w:sz w:val="24"/>
          <w:szCs w:val="24"/>
        </w:rPr>
        <w:t xml:space="preserve"> to the sites coming forward</w:t>
      </w:r>
      <w:r w:rsidRPr="00D71E75">
        <w:rPr>
          <w:rFonts w:ascii="Arial" w:hAnsi="Arial" w:cs="Arial"/>
          <w:color w:val="000000" w:themeColor="text1"/>
          <w:sz w:val="24"/>
          <w:szCs w:val="24"/>
        </w:rPr>
        <w:t>.</w:t>
      </w:r>
      <w:bookmarkEnd w:id="6"/>
      <w:r w:rsidR="00AF74C1">
        <w:rPr>
          <w:rFonts w:ascii="Arial" w:hAnsi="Arial" w:cs="Arial"/>
          <w:color w:val="000000" w:themeColor="text1"/>
          <w:sz w:val="24"/>
          <w:szCs w:val="24"/>
        </w:rPr>
        <w:t xml:space="preserve"> </w:t>
      </w:r>
      <w:r w:rsidRPr="00D71E75">
        <w:rPr>
          <w:rFonts w:ascii="Arial" w:hAnsi="Arial" w:cs="Arial"/>
          <w:color w:val="000000" w:themeColor="text1"/>
          <w:sz w:val="24"/>
          <w:szCs w:val="24"/>
        </w:rPr>
        <w:t xml:space="preserve">In addition, the promoters of </w:t>
      </w:r>
      <w:r>
        <w:rPr>
          <w:rFonts w:ascii="Arial" w:hAnsi="Arial" w:cs="Arial"/>
          <w:color w:val="000000" w:themeColor="text1"/>
          <w:sz w:val="24"/>
          <w:szCs w:val="24"/>
        </w:rPr>
        <w:t>five</w:t>
      </w:r>
      <w:r w:rsidRPr="00D71E75">
        <w:rPr>
          <w:rFonts w:ascii="Arial" w:hAnsi="Arial" w:cs="Arial"/>
          <w:color w:val="000000" w:themeColor="text1"/>
          <w:sz w:val="24"/>
          <w:szCs w:val="24"/>
        </w:rPr>
        <w:t xml:space="preserve"> sites have prepared technical assessments to demonstrate that their site is deliverable</w:t>
      </w:r>
      <w:r>
        <w:rPr>
          <w:rFonts w:ascii="Arial" w:hAnsi="Arial" w:cs="Arial"/>
          <w:color w:val="000000" w:themeColor="text1"/>
          <w:sz w:val="24"/>
          <w:szCs w:val="24"/>
        </w:rPr>
        <w:t xml:space="preserve"> and that any site specific constraints are capable of being appropriately mitigated</w:t>
      </w:r>
      <w:r w:rsidRPr="00D71E75">
        <w:rPr>
          <w:rFonts w:ascii="Arial" w:hAnsi="Arial" w:cs="Arial"/>
          <w:color w:val="000000" w:themeColor="text1"/>
          <w:sz w:val="24"/>
          <w:szCs w:val="24"/>
        </w:rPr>
        <w:t>.</w:t>
      </w:r>
      <w:r w:rsidR="00AF74C1">
        <w:rPr>
          <w:rFonts w:ascii="Arial" w:hAnsi="Arial" w:cs="Arial"/>
          <w:color w:val="000000" w:themeColor="text1"/>
          <w:sz w:val="24"/>
          <w:szCs w:val="24"/>
        </w:rPr>
        <w:t xml:space="preserve"> </w:t>
      </w:r>
    </w:p>
    <w:p w14:paraId="14D7AD7B" w14:textId="77777777" w:rsidR="000B562B" w:rsidRDefault="000B562B" w:rsidP="000B562B">
      <w:pPr>
        <w:pStyle w:val="ListParagraph"/>
        <w:rPr>
          <w:rFonts w:ascii="Arial" w:hAnsi="Arial" w:cs="Arial"/>
          <w:color w:val="000000" w:themeColor="text1"/>
          <w:sz w:val="24"/>
          <w:szCs w:val="24"/>
        </w:rPr>
      </w:pPr>
    </w:p>
    <w:p w14:paraId="66696436" w14:textId="3EAAB5B5" w:rsidR="000B562B" w:rsidRPr="00D71E75" w:rsidRDefault="000B562B" w:rsidP="007D7848">
      <w:pPr>
        <w:pStyle w:val="ListParagraph"/>
        <w:numPr>
          <w:ilvl w:val="1"/>
          <w:numId w:val="22"/>
        </w:numPr>
        <w:ind w:left="720" w:hanging="720"/>
        <w:rPr>
          <w:rFonts w:ascii="Arial" w:hAnsi="Arial" w:cs="Arial"/>
          <w:color w:val="000000" w:themeColor="text1"/>
          <w:sz w:val="24"/>
          <w:szCs w:val="24"/>
        </w:rPr>
      </w:pPr>
      <w:r>
        <w:rPr>
          <w:rFonts w:ascii="Arial" w:hAnsi="Arial" w:cs="Arial"/>
          <w:color w:val="000000" w:themeColor="text1"/>
          <w:sz w:val="24"/>
          <w:szCs w:val="24"/>
        </w:rPr>
        <w:t xml:space="preserve">In August 2023, </w:t>
      </w:r>
      <w:proofErr w:type="gramStart"/>
      <w:r>
        <w:rPr>
          <w:rFonts w:ascii="Arial" w:hAnsi="Arial" w:cs="Arial"/>
          <w:color w:val="000000" w:themeColor="text1"/>
          <w:sz w:val="24"/>
          <w:szCs w:val="24"/>
        </w:rPr>
        <w:t>landowners</w:t>
      </w:r>
      <w:proofErr w:type="gramEnd"/>
      <w:r>
        <w:rPr>
          <w:rFonts w:ascii="Arial" w:hAnsi="Arial" w:cs="Arial"/>
          <w:color w:val="000000" w:themeColor="text1"/>
          <w:sz w:val="24"/>
          <w:szCs w:val="24"/>
        </w:rPr>
        <w:t xml:space="preserve"> and site promoters </w:t>
      </w:r>
      <w:r w:rsidR="008927B1">
        <w:rPr>
          <w:rFonts w:ascii="Arial" w:hAnsi="Arial" w:cs="Arial"/>
          <w:color w:val="000000" w:themeColor="text1"/>
          <w:sz w:val="24"/>
          <w:szCs w:val="24"/>
        </w:rPr>
        <w:t xml:space="preserve">of HELAA sites </w:t>
      </w:r>
      <w:r>
        <w:rPr>
          <w:rFonts w:ascii="Arial" w:hAnsi="Arial" w:cs="Arial"/>
          <w:color w:val="000000" w:themeColor="text1"/>
          <w:sz w:val="24"/>
          <w:szCs w:val="24"/>
        </w:rPr>
        <w:t xml:space="preserve">were contacted to ensure the information held for </w:t>
      </w:r>
      <w:r w:rsidR="008927B1">
        <w:rPr>
          <w:rFonts w:ascii="Arial" w:hAnsi="Arial" w:cs="Arial"/>
          <w:color w:val="000000" w:themeColor="text1"/>
          <w:sz w:val="24"/>
          <w:szCs w:val="24"/>
        </w:rPr>
        <w:t xml:space="preserve">the </w:t>
      </w:r>
      <w:r>
        <w:rPr>
          <w:rFonts w:ascii="Arial" w:hAnsi="Arial" w:cs="Arial"/>
          <w:color w:val="000000" w:themeColor="text1"/>
          <w:sz w:val="24"/>
          <w:szCs w:val="24"/>
        </w:rPr>
        <w:t>sites was up to date and that sites were still available for development.</w:t>
      </w:r>
    </w:p>
    <w:p w14:paraId="57D1189F" w14:textId="77777777" w:rsidR="000B562B" w:rsidRPr="00BD0AED" w:rsidRDefault="000B562B" w:rsidP="007D7848">
      <w:pPr>
        <w:pStyle w:val="ListParagraph"/>
        <w:rPr>
          <w:rFonts w:ascii="Arial" w:hAnsi="Arial" w:cs="Arial"/>
          <w:color w:val="000000" w:themeColor="text1"/>
          <w:sz w:val="24"/>
          <w:szCs w:val="24"/>
        </w:rPr>
      </w:pPr>
    </w:p>
    <w:p w14:paraId="57BC6749" w14:textId="0745D0AB" w:rsidR="007D7848" w:rsidRDefault="007D7848" w:rsidP="007D7848">
      <w:pPr>
        <w:pStyle w:val="ListParagraph"/>
        <w:numPr>
          <w:ilvl w:val="1"/>
          <w:numId w:val="22"/>
        </w:numPr>
        <w:ind w:left="720" w:hanging="720"/>
        <w:rPr>
          <w:rFonts w:ascii="Arial" w:hAnsi="Arial" w:cs="Arial"/>
          <w:color w:val="000000" w:themeColor="text1"/>
          <w:sz w:val="24"/>
          <w:szCs w:val="24"/>
        </w:rPr>
      </w:pPr>
      <w:r w:rsidRPr="006C3761">
        <w:rPr>
          <w:rFonts w:ascii="Arial" w:hAnsi="Arial" w:cs="Arial"/>
          <w:color w:val="000000" w:themeColor="text1"/>
          <w:sz w:val="24"/>
          <w:szCs w:val="24"/>
        </w:rPr>
        <w:t xml:space="preserve">The work done to date by the </w:t>
      </w:r>
      <w:r w:rsidR="006455B9">
        <w:rPr>
          <w:rFonts w:ascii="Arial" w:hAnsi="Arial" w:cs="Arial"/>
          <w:color w:val="000000" w:themeColor="text1"/>
          <w:sz w:val="24"/>
          <w:szCs w:val="24"/>
        </w:rPr>
        <w:t>c</w:t>
      </w:r>
      <w:r w:rsidRPr="006C3761">
        <w:rPr>
          <w:rFonts w:ascii="Arial" w:hAnsi="Arial" w:cs="Arial"/>
          <w:color w:val="000000" w:themeColor="text1"/>
          <w:sz w:val="24"/>
          <w:szCs w:val="24"/>
        </w:rPr>
        <w:t xml:space="preserve">ouncil in identifying Southbourne as a sustainable location for strategic scale development together with the work undertaken by the promoters of sites within the proposed BLD, demonstrates that there are no designations or </w:t>
      </w:r>
      <w:r>
        <w:rPr>
          <w:rFonts w:ascii="Arial" w:hAnsi="Arial" w:cs="Arial"/>
          <w:color w:val="000000" w:themeColor="text1"/>
          <w:sz w:val="24"/>
          <w:szCs w:val="24"/>
        </w:rPr>
        <w:t xml:space="preserve">insurmountable </w:t>
      </w:r>
      <w:r w:rsidRPr="006C3761">
        <w:rPr>
          <w:rFonts w:ascii="Arial" w:hAnsi="Arial" w:cs="Arial"/>
          <w:color w:val="000000" w:themeColor="text1"/>
          <w:sz w:val="24"/>
          <w:szCs w:val="24"/>
        </w:rPr>
        <w:t xml:space="preserve">environmental issues that would prevent the successful delivery of </w:t>
      </w:r>
      <w:r>
        <w:rPr>
          <w:rFonts w:ascii="Arial" w:hAnsi="Arial" w:cs="Arial"/>
          <w:color w:val="000000" w:themeColor="text1"/>
          <w:sz w:val="24"/>
          <w:szCs w:val="24"/>
        </w:rPr>
        <w:t xml:space="preserve">1,050 dwellings within the </w:t>
      </w:r>
      <w:r w:rsidRPr="006C3761">
        <w:rPr>
          <w:rFonts w:ascii="Arial" w:hAnsi="Arial" w:cs="Arial"/>
          <w:color w:val="000000" w:themeColor="text1"/>
          <w:sz w:val="24"/>
          <w:szCs w:val="24"/>
        </w:rPr>
        <w:t>BLD.</w:t>
      </w:r>
    </w:p>
    <w:p w14:paraId="5211354C" w14:textId="0C911BA4" w:rsidR="007D7848" w:rsidRPr="00294613" w:rsidRDefault="007D7848" w:rsidP="00F733F1">
      <w:pPr>
        <w:pStyle w:val="Heading1"/>
        <w:numPr>
          <w:ilvl w:val="0"/>
          <w:numId w:val="22"/>
        </w:numPr>
        <w:spacing w:after="240"/>
        <w:ind w:left="709" w:hanging="709"/>
        <w:rPr>
          <w:rFonts w:ascii="Arial" w:hAnsi="Arial" w:cs="Arial"/>
          <w:b/>
          <w:bCs/>
          <w:color w:val="0073CF"/>
        </w:rPr>
      </w:pPr>
      <w:bookmarkStart w:id="7" w:name="_Toc167896096"/>
      <w:r w:rsidRPr="00294613">
        <w:rPr>
          <w:rFonts w:ascii="Arial" w:hAnsi="Arial" w:cs="Arial"/>
          <w:b/>
          <w:bCs/>
          <w:color w:val="0073CF"/>
        </w:rPr>
        <w:t xml:space="preserve">BLD </w:t>
      </w:r>
      <w:r w:rsidR="00AF74C1">
        <w:rPr>
          <w:rFonts w:ascii="Arial" w:hAnsi="Arial" w:cs="Arial"/>
          <w:b/>
          <w:bCs/>
          <w:color w:val="0073CF"/>
        </w:rPr>
        <w:t>C</w:t>
      </w:r>
      <w:r w:rsidRPr="00294613">
        <w:rPr>
          <w:rFonts w:ascii="Arial" w:hAnsi="Arial" w:cs="Arial"/>
          <w:b/>
          <w:bCs/>
          <w:color w:val="0073CF"/>
        </w:rPr>
        <w:t>apacity</w:t>
      </w:r>
      <w:bookmarkEnd w:id="7"/>
    </w:p>
    <w:p w14:paraId="79367574" w14:textId="2B0D5E30" w:rsidR="007D7848" w:rsidRDefault="007D7848" w:rsidP="007D7848">
      <w:pPr>
        <w:pStyle w:val="ListParagraph"/>
        <w:numPr>
          <w:ilvl w:val="1"/>
          <w:numId w:val="37"/>
        </w:numPr>
        <w:ind w:left="720" w:hanging="720"/>
        <w:rPr>
          <w:rFonts w:ascii="Arial" w:hAnsi="Arial" w:cs="Arial"/>
          <w:color w:val="000000" w:themeColor="text1"/>
          <w:sz w:val="24"/>
          <w:szCs w:val="24"/>
        </w:rPr>
      </w:pPr>
      <w:r>
        <w:rPr>
          <w:rFonts w:ascii="Arial" w:hAnsi="Arial" w:cs="Arial"/>
          <w:color w:val="000000" w:themeColor="text1"/>
          <w:sz w:val="24"/>
          <w:szCs w:val="24"/>
        </w:rPr>
        <w:t>The total capacity of sites within the proposed BLD is 3,762 dwellings, based on the assessment of development yields in the HELAA of individual sites (Appendix 3).</w:t>
      </w:r>
      <w:r w:rsidR="00AF74C1">
        <w:rPr>
          <w:rFonts w:ascii="Arial" w:hAnsi="Arial" w:cs="Arial"/>
          <w:color w:val="000000" w:themeColor="text1"/>
          <w:sz w:val="24"/>
          <w:szCs w:val="24"/>
        </w:rPr>
        <w:t xml:space="preserve"> </w:t>
      </w:r>
      <w:r>
        <w:rPr>
          <w:rFonts w:ascii="Arial" w:hAnsi="Arial" w:cs="Arial"/>
          <w:color w:val="000000" w:themeColor="text1"/>
          <w:sz w:val="24"/>
          <w:szCs w:val="24"/>
        </w:rPr>
        <w:t>The HELAA uses information on yields provided by the site promoter, which is reviewed to determine whether it is realistic given any known constraints or site characteristics.</w:t>
      </w:r>
      <w:r w:rsidR="00AF74C1">
        <w:rPr>
          <w:rFonts w:ascii="Arial" w:hAnsi="Arial" w:cs="Arial"/>
          <w:color w:val="000000" w:themeColor="text1"/>
          <w:sz w:val="24"/>
          <w:szCs w:val="24"/>
        </w:rPr>
        <w:t xml:space="preserve"> </w:t>
      </w:r>
      <w:r>
        <w:rPr>
          <w:rFonts w:ascii="Arial" w:hAnsi="Arial" w:cs="Arial"/>
          <w:color w:val="000000" w:themeColor="text1"/>
          <w:sz w:val="24"/>
          <w:szCs w:val="24"/>
        </w:rPr>
        <w:t>Where site promoter information is not available, then the HELAA makes some broad assumptions about potential site yields based on the net developable area of a site.</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The use of net developable areas takes account of constraints that cannot or would be unlikely to be mitigated or to </w:t>
      </w:r>
      <w:proofErr w:type="gramStart"/>
      <w:r>
        <w:rPr>
          <w:rFonts w:ascii="Arial" w:hAnsi="Arial" w:cs="Arial"/>
          <w:color w:val="000000" w:themeColor="text1"/>
          <w:sz w:val="24"/>
          <w:szCs w:val="24"/>
        </w:rPr>
        <w:t>take into account</w:t>
      </w:r>
      <w:proofErr w:type="gramEnd"/>
      <w:r>
        <w:rPr>
          <w:rFonts w:ascii="Arial" w:hAnsi="Arial" w:cs="Arial"/>
          <w:color w:val="000000" w:themeColor="text1"/>
          <w:sz w:val="24"/>
          <w:szCs w:val="24"/>
        </w:rPr>
        <w:t xml:space="preserve"> a buffer to mitigate or avoid impacts such as the setting of a heritage asset or impacts of development on a sensitive landscape or feature. </w:t>
      </w:r>
    </w:p>
    <w:p w14:paraId="3944E2F8" w14:textId="77777777" w:rsidR="007D7848" w:rsidRDefault="007D7848" w:rsidP="007D7848">
      <w:pPr>
        <w:pStyle w:val="ListParagraph"/>
        <w:rPr>
          <w:rFonts w:ascii="Arial" w:hAnsi="Arial" w:cs="Arial"/>
          <w:color w:val="000000" w:themeColor="text1"/>
          <w:sz w:val="24"/>
          <w:szCs w:val="24"/>
        </w:rPr>
      </w:pPr>
      <w:r>
        <w:rPr>
          <w:rFonts w:ascii="Arial" w:hAnsi="Arial" w:cs="Arial"/>
          <w:color w:val="000000" w:themeColor="text1"/>
          <w:sz w:val="24"/>
          <w:szCs w:val="24"/>
        </w:rPr>
        <w:t xml:space="preserve"> </w:t>
      </w:r>
    </w:p>
    <w:p w14:paraId="22C41970" w14:textId="77777777" w:rsidR="007D7848" w:rsidRDefault="007D7848" w:rsidP="007D7848">
      <w:pPr>
        <w:pStyle w:val="ListParagraph"/>
        <w:numPr>
          <w:ilvl w:val="1"/>
          <w:numId w:val="37"/>
        </w:numPr>
        <w:ind w:left="720" w:hanging="720"/>
        <w:rPr>
          <w:rFonts w:ascii="Arial" w:hAnsi="Arial" w:cs="Arial"/>
          <w:color w:val="000000" w:themeColor="text1"/>
          <w:sz w:val="24"/>
          <w:szCs w:val="24"/>
        </w:rPr>
      </w:pPr>
      <w:r>
        <w:rPr>
          <w:rFonts w:ascii="Arial" w:hAnsi="Arial" w:cs="Arial"/>
          <w:color w:val="000000" w:themeColor="text1"/>
          <w:sz w:val="24"/>
          <w:szCs w:val="24"/>
        </w:rPr>
        <w:t xml:space="preserve">Whilst final site capacities will be subject to more detailed assessment as part of the local plan allocation process, masterplanning across sites and the consideration of a planning application, at this stage it is considered the HELAA provides a realistic assessment of likely site capacity and demonstrates </w:t>
      </w:r>
      <w:bookmarkStart w:id="8" w:name="_Hlk113893826"/>
      <w:r>
        <w:rPr>
          <w:rFonts w:ascii="Arial" w:hAnsi="Arial" w:cs="Arial"/>
          <w:color w:val="000000" w:themeColor="text1"/>
          <w:sz w:val="24"/>
          <w:szCs w:val="24"/>
        </w:rPr>
        <w:t xml:space="preserve">that there is land within the BLD </w:t>
      </w:r>
      <w:r>
        <w:rPr>
          <w:rFonts w:ascii="Arial" w:hAnsi="Arial" w:cs="Arial"/>
          <w:color w:val="000000" w:themeColor="text1"/>
          <w:sz w:val="24"/>
          <w:szCs w:val="24"/>
        </w:rPr>
        <w:lastRenderedPageBreak/>
        <w:t>with sufficient capacity to deliver the 1,050 dwellings expected to come forward in Southbourne over the plan period.</w:t>
      </w:r>
      <w:bookmarkEnd w:id="8"/>
    </w:p>
    <w:p w14:paraId="5810B341" w14:textId="77777777" w:rsidR="007D7848" w:rsidRPr="00BE3F73" w:rsidRDefault="007D7848" w:rsidP="007D7848">
      <w:pPr>
        <w:pStyle w:val="ListParagraph"/>
        <w:rPr>
          <w:rFonts w:ascii="Arial" w:hAnsi="Arial" w:cs="Arial"/>
          <w:color w:val="000000" w:themeColor="text1"/>
          <w:sz w:val="24"/>
          <w:szCs w:val="24"/>
        </w:rPr>
      </w:pPr>
    </w:p>
    <w:p w14:paraId="13B9AF17" w14:textId="77777777" w:rsidR="007D7848" w:rsidRPr="00F733F1" w:rsidRDefault="007D7848" w:rsidP="00F733F1">
      <w:pPr>
        <w:pStyle w:val="Heading1"/>
        <w:numPr>
          <w:ilvl w:val="0"/>
          <w:numId w:val="22"/>
        </w:numPr>
        <w:spacing w:after="240"/>
        <w:ind w:left="709" w:hanging="709"/>
        <w:rPr>
          <w:rFonts w:ascii="Arial" w:hAnsi="Arial" w:cs="Arial"/>
          <w:b/>
          <w:bCs/>
          <w:color w:val="0073CF"/>
        </w:rPr>
      </w:pPr>
      <w:bookmarkStart w:id="9" w:name="_Toc167896097"/>
      <w:r w:rsidRPr="00F733F1">
        <w:rPr>
          <w:rFonts w:ascii="Arial" w:hAnsi="Arial" w:cs="Arial"/>
          <w:b/>
          <w:bCs/>
          <w:color w:val="0073CF"/>
        </w:rPr>
        <w:t>Delivery</w:t>
      </w:r>
      <w:bookmarkEnd w:id="9"/>
    </w:p>
    <w:p w14:paraId="61271D7E" w14:textId="77777777" w:rsidR="00F733F1" w:rsidRPr="00F733F1" w:rsidRDefault="00F733F1" w:rsidP="00F733F1">
      <w:pPr>
        <w:pStyle w:val="ListParagraph"/>
        <w:numPr>
          <w:ilvl w:val="0"/>
          <w:numId w:val="37"/>
        </w:numPr>
        <w:rPr>
          <w:rFonts w:ascii="Arial" w:hAnsi="Arial" w:cs="Arial"/>
          <w:vanish/>
          <w:color w:val="000000" w:themeColor="text1"/>
          <w:sz w:val="24"/>
          <w:szCs w:val="24"/>
        </w:rPr>
      </w:pPr>
    </w:p>
    <w:p w14:paraId="557EBD1A" w14:textId="21461298" w:rsidR="007D7848" w:rsidRPr="004071DD" w:rsidRDefault="007D7848" w:rsidP="00F733F1">
      <w:pPr>
        <w:pStyle w:val="ListParagraph"/>
        <w:numPr>
          <w:ilvl w:val="1"/>
          <w:numId w:val="37"/>
        </w:numPr>
        <w:ind w:left="709" w:hanging="709"/>
        <w:rPr>
          <w:rFonts w:ascii="Arial" w:hAnsi="Arial" w:cs="Arial"/>
          <w:color w:val="000000" w:themeColor="text1"/>
          <w:sz w:val="24"/>
          <w:szCs w:val="24"/>
        </w:rPr>
      </w:pPr>
      <w:r>
        <w:rPr>
          <w:rFonts w:ascii="Arial" w:hAnsi="Arial" w:cs="Arial"/>
          <w:color w:val="000000" w:themeColor="text1"/>
          <w:sz w:val="24"/>
          <w:szCs w:val="24"/>
        </w:rPr>
        <w:t xml:space="preserve">The </w:t>
      </w:r>
      <w:r w:rsidR="00621838">
        <w:rPr>
          <w:rFonts w:ascii="Arial" w:hAnsi="Arial" w:cs="Arial"/>
          <w:color w:val="000000" w:themeColor="text1"/>
          <w:sz w:val="24"/>
          <w:szCs w:val="24"/>
        </w:rPr>
        <w:t>c</w:t>
      </w:r>
      <w:r>
        <w:rPr>
          <w:rFonts w:ascii="Arial" w:hAnsi="Arial" w:cs="Arial"/>
          <w:color w:val="000000" w:themeColor="text1"/>
          <w:sz w:val="24"/>
          <w:szCs w:val="24"/>
        </w:rPr>
        <w:t xml:space="preserve">ouncil’s intention is that following the adoption of the Local Plan, the site boundary and </w:t>
      </w:r>
      <w:r w:rsidRPr="004071DD">
        <w:rPr>
          <w:rFonts w:ascii="Arial" w:hAnsi="Arial" w:cs="Arial"/>
          <w:color w:val="000000" w:themeColor="text1"/>
          <w:sz w:val="24"/>
          <w:szCs w:val="24"/>
        </w:rPr>
        <w:t>details of the site allocation will be defined within a Site Allocation DPD.</w:t>
      </w:r>
      <w:r w:rsidR="00AF74C1">
        <w:rPr>
          <w:rFonts w:ascii="Arial" w:hAnsi="Arial" w:cs="Arial"/>
          <w:color w:val="000000" w:themeColor="text1"/>
          <w:sz w:val="24"/>
          <w:szCs w:val="24"/>
        </w:rPr>
        <w:t xml:space="preserve"> </w:t>
      </w:r>
      <w:r w:rsidR="00742323">
        <w:rPr>
          <w:rFonts w:ascii="Arial" w:hAnsi="Arial" w:cs="Arial"/>
          <w:color w:val="000000" w:themeColor="text1"/>
          <w:sz w:val="24"/>
          <w:szCs w:val="24"/>
        </w:rPr>
        <w:t xml:space="preserve">A revised </w:t>
      </w:r>
      <w:r w:rsidRPr="004071DD">
        <w:rPr>
          <w:rFonts w:ascii="Arial" w:hAnsi="Arial" w:cs="Arial"/>
          <w:sz w:val="24"/>
          <w:szCs w:val="24"/>
        </w:rPr>
        <w:t xml:space="preserve">Local Development Scheme </w:t>
      </w:r>
      <w:r w:rsidR="00742323">
        <w:rPr>
          <w:rFonts w:ascii="Arial" w:hAnsi="Arial" w:cs="Arial"/>
          <w:sz w:val="24"/>
          <w:szCs w:val="24"/>
        </w:rPr>
        <w:t xml:space="preserve">(LDS) was approved in </w:t>
      </w:r>
      <w:r w:rsidR="005359C4">
        <w:rPr>
          <w:rFonts w:ascii="Arial" w:hAnsi="Arial" w:cs="Arial"/>
          <w:sz w:val="24"/>
          <w:szCs w:val="24"/>
        </w:rPr>
        <w:t>March 2024</w:t>
      </w:r>
      <w:r w:rsidRPr="004071DD">
        <w:rPr>
          <w:rFonts w:ascii="Arial" w:hAnsi="Arial" w:cs="Arial"/>
          <w:sz w:val="24"/>
          <w:szCs w:val="24"/>
        </w:rPr>
        <w:t>.</w:t>
      </w:r>
      <w:r w:rsidR="00AF74C1">
        <w:rPr>
          <w:rFonts w:ascii="Arial" w:hAnsi="Arial" w:cs="Arial"/>
          <w:sz w:val="24"/>
          <w:szCs w:val="24"/>
        </w:rPr>
        <w:t xml:space="preserve"> </w:t>
      </w:r>
      <w:r w:rsidRPr="004071DD">
        <w:rPr>
          <w:rFonts w:ascii="Arial" w:hAnsi="Arial" w:cs="Arial"/>
          <w:sz w:val="24"/>
          <w:szCs w:val="24"/>
        </w:rPr>
        <w:t>Th</w:t>
      </w:r>
      <w:r>
        <w:rPr>
          <w:rFonts w:ascii="Arial" w:hAnsi="Arial" w:cs="Arial"/>
          <w:sz w:val="24"/>
          <w:szCs w:val="24"/>
        </w:rPr>
        <w:t>e LDS</w:t>
      </w:r>
      <w:r w:rsidRPr="004071DD">
        <w:rPr>
          <w:rFonts w:ascii="Arial" w:hAnsi="Arial" w:cs="Arial"/>
          <w:sz w:val="24"/>
          <w:szCs w:val="24"/>
        </w:rPr>
        <w:t xml:space="preserve"> sets out a</w:t>
      </w:r>
      <w:r w:rsidRPr="004071DD">
        <w:rPr>
          <w:rFonts w:ascii="Arial" w:hAnsi="Arial" w:cs="Arial"/>
          <w:color w:val="000000" w:themeColor="text1"/>
          <w:sz w:val="24"/>
          <w:szCs w:val="24"/>
        </w:rPr>
        <w:t xml:space="preserve"> timetable for the preparation of a Site Allocation DPD, which will allocate land for development needs identified in the </w:t>
      </w:r>
      <w:r>
        <w:rPr>
          <w:rFonts w:ascii="Arial" w:hAnsi="Arial" w:cs="Arial"/>
          <w:color w:val="000000" w:themeColor="text1"/>
          <w:sz w:val="24"/>
          <w:szCs w:val="24"/>
        </w:rPr>
        <w:t>Local Plan 2021 - 2039</w:t>
      </w:r>
      <w:r w:rsidRPr="004071DD">
        <w:rPr>
          <w:rFonts w:ascii="Arial" w:hAnsi="Arial" w:cs="Arial"/>
          <w:color w:val="000000" w:themeColor="text1"/>
          <w:sz w:val="24"/>
          <w:szCs w:val="24"/>
        </w:rPr>
        <w:t>.</w:t>
      </w:r>
      <w:r w:rsidR="00AF74C1">
        <w:rPr>
          <w:rFonts w:ascii="Arial" w:hAnsi="Arial" w:cs="Arial"/>
          <w:color w:val="000000" w:themeColor="text1"/>
          <w:sz w:val="24"/>
          <w:szCs w:val="24"/>
        </w:rPr>
        <w:t xml:space="preserve"> </w:t>
      </w:r>
      <w:r w:rsidRPr="004071DD">
        <w:rPr>
          <w:rFonts w:ascii="Arial" w:hAnsi="Arial" w:cs="Arial"/>
          <w:color w:val="000000" w:themeColor="text1"/>
          <w:sz w:val="24"/>
          <w:szCs w:val="24"/>
        </w:rPr>
        <w:t xml:space="preserve">The revised LDS timetables adoption of the Site Allocation DPD in </w:t>
      </w:r>
      <w:r w:rsidR="005359C4">
        <w:rPr>
          <w:rFonts w:ascii="Arial" w:hAnsi="Arial" w:cs="Arial"/>
          <w:color w:val="000000" w:themeColor="text1"/>
          <w:sz w:val="24"/>
          <w:szCs w:val="24"/>
        </w:rPr>
        <w:t>summer/autumn 20</w:t>
      </w:r>
      <w:r w:rsidRPr="004071DD">
        <w:rPr>
          <w:rFonts w:ascii="Arial" w:hAnsi="Arial" w:cs="Arial"/>
          <w:color w:val="000000" w:themeColor="text1"/>
          <w:sz w:val="24"/>
          <w:szCs w:val="24"/>
        </w:rPr>
        <w:t>27.</w:t>
      </w:r>
      <w:r w:rsidR="00FB3CFA">
        <w:rPr>
          <w:rFonts w:ascii="Arial" w:hAnsi="Arial" w:cs="Arial"/>
          <w:color w:val="000000" w:themeColor="text1"/>
          <w:sz w:val="24"/>
          <w:szCs w:val="24"/>
        </w:rPr>
        <w:t xml:space="preserve"> </w:t>
      </w:r>
      <w:r w:rsidR="00FB3CFA" w:rsidRPr="00FB3CFA">
        <w:rPr>
          <w:rFonts w:ascii="Arial" w:hAnsi="Arial" w:cs="Arial"/>
          <w:color w:val="000000"/>
          <w:sz w:val="24"/>
          <w:szCs w:val="24"/>
        </w:rPr>
        <w:t>However, to ensure timely progression towards delivery of housing, work is commencing on a separate Southbourne Site Allocation DPD, with the LDS to be updated in due course.</w:t>
      </w:r>
    </w:p>
    <w:p w14:paraId="7A296DAD" w14:textId="77777777" w:rsidR="007D7848" w:rsidRDefault="007D7848" w:rsidP="007D7848">
      <w:pPr>
        <w:pStyle w:val="ListParagraph"/>
        <w:rPr>
          <w:rFonts w:ascii="Arial" w:hAnsi="Arial" w:cs="Arial"/>
          <w:color w:val="000000" w:themeColor="text1"/>
          <w:sz w:val="24"/>
          <w:szCs w:val="24"/>
        </w:rPr>
      </w:pPr>
    </w:p>
    <w:p w14:paraId="226180E2" w14:textId="625109B9" w:rsidR="007D7848" w:rsidRDefault="007D7848" w:rsidP="007D7848">
      <w:pPr>
        <w:pStyle w:val="ListParagraph"/>
        <w:numPr>
          <w:ilvl w:val="1"/>
          <w:numId w:val="37"/>
        </w:numPr>
        <w:ind w:left="720" w:hanging="720"/>
        <w:rPr>
          <w:rFonts w:ascii="Arial" w:hAnsi="Arial" w:cs="Arial"/>
          <w:color w:val="000000" w:themeColor="text1"/>
          <w:sz w:val="24"/>
          <w:szCs w:val="24"/>
        </w:rPr>
      </w:pPr>
      <w:r>
        <w:rPr>
          <w:rFonts w:ascii="Arial" w:hAnsi="Arial" w:cs="Arial"/>
          <w:color w:val="000000" w:themeColor="text1"/>
          <w:sz w:val="24"/>
          <w:szCs w:val="24"/>
        </w:rPr>
        <w:t xml:space="preserve">Alternatively, whilst </w:t>
      </w:r>
      <w:r w:rsidR="00742323">
        <w:rPr>
          <w:rFonts w:ascii="Arial" w:hAnsi="Arial" w:cs="Arial"/>
          <w:color w:val="000000" w:themeColor="text1"/>
          <w:sz w:val="24"/>
          <w:szCs w:val="24"/>
        </w:rPr>
        <w:t xml:space="preserve">the Southbourne Modified Neighbourhood Plan 2014-2029 does not include any new housing allocations, a </w:t>
      </w:r>
      <w:r>
        <w:rPr>
          <w:rFonts w:ascii="Arial" w:hAnsi="Arial" w:cs="Arial"/>
          <w:color w:val="000000" w:themeColor="text1"/>
          <w:sz w:val="24"/>
          <w:szCs w:val="24"/>
        </w:rPr>
        <w:t xml:space="preserve">site could come forward via a review of the Southbourne </w:t>
      </w:r>
      <w:r w:rsidR="00742323">
        <w:rPr>
          <w:rFonts w:ascii="Arial" w:hAnsi="Arial" w:cs="Arial"/>
          <w:color w:val="000000" w:themeColor="text1"/>
          <w:sz w:val="24"/>
          <w:szCs w:val="24"/>
        </w:rPr>
        <w:t xml:space="preserve">Modified </w:t>
      </w:r>
      <w:r>
        <w:rPr>
          <w:rFonts w:ascii="Arial" w:hAnsi="Arial" w:cs="Arial"/>
          <w:color w:val="000000" w:themeColor="text1"/>
          <w:sz w:val="24"/>
          <w:szCs w:val="24"/>
        </w:rPr>
        <w:t>Neighbourhood Plan</w:t>
      </w:r>
      <w:r w:rsidR="00FB3CFA">
        <w:rPr>
          <w:rFonts w:ascii="Arial" w:hAnsi="Arial" w:cs="Arial"/>
          <w:color w:val="000000" w:themeColor="text1"/>
          <w:sz w:val="24"/>
          <w:szCs w:val="24"/>
        </w:rPr>
        <w:t xml:space="preserve"> </w:t>
      </w:r>
      <w:r w:rsidR="00FB3CFA" w:rsidRPr="00FB3CFA">
        <w:rPr>
          <w:rFonts w:ascii="Arial" w:hAnsi="Arial" w:cs="Arial"/>
          <w:color w:val="000000"/>
          <w:sz w:val="24"/>
          <w:szCs w:val="24"/>
        </w:rPr>
        <w:t>in the unlikely event that the Southbourne Site Allocation DPD does not progress</w:t>
      </w:r>
      <w:r w:rsidR="00FB3CFA" w:rsidRPr="00FB3CFA">
        <w:rPr>
          <w:rFonts w:ascii="Arial" w:hAnsi="Arial" w:cs="Arial"/>
          <w:sz w:val="24"/>
          <w:szCs w:val="24"/>
        </w:rPr>
        <w:t xml:space="preserve"> and should the Parish Council wish to undertake this work at that time.</w:t>
      </w:r>
    </w:p>
    <w:p w14:paraId="2C408E42" w14:textId="2400E8C3" w:rsidR="007D7848" w:rsidRPr="00F733F1" w:rsidRDefault="007D7848" w:rsidP="00F733F1">
      <w:pPr>
        <w:pStyle w:val="Heading1"/>
        <w:numPr>
          <w:ilvl w:val="0"/>
          <w:numId w:val="37"/>
        </w:numPr>
        <w:spacing w:after="240"/>
        <w:ind w:left="709" w:hanging="709"/>
        <w:rPr>
          <w:rFonts w:ascii="Arial" w:hAnsi="Arial" w:cs="Arial"/>
          <w:b/>
          <w:bCs/>
          <w:color w:val="0073CF"/>
        </w:rPr>
      </w:pPr>
      <w:bookmarkStart w:id="10" w:name="_Toc167896098"/>
      <w:r w:rsidRPr="00F733F1">
        <w:rPr>
          <w:rFonts w:ascii="Arial" w:hAnsi="Arial" w:cs="Arial"/>
          <w:b/>
          <w:bCs/>
          <w:color w:val="0073CF"/>
        </w:rPr>
        <w:t xml:space="preserve">Policy </w:t>
      </w:r>
      <w:r w:rsidR="00AF74C1">
        <w:rPr>
          <w:rFonts w:ascii="Arial" w:hAnsi="Arial" w:cs="Arial"/>
          <w:b/>
          <w:bCs/>
          <w:color w:val="0073CF"/>
        </w:rPr>
        <w:t>C</w:t>
      </w:r>
      <w:r w:rsidRPr="00F733F1">
        <w:rPr>
          <w:rFonts w:ascii="Arial" w:hAnsi="Arial" w:cs="Arial"/>
          <w:b/>
          <w:bCs/>
          <w:color w:val="0073CF"/>
        </w:rPr>
        <w:t>onsiderations</w:t>
      </w:r>
      <w:bookmarkEnd w:id="10"/>
    </w:p>
    <w:p w14:paraId="1ABE1417" w14:textId="00F54A9F" w:rsidR="007D7848" w:rsidRDefault="007D7848" w:rsidP="001F3993">
      <w:pPr>
        <w:pStyle w:val="ListParagraph"/>
        <w:numPr>
          <w:ilvl w:val="1"/>
          <w:numId w:val="37"/>
        </w:numPr>
        <w:ind w:left="720" w:hanging="720"/>
        <w:rPr>
          <w:rFonts w:ascii="Arial" w:hAnsi="Arial" w:cs="Arial"/>
          <w:color w:val="000000" w:themeColor="text1"/>
          <w:sz w:val="24"/>
          <w:szCs w:val="24"/>
        </w:rPr>
      </w:pPr>
      <w:bookmarkStart w:id="11" w:name="_Hlk113894222"/>
      <w:r w:rsidRPr="00742323">
        <w:rPr>
          <w:rFonts w:ascii="Arial" w:hAnsi="Arial" w:cs="Arial"/>
          <w:color w:val="000000" w:themeColor="text1"/>
          <w:sz w:val="24"/>
          <w:szCs w:val="24"/>
        </w:rPr>
        <w:t xml:space="preserve">The Preferred Approach Policy AL13 set out </w:t>
      </w:r>
      <w:proofErr w:type="gramStart"/>
      <w:r w:rsidRPr="00742323">
        <w:rPr>
          <w:rFonts w:ascii="Arial" w:hAnsi="Arial" w:cs="Arial"/>
          <w:color w:val="000000" w:themeColor="text1"/>
          <w:sz w:val="24"/>
          <w:szCs w:val="24"/>
        </w:rPr>
        <w:t>a number of</w:t>
      </w:r>
      <w:proofErr w:type="gramEnd"/>
      <w:r w:rsidRPr="00742323">
        <w:rPr>
          <w:rFonts w:ascii="Arial" w:hAnsi="Arial" w:cs="Arial"/>
          <w:color w:val="000000" w:themeColor="text1"/>
          <w:sz w:val="24"/>
          <w:szCs w:val="24"/>
        </w:rPr>
        <w:t xml:space="preserve"> matters to be addressed in bringing forward as strategic development during the plan period.</w:t>
      </w:r>
      <w:r w:rsidR="00AF74C1">
        <w:rPr>
          <w:rFonts w:ascii="Arial" w:hAnsi="Arial" w:cs="Arial"/>
          <w:color w:val="000000" w:themeColor="text1"/>
          <w:sz w:val="24"/>
          <w:szCs w:val="24"/>
        </w:rPr>
        <w:t xml:space="preserve"> </w:t>
      </w:r>
      <w:r w:rsidRPr="00742323">
        <w:rPr>
          <w:rFonts w:ascii="Arial" w:hAnsi="Arial" w:cs="Arial"/>
          <w:color w:val="000000" w:themeColor="text1"/>
          <w:sz w:val="24"/>
          <w:szCs w:val="24"/>
        </w:rPr>
        <w:t xml:space="preserve">These </w:t>
      </w:r>
      <w:proofErr w:type="gramStart"/>
      <w:r w:rsidRPr="00742323">
        <w:rPr>
          <w:rFonts w:ascii="Arial" w:hAnsi="Arial" w:cs="Arial"/>
          <w:color w:val="000000" w:themeColor="text1"/>
          <w:sz w:val="24"/>
          <w:szCs w:val="24"/>
        </w:rPr>
        <w:t>are considered to be</w:t>
      </w:r>
      <w:proofErr w:type="gramEnd"/>
      <w:r w:rsidRPr="00742323">
        <w:rPr>
          <w:rFonts w:ascii="Arial" w:hAnsi="Arial" w:cs="Arial"/>
          <w:color w:val="000000" w:themeColor="text1"/>
          <w:sz w:val="24"/>
          <w:szCs w:val="24"/>
        </w:rPr>
        <w:t xml:space="preserve"> still relevant and, therefore, have been incorporated into the </w:t>
      </w:r>
      <w:r w:rsidR="00742323" w:rsidRPr="00742323">
        <w:rPr>
          <w:rFonts w:ascii="Arial" w:hAnsi="Arial" w:cs="Arial"/>
          <w:color w:val="000000" w:themeColor="text1"/>
          <w:sz w:val="24"/>
          <w:szCs w:val="24"/>
        </w:rPr>
        <w:t xml:space="preserve">proposed </w:t>
      </w:r>
      <w:r w:rsidRPr="00742323">
        <w:rPr>
          <w:rFonts w:ascii="Arial" w:hAnsi="Arial" w:cs="Arial"/>
          <w:color w:val="000000" w:themeColor="text1"/>
          <w:sz w:val="24"/>
          <w:szCs w:val="24"/>
        </w:rPr>
        <w:t>BLD policy</w:t>
      </w:r>
      <w:r w:rsidR="00742323">
        <w:rPr>
          <w:rFonts w:ascii="Arial" w:hAnsi="Arial" w:cs="Arial"/>
          <w:color w:val="000000" w:themeColor="text1"/>
          <w:sz w:val="24"/>
          <w:szCs w:val="24"/>
        </w:rPr>
        <w:t>.</w:t>
      </w:r>
      <w:r w:rsidR="00AF74C1">
        <w:rPr>
          <w:rFonts w:ascii="Arial" w:hAnsi="Arial" w:cs="Arial"/>
          <w:color w:val="000000" w:themeColor="text1"/>
          <w:sz w:val="24"/>
          <w:szCs w:val="24"/>
        </w:rPr>
        <w:t xml:space="preserve"> </w:t>
      </w:r>
      <w:r w:rsidRPr="00742323">
        <w:rPr>
          <w:rFonts w:ascii="Arial" w:hAnsi="Arial" w:cs="Arial"/>
          <w:color w:val="000000" w:themeColor="text1"/>
          <w:sz w:val="24"/>
          <w:szCs w:val="24"/>
        </w:rPr>
        <w:t xml:space="preserve">At the Preferred Approach consultation </w:t>
      </w:r>
      <w:proofErr w:type="gramStart"/>
      <w:r w:rsidRPr="00742323">
        <w:rPr>
          <w:rFonts w:ascii="Arial" w:hAnsi="Arial" w:cs="Arial"/>
          <w:color w:val="000000" w:themeColor="text1"/>
          <w:sz w:val="24"/>
          <w:szCs w:val="24"/>
        </w:rPr>
        <w:t>stage</w:t>
      </w:r>
      <w:proofErr w:type="gramEnd"/>
      <w:r w:rsidRPr="00742323">
        <w:rPr>
          <w:rFonts w:ascii="Arial" w:hAnsi="Arial" w:cs="Arial"/>
          <w:color w:val="000000" w:themeColor="text1"/>
          <w:sz w:val="24"/>
          <w:szCs w:val="24"/>
        </w:rPr>
        <w:t xml:space="preserve"> a number of respondents suggested amendments to clarify or strengthen certain aspects the policy or additional issues that should be addressed, for example impacts on heritage assets.</w:t>
      </w:r>
      <w:r w:rsidR="00AF74C1">
        <w:rPr>
          <w:rFonts w:ascii="Arial" w:hAnsi="Arial" w:cs="Arial"/>
          <w:color w:val="000000" w:themeColor="text1"/>
          <w:sz w:val="24"/>
          <w:szCs w:val="24"/>
        </w:rPr>
        <w:t xml:space="preserve"> </w:t>
      </w:r>
      <w:r w:rsidRPr="00742323">
        <w:rPr>
          <w:rFonts w:ascii="Arial" w:hAnsi="Arial" w:cs="Arial"/>
          <w:color w:val="000000" w:themeColor="text1"/>
          <w:sz w:val="24"/>
          <w:szCs w:val="24"/>
        </w:rPr>
        <w:t xml:space="preserve">Where appropriate these </w:t>
      </w:r>
      <w:r w:rsidR="00742323" w:rsidRPr="00742323">
        <w:rPr>
          <w:rFonts w:ascii="Arial" w:hAnsi="Arial" w:cs="Arial"/>
          <w:color w:val="000000" w:themeColor="text1"/>
          <w:sz w:val="24"/>
          <w:szCs w:val="24"/>
        </w:rPr>
        <w:t xml:space="preserve">were </w:t>
      </w:r>
      <w:r w:rsidR="00094044">
        <w:rPr>
          <w:rFonts w:ascii="Arial" w:hAnsi="Arial" w:cs="Arial"/>
          <w:color w:val="000000" w:themeColor="text1"/>
          <w:sz w:val="24"/>
          <w:szCs w:val="24"/>
        </w:rPr>
        <w:t xml:space="preserve">also </w:t>
      </w:r>
      <w:r w:rsidRPr="00742323">
        <w:rPr>
          <w:rFonts w:ascii="Arial" w:hAnsi="Arial" w:cs="Arial"/>
          <w:color w:val="000000" w:themeColor="text1"/>
          <w:sz w:val="24"/>
          <w:szCs w:val="24"/>
        </w:rPr>
        <w:t>reflected in the proposed BLD policy</w:t>
      </w:r>
      <w:r w:rsidR="00D437C9">
        <w:rPr>
          <w:rFonts w:ascii="Arial" w:hAnsi="Arial" w:cs="Arial"/>
          <w:color w:val="000000" w:themeColor="text1"/>
          <w:sz w:val="24"/>
          <w:szCs w:val="24"/>
        </w:rPr>
        <w:t xml:space="preserve"> included in </w:t>
      </w:r>
      <w:r w:rsidR="00621838">
        <w:rPr>
          <w:rFonts w:ascii="Arial" w:hAnsi="Arial" w:cs="Arial"/>
          <w:color w:val="000000" w:themeColor="text1"/>
          <w:sz w:val="24"/>
          <w:szCs w:val="24"/>
        </w:rPr>
        <w:t xml:space="preserve">the </w:t>
      </w:r>
      <w:r w:rsidR="00D437C9">
        <w:rPr>
          <w:rFonts w:ascii="Arial" w:hAnsi="Arial" w:cs="Arial"/>
          <w:color w:val="000000" w:themeColor="text1"/>
          <w:sz w:val="24"/>
          <w:szCs w:val="24"/>
        </w:rPr>
        <w:t>Local Plan (Policy A13)</w:t>
      </w:r>
      <w:r w:rsidRPr="00742323">
        <w:rPr>
          <w:rFonts w:ascii="Arial" w:hAnsi="Arial" w:cs="Arial"/>
          <w:color w:val="000000" w:themeColor="text1"/>
          <w:sz w:val="24"/>
          <w:szCs w:val="24"/>
        </w:rPr>
        <w:t>.</w:t>
      </w:r>
    </w:p>
    <w:p w14:paraId="5E4F1615" w14:textId="77777777" w:rsidR="00EE19DF" w:rsidRDefault="00EE19DF" w:rsidP="00EE19DF">
      <w:pPr>
        <w:pStyle w:val="ListParagraph"/>
        <w:rPr>
          <w:rFonts w:ascii="Arial" w:hAnsi="Arial" w:cs="Arial"/>
          <w:color w:val="000000" w:themeColor="text1"/>
          <w:sz w:val="24"/>
          <w:szCs w:val="24"/>
        </w:rPr>
      </w:pPr>
    </w:p>
    <w:p w14:paraId="67279D09" w14:textId="726FF164" w:rsidR="00094044" w:rsidRDefault="002E4CAD" w:rsidP="001F3993">
      <w:pPr>
        <w:pStyle w:val="ListParagraph"/>
        <w:numPr>
          <w:ilvl w:val="1"/>
          <w:numId w:val="37"/>
        </w:numPr>
        <w:ind w:left="720" w:hanging="720"/>
        <w:rPr>
          <w:rFonts w:ascii="Arial" w:hAnsi="Arial" w:cs="Arial"/>
          <w:color w:val="000000" w:themeColor="text1"/>
          <w:sz w:val="24"/>
          <w:szCs w:val="24"/>
        </w:rPr>
      </w:pPr>
      <w:r>
        <w:rPr>
          <w:rFonts w:ascii="Arial" w:hAnsi="Arial" w:cs="Arial"/>
          <w:color w:val="000000" w:themeColor="text1"/>
          <w:sz w:val="24"/>
          <w:szCs w:val="24"/>
        </w:rPr>
        <w:t>Following consideration of representations made t</w:t>
      </w:r>
      <w:r w:rsidR="00EE19DF">
        <w:rPr>
          <w:rFonts w:ascii="Arial" w:hAnsi="Arial" w:cs="Arial"/>
          <w:color w:val="000000" w:themeColor="text1"/>
          <w:sz w:val="24"/>
          <w:szCs w:val="24"/>
        </w:rPr>
        <w:t xml:space="preserve">o </w:t>
      </w:r>
      <w:r>
        <w:rPr>
          <w:rFonts w:ascii="Arial" w:hAnsi="Arial" w:cs="Arial"/>
          <w:color w:val="000000" w:themeColor="text1"/>
          <w:sz w:val="24"/>
          <w:szCs w:val="24"/>
        </w:rPr>
        <w:t>Policy A13</w:t>
      </w:r>
      <w:r w:rsidR="00621838">
        <w:rPr>
          <w:rFonts w:ascii="Arial" w:hAnsi="Arial" w:cs="Arial"/>
          <w:color w:val="000000" w:themeColor="text1"/>
          <w:sz w:val="24"/>
          <w:szCs w:val="24"/>
        </w:rPr>
        <w:t xml:space="preserve"> at Regulation 19 stage</w:t>
      </w:r>
      <w:r w:rsidR="007B5CFC">
        <w:rPr>
          <w:rFonts w:ascii="Arial" w:hAnsi="Arial" w:cs="Arial"/>
          <w:color w:val="000000" w:themeColor="text1"/>
          <w:sz w:val="24"/>
          <w:szCs w:val="24"/>
        </w:rPr>
        <w:t xml:space="preserve">, the </w:t>
      </w:r>
      <w:r w:rsidR="00621838">
        <w:rPr>
          <w:rFonts w:ascii="Arial" w:hAnsi="Arial" w:cs="Arial"/>
          <w:color w:val="000000" w:themeColor="text1"/>
          <w:sz w:val="24"/>
          <w:szCs w:val="24"/>
        </w:rPr>
        <w:t>c</w:t>
      </w:r>
      <w:r w:rsidR="007B5CFC">
        <w:rPr>
          <w:rFonts w:ascii="Arial" w:hAnsi="Arial" w:cs="Arial"/>
          <w:color w:val="000000" w:themeColor="text1"/>
          <w:sz w:val="24"/>
          <w:szCs w:val="24"/>
        </w:rPr>
        <w:t xml:space="preserve">ouncil are proposing </w:t>
      </w:r>
      <w:proofErr w:type="gramStart"/>
      <w:r w:rsidR="007B5CFC">
        <w:rPr>
          <w:rFonts w:ascii="Arial" w:hAnsi="Arial" w:cs="Arial"/>
          <w:color w:val="000000" w:themeColor="text1"/>
          <w:sz w:val="24"/>
          <w:szCs w:val="24"/>
        </w:rPr>
        <w:t>a number of</w:t>
      </w:r>
      <w:proofErr w:type="gramEnd"/>
      <w:r w:rsidR="007B5CFC">
        <w:rPr>
          <w:rFonts w:ascii="Arial" w:hAnsi="Arial" w:cs="Arial"/>
          <w:color w:val="000000" w:themeColor="text1"/>
          <w:sz w:val="24"/>
          <w:szCs w:val="24"/>
        </w:rPr>
        <w:t xml:space="preserve"> changes to the policy and supporting text to address issues raised</w:t>
      </w:r>
      <w:r w:rsidR="007B5CFC">
        <w:rPr>
          <w:rStyle w:val="FootnoteReference"/>
          <w:rFonts w:ascii="Arial" w:hAnsi="Arial" w:cs="Arial"/>
          <w:color w:val="000000" w:themeColor="text1"/>
          <w:sz w:val="24"/>
          <w:szCs w:val="24"/>
        </w:rPr>
        <w:footnoteReference w:id="3"/>
      </w:r>
      <w:r w:rsidR="007B5CFC">
        <w:rPr>
          <w:rFonts w:ascii="Arial" w:hAnsi="Arial" w:cs="Arial"/>
          <w:color w:val="000000" w:themeColor="text1"/>
          <w:sz w:val="24"/>
          <w:szCs w:val="24"/>
        </w:rPr>
        <w:t>.</w:t>
      </w:r>
      <w:r w:rsidR="00AF74C1">
        <w:rPr>
          <w:rFonts w:ascii="Arial" w:hAnsi="Arial" w:cs="Arial"/>
          <w:color w:val="000000" w:themeColor="text1"/>
          <w:sz w:val="24"/>
          <w:szCs w:val="24"/>
        </w:rPr>
        <w:t xml:space="preserve"> </w:t>
      </w:r>
      <w:r w:rsidR="007B5CFC">
        <w:rPr>
          <w:rFonts w:ascii="Arial" w:hAnsi="Arial" w:cs="Arial"/>
          <w:color w:val="000000" w:themeColor="text1"/>
          <w:sz w:val="24"/>
          <w:szCs w:val="24"/>
        </w:rPr>
        <w:t>These are included in the proposed BLD policy (Appendix 3) but in summary include:</w:t>
      </w:r>
    </w:p>
    <w:p w14:paraId="00849357" w14:textId="6F095075" w:rsidR="007B5CFC" w:rsidRDefault="007B5CFC" w:rsidP="007B5CFC">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 xml:space="preserve">Reference to the </w:t>
      </w:r>
      <w:proofErr w:type="spellStart"/>
      <w:r>
        <w:rPr>
          <w:rFonts w:ascii="Arial" w:hAnsi="Arial" w:cs="Arial"/>
          <w:color w:val="000000" w:themeColor="text1"/>
          <w:sz w:val="24"/>
          <w:szCs w:val="24"/>
        </w:rPr>
        <w:t>ChE</w:t>
      </w:r>
      <w:r w:rsidR="001342C8">
        <w:rPr>
          <w:rFonts w:ascii="Arial" w:hAnsi="Arial" w:cs="Arial"/>
          <w:color w:val="000000" w:themeColor="text1"/>
          <w:sz w:val="24"/>
          <w:szCs w:val="24"/>
        </w:rPr>
        <w:t>m</w:t>
      </w:r>
      <w:proofErr w:type="spellEnd"/>
      <w:r>
        <w:rPr>
          <w:rFonts w:ascii="Arial" w:hAnsi="Arial" w:cs="Arial"/>
          <w:color w:val="000000" w:themeColor="text1"/>
          <w:sz w:val="24"/>
          <w:szCs w:val="24"/>
        </w:rPr>
        <w:t xml:space="preserve"> route;</w:t>
      </w:r>
    </w:p>
    <w:p w14:paraId="268E8783" w14:textId="4FE70342" w:rsidR="00CE77DE" w:rsidRDefault="007B5CFC" w:rsidP="007B5CFC">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Inclusion of reference</w:t>
      </w:r>
      <w:r w:rsidR="00D437C9">
        <w:rPr>
          <w:rFonts w:ascii="Arial" w:hAnsi="Arial" w:cs="Arial"/>
          <w:color w:val="000000" w:themeColor="text1"/>
          <w:sz w:val="24"/>
          <w:szCs w:val="24"/>
        </w:rPr>
        <w:t>s</w:t>
      </w:r>
      <w:r>
        <w:rPr>
          <w:rFonts w:ascii="Arial" w:hAnsi="Arial" w:cs="Arial"/>
          <w:color w:val="000000" w:themeColor="text1"/>
          <w:sz w:val="24"/>
          <w:szCs w:val="24"/>
        </w:rPr>
        <w:t xml:space="preserve"> to biodiversity net gain and habitat connectivity</w:t>
      </w:r>
      <w:r w:rsidR="00CE77DE">
        <w:rPr>
          <w:rFonts w:ascii="Arial" w:hAnsi="Arial" w:cs="Arial"/>
          <w:color w:val="000000" w:themeColor="text1"/>
          <w:sz w:val="24"/>
          <w:szCs w:val="24"/>
        </w:rPr>
        <w:t>;</w:t>
      </w:r>
    </w:p>
    <w:p w14:paraId="4E5AB64E" w14:textId="27C95673" w:rsidR="00621D6E" w:rsidRDefault="00621D6E" w:rsidP="007B5CFC">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Clarification of wording in respect of mitigation hierarchy;</w:t>
      </w:r>
    </w:p>
    <w:p w14:paraId="2A4E515B" w14:textId="2217A28B" w:rsidR="00F329F4" w:rsidRDefault="00F329F4" w:rsidP="007B5CFC">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Increase in the number of custom and self-built plots to be provided;</w:t>
      </w:r>
    </w:p>
    <w:p w14:paraId="3253BC62" w14:textId="1AEFBB03" w:rsidR="007B5CFC" w:rsidRDefault="00CE77DE" w:rsidP="007B5CFC">
      <w:pPr>
        <w:pStyle w:val="ListParagraph"/>
        <w:numPr>
          <w:ilvl w:val="0"/>
          <w:numId w:val="41"/>
        </w:numPr>
        <w:rPr>
          <w:rFonts w:ascii="Arial" w:hAnsi="Arial" w:cs="Arial"/>
          <w:color w:val="000000" w:themeColor="text1"/>
          <w:sz w:val="24"/>
          <w:szCs w:val="24"/>
        </w:rPr>
      </w:pPr>
      <w:r>
        <w:rPr>
          <w:rFonts w:ascii="Arial" w:hAnsi="Arial" w:cs="Arial"/>
          <w:color w:val="000000" w:themeColor="text1"/>
          <w:sz w:val="24"/>
          <w:szCs w:val="24"/>
        </w:rPr>
        <w:t xml:space="preserve">Updated references to the Minerals and </w:t>
      </w:r>
      <w:r w:rsidR="00D437C9">
        <w:rPr>
          <w:rFonts w:ascii="Arial" w:hAnsi="Arial" w:cs="Arial"/>
          <w:color w:val="000000" w:themeColor="text1"/>
          <w:sz w:val="24"/>
          <w:szCs w:val="24"/>
        </w:rPr>
        <w:t>Waste Local Plans and safeguarding guidance</w:t>
      </w:r>
      <w:r w:rsidR="007B5CFC">
        <w:rPr>
          <w:rFonts w:ascii="Arial" w:hAnsi="Arial" w:cs="Arial"/>
          <w:color w:val="000000" w:themeColor="text1"/>
          <w:sz w:val="24"/>
          <w:szCs w:val="24"/>
        </w:rPr>
        <w:t>.</w:t>
      </w:r>
    </w:p>
    <w:p w14:paraId="30CB8F77" w14:textId="77777777" w:rsidR="000B562B" w:rsidRDefault="000B562B" w:rsidP="000B562B">
      <w:pPr>
        <w:pStyle w:val="ListParagraph"/>
        <w:ind w:left="1080"/>
        <w:rPr>
          <w:rFonts w:ascii="Arial" w:hAnsi="Arial" w:cs="Arial"/>
          <w:color w:val="000000" w:themeColor="text1"/>
          <w:sz w:val="24"/>
          <w:szCs w:val="24"/>
        </w:rPr>
      </w:pPr>
    </w:p>
    <w:p w14:paraId="171F2FD2" w14:textId="66549CE1" w:rsidR="007D7848" w:rsidRDefault="007D7848" w:rsidP="007D7848">
      <w:pPr>
        <w:pStyle w:val="ListParagraph"/>
        <w:numPr>
          <w:ilvl w:val="1"/>
          <w:numId w:val="37"/>
        </w:numPr>
        <w:ind w:left="720" w:hanging="720"/>
        <w:rPr>
          <w:rFonts w:ascii="Arial" w:hAnsi="Arial" w:cs="Arial"/>
          <w:color w:val="000000" w:themeColor="text1"/>
          <w:sz w:val="24"/>
          <w:szCs w:val="24"/>
        </w:rPr>
      </w:pPr>
      <w:r>
        <w:rPr>
          <w:rFonts w:ascii="Arial" w:hAnsi="Arial" w:cs="Arial"/>
          <w:color w:val="000000" w:themeColor="text1"/>
          <w:sz w:val="24"/>
          <w:szCs w:val="24"/>
        </w:rPr>
        <w:lastRenderedPageBreak/>
        <w:t>With a range of ownerships within the BLD it is imperative that there is a coordinated approach to bringing development forward and addressing cumulative issues to ensure sustainable growth can be achieved.</w:t>
      </w:r>
      <w:r w:rsidR="00AF74C1">
        <w:rPr>
          <w:rFonts w:ascii="Arial" w:hAnsi="Arial" w:cs="Arial"/>
          <w:color w:val="000000" w:themeColor="text1"/>
          <w:sz w:val="24"/>
          <w:szCs w:val="24"/>
        </w:rPr>
        <w:t xml:space="preserve"> </w:t>
      </w:r>
      <w:r>
        <w:rPr>
          <w:rFonts w:ascii="Arial" w:hAnsi="Arial" w:cs="Arial"/>
          <w:color w:val="000000" w:themeColor="text1"/>
          <w:sz w:val="24"/>
          <w:szCs w:val="24"/>
        </w:rPr>
        <w:t>The policy makes clear, therefore, that piecemeal development which does not take account of the need for wider development in the BLD and prejudices opportunities for cumulative issues, particularly relating to infrastructure, to be addressed will not be supported.</w:t>
      </w:r>
      <w:bookmarkEnd w:id="11"/>
    </w:p>
    <w:p w14:paraId="227A38B3" w14:textId="68CF1861" w:rsidR="007D7848" w:rsidRDefault="007D7848" w:rsidP="007D7848">
      <w:pPr>
        <w:pStyle w:val="ListParagraph"/>
        <w:rPr>
          <w:rFonts w:ascii="Arial" w:hAnsi="Arial" w:cs="Arial"/>
          <w:color w:val="000000" w:themeColor="text1"/>
          <w:sz w:val="24"/>
          <w:szCs w:val="24"/>
        </w:rPr>
      </w:pPr>
    </w:p>
    <w:p w14:paraId="45DDE15A" w14:textId="77777777" w:rsidR="007D7848" w:rsidRDefault="007D7848" w:rsidP="007D7848">
      <w:pPr>
        <w:pStyle w:val="ListParagraph"/>
        <w:rPr>
          <w:rFonts w:ascii="Arial" w:hAnsi="Arial" w:cs="Arial"/>
          <w:i/>
          <w:iCs/>
          <w:color w:val="000000" w:themeColor="text1"/>
          <w:sz w:val="24"/>
          <w:szCs w:val="24"/>
        </w:rPr>
      </w:pPr>
      <w:r w:rsidRPr="00924B0A">
        <w:rPr>
          <w:rFonts w:ascii="Arial" w:hAnsi="Arial" w:cs="Arial"/>
          <w:i/>
          <w:iCs/>
          <w:color w:val="000000" w:themeColor="text1"/>
          <w:sz w:val="24"/>
          <w:szCs w:val="24"/>
        </w:rPr>
        <w:t xml:space="preserve">Gypsy and Traveller and Travelling </w:t>
      </w:r>
      <w:proofErr w:type="spellStart"/>
      <w:r w:rsidRPr="00924B0A">
        <w:rPr>
          <w:rFonts w:ascii="Arial" w:hAnsi="Arial" w:cs="Arial"/>
          <w:i/>
          <w:iCs/>
          <w:color w:val="000000" w:themeColor="text1"/>
          <w:sz w:val="24"/>
          <w:szCs w:val="24"/>
        </w:rPr>
        <w:t>Showpeople</w:t>
      </w:r>
      <w:proofErr w:type="spellEnd"/>
    </w:p>
    <w:p w14:paraId="08E709E2" w14:textId="77777777" w:rsidR="00F733F1" w:rsidRPr="00924B0A" w:rsidRDefault="00F733F1" w:rsidP="007D7848">
      <w:pPr>
        <w:pStyle w:val="ListParagraph"/>
        <w:rPr>
          <w:rFonts w:ascii="Arial" w:hAnsi="Arial" w:cs="Arial"/>
          <w:i/>
          <w:iCs/>
          <w:color w:val="000000" w:themeColor="text1"/>
          <w:sz w:val="24"/>
          <w:szCs w:val="24"/>
        </w:rPr>
      </w:pPr>
    </w:p>
    <w:p w14:paraId="6C1B079E" w14:textId="1C139B90" w:rsidR="007D7848" w:rsidRDefault="007D7848" w:rsidP="007D7848">
      <w:pPr>
        <w:pStyle w:val="ListParagraph"/>
        <w:numPr>
          <w:ilvl w:val="1"/>
          <w:numId w:val="37"/>
        </w:numPr>
        <w:ind w:left="720" w:hanging="720"/>
        <w:rPr>
          <w:rFonts w:ascii="Arial" w:hAnsi="Arial" w:cs="Arial"/>
          <w:color w:val="000000" w:themeColor="text1"/>
          <w:sz w:val="24"/>
          <w:szCs w:val="24"/>
        </w:rPr>
      </w:pPr>
      <w:r>
        <w:rPr>
          <w:rFonts w:ascii="Arial" w:hAnsi="Arial" w:cs="Arial"/>
          <w:color w:val="000000" w:themeColor="text1"/>
          <w:sz w:val="24"/>
          <w:szCs w:val="24"/>
        </w:rPr>
        <w:t>As set out in the Gypsy and Traveller and Travelling Showpeople Background Paper, part of the approach that is being taken is for the strategic housing allocations to contribute towards the overall required pitch need and make provision as part of the overall development of these areas.</w:t>
      </w:r>
      <w:r w:rsidR="00AF74C1">
        <w:rPr>
          <w:rFonts w:ascii="Arial" w:hAnsi="Arial" w:cs="Arial"/>
          <w:color w:val="000000" w:themeColor="text1"/>
          <w:sz w:val="24"/>
          <w:szCs w:val="24"/>
        </w:rPr>
        <w:t xml:space="preserve"> </w:t>
      </w:r>
      <w:r>
        <w:rPr>
          <w:rFonts w:ascii="Arial" w:hAnsi="Arial" w:cs="Arial"/>
          <w:color w:val="000000" w:themeColor="text1"/>
          <w:sz w:val="24"/>
          <w:szCs w:val="24"/>
        </w:rPr>
        <w:t>In the case of the Southbourne BLD</w:t>
      </w:r>
      <w:r w:rsidR="00E05CBC">
        <w:rPr>
          <w:rFonts w:ascii="Arial" w:hAnsi="Arial" w:cs="Arial"/>
          <w:color w:val="000000" w:themeColor="text1"/>
          <w:sz w:val="24"/>
          <w:szCs w:val="24"/>
        </w:rPr>
        <w:t>,</w:t>
      </w:r>
      <w:r>
        <w:rPr>
          <w:rFonts w:ascii="Arial" w:hAnsi="Arial" w:cs="Arial"/>
          <w:color w:val="000000" w:themeColor="text1"/>
          <w:sz w:val="24"/>
          <w:szCs w:val="24"/>
        </w:rPr>
        <w:t xml:space="preserve"> 1</w:t>
      </w:r>
      <w:r w:rsidR="003E69ED">
        <w:rPr>
          <w:rFonts w:ascii="Arial" w:hAnsi="Arial" w:cs="Arial"/>
          <w:color w:val="000000" w:themeColor="text1"/>
          <w:sz w:val="24"/>
          <w:szCs w:val="24"/>
        </w:rPr>
        <w:t>2</w:t>
      </w:r>
      <w:r>
        <w:rPr>
          <w:rFonts w:ascii="Arial" w:hAnsi="Arial" w:cs="Arial"/>
          <w:color w:val="000000" w:themeColor="text1"/>
          <w:sz w:val="24"/>
          <w:szCs w:val="24"/>
        </w:rPr>
        <w:t xml:space="preserve"> pitches are to be provided, either as a single site or as several clusters of 3 – 4 pitches. </w:t>
      </w:r>
    </w:p>
    <w:p w14:paraId="64003501" w14:textId="77777777" w:rsidR="007D7848" w:rsidRDefault="007D7848" w:rsidP="007D7848">
      <w:pPr>
        <w:pStyle w:val="ListParagraph"/>
        <w:rPr>
          <w:rFonts w:ascii="Arial" w:hAnsi="Arial" w:cs="Arial"/>
          <w:color w:val="000000" w:themeColor="text1"/>
          <w:sz w:val="24"/>
          <w:szCs w:val="24"/>
        </w:rPr>
      </w:pPr>
    </w:p>
    <w:p w14:paraId="76FE43E6" w14:textId="3B15C5DA" w:rsidR="007D7848" w:rsidRPr="00EF4812" w:rsidRDefault="007D7848" w:rsidP="007D7848">
      <w:pPr>
        <w:pStyle w:val="ListParagraph"/>
        <w:numPr>
          <w:ilvl w:val="1"/>
          <w:numId w:val="37"/>
        </w:numPr>
        <w:ind w:left="720" w:hanging="720"/>
        <w:rPr>
          <w:rFonts w:ascii="Arial" w:hAnsi="Arial" w:cs="Arial"/>
          <w:color w:val="000000" w:themeColor="text1"/>
          <w:sz w:val="24"/>
          <w:szCs w:val="24"/>
        </w:rPr>
      </w:pPr>
      <w:r>
        <w:rPr>
          <w:rFonts w:ascii="Arial" w:hAnsi="Arial" w:cs="Arial"/>
          <w:color w:val="000000" w:themeColor="text1"/>
          <w:sz w:val="24"/>
          <w:szCs w:val="24"/>
        </w:rPr>
        <w:t>For Travelling Showpeople, this group’s needs are different, due to the need to store and maintain equipment, in addition to the provision of residential accommodation.</w:t>
      </w:r>
      <w:r w:rsidR="00AF74C1">
        <w:rPr>
          <w:rFonts w:ascii="Arial" w:hAnsi="Arial" w:cs="Arial"/>
          <w:color w:val="000000" w:themeColor="text1"/>
          <w:sz w:val="24"/>
          <w:szCs w:val="24"/>
        </w:rPr>
        <w:t xml:space="preserve"> </w:t>
      </w:r>
      <w:r>
        <w:rPr>
          <w:rFonts w:ascii="Arial" w:hAnsi="Arial" w:cs="Arial"/>
          <w:color w:val="000000" w:themeColor="text1"/>
          <w:sz w:val="24"/>
          <w:szCs w:val="24"/>
        </w:rPr>
        <w:t xml:space="preserve">Therefore, any site(s) should provide plots of sufficient size to allow for the provision of </w:t>
      </w:r>
      <w:r>
        <w:rPr>
          <w:rFonts w:ascii="Arial" w:hAnsi="Arial" w:cs="Arial"/>
          <w:sz w:val="24"/>
          <w:szCs w:val="24"/>
        </w:rPr>
        <w:t>accommodation and equipment plus storage/maintenance.</w:t>
      </w:r>
    </w:p>
    <w:p w14:paraId="137FB4E9" w14:textId="77777777" w:rsidR="007D7848" w:rsidRPr="0000418E" w:rsidRDefault="007D7848" w:rsidP="007D7848">
      <w:pPr>
        <w:rPr>
          <w:rFonts w:cs="Arial"/>
          <w:color w:val="000000" w:themeColor="text1"/>
        </w:rPr>
      </w:pPr>
    </w:p>
    <w:p w14:paraId="254C06EB" w14:textId="77777777" w:rsidR="007D7848" w:rsidRDefault="007D7848" w:rsidP="007D7848">
      <w:pPr>
        <w:pStyle w:val="ListParagraph"/>
        <w:rPr>
          <w:rFonts w:ascii="Arial" w:hAnsi="Arial" w:cs="Arial"/>
          <w:color w:val="000000" w:themeColor="text1"/>
        </w:rPr>
      </w:pPr>
    </w:p>
    <w:p w14:paraId="70B228A7" w14:textId="77777777" w:rsidR="007D7848" w:rsidRDefault="007D7848" w:rsidP="007D7848">
      <w:pPr>
        <w:pStyle w:val="ListParagraph"/>
        <w:rPr>
          <w:rFonts w:ascii="Arial" w:hAnsi="Arial" w:cs="Arial"/>
          <w:color w:val="000000" w:themeColor="text1"/>
        </w:rPr>
      </w:pPr>
    </w:p>
    <w:p w14:paraId="7DCE9336" w14:textId="77777777" w:rsidR="007D7848" w:rsidRDefault="007D7848" w:rsidP="007D7848">
      <w:pPr>
        <w:pStyle w:val="ListParagraph"/>
        <w:rPr>
          <w:rFonts w:ascii="Arial" w:hAnsi="Arial" w:cs="Arial"/>
          <w:color w:val="000000" w:themeColor="text1"/>
        </w:rPr>
      </w:pPr>
    </w:p>
    <w:p w14:paraId="78F28B41" w14:textId="77777777" w:rsidR="007D7848" w:rsidRDefault="007D7848" w:rsidP="007D7848">
      <w:pPr>
        <w:pStyle w:val="ListParagraph"/>
        <w:rPr>
          <w:rFonts w:ascii="Arial" w:hAnsi="Arial" w:cs="Arial"/>
          <w:color w:val="000000" w:themeColor="text1"/>
        </w:rPr>
        <w:sectPr w:rsidR="007D7848" w:rsidSect="00294613">
          <w:headerReference w:type="even" r:id="rId20"/>
          <w:headerReference w:type="default" r:id="rId21"/>
          <w:footerReference w:type="default" r:id="rId22"/>
          <w:headerReference w:type="first" r:id="rId23"/>
          <w:footerReference w:type="first" r:id="rId24"/>
          <w:pgSz w:w="11906" w:h="16838"/>
          <w:pgMar w:top="1134" w:right="1134" w:bottom="1134" w:left="1134" w:header="706" w:footer="454" w:gutter="0"/>
          <w:pgNumType w:start="2"/>
          <w:cols w:space="708"/>
          <w:titlePg/>
          <w:docGrid w:linePitch="360"/>
        </w:sectPr>
      </w:pPr>
    </w:p>
    <w:p w14:paraId="0BD53A92" w14:textId="77777777" w:rsidR="007D7848" w:rsidRDefault="007D7848" w:rsidP="007D7848">
      <w:pPr>
        <w:pStyle w:val="ListParagraph"/>
        <w:ind w:left="0"/>
        <w:outlineLvl w:val="0"/>
        <w:rPr>
          <w:rFonts w:ascii="Arial" w:hAnsi="Arial" w:cs="Arial"/>
          <w:b/>
          <w:bCs/>
          <w:color w:val="000000" w:themeColor="text1"/>
          <w:sz w:val="24"/>
          <w:szCs w:val="24"/>
        </w:rPr>
      </w:pPr>
      <w:bookmarkStart w:id="12" w:name="_Toc167896099"/>
      <w:r w:rsidRPr="000A1A01">
        <w:rPr>
          <w:rFonts w:ascii="Arial" w:hAnsi="Arial" w:cs="Arial"/>
          <w:b/>
          <w:bCs/>
          <w:color w:val="000000" w:themeColor="text1"/>
          <w:sz w:val="24"/>
          <w:szCs w:val="24"/>
        </w:rPr>
        <w:lastRenderedPageBreak/>
        <w:t xml:space="preserve">Appendix 1 – </w:t>
      </w:r>
      <w:r>
        <w:rPr>
          <w:rFonts w:ascii="Arial" w:hAnsi="Arial" w:cs="Arial"/>
          <w:b/>
          <w:bCs/>
          <w:color w:val="000000" w:themeColor="text1"/>
          <w:sz w:val="24"/>
          <w:szCs w:val="24"/>
        </w:rPr>
        <w:t>HELAA (2021) sites in Southbourne Parish</w:t>
      </w:r>
      <w:bookmarkEnd w:id="12"/>
    </w:p>
    <w:p w14:paraId="0E34B38E" w14:textId="77777777" w:rsidR="007D7848" w:rsidRDefault="007D7848" w:rsidP="007D7848">
      <w:pPr>
        <w:pStyle w:val="ListParagraph"/>
        <w:ind w:left="0"/>
        <w:rPr>
          <w:rFonts w:ascii="Arial" w:hAnsi="Arial" w:cs="Arial"/>
          <w:b/>
          <w:bCs/>
          <w:color w:val="000000" w:themeColor="text1"/>
          <w:sz w:val="24"/>
          <w:szCs w:val="24"/>
        </w:rPr>
      </w:pPr>
    </w:p>
    <w:p w14:paraId="16D91120" w14:textId="77777777" w:rsidR="007D7848" w:rsidRDefault="007D7848" w:rsidP="007D7848">
      <w:pPr>
        <w:pStyle w:val="ListParagraph"/>
        <w:ind w:left="0"/>
        <w:rPr>
          <w:rFonts w:ascii="Arial" w:hAnsi="Arial" w:cs="Arial"/>
          <w:b/>
          <w:bCs/>
          <w:color w:val="000000" w:themeColor="text1"/>
          <w:sz w:val="24"/>
          <w:szCs w:val="24"/>
        </w:rPr>
      </w:pPr>
      <w:r>
        <w:rPr>
          <w:rFonts w:ascii="Arial" w:hAnsi="Arial" w:cs="Arial"/>
          <w:b/>
          <w:bCs/>
          <w:noProof/>
          <w:color w:val="000000" w:themeColor="text1"/>
          <w:sz w:val="24"/>
          <w:szCs w:val="24"/>
        </w:rPr>
        <w:drawing>
          <wp:inline distT="0" distB="0" distL="0" distR="0" wp14:anchorId="6809FA9B" wp14:editId="06D0CF48">
            <wp:extent cx="7598979" cy="5330627"/>
            <wp:effectExtent l="0" t="0" r="2540" b="381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625265" cy="5349067"/>
                    </a:xfrm>
                    <a:prstGeom prst="rect">
                      <a:avLst/>
                    </a:prstGeom>
                    <a:noFill/>
                  </pic:spPr>
                </pic:pic>
              </a:graphicData>
            </a:graphic>
          </wp:inline>
        </w:drawing>
      </w:r>
    </w:p>
    <w:p w14:paraId="2072B77E" w14:textId="12368FC7" w:rsidR="007D7848" w:rsidRDefault="007D7848" w:rsidP="007D7848">
      <w:pPr>
        <w:pStyle w:val="Heading1"/>
        <w:rPr>
          <w:rFonts w:ascii="Arial" w:hAnsi="Arial" w:cs="Arial"/>
          <w:b/>
          <w:bCs/>
          <w:color w:val="000000" w:themeColor="text1"/>
          <w:sz w:val="24"/>
          <w:szCs w:val="24"/>
        </w:rPr>
      </w:pPr>
      <w:r>
        <w:rPr>
          <w:rFonts w:cs="Arial"/>
          <w:b/>
          <w:bCs/>
          <w:color w:val="000000" w:themeColor="text1"/>
        </w:rPr>
        <w:br w:type="page"/>
      </w:r>
      <w:bookmarkStart w:id="13" w:name="_Toc167896100"/>
      <w:r w:rsidRPr="00777ADF">
        <w:rPr>
          <w:rFonts w:ascii="Arial" w:hAnsi="Arial" w:cs="Arial"/>
          <w:b/>
          <w:bCs/>
          <w:color w:val="000000" w:themeColor="text1"/>
          <w:sz w:val="24"/>
          <w:szCs w:val="24"/>
        </w:rPr>
        <w:lastRenderedPageBreak/>
        <w:t xml:space="preserve">Appendix 2 – </w:t>
      </w:r>
      <w:r w:rsidR="00E05CBC">
        <w:rPr>
          <w:rFonts w:ascii="Arial" w:hAnsi="Arial" w:cs="Arial"/>
          <w:b/>
          <w:bCs/>
          <w:color w:val="000000" w:themeColor="text1"/>
          <w:sz w:val="24"/>
          <w:szCs w:val="24"/>
        </w:rPr>
        <w:t>Proposed e</w:t>
      </w:r>
      <w:r>
        <w:rPr>
          <w:rFonts w:ascii="Arial" w:hAnsi="Arial" w:cs="Arial"/>
          <w:b/>
          <w:bCs/>
          <w:color w:val="000000" w:themeColor="text1"/>
          <w:sz w:val="24"/>
          <w:szCs w:val="24"/>
        </w:rPr>
        <w:t>xtent of BLD</w:t>
      </w:r>
      <w:bookmarkEnd w:id="13"/>
    </w:p>
    <w:p w14:paraId="6BF61F75" w14:textId="7D827E5C" w:rsidR="007D7848" w:rsidRDefault="00847015" w:rsidP="007D7848">
      <w:pPr>
        <w:spacing w:after="200" w:line="276" w:lineRule="auto"/>
        <w:jc w:val="left"/>
        <w:rPr>
          <w:rFonts w:cs="Arial"/>
          <w:b/>
          <w:bCs/>
          <w:color w:val="000000" w:themeColor="text1"/>
        </w:rPr>
      </w:pPr>
      <w:r>
        <w:rPr>
          <w:rFonts w:cs="Arial"/>
          <w:b/>
          <w:bCs/>
          <w:noProof/>
          <w:color w:val="000000" w:themeColor="text1"/>
        </w:rPr>
        <w:drawing>
          <wp:inline distT="0" distB="0" distL="0" distR="0" wp14:anchorId="63A6CDF9" wp14:editId="13ACA938">
            <wp:extent cx="8266176" cy="5805164"/>
            <wp:effectExtent l="0" t="0" r="1905" b="571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266176" cy="5805164"/>
                    </a:xfrm>
                    <a:prstGeom prst="rect">
                      <a:avLst/>
                    </a:prstGeom>
                    <a:noFill/>
                  </pic:spPr>
                </pic:pic>
              </a:graphicData>
            </a:graphic>
          </wp:inline>
        </w:drawing>
      </w:r>
      <w:r w:rsidR="007D7848">
        <w:rPr>
          <w:rFonts w:cs="Arial"/>
          <w:b/>
          <w:bCs/>
          <w:color w:val="000000" w:themeColor="text1"/>
        </w:rPr>
        <w:br w:type="page"/>
      </w:r>
    </w:p>
    <w:p w14:paraId="5C21BEAB" w14:textId="527A70D7" w:rsidR="007D7848" w:rsidRDefault="007D7848" w:rsidP="007D7848">
      <w:pPr>
        <w:pStyle w:val="Heading1"/>
        <w:rPr>
          <w:rFonts w:ascii="Arial" w:hAnsi="Arial" w:cs="Arial"/>
          <w:b/>
          <w:bCs/>
          <w:color w:val="000000" w:themeColor="text1"/>
          <w:sz w:val="24"/>
          <w:szCs w:val="24"/>
        </w:rPr>
      </w:pPr>
      <w:bookmarkStart w:id="14" w:name="_Toc167896101"/>
      <w:r w:rsidRPr="00777ADF">
        <w:rPr>
          <w:rFonts w:ascii="Arial" w:hAnsi="Arial" w:cs="Arial"/>
          <w:b/>
          <w:bCs/>
          <w:color w:val="000000" w:themeColor="text1"/>
          <w:sz w:val="24"/>
          <w:szCs w:val="24"/>
        </w:rPr>
        <w:lastRenderedPageBreak/>
        <w:t xml:space="preserve">Appendix </w:t>
      </w:r>
      <w:r>
        <w:rPr>
          <w:rFonts w:ascii="Arial" w:hAnsi="Arial" w:cs="Arial"/>
          <w:b/>
          <w:bCs/>
          <w:color w:val="000000" w:themeColor="text1"/>
          <w:sz w:val="24"/>
          <w:szCs w:val="24"/>
        </w:rPr>
        <w:t>3</w:t>
      </w:r>
      <w:r w:rsidRPr="00777ADF">
        <w:rPr>
          <w:rFonts w:ascii="Arial" w:hAnsi="Arial" w:cs="Arial"/>
          <w:b/>
          <w:bCs/>
          <w:color w:val="000000" w:themeColor="text1"/>
          <w:sz w:val="24"/>
          <w:szCs w:val="24"/>
        </w:rPr>
        <w:t xml:space="preserve"> - HELAA </w:t>
      </w:r>
      <w:r w:rsidR="000B562B">
        <w:rPr>
          <w:rFonts w:ascii="Arial" w:hAnsi="Arial" w:cs="Arial"/>
          <w:b/>
          <w:bCs/>
          <w:color w:val="000000" w:themeColor="text1"/>
          <w:sz w:val="24"/>
          <w:szCs w:val="24"/>
        </w:rPr>
        <w:t xml:space="preserve">(2021) </w:t>
      </w:r>
      <w:r w:rsidRPr="00777ADF">
        <w:rPr>
          <w:rFonts w:ascii="Arial" w:hAnsi="Arial" w:cs="Arial"/>
          <w:b/>
          <w:bCs/>
          <w:color w:val="000000" w:themeColor="text1"/>
          <w:sz w:val="24"/>
          <w:szCs w:val="24"/>
        </w:rPr>
        <w:t>site capacities within BLD</w:t>
      </w:r>
      <w:bookmarkEnd w:id="14"/>
    </w:p>
    <w:p w14:paraId="159C8702" w14:textId="77777777" w:rsidR="007D7848" w:rsidRPr="00777ADF" w:rsidRDefault="007D7848" w:rsidP="007D7848"/>
    <w:tbl>
      <w:tblPr>
        <w:tblStyle w:val="TableGrid"/>
        <w:tblW w:w="15115" w:type="dxa"/>
        <w:tblLook w:val="04A0" w:firstRow="1" w:lastRow="0" w:firstColumn="1" w:lastColumn="0" w:noHBand="0" w:noVBand="1"/>
        <w:tblCaption w:val="Appendix 4A - Residential yields - Southbourne"/>
      </w:tblPr>
      <w:tblGrid>
        <w:gridCol w:w="1589"/>
        <w:gridCol w:w="2909"/>
        <w:gridCol w:w="1362"/>
        <w:gridCol w:w="1828"/>
        <w:gridCol w:w="1856"/>
        <w:gridCol w:w="1857"/>
        <w:gridCol w:w="1857"/>
        <w:gridCol w:w="1857"/>
      </w:tblGrid>
      <w:tr w:rsidR="007D7848" w:rsidRPr="000A1A01" w14:paraId="1049F47C" w14:textId="77777777" w:rsidTr="00621027">
        <w:trPr>
          <w:trHeight w:val="430"/>
          <w:tblHeader/>
        </w:trPr>
        <w:tc>
          <w:tcPr>
            <w:tcW w:w="1589" w:type="dxa"/>
            <w:shd w:val="clear" w:color="auto" w:fill="BFBFBF" w:themeFill="background1" w:themeFillShade="BF"/>
            <w:vAlign w:val="center"/>
          </w:tcPr>
          <w:p w14:paraId="30F405E2" w14:textId="77777777" w:rsidR="007D7848" w:rsidRPr="000A1A01" w:rsidRDefault="007D7848" w:rsidP="002F2A56">
            <w:pPr>
              <w:rPr>
                <w:rFonts w:cs="Arial"/>
                <w:b/>
                <w:sz w:val="20"/>
                <w:szCs w:val="20"/>
              </w:rPr>
            </w:pPr>
            <w:r w:rsidRPr="000A1A01">
              <w:rPr>
                <w:rFonts w:cs="Arial"/>
                <w:b/>
                <w:sz w:val="20"/>
                <w:szCs w:val="20"/>
              </w:rPr>
              <w:t>HELAA ID</w:t>
            </w:r>
          </w:p>
        </w:tc>
        <w:tc>
          <w:tcPr>
            <w:tcW w:w="2909" w:type="dxa"/>
            <w:shd w:val="clear" w:color="auto" w:fill="BFBFBF" w:themeFill="background1" w:themeFillShade="BF"/>
            <w:vAlign w:val="center"/>
          </w:tcPr>
          <w:p w14:paraId="1C9284BF" w14:textId="77777777" w:rsidR="007D7848" w:rsidRPr="000A1A01" w:rsidRDefault="007D7848" w:rsidP="002F2A56">
            <w:pPr>
              <w:rPr>
                <w:rFonts w:cs="Arial"/>
                <w:b/>
                <w:sz w:val="20"/>
                <w:szCs w:val="20"/>
              </w:rPr>
            </w:pPr>
            <w:r w:rsidRPr="000A1A01">
              <w:rPr>
                <w:rFonts w:cs="Arial"/>
                <w:b/>
                <w:sz w:val="20"/>
                <w:szCs w:val="20"/>
              </w:rPr>
              <w:t>Site Address</w:t>
            </w:r>
          </w:p>
        </w:tc>
        <w:tc>
          <w:tcPr>
            <w:tcW w:w="1362" w:type="dxa"/>
            <w:shd w:val="clear" w:color="auto" w:fill="BFBFBF" w:themeFill="background1" w:themeFillShade="BF"/>
            <w:vAlign w:val="center"/>
          </w:tcPr>
          <w:p w14:paraId="3BFB5E77" w14:textId="77777777" w:rsidR="007D7848" w:rsidRPr="000A1A01" w:rsidRDefault="007D7848" w:rsidP="002F2A56">
            <w:pPr>
              <w:jc w:val="center"/>
              <w:rPr>
                <w:rFonts w:cs="Arial"/>
                <w:b/>
                <w:sz w:val="20"/>
                <w:szCs w:val="20"/>
              </w:rPr>
            </w:pPr>
            <w:r w:rsidRPr="000A1A01">
              <w:rPr>
                <w:rFonts w:cs="Arial"/>
                <w:b/>
                <w:sz w:val="20"/>
                <w:szCs w:val="20"/>
              </w:rPr>
              <w:t>Net site size (ha)</w:t>
            </w:r>
          </w:p>
        </w:tc>
        <w:tc>
          <w:tcPr>
            <w:tcW w:w="1828" w:type="dxa"/>
            <w:shd w:val="clear" w:color="auto" w:fill="BFBFBF" w:themeFill="background1" w:themeFillShade="BF"/>
            <w:vAlign w:val="center"/>
          </w:tcPr>
          <w:p w14:paraId="3563D538" w14:textId="77777777" w:rsidR="007D7848" w:rsidRPr="000A1A01" w:rsidRDefault="007D7848" w:rsidP="002F2A56">
            <w:pPr>
              <w:jc w:val="center"/>
              <w:rPr>
                <w:rFonts w:cs="Arial"/>
                <w:b/>
                <w:sz w:val="20"/>
                <w:szCs w:val="20"/>
              </w:rPr>
            </w:pPr>
            <w:r w:rsidRPr="000A1A01">
              <w:rPr>
                <w:rFonts w:cs="Arial"/>
                <w:b/>
                <w:sz w:val="20"/>
                <w:szCs w:val="20"/>
              </w:rPr>
              <w:t>Overall Yield</w:t>
            </w:r>
          </w:p>
        </w:tc>
        <w:tc>
          <w:tcPr>
            <w:tcW w:w="1856" w:type="dxa"/>
            <w:shd w:val="clear" w:color="auto" w:fill="BFBFBF" w:themeFill="background1" w:themeFillShade="BF"/>
            <w:vAlign w:val="center"/>
          </w:tcPr>
          <w:p w14:paraId="51F7A4F4" w14:textId="77777777" w:rsidR="007D7848" w:rsidRPr="000A1A01" w:rsidRDefault="007D7848" w:rsidP="002F2A56">
            <w:pPr>
              <w:jc w:val="center"/>
              <w:rPr>
                <w:rFonts w:cs="Arial"/>
                <w:b/>
                <w:sz w:val="20"/>
                <w:szCs w:val="20"/>
              </w:rPr>
            </w:pPr>
            <w:r w:rsidRPr="000A1A01">
              <w:rPr>
                <w:rFonts w:cs="Arial"/>
                <w:b/>
                <w:sz w:val="20"/>
                <w:szCs w:val="20"/>
              </w:rPr>
              <w:t>1 – 5 years</w:t>
            </w:r>
          </w:p>
        </w:tc>
        <w:tc>
          <w:tcPr>
            <w:tcW w:w="1857" w:type="dxa"/>
            <w:shd w:val="clear" w:color="auto" w:fill="BFBFBF" w:themeFill="background1" w:themeFillShade="BF"/>
            <w:vAlign w:val="center"/>
          </w:tcPr>
          <w:p w14:paraId="247FF5CA" w14:textId="77777777" w:rsidR="007D7848" w:rsidRPr="000A1A01" w:rsidRDefault="007D7848" w:rsidP="002F2A56">
            <w:pPr>
              <w:jc w:val="center"/>
              <w:rPr>
                <w:rFonts w:cs="Arial"/>
                <w:b/>
                <w:sz w:val="20"/>
                <w:szCs w:val="20"/>
              </w:rPr>
            </w:pPr>
            <w:r w:rsidRPr="000A1A01">
              <w:rPr>
                <w:rFonts w:cs="Arial"/>
                <w:b/>
                <w:sz w:val="20"/>
                <w:szCs w:val="20"/>
              </w:rPr>
              <w:t>6 – 10 years</w:t>
            </w:r>
          </w:p>
        </w:tc>
        <w:tc>
          <w:tcPr>
            <w:tcW w:w="1857" w:type="dxa"/>
            <w:shd w:val="clear" w:color="auto" w:fill="BFBFBF" w:themeFill="background1" w:themeFillShade="BF"/>
            <w:vAlign w:val="center"/>
          </w:tcPr>
          <w:p w14:paraId="5C05155B" w14:textId="77777777" w:rsidR="007D7848" w:rsidRPr="000A1A01" w:rsidRDefault="007D7848" w:rsidP="002F2A56">
            <w:pPr>
              <w:rPr>
                <w:rFonts w:cs="Arial"/>
                <w:b/>
                <w:sz w:val="20"/>
                <w:szCs w:val="20"/>
              </w:rPr>
            </w:pPr>
            <w:r w:rsidRPr="000A1A01">
              <w:rPr>
                <w:rFonts w:cs="Arial"/>
                <w:b/>
                <w:sz w:val="20"/>
                <w:szCs w:val="20"/>
              </w:rPr>
              <w:t>11 – 15 years</w:t>
            </w:r>
          </w:p>
        </w:tc>
        <w:tc>
          <w:tcPr>
            <w:tcW w:w="1857" w:type="dxa"/>
            <w:shd w:val="clear" w:color="auto" w:fill="BFBFBF" w:themeFill="background1" w:themeFillShade="BF"/>
            <w:vAlign w:val="center"/>
          </w:tcPr>
          <w:p w14:paraId="4A112F21" w14:textId="77777777" w:rsidR="007D7848" w:rsidRPr="000A1A01" w:rsidRDefault="007D7848" w:rsidP="002F2A56">
            <w:pPr>
              <w:rPr>
                <w:rFonts w:cs="Arial"/>
                <w:b/>
                <w:sz w:val="20"/>
                <w:szCs w:val="20"/>
              </w:rPr>
            </w:pPr>
            <w:r w:rsidRPr="000A1A01">
              <w:rPr>
                <w:rFonts w:cs="Arial"/>
                <w:b/>
                <w:sz w:val="20"/>
                <w:szCs w:val="20"/>
              </w:rPr>
              <w:t>16+ years</w:t>
            </w:r>
          </w:p>
        </w:tc>
      </w:tr>
      <w:tr w:rsidR="007D7848" w:rsidRPr="000A1A01" w14:paraId="228F3015" w14:textId="77777777" w:rsidTr="002F2A56">
        <w:tc>
          <w:tcPr>
            <w:tcW w:w="1589" w:type="dxa"/>
          </w:tcPr>
          <w:p w14:paraId="0034F751" w14:textId="77777777" w:rsidR="007D7848" w:rsidRPr="000A1A01" w:rsidRDefault="007D7848" w:rsidP="002F2A56">
            <w:pPr>
              <w:rPr>
                <w:rFonts w:cs="Arial"/>
                <w:sz w:val="20"/>
                <w:szCs w:val="20"/>
              </w:rPr>
            </w:pPr>
            <w:r w:rsidRPr="000A1A01">
              <w:rPr>
                <w:rFonts w:cs="Arial"/>
                <w:sz w:val="20"/>
                <w:szCs w:val="20"/>
              </w:rPr>
              <w:t>HSB0007</w:t>
            </w:r>
          </w:p>
        </w:tc>
        <w:tc>
          <w:tcPr>
            <w:tcW w:w="2909" w:type="dxa"/>
          </w:tcPr>
          <w:p w14:paraId="0B008FBB" w14:textId="77777777" w:rsidR="007D7848" w:rsidRPr="000A1A01" w:rsidRDefault="007D7848" w:rsidP="002F2A56">
            <w:pPr>
              <w:rPr>
                <w:rFonts w:cs="Arial"/>
                <w:sz w:val="20"/>
                <w:szCs w:val="20"/>
              </w:rPr>
            </w:pPr>
            <w:r w:rsidRPr="000A1A01">
              <w:rPr>
                <w:rFonts w:cs="Arial"/>
                <w:sz w:val="20"/>
                <w:szCs w:val="20"/>
              </w:rPr>
              <w:t>Land north of Penny Lane South</w:t>
            </w:r>
          </w:p>
        </w:tc>
        <w:tc>
          <w:tcPr>
            <w:tcW w:w="1362" w:type="dxa"/>
          </w:tcPr>
          <w:p w14:paraId="2F96C058" w14:textId="77777777" w:rsidR="007D7848" w:rsidRPr="000A1A01" w:rsidRDefault="007D7848" w:rsidP="002F2A56">
            <w:pPr>
              <w:jc w:val="center"/>
              <w:rPr>
                <w:rFonts w:cs="Arial"/>
                <w:sz w:val="20"/>
                <w:szCs w:val="20"/>
              </w:rPr>
            </w:pPr>
            <w:r w:rsidRPr="000A1A01">
              <w:rPr>
                <w:rFonts w:cs="Arial"/>
                <w:sz w:val="20"/>
                <w:szCs w:val="20"/>
              </w:rPr>
              <w:t>5.4</w:t>
            </w:r>
          </w:p>
        </w:tc>
        <w:tc>
          <w:tcPr>
            <w:tcW w:w="1828" w:type="dxa"/>
          </w:tcPr>
          <w:p w14:paraId="455DB5CB" w14:textId="77777777" w:rsidR="007D7848" w:rsidRPr="000A1A01" w:rsidRDefault="007D7848" w:rsidP="002F2A56">
            <w:pPr>
              <w:jc w:val="center"/>
              <w:rPr>
                <w:rFonts w:cs="Arial"/>
                <w:sz w:val="20"/>
                <w:szCs w:val="20"/>
              </w:rPr>
            </w:pPr>
            <w:r w:rsidRPr="000A1A01">
              <w:rPr>
                <w:rFonts w:cs="Arial"/>
                <w:sz w:val="20"/>
                <w:szCs w:val="20"/>
              </w:rPr>
              <w:t>170</w:t>
            </w:r>
          </w:p>
        </w:tc>
        <w:tc>
          <w:tcPr>
            <w:tcW w:w="1856" w:type="dxa"/>
          </w:tcPr>
          <w:p w14:paraId="3714026D" w14:textId="77777777" w:rsidR="007D7848" w:rsidRPr="000A1A01" w:rsidRDefault="007D7848" w:rsidP="002F2A56">
            <w:pPr>
              <w:jc w:val="center"/>
              <w:rPr>
                <w:rFonts w:cs="Arial"/>
                <w:sz w:val="20"/>
                <w:szCs w:val="20"/>
              </w:rPr>
            </w:pPr>
            <w:r w:rsidRPr="000A1A01">
              <w:rPr>
                <w:rFonts w:cs="Arial"/>
                <w:sz w:val="20"/>
                <w:szCs w:val="20"/>
              </w:rPr>
              <w:t>70</w:t>
            </w:r>
          </w:p>
        </w:tc>
        <w:tc>
          <w:tcPr>
            <w:tcW w:w="1857" w:type="dxa"/>
          </w:tcPr>
          <w:p w14:paraId="15ADF14F" w14:textId="77777777" w:rsidR="007D7848" w:rsidRPr="000A1A01" w:rsidRDefault="007D7848" w:rsidP="002F2A56">
            <w:pPr>
              <w:jc w:val="center"/>
              <w:rPr>
                <w:rFonts w:cs="Arial"/>
                <w:sz w:val="20"/>
                <w:szCs w:val="20"/>
              </w:rPr>
            </w:pPr>
            <w:r w:rsidRPr="000A1A01">
              <w:rPr>
                <w:rFonts w:cs="Arial"/>
                <w:sz w:val="20"/>
                <w:szCs w:val="20"/>
              </w:rPr>
              <w:t>100</w:t>
            </w:r>
          </w:p>
        </w:tc>
        <w:tc>
          <w:tcPr>
            <w:tcW w:w="1857" w:type="dxa"/>
          </w:tcPr>
          <w:p w14:paraId="4D0F11C8" w14:textId="77777777" w:rsidR="007D7848" w:rsidRPr="000A1A01" w:rsidRDefault="007D7848" w:rsidP="002F2A56">
            <w:pPr>
              <w:jc w:val="center"/>
              <w:rPr>
                <w:rFonts w:cs="Arial"/>
                <w:sz w:val="20"/>
                <w:szCs w:val="20"/>
              </w:rPr>
            </w:pPr>
            <w:r w:rsidRPr="000A1A01">
              <w:rPr>
                <w:rFonts w:cs="Arial"/>
                <w:sz w:val="20"/>
                <w:szCs w:val="20"/>
              </w:rPr>
              <w:t>0</w:t>
            </w:r>
          </w:p>
        </w:tc>
        <w:tc>
          <w:tcPr>
            <w:tcW w:w="1857" w:type="dxa"/>
          </w:tcPr>
          <w:p w14:paraId="5629F454" w14:textId="77777777" w:rsidR="007D7848" w:rsidRPr="000A1A01" w:rsidRDefault="007D7848" w:rsidP="002F2A56">
            <w:pPr>
              <w:jc w:val="center"/>
              <w:rPr>
                <w:rFonts w:cs="Arial"/>
                <w:sz w:val="20"/>
                <w:szCs w:val="20"/>
              </w:rPr>
            </w:pPr>
            <w:r w:rsidRPr="000A1A01">
              <w:rPr>
                <w:rFonts w:cs="Arial"/>
                <w:sz w:val="20"/>
                <w:szCs w:val="20"/>
              </w:rPr>
              <w:t>0</w:t>
            </w:r>
          </w:p>
        </w:tc>
      </w:tr>
      <w:tr w:rsidR="007D7848" w:rsidRPr="000A1A01" w14:paraId="4DB45AD3" w14:textId="77777777" w:rsidTr="002F2A56">
        <w:tc>
          <w:tcPr>
            <w:tcW w:w="1589" w:type="dxa"/>
          </w:tcPr>
          <w:p w14:paraId="6A3448E1" w14:textId="77777777" w:rsidR="007D7848" w:rsidRPr="000A1A01" w:rsidRDefault="007D7848" w:rsidP="002F2A56">
            <w:pPr>
              <w:rPr>
                <w:rFonts w:cs="Arial"/>
                <w:i/>
                <w:sz w:val="20"/>
                <w:szCs w:val="20"/>
              </w:rPr>
            </w:pPr>
            <w:r w:rsidRPr="000A1A01">
              <w:rPr>
                <w:rFonts w:cs="Arial"/>
                <w:i/>
                <w:sz w:val="20"/>
                <w:szCs w:val="20"/>
              </w:rPr>
              <w:t>HSB0012a</w:t>
            </w:r>
          </w:p>
        </w:tc>
        <w:tc>
          <w:tcPr>
            <w:tcW w:w="2909" w:type="dxa"/>
          </w:tcPr>
          <w:p w14:paraId="72DCC2DE" w14:textId="77777777" w:rsidR="007D7848" w:rsidRPr="000A1A01" w:rsidRDefault="007D7848" w:rsidP="002F2A56">
            <w:pPr>
              <w:rPr>
                <w:rFonts w:cs="Arial"/>
                <w:i/>
                <w:sz w:val="20"/>
                <w:szCs w:val="20"/>
              </w:rPr>
            </w:pPr>
            <w:r w:rsidRPr="000A1A01">
              <w:rPr>
                <w:rFonts w:cs="Arial"/>
                <w:i/>
                <w:sz w:val="20"/>
                <w:szCs w:val="20"/>
              </w:rPr>
              <w:t>The Oaks</w:t>
            </w:r>
          </w:p>
        </w:tc>
        <w:tc>
          <w:tcPr>
            <w:tcW w:w="1362" w:type="dxa"/>
          </w:tcPr>
          <w:p w14:paraId="1A2CA467" w14:textId="77777777" w:rsidR="007D7848" w:rsidRPr="000A1A01" w:rsidRDefault="007D7848" w:rsidP="002F2A56">
            <w:pPr>
              <w:jc w:val="center"/>
              <w:rPr>
                <w:rFonts w:cs="Arial"/>
                <w:i/>
                <w:sz w:val="20"/>
                <w:szCs w:val="20"/>
              </w:rPr>
            </w:pPr>
            <w:r w:rsidRPr="000A1A01">
              <w:rPr>
                <w:rFonts w:cs="Arial"/>
                <w:i/>
                <w:sz w:val="20"/>
                <w:szCs w:val="20"/>
              </w:rPr>
              <w:t>3.6</w:t>
            </w:r>
          </w:p>
        </w:tc>
        <w:tc>
          <w:tcPr>
            <w:tcW w:w="1828" w:type="dxa"/>
          </w:tcPr>
          <w:p w14:paraId="3DABD0AB" w14:textId="77777777" w:rsidR="007D7848" w:rsidRPr="000A1A01" w:rsidRDefault="007D7848" w:rsidP="002F2A56">
            <w:pPr>
              <w:jc w:val="center"/>
              <w:rPr>
                <w:rFonts w:cs="Arial"/>
                <w:i/>
                <w:sz w:val="20"/>
                <w:szCs w:val="20"/>
              </w:rPr>
            </w:pPr>
            <w:r w:rsidRPr="000A1A01">
              <w:rPr>
                <w:rFonts w:cs="Arial"/>
                <w:i/>
                <w:sz w:val="20"/>
                <w:szCs w:val="20"/>
              </w:rPr>
              <w:t>80*</w:t>
            </w:r>
          </w:p>
        </w:tc>
        <w:tc>
          <w:tcPr>
            <w:tcW w:w="1856" w:type="dxa"/>
          </w:tcPr>
          <w:p w14:paraId="03711461"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24278211" w14:textId="77777777" w:rsidR="007D7848" w:rsidRPr="000A1A01" w:rsidRDefault="007D7848" w:rsidP="002F2A56">
            <w:pPr>
              <w:jc w:val="center"/>
              <w:rPr>
                <w:rFonts w:cs="Arial"/>
                <w:i/>
                <w:sz w:val="20"/>
                <w:szCs w:val="20"/>
              </w:rPr>
            </w:pPr>
            <w:r w:rsidRPr="000A1A01">
              <w:rPr>
                <w:rFonts w:cs="Arial"/>
                <w:i/>
                <w:sz w:val="20"/>
                <w:szCs w:val="20"/>
              </w:rPr>
              <w:t>80*</w:t>
            </w:r>
          </w:p>
        </w:tc>
        <w:tc>
          <w:tcPr>
            <w:tcW w:w="1857" w:type="dxa"/>
          </w:tcPr>
          <w:p w14:paraId="1AB57BD4"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3F5C2997" w14:textId="77777777" w:rsidR="007D7848" w:rsidRPr="000A1A01" w:rsidRDefault="007D7848" w:rsidP="002F2A56">
            <w:pPr>
              <w:jc w:val="center"/>
              <w:rPr>
                <w:rFonts w:cs="Arial"/>
                <w:i/>
                <w:sz w:val="20"/>
                <w:szCs w:val="20"/>
              </w:rPr>
            </w:pPr>
          </w:p>
        </w:tc>
      </w:tr>
      <w:tr w:rsidR="007D7848" w:rsidRPr="000A1A01" w14:paraId="24A623E5" w14:textId="77777777" w:rsidTr="002F2A56">
        <w:tc>
          <w:tcPr>
            <w:tcW w:w="1589" w:type="dxa"/>
          </w:tcPr>
          <w:p w14:paraId="1B0D29BF" w14:textId="77777777" w:rsidR="007D7848" w:rsidRPr="000A1A01" w:rsidRDefault="007D7848" w:rsidP="002F2A56">
            <w:pPr>
              <w:rPr>
                <w:rFonts w:cs="Arial"/>
                <w:i/>
                <w:sz w:val="20"/>
                <w:szCs w:val="20"/>
              </w:rPr>
            </w:pPr>
            <w:r w:rsidRPr="000A1A01">
              <w:rPr>
                <w:rFonts w:cs="Arial"/>
                <w:i/>
                <w:sz w:val="20"/>
                <w:szCs w:val="20"/>
              </w:rPr>
              <w:t>HSB0015a</w:t>
            </w:r>
          </w:p>
        </w:tc>
        <w:tc>
          <w:tcPr>
            <w:tcW w:w="2909" w:type="dxa"/>
          </w:tcPr>
          <w:p w14:paraId="630736BD" w14:textId="77777777" w:rsidR="007D7848" w:rsidRPr="000A1A01" w:rsidRDefault="007D7848" w:rsidP="002F2A56">
            <w:pPr>
              <w:rPr>
                <w:rFonts w:cs="Arial"/>
                <w:i/>
                <w:sz w:val="20"/>
                <w:szCs w:val="20"/>
              </w:rPr>
            </w:pPr>
            <w:r w:rsidRPr="000A1A01">
              <w:rPr>
                <w:rFonts w:cs="Arial"/>
                <w:i/>
                <w:sz w:val="20"/>
                <w:szCs w:val="20"/>
              </w:rPr>
              <w:t>Land south of Cooks Lane (The Paddocks)</w:t>
            </w:r>
          </w:p>
        </w:tc>
        <w:tc>
          <w:tcPr>
            <w:tcW w:w="1362" w:type="dxa"/>
          </w:tcPr>
          <w:p w14:paraId="26CBCCE6" w14:textId="77777777" w:rsidR="007D7848" w:rsidRPr="000A1A01" w:rsidRDefault="007D7848" w:rsidP="002F2A56">
            <w:pPr>
              <w:jc w:val="center"/>
              <w:rPr>
                <w:rFonts w:cs="Arial"/>
                <w:i/>
                <w:sz w:val="20"/>
                <w:szCs w:val="20"/>
              </w:rPr>
            </w:pPr>
            <w:r w:rsidRPr="000A1A01">
              <w:rPr>
                <w:rFonts w:cs="Arial"/>
                <w:i/>
                <w:sz w:val="20"/>
                <w:szCs w:val="20"/>
              </w:rPr>
              <w:t>4.5</w:t>
            </w:r>
          </w:p>
        </w:tc>
        <w:tc>
          <w:tcPr>
            <w:tcW w:w="1828" w:type="dxa"/>
          </w:tcPr>
          <w:p w14:paraId="73805E08" w14:textId="77777777" w:rsidR="007D7848" w:rsidRPr="000A1A01" w:rsidRDefault="007D7848" w:rsidP="002F2A56">
            <w:pPr>
              <w:jc w:val="center"/>
              <w:rPr>
                <w:rFonts w:cs="Arial"/>
                <w:i/>
                <w:sz w:val="20"/>
                <w:szCs w:val="20"/>
              </w:rPr>
            </w:pPr>
            <w:r w:rsidRPr="000A1A01">
              <w:rPr>
                <w:rFonts w:cs="Arial"/>
                <w:i/>
                <w:sz w:val="20"/>
                <w:szCs w:val="20"/>
              </w:rPr>
              <w:t>112*</w:t>
            </w:r>
          </w:p>
        </w:tc>
        <w:tc>
          <w:tcPr>
            <w:tcW w:w="1856" w:type="dxa"/>
          </w:tcPr>
          <w:p w14:paraId="1EA447E1" w14:textId="77777777" w:rsidR="007D7848" w:rsidRPr="000A1A01" w:rsidRDefault="007D7848" w:rsidP="002F2A56">
            <w:pPr>
              <w:jc w:val="center"/>
              <w:rPr>
                <w:rFonts w:cs="Arial"/>
                <w:i/>
                <w:sz w:val="20"/>
                <w:szCs w:val="20"/>
              </w:rPr>
            </w:pPr>
            <w:r w:rsidRPr="000A1A01">
              <w:rPr>
                <w:rFonts w:cs="Arial"/>
                <w:i/>
                <w:sz w:val="20"/>
                <w:szCs w:val="20"/>
              </w:rPr>
              <w:t>25*</w:t>
            </w:r>
          </w:p>
        </w:tc>
        <w:tc>
          <w:tcPr>
            <w:tcW w:w="1857" w:type="dxa"/>
          </w:tcPr>
          <w:p w14:paraId="1F6636AA" w14:textId="77777777" w:rsidR="007D7848" w:rsidRPr="000A1A01" w:rsidRDefault="007D7848" w:rsidP="002F2A56">
            <w:pPr>
              <w:jc w:val="center"/>
              <w:rPr>
                <w:rFonts w:cs="Arial"/>
                <w:i/>
                <w:sz w:val="20"/>
                <w:szCs w:val="20"/>
              </w:rPr>
            </w:pPr>
            <w:r w:rsidRPr="000A1A01">
              <w:rPr>
                <w:rFonts w:cs="Arial"/>
                <w:i/>
                <w:sz w:val="20"/>
                <w:szCs w:val="20"/>
              </w:rPr>
              <w:t>87*</w:t>
            </w:r>
          </w:p>
        </w:tc>
        <w:tc>
          <w:tcPr>
            <w:tcW w:w="1857" w:type="dxa"/>
          </w:tcPr>
          <w:p w14:paraId="2F4BECE1"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0ECB3468" w14:textId="77777777" w:rsidR="007D7848" w:rsidRPr="000A1A01" w:rsidRDefault="007D7848" w:rsidP="002F2A56">
            <w:pPr>
              <w:jc w:val="center"/>
              <w:rPr>
                <w:rFonts w:cs="Arial"/>
                <w:i/>
                <w:sz w:val="20"/>
                <w:szCs w:val="20"/>
              </w:rPr>
            </w:pPr>
            <w:r w:rsidRPr="000A1A01">
              <w:rPr>
                <w:rFonts w:cs="Arial"/>
                <w:i/>
                <w:sz w:val="20"/>
                <w:szCs w:val="20"/>
              </w:rPr>
              <w:t>0</w:t>
            </w:r>
          </w:p>
        </w:tc>
      </w:tr>
      <w:tr w:rsidR="007D7848" w:rsidRPr="000A1A01" w14:paraId="01B91E91" w14:textId="77777777" w:rsidTr="002F2A56">
        <w:tc>
          <w:tcPr>
            <w:tcW w:w="1589" w:type="dxa"/>
          </w:tcPr>
          <w:p w14:paraId="14BBBED1" w14:textId="77777777" w:rsidR="007D7848" w:rsidRPr="000A1A01" w:rsidRDefault="007D7848" w:rsidP="002F2A56">
            <w:pPr>
              <w:rPr>
                <w:rFonts w:cs="Arial"/>
                <w:sz w:val="20"/>
                <w:szCs w:val="20"/>
              </w:rPr>
            </w:pPr>
            <w:r w:rsidRPr="000A1A01">
              <w:rPr>
                <w:rFonts w:cs="Arial"/>
                <w:sz w:val="20"/>
                <w:szCs w:val="20"/>
              </w:rPr>
              <w:br w:type="page"/>
              <w:t>HSB0022a</w:t>
            </w:r>
          </w:p>
        </w:tc>
        <w:tc>
          <w:tcPr>
            <w:tcW w:w="2909" w:type="dxa"/>
          </w:tcPr>
          <w:p w14:paraId="01941B5E" w14:textId="77777777" w:rsidR="007D7848" w:rsidRPr="000A1A01" w:rsidRDefault="007D7848" w:rsidP="002F2A56">
            <w:pPr>
              <w:rPr>
                <w:rFonts w:cs="Arial"/>
                <w:sz w:val="20"/>
                <w:szCs w:val="20"/>
              </w:rPr>
            </w:pPr>
            <w:r w:rsidRPr="000A1A01">
              <w:rPr>
                <w:rFonts w:cs="Arial"/>
                <w:sz w:val="20"/>
                <w:szCs w:val="20"/>
              </w:rPr>
              <w:t>Land west of Tuppenny Lane</w:t>
            </w:r>
          </w:p>
        </w:tc>
        <w:tc>
          <w:tcPr>
            <w:tcW w:w="1362" w:type="dxa"/>
          </w:tcPr>
          <w:p w14:paraId="29EA848C" w14:textId="77777777" w:rsidR="007D7848" w:rsidRPr="000A1A01" w:rsidRDefault="007D7848" w:rsidP="002F2A56">
            <w:pPr>
              <w:jc w:val="center"/>
              <w:rPr>
                <w:rFonts w:cs="Arial"/>
                <w:sz w:val="20"/>
                <w:szCs w:val="20"/>
              </w:rPr>
            </w:pPr>
            <w:r w:rsidRPr="000A1A01">
              <w:rPr>
                <w:rFonts w:cs="Arial"/>
                <w:sz w:val="20"/>
                <w:szCs w:val="20"/>
              </w:rPr>
              <w:t>4</w:t>
            </w:r>
          </w:p>
        </w:tc>
        <w:tc>
          <w:tcPr>
            <w:tcW w:w="1828" w:type="dxa"/>
          </w:tcPr>
          <w:p w14:paraId="24EBA676" w14:textId="77777777" w:rsidR="007D7848" w:rsidRPr="000A1A01" w:rsidRDefault="007D7848" w:rsidP="002F2A56">
            <w:pPr>
              <w:jc w:val="center"/>
              <w:rPr>
                <w:rFonts w:cs="Arial"/>
                <w:sz w:val="20"/>
                <w:szCs w:val="20"/>
              </w:rPr>
            </w:pPr>
            <w:r w:rsidRPr="000A1A01">
              <w:rPr>
                <w:rFonts w:cs="Arial"/>
                <w:sz w:val="20"/>
                <w:szCs w:val="20"/>
              </w:rPr>
              <w:t>110</w:t>
            </w:r>
          </w:p>
        </w:tc>
        <w:tc>
          <w:tcPr>
            <w:tcW w:w="1856" w:type="dxa"/>
          </w:tcPr>
          <w:p w14:paraId="7F5DB34D" w14:textId="77777777" w:rsidR="007D7848" w:rsidRPr="000A1A01" w:rsidRDefault="007D7848" w:rsidP="002F2A56">
            <w:pPr>
              <w:jc w:val="center"/>
              <w:rPr>
                <w:rFonts w:cs="Arial"/>
                <w:sz w:val="20"/>
                <w:szCs w:val="20"/>
              </w:rPr>
            </w:pPr>
            <w:r w:rsidRPr="000A1A01">
              <w:rPr>
                <w:rFonts w:cs="Arial"/>
                <w:sz w:val="20"/>
                <w:szCs w:val="20"/>
              </w:rPr>
              <w:t>70</w:t>
            </w:r>
          </w:p>
        </w:tc>
        <w:tc>
          <w:tcPr>
            <w:tcW w:w="1857" w:type="dxa"/>
          </w:tcPr>
          <w:p w14:paraId="48B47C88" w14:textId="77777777" w:rsidR="007D7848" w:rsidRPr="000A1A01" w:rsidRDefault="007D7848" w:rsidP="002F2A56">
            <w:pPr>
              <w:jc w:val="center"/>
              <w:rPr>
                <w:rFonts w:cs="Arial"/>
                <w:sz w:val="20"/>
                <w:szCs w:val="20"/>
              </w:rPr>
            </w:pPr>
            <w:r w:rsidRPr="000A1A01">
              <w:rPr>
                <w:rFonts w:cs="Arial"/>
                <w:sz w:val="20"/>
                <w:szCs w:val="20"/>
              </w:rPr>
              <w:t>40</w:t>
            </w:r>
          </w:p>
        </w:tc>
        <w:tc>
          <w:tcPr>
            <w:tcW w:w="1857" w:type="dxa"/>
          </w:tcPr>
          <w:p w14:paraId="4F1A50B0" w14:textId="77777777" w:rsidR="007D7848" w:rsidRPr="000A1A01" w:rsidRDefault="007D7848" w:rsidP="002F2A56">
            <w:pPr>
              <w:jc w:val="center"/>
              <w:rPr>
                <w:rFonts w:cs="Arial"/>
                <w:sz w:val="20"/>
                <w:szCs w:val="20"/>
              </w:rPr>
            </w:pPr>
            <w:r w:rsidRPr="000A1A01">
              <w:rPr>
                <w:rFonts w:cs="Arial"/>
                <w:sz w:val="20"/>
                <w:szCs w:val="20"/>
              </w:rPr>
              <w:t>0</w:t>
            </w:r>
          </w:p>
        </w:tc>
        <w:tc>
          <w:tcPr>
            <w:tcW w:w="1857" w:type="dxa"/>
          </w:tcPr>
          <w:p w14:paraId="3F963D44" w14:textId="77777777" w:rsidR="007D7848" w:rsidRPr="000A1A01" w:rsidRDefault="007D7848" w:rsidP="002F2A56">
            <w:pPr>
              <w:jc w:val="center"/>
              <w:rPr>
                <w:rFonts w:cs="Arial"/>
                <w:sz w:val="20"/>
                <w:szCs w:val="20"/>
              </w:rPr>
            </w:pPr>
            <w:r w:rsidRPr="000A1A01">
              <w:rPr>
                <w:rFonts w:cs="Arial"/>
                <w:sz w:val="20"/>
                <w:szCs w:val="20"/>
              </w:rPr>
              <w:t>0</w:t>
            </w:r>
          </w:p>
        </w:tc>
      </w:tr>
      <w:tr w:rsidR="007D7848" w:rsidRPr="000A1A01" w14:paraId="7EE1EC1F" w14:textId="77777777" w:rsidTr="002F2A56">
        <w:tc>
          <w:tcPr>
            <w:tcW w:w="1589" w:type="dxa"/>
          </w:tcPr>
          <w:p w14:paraId="35D65161" w14:textId="77777777" w:rsidR="007D7848" w:rsidRPr="000A1A01" w:rsidRDefault="007D7848" w:rsidP="002F2A56">
            <w:pPr>
              <w:rPr>
                <w:rFonts w:cs="Arial"/>
                <w:sz w:val="20"/>
                <w:szCs w:val="20"/>
              </w:rPr>
            </w:pPr>
            <w:r w:rsidRPr="000A1A01">
              <w:rPr>
                <w:rFonts w:cs="Arial"/>
                <w:sz w:val="20"/>
                <w:szCs w:val="20"/>
              </w:rPr>
              <w:t>HSB0024</w:t>
            </w:r>
          </w:p>
        </w:tc>
        <w:tc>
          <w:tcPr>
            <w:tcW w:w="2909" w:type="dxa"/>
          </w:tcPr>
          <w:p w14:paraId="79FCD2A0" w14:textId="77777777" w:rsidR="007D7848" w:rsidRPr="000A1A01" w:rsidRDefault="007D7848" w:rsidP="002F2A56">
            <w:pPr>
              <w:rPr>
                <w:rFonts w:cs="Arial"/>
                <w:sz w:val="20"/>
                <w:szCs w:val="20"/>
              </w:rPr>
            </w:pPr>
            <w:r w:rsidRPr="000A1A01">
              <w:rPr>
                <w:rFonts w:cs="Arial"/>
                <w:sz w:val="20"/>
                <w:szCs w:val="20"/>
              </w:rPr>
              <w:t>Land west of Bourne Community College</w:t>
            </w:r>
          </w:p>
        </w:tc>
        <w:tc>
          <w:tcPr>
            <w:tcW w:w="1362" w:type="dxa"/>
          </w:tcPr>
          <w:p w14:paraId="7329338A" w14:textId="77777777" w:rsidR="007D7848" w:rsidRPr="000A1A01" w:rsidRDefault="007D7848" w:rsidP="002F2A56">
            <w:pPr>
              <w:jc w:val="center"/>
              <w:rPr>
                <w:rFonts w:cs="Arial"/>
                <w:sz w:val="20"/>
                <w:szCs w:val="20"/>
              </w:rPr>
            </w:pPr>
            <w:r w:rsidRPr="000A1A01">
              <w:rPr>
                <w:rFonts w:cs="Arial"/>
                <w:sz w:val="20"/>
                <w:szCs w:val="20"/>
              </w:rPr>
              <w:t>4.4</w:t>
            </w:r>
          </w:p>
        </w:tc>
        <w:tc>
          <w:tcPr>
            <w:tcW w:w="1828" w:type="dxa"/>
          </w:tcPr>
          <w:p w14:paraId="0EAB393C" w14:textId="77777777" w:rsidR="007D7848" w:rsidRPr="000A1A01" w:rsidRDefault="007D7848" w:rsidP="002F2A56">
            <w:pPr>
              <w:jc w:val="center"/>
              <w:rPr>
                <w:rFonts w:cs="Arial"/>
                <w:sz w:val="20"/>
                <w:szCs w:val="20"/>
              </w:rPr>
            </w:pPr>
            <w:r w:rsidRPr="000A1A01">
              <w:rPr>
                <w:rFonts w:cs="Arial"/>
                <w:sz w:val="20"/>
                <w:szCs w:val="20"/>
              </w:rPr>
              <w:t>130</w:t>
            </w:r>
          </w:p>
        </w:tc>
        <w:tc>
          <w:tcPr>
            <w:tcW w:w="1856" w:type="dxa"/>
          </w:tcPr>
          <w:p w14:paraId="59BF6F43" w14:textId="77777777" w:rsidR="007D7848" w:rsidRPr="000A1A01" w:rsidRDefault="007D7848" w:rsidP="002F2A56">
            <w:pPr>
              <w:jc w:val="center"/>
              <w:rPr>
                <w:rFonts w:cs="Arial"/>
                <w:sz w:val="20"/>
                <w:szCs w:val="20"/>
              </w:rPr>
            </w:pPr>
            <w:r w:rsidRPr="000A1A01">
              <w:rPr>
                <w:rFonts w:cs="Arial"/>
                <w:sz w:val="20"/>
                <w:szCs w:val="20"/>
              </w:rPr>
              <w:t>0</w:t>
            </w:r>
          </w:p>
        </w:tc>
        <w:tc>
          <w:tcPr>
            <w:tcW w:w="1857" w:type="dxa"/>
          </w:tcPr>
          <w:p w14:paraId="201C4D96" w14:textId="77777777" w:rsidR="007D7848" w:rsidRPr="000A1A01" w:rsidRDefault="007D7848" w:rsidP="002F2A56">
            <w:pPr>
              <w:jc w:val="center"/>
              <w:rPr>
                <w:rFonts w:cs="Arial"/>
                <w:sz w:val="20"/>
                <w:szCs w:val="20"/>
              </w:rPr>
            </w:pPr>
            <w:r w:rsidRPr="000A1A01">
              <w:rPr>
                <w:rFonts w:cs="Arial"/>
                <w:sz w:val="20"/>
                <w:szCs w:val="20"/>
              </w:rPr>
              <w:t>0</w:t>
            </w:r>
          </w:p>
        </w:tc>
        <w:tc>
          <w:tcPr>
            <w:tcW w:w="1857" w:type="dxa"/>
          </w:tcPr>
          <w:p w14:paraId="78D92AB6" w14:textId="77777777" w:rsidR="007D7848" w:rsidRPr="000A1A01" w:rsidRDefault="007D7848" w:rsidP="002F2A56">
            <w:pPr>
              <w:jc w:val="center"/>
              <w:rPr>
                <w:rFonts w:cs="Arial"/>
                <w:sz w:val="20"/>
                <w:szCs w:val="20"/>
              </w:rPr>
            </w:pPr>
            <w:r w:rsidRPr="000A1A01">
              <w:rPr>
                <w:rFonts w:cs="Arial"/>
                <w:sz w:val="20"/>
                <w:szCs w:val="20"/>
              </w:rPr>
              <w:t>130</w:t>
            </w:r>
          </w:p>
        </w:tc>
        <w:tc>
          <w:tcPr>
            <w:tcW w:w="1857" w:type="dxa"/>
          </w:tcPr>
          <w:p w14:paraId="3E48834D" w14:textId="77777777" w:rsidR="007D7848" w:rsidRPr="000A1A01" w:rsidRDefault="007D7848" w:rsidP="002F2A56">
            <w:pPr>
              <w:jc w:val="center"/>
              <w:rPr>
                <w:rFonts w:cs="Arial"/>
                <w:sz w:val="20"/>
                <w:szCs w:val="20"/>
              </w:rPr>
            </w:pPr>
            <w:r w:rsidRPr="000A1A01">
              <w:rPr>
                <w:rFonts w:cs="Arial"/>
                <w:sz w:val="20"/>
                <w:szCs w:val="20"/>
              </w:rPr>
              <w:t>0</w:t>
            </w:r>
          </w:p>
        </w:tc>
      </w:tr>
      <w:tr w:rsidR="007D7848" w:rsidRPr="000A1A01" w14:paraId="242818E8" w14:textId="77777777" w:rsidTr="002F2A56">
        <w:tc>
          <w:tcPr>
            <w:tcW w:w="1589" w:type="dxa"/>
          </w:tcPr>
          <w:p w14:paraId="3C2C6895" w14:textId="77777777" w:rsidR="007D7848" w:rsidRPr="000A1A01" w:rsidRDefault="007D7848" w:rsidP="002F2A56">
            <w:pPr>
              <w:rPr>
                <w:rFonts w:cs="Arial"/>
                <w:sz w:val="20"/>
                <w:szCs w:val="20"/>
              </w:rPr>
            </w:pPr>
            <w:r w:rsidRPr="000A1A01">
              <w:rPr>
                <w:rFonts w:cs="Arial"/>
                <w:sz w:val="20"/>
                <w:szCs w:val="20"/>
              </w:rPr>
              <w:t>HSB0026a</w:t>
            </w:r>
          </w:p>
        </w:tc>
        <w:tc>
          <w:tcPr>
            <w:tcW w:w="2909" w:type="dxa"/>
          </w:tcPr>
          <w:p w14:paraId="0EB4F7C5" w14:textId="77777777" w:rsidR="007D7848" w:rsidRPr="000A1A01" w:rsidRDefault="007D7848" w:rsidP="002F2A56">
            <w:pPr>
              <w:rPr>
                <w:rFonts w:cs="Arial"/>
                <w:sz w:val="20"/>
                <w:szCs w:val="20"/>
              </w:rPr>
            </w:pPr>
            <w:r w:rsidRPr="000A1A01">
              <w:rPr>
                <w:rFonts w:cs="Arial"/>
                <w:sz w:val="20"/>
                <w:szCs w:val="20"/>
              </w:rPr>
              <w:t>Land at Cooks Farm</w:t>
            </w:r>
          </w:p>
        </w:tc>
        <w:tc>
          <w:tcPr>
            <w:tcW w:w="1362" w:type="dxa"/>
          </w:tcPr>
          <w:p w14:paraId="4F91F9A9" w14:textId="77777777" w:rsidR="007D7848" w:rsidRPr="000A1A01" w:rsidRDefault="007D7848" w:rsidP="002F2A56">
            <w:pPr>
              <w:jc w:val="center"/>
              <w:rPr>
                <w:rFonts w:cs="Arial"/>
                <w:sz w:val="20"/>
                <w:szCs w:val="20"/>
              </w:rPr>
            </w:pPr>
            <w:r w:rsidRPr="000A1A01">
              <w:rPr>
                <w:rFonts w:cs="Arial"/>
                <w:sz w:val="20"/>
                <w:szCs w:val="20"/>
              </w:rPr>
              <w:t>2.2</w:t>
            </w:r>
          </w:p>
        </w:tc>
        <w:tc>
          <w:tcPr>
            <w:tcW w:w="1828" w:type="dxa"/>
          </w:tcPr>
          <w:p w14:paraId="2E23B1F8" w14:textId="77777777" w:rsidR="007D7848" w:rsidRPr="000A1A01" w:rsidRDefault="007D7848" w:rsidP="002F2A56">
            <w:pPr>
              <w:jc w:val="center"/>
              <w:rPr>
                <w:rFonts w:cs="Arial"/>
                <w:sz w:val="20"/>
                <w:szCs w:val="20"/>
              </w:rPr>
            </w:pPr>
            <w:r w:rsidRPr="000A1A01">
              <w:rPr>
                <w:rFonts w:cs="Arial"/>
                <w:sz w:val="20"/>
                <w:szCs w:val="20"/>
              </w:rPr>
              <w:t>52</w:t>
            </w:r>
          </w:p>
        </w:tc>
        <w:tc>
          <w:tcPr>
            <w:tcW w:w="1856" w:type="dxa"/>
          </w:tcPr>
          <w:p w14:paraId="2A6F4E50" w14:textId="77777777" w:rsidR="007D7848" w:rsidRPr="000A1A01" w:rsidRDefault="007D7848" w:rsidP="002F2A56">
            <w:pPr>
              <w:jc w:val="center"/>
              <w:rPr>
                <w:rFonts w:cs="Arial"/>
                <w:sz w:val="20"/>
                <w:szCs w:val="20"/>
              </w:rPr>
            </w:pPr>
            <w:r w:rsidRPr="000A1A01">
              <w:rPr>
                <w:rFonts w:cs="Arial"/>
                <w:sz w:val="20"/>
                <w:szCs w:val="20"/>
              </w:rPr>
              <w:t>0</w:t>
            </w:r>
          </w:p>
        </w:tc>
        <w:tc>
          <w:tcPr>
            <w:tcW w:w="1857" w:type="dxa"/>
          </w:tcPr>
          <w:p w14:paraId="0B1C1707" w14:textId="77777777" w:rsidR="007D7848" w:rsidRPr="000A1A01" w:rsidRDefault="007D7848" w:rsidP="002F2A56">
            <w:pPr>
              <w:jc w:val="center"/>
              <w:rPr>
                <w:rFonts w:cs="Arial"/>
                <w:sz w:val="20"/>
                <w:szCs w:val="20"/>
              </w:rPr>
            </w:pPr>
            <w:r w:rsidRPr="000A1A01">
              <w:rPr>
                <w:rFonts w:cs="Arial"/>
                <w:sz w:val="20"/>
                <w:szCs w:val="20"/>
              </w:rPr>
              <w:t>0</w:t>
            </w:r>
          </w:p>
        </w:tc>
        <w:tc>
          <w:tcPr>
            <w:tcW w:w="1857" w:type="dxa"/>
          </w:tcPr>
          <w:p w14:paraId="4FAC115A" w14:textId="77777777" w:rsidR="007D7848" w:rsidRPr="000A1A01" w:rsidRDefault="007D7848" w:rsidP="002F2A56">
            <w:pPr>
              <w:jc w:val="center"/>
              <w:rPr>
                <w:rFonts w:cs="Arial"/>
                <w:sz w:val="20"/>
                <w:szCs w:val="20"/>
              </w:rPr>
            </w:pPr>
            <w:r w:rsidRPr="000A1A01">
              <w:rPr>
                <w:rFonts w:cs="Arial"/>
                <w:sz w:val="20"/>
                <w:szCs w:val="20"/>
              </w:rPr>
              <w:t>52</w:t>
            </w:r>
          </w:p>
        </w:tc>
        <w:tc>
          <w:tcPr>
            <w:tcW w:w="1857" w:type="dxa"/>
          </w:tcPr>
          <w:p w14:paraId="1722912D" w14:textId="77777777" w:rsidR="007D7848" w:rsidRPr="000A1A01" w:rsidRDefault="007D7848" w:rsidP="002F2A56">
            <w:pPr>
              <w:jc w:val="center"/>
              <w:rPr>
                <w:rFonts w:cs="Arial"/>
                <w:sz w:val="20"/>
                <w:szCs w:val="20"/>
              </w:rPr>
            </w:pPr>
            <w:r w:rsidRPr="000A1A01">
              <w:rPr>
                <w:rFonts w:cs="Arial"/>
                <w:sz w:val="20"/>
                <w:szCs w:val="20"/>
              </w:rPr>
              <w:t>0</w:t>
            </w:r>
          </w:p>
        </w:tc>
      </w:tr>
      <w:tr w:rsidR="007D7848" w:rsidRPr="000A1A01" w14:paraId="3A2C3CF2" w14:textId="77777777" w:rsidTr="002F2A56">
        <w:tc>
          <w:tcPr>
            <w:tcW w:w="1589" w:type="dxa"/>
          </w:tcPr>
          <w:p w14:paraId="3150408B" w14:textId="77777777" w:rsidR="007D7848" w:rsidRPr="000A1A01" w:rsidRDefault="007D7848" w:rsidP="002F2A56">
            <w:pPr>
              <w:rPr>
                <w:rFonts w:cs="Arial"/>
                <w:sz w:val="20"/>
                <w:szCs w:val="20"/>
              </w:rPr>
            </w:pPr>
            <w:r w:rsidRPr="000A1A01">
              <w:rPr>
                <w:rFonts w:cs="Arial"/>
                <w:sz w:val="20"/>
                <w:szCs w:val="20"/>
              </w:rPr>
              <w:t>HSB0027</w:t>
            </w:r>
          </w:p>
        </w:tc>
        <w:tc>
          <w:tcPr>
            <w:tcW w:w="2909" w:type="dxa"/>
          </w:tcPr>
          <w:p w14:paraId="6EC8DA2D" w14:textId="77777777" w:rsidR="007D7848" w:rsidRPr="000A1A01" w:rsidRDefault="007D7848" w:rsidP="002F2A56">
            <w:pPr>
              <w:rPr>
                <w:rFonts w:cs="Arial"/>
                <w:sz w:val="20"/>
                <w:szCs w:val="20"/>
              </w:rPr>
            </w:pPr>
            <w:r w:rsidRPr="000A1A01">
              <w:rPr>
                <w:rFonts w:cs="Arial"/>
                <w:sz w:val="20"/>
                <w:szCs w:val="20"/>
              </w:rPr>
              <w:t>Land south of West View Cottages</w:t>
            </w:r>
          </w:p>
        </w:tc>
        <w:tc>
          <w:tcPr>
            <w:tcW w:w="1362" w:type="dxa"/>
          </w:tcPr>
          <w:p w14:paraId="2A66EDB4" w14:textId="77777777" w:rsidR="007D7848" w:rsidRPr="000A1A01" w:rsidRDefault="007D7848" w:rsidP="002F2A56">
            <w:pPr>
              <w:jc w:val="center"/>
              <w:rPr>
                <w:rFonts w:cs="Arial"/>
                <w:sz w:val="20"/>
                <w:szCs w:val="20"/>
              </w:rPr>
            </w:pPr>
            <w:r w:rsidRPr="000A1A01">
              <w:rPr>
                <w:rFonts w:cs="Arial"/>
                <w:sz w:val="20"/>
                <w:szCs w:val="20"/>
              </w:rPr>
              <w:t>0.8</w:t>
            </w:r>
          </w:p>
        </w:tc>
        <w:tc>
          <w:tcPr>
            <w:tcW w:w="1828" w:type="dxa"/>
          </w:tcPr>
          <w:p w14:paraId="49B9E7E2" w14:textId="77777777" w:rsidR="007D7848" w:rsidRPr="000A1A01" w:rsidRDefault="007D7848" w:rsidP="002F2A56">
            <w:pPr>
              <w:jc w:val="center"/>
              <w:rPr>
                <w:rFonts w:cs="Arial"/>
                <w:sz w:val="20"/>
                <w:szCs w:val="20"/>
              </w:rPr>
            </w:pPr>
            <w:r w:rsidRPr="000A1A01">
              <w:rPr>
                <w:rFonts w:cs="Arial"/>
                <w:sz w:val="20"/>
                <w:szCs w:val="20"/>
              </w:rPr>
              <w:t>31</w:t>
            </w:r>
          </w:p>
        </w:tc>
        <w:tc>
          <w:tcPr>
            <w:tcW w:w="1856" w:type="dxa"/>
          </w:tcPr>
          <w:p w14:paraId="7C01AC9A" w14:textId="77777777" w:rsidR="007D7848" w:rsidRPr="000A1A01" w:rsidRDefault="007D7848" w:rsidP="002F2A56">
            <w:pPr>
              <w:jc w:val="center"/>
              <w:rPr>
                <w:rFonts w:cs="Arial"/>
                <w:sz w:val="20"/>
                <w:szCs w:val="20"/>
              </w:rPr>
            </w:pPr>
            <w:r w:rsidRPr="000A1A01">
              <w:rPr>
                <w:rFonts w:cs="Arial"/>
                <w:sz w:val="20"/>
                <w:szCs w:val="20"/>
              </w:rPr>
              <w:t>0</w:t>
            </w:r>
          </w:p>
        </w:tc>
        <w:tc>
          <w:tcPr>
            <w:tcW w:w="1857" w:type="dxa"/>
          </w:tcPr>
          <w:p w14:paraId="6747988A" w14:textId="77777777" w:rsidR="007D7848" w:rsidRPr="000A1A01" w:rsidRDefault="007D7848" w:rsidP="002F2A56">
            <w:pPr>
              <w:jc w:val="center"/>
              <w:rPr>
                <w:rFonts w:cs="Arial"/>
                <w:sz w:val="20"/>
                <w:szCs w:val="20"/>
              </w:rPr>
            </w:pPr>
            <w:r w:rsidRPr="000A1A01">
              <w:rPr>
                <w:rFonts w:cs="Arial"/>
                <w:sz w:val="20"/>
                <w:szCs w:val="20"/>
              </w:rPr>
              <w:t>31</w:t>
            </w:r>
          </w:p>
        </w:tc>
        <w:tc>
          <w:tcPr>
            <w:tcW w:w="1857" w:type="dxa"/>
          </w:tcPr>
          <w:p w14:paraId="40B3C511" w14:textId="77777777" w:rsidR="007D7848" w:rsidRPr="000A1A01" w:rsidRDefault="007D7848" w:rsidP="002F2A56">
            <w:pPr>
              <w:jc w:val="center"/>
              <w:rPr>
                <w:rFonts w:cs="Arial"/>
                <w:sz w:val="20"/>
                <w:szCs w:val="20"/>
              </w:rPr>
            </w:pPr>
            <w:r w:rsidRPr="000A1A01">
              <w:rPr>
                <w:rFonts w:cs="Arial"/>
                <w:sz w:val="20"/>
                <w:szCs w:val="20"/>
              </w:rPr>
              <w:t>0</w:t>
            </w:r>
          </w:p>
        </w:tc>
        <w:tc>
          <w:tcPr>
            <w:tcW w:w="1857" w:type="dxa"/>
          </w:tcPr>
          <w:p w14:paraId="4B9BFC56" w14:textId="77777777" w:rsidR="007D7848" w:rsidRPr="000A1A01" w:rsidRDefault="007D7848" w:rsidP="002F2A56">
            <w:pPr>
              <w:jc w:val="center"/>
              <w:rPr>
                <w:rFonts w:cs="Arial"/>
                <w:sz w:val="20"/>
                <w:szCs w:val="20"/>
              </w:rPr>
            </w:pPr>
            <w:r w:rsidRPr="000A1A01">
              <w:rPr>
                <w:rFonts w:cs="Arial"/>
                <w:sz w:val="20"/>
                <w:szCs w:val="20"/>
              </w:rPr>
              <w:t>0</w:t>
            </w:r>
          </w:p>
        </w:tc>
      </w:tr>
      <w:tr w:rsidR="007D7848" w:rsidRPr="000A1A01" w14:paraId="3EF880CE" w14:textId="77777777" w:rsidTr="002F2A56">
        <w:tc>
          <w:tcPr>
            <w:tcW w:w="1589" w:type="dxa"/>
          </w:tcPr>
          <w:p w14:paraId="4E2AD140" w14:textId="77777777" w:rsidR="007D7848" w:rsidRPr="000A1A01" w:rsidRDefault="007D7848" w:rsidP="002F2A56">
            <w:pPr>
              <w:rPr>
                <w:rFonts w:cs="Arial"/>
                <w:sz w:val="20"/>
                <w:szCs w:val="20"/>
              </w:rPr>
            </w:pPr>
            <w:r w:rsidRPr="000A1A01">
              <w:rPr>
                <w:rFonts w:cs="Arial"/>
                <w:sz w:val="20"/>
                <w:szCs w:val="20"/>
              </w:rPr>
              <w:t>HSB0033</w:t>
            </w:r>
          </w:p>
        </w:tc>
        <w:tc>
          <w:tcPr>
            <w:tcW w:w="2909" w:type="dxa"/>
          </w:tcPr>
          <w:p w14:paraId="5BAA6D13" w14:textId="77777777" w:rsidR="007D7848" w:rsidRPr="000A1A01" w:rsidRDefault="007D7848" w:rsidP="002F2A56">
            <w:pPr>
              <w:rPr>
                <w:rFonts w:cs="Arial"/>
                <w:sz w:val="20"/>
                <w:szCs w:val="20"/>
              </w:rPr>
            </w:pPr>
            <w:r w:rsidRPr="000A1A01">
              <w:rPr>
                <w:rFonts w:cs="Arial"/>
                <w:sz w:val="20"/>
                <w:szCs w:val="20"/>
              </w:rPr>
              <w:t>Land north of Priors Leaze Lane</w:t>
            </w:r>
          </w:p>
        </w:tc>
        <w:tc>
          <w:tcPr>
            <w:tcW w:w="1362" w:type="dxa"/>
          </w:tcPr>
          <w:p w14:paraId="3427502A" w14:textId="77777777" w:rsidR="007D7848" w:rsidRPr="000A1A01" w:rsidRDefault="007D7848" w:rsidP="002F2A56">
            <w:pPr>
              <w:jc w:val="center"/>
              <w:rPr>
                <w:rFonts w:cs="Arial"/>
                <w:sz w:val="20"/>
                <w:szCs w:val="20"/>
              </w:rPr>
            </w:pPr>
            <w:r w:rsidRPr="000A1A01">
              <w:rPr>
                <w:rFonts w:cs="Arial"/>
                <w:sz w:val="20"/>
                <w:szCs w:val="20"/>
              </w:rPr>
              <w:t>0.7</w:t>
            </w:r>
          </w:p>
        </w:tc>
        <w:tc>
          <w:tcPr>
            <w:tcW w:w="1828" w:type="dxa"/>
          </w:tcPr>
          <w:p w14:paraId="633B2210" w14:textId="77777777" w:rsidR="007D7848" w:rsidRPr="000A1A01" w:rsidRDefault="007D7848" w:rsidP="002F2A56">
            <w:pPr>
              <w:jc w:val="center"/>
              <w:rPr>
                <w:rFonts w:cs="Arial"/>
                <w:sz w:val="20"/>
                <w:szCs w:val="20"/>
              </w:rPr>
            </w:pPr>
            <w:r w:rsidRPr="000A1A01">
              <w:rPr>
                <w:rFonts w:cs="Arial"/>
                <w:sz w:val="20"/>
                <w:szCs w:val="20"/>
              </w:rPr>
              <w:t>19</w:t>
            </w:r>
          </w:p>
        </w:tc>
        <w:tc>
          <w:tcPr>
            <w:tcW w:w="1856" w:type="dxa"/>
          </w:tcPr>
          <w:p w14:paraId="6E96B29A" w14:textId="77777777" w:rsidR="007D7848" w:rsidRPr="000A1A01" w:rsidRDefault="007D7848" w:rsidP="002F2A56">
            <w:pPr>
              <w:jc w:val="center"/>
              <w:rPr>
                <w:rFonts w:cs="Arial"/>
                <w:sz w:val="20"/>
                <w:szCs w:val="20"/>
              </w:rPr>
            </w:pPr>
            <w:r w:rsidRPr="000A1A01">
              <w:rPr>
                <w:rFonts w:cs="Arial"/>
                <w:sz w:val="20"/>
                <w:szCs w:val="20"/>
              </w:rPr>
              <w:t>0</w:t>
            </w:r>
          </w:p>
        </w:tc>
        <w:tc>
          <w:tcPr>
            <w:tcW w:w="1857" w:type="dxa"/>
          </w:tcPr>
          <w:p w14:paraId="264EA247" w14:textId="77777777" w:rsidR="007D7848" w:rsidRPr="000A1A01" w:rsidRDefault="007D7848" w:rsidP="002F2A56">
            <w:pPr>
              <w:jc w:val="center"/>
              <w:rPr>
                <w:rFonts w:cs="Arial"/>
                <w:sz w:val="20"/>
                <w:szCs w:val="20"/>
              </w:rPr>
            </w:pPr>
            <w:r w:rsidRPr="000A1A01">
              <w:rPr>
                <w:rFonts w:cs="Arial"/>
                <w:sz w:val="20"/>
                <w:szCs w:val="20"/>
              </w:rPr>
              <w:t>0</w:t>
            </w:r>
          </w:p>
        </w:tc>
        <w:tc>
          <w:tcPr>
            <w:tcW w:w="1857" w:type="dxa"/>
          </w:tcPr>
          <w:p w14:paraId="31B439A9" w14:textId="77777777" w:rsidR="007D7848" w:rsidRPr="000A1A01" w:rsidRDefault="007D7848" w:rsidP="002F2A56">
            <w:pPr>
              <w:jc w:val="center"/>
              <w:rPr>
                <w:rFonts w:cs="Arial"/>
                <w:sz w:val="20"/>
                <w:szCs w:val="20"/>
              </w:rPr>
            </w:pPr>
            <w:r w:rsidRPr="000A1A01">
              <w:rPr>
                <w:rFonts w:cs="Arial"/>
                <w:sz w:val="20"/>
                <w:szCs w:val="20"/>
              </w:rPr>
              <w:t>19</w:t>
            </w:r>
          </w:p>
        </w:tc>
        <w:tc>
          <w:tcPr>
            <w:tcW w:w="1857" w:type="dxa"/>
          </w:tcPr>
          <w:p w14:paraId="6A14E740" w14:textId="77777777" w:rsidR="007D7848" w:rsidRPr="000A1A01" w:rsidRDefault="007D7848" w:rsidP="002F2A56">
            <w:pPr>
              <w:jc w:val="center"/>
              <w:rPr>
                <w:rFonts w:cs="Arial"/>
                <w:sz w:val="20"/>
                <w:szCs w:val="20"/>
              </w:rPr>
            </w:pPr>
            <w:r w:rsidRPr="000A1A01">
              <w:rPr>
                <w:rFonts w:cs="Arial"/>
                <w:sz w:val="20"/>
                <w:szCs w:val="20"/>
              </w:rPr>
              <w:t>0</w:t>
            </w:r>
          </w:p>
        </w:tc>
      </w:tr>
      <w:tr w:rsidR="007D7848" w:rsidRPr="000A1A01" w14:paraId="2C0354DC" w14:textId="77777777" w:rsidTr="002F2A56">
        <w:tc>
          <w:tcPr>
            <w:tcW w:w="1589" w:type="dxa"/>
          </w:tcPr>
          <w:p w14:paraId="5E7230A8" w14:textId="77777777" w:rsidR="007D7848" w:rsidRPr="000A1A01" w:rsidRDefault="007D7848" w:rsidP="002F2A56">
            <w:pPr>
              <w:rPr>
                <w:rFonts w:cs="Arial"/>
                <w:i/>
                <w:sz w:val="20"/>
                <w:szCs w:val="20"/>
              </w:rPr>
            </w:pPr>
            <w:r w:rsidRPr="000A1A01">
              <w:rPr>
                <w:rFonts w:cs="Arial"/>
                <w:i/>
                <w:sz w:val="20"/>
                <w:szCs w:val="20"/>
              </w:rPr>
              <w:t>HSB0034</w:t>
            </w:r>
          </w:p>
        </w:tc>
        <w:tc>
          <w:tcPr>
            <w:tcW w:w="2909" w:type="dxa"/>
          </w:tcPr>
          <w:p w14:paraId="5DC1845B" w14:textId="77777777" w:rsidR="007D7848" w:rsidRPr="000A1A01" w:rsidRDefault="007D7848" w:rsidP="002F2A56">
            <w:pPr>
              <w:rPr>
                <w:rFonts w:cs="Arial"/>
                <w:i/>
                <w:sz w:val="20"/>
                <w:szCs w:val="20"/>
              </w:rPr>
            </w:pPr>
            <w:r w:rsidRPr="000A1A01">
              <w:rPr>
                <w:rFonts w:cs="Arial"/>
                <w:i/>
                <w:sz w:val="20"/>
                <w:szCs w:val="20"/>
              </w:rPr>
              <w:t>Land south of Inlands Barn</w:t>
            </w:r>
          </w:p>
        </w:tc>
        <w:tc>
          <w:tcPr>
            <w:tcW w:w="1362" w:type="dxa"/>
          </w:tcPr>
          <w:p w14:paraId="63FF8367" w14:textId="77777777" w:rsidR="007D7848" w:rsidRPr="000A1A01" w:rsidRDefault="007D7848" w:rsidP="002F2A56">
            <w:pPr>
              <w:jc w:val="center"/>
              <w:rPr>
                <w:rFonts w:cs="Arial"/>
                <w:i/>
                <w:sz w:val="20"/>
                <w:szCs w:val="20"/>
              </w:rPr>
            </w:pPr>
            <w:r w:rsidRPr="000A1A01">
              <w:rPr>
                <w:rFonts w:cs="Arial"/>
                <w:i/>
                <w:sz w:val="20"/>
                <w:szCs w:val="20"/>
              </w:rPr>
              <w:t>2.8</w:t>
            </w:r>
          </w:p>
        </w:tc>
        <w:tc>
          <w:tcPr>
            <w:tcW w:w="1828" w:type="dxa"/>
          </w:tcPr>
          <w:p w14:paraId="5C60F948" w14:textId="77777777" w:rsidR="007D7848" w:rsidRPr="000A1A01" w:rsidRDefault="007D7848" w:rsidP="002F2A56">
            <w:pPr>
              <w:jc w:val="center"/>
              <w:rPr>
                <w:rFonts w:cs="Arial"/>
                <w:i/>
                <w:sz w:val="20"/>
                <w:szCs w:val="20"/>
              </w:rPr>
            </w:pPr>
            <w:r w:rsidRPr="000A1A01">
              <w:rPr>
                <w:rFonts w:cs="Arial"/>
                <w:i/>
                <w:sz w:val="20"/>
                <w:szCs w:val="20"/>
              </w:rPr>
              <w:t>92*</w:t>
            </w:r>
          </w:p>
        </w:tc>
        <w:tc>
          <w:tcPr>
            <w:tcW w:w="1856" w:type="dxa"/>
          </w:tcPr>
          <w:p w14:paraId="0F482A75"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5E91822D" w14:textId="77777777" w:rsidR="007D7848" w:rsidRPr="000A1A01" w:rsidRDefault="007D7848" w:rsidP="002F2A56">
            <w:pPr>
              <w:jc w:val="center"/>
              <w:rPr>
                <w:rFonts w:cs="Arial"/>
                <w:i/>
                <w:sz w:val="20"/>
                <w:szCs w:val="20"/>
              </w:rPr>
            </w:pPr>
            <w:r w:rsidRPr="000A1A01">
              <w:rPr>
                <w:rFonts w:cs="Arial"/>
                <w:i/>
                <w:sz w:val="20"/>
                <w:szCs w:val="20"/>
              </w:rPr>
              <w:t>92*</w:t>
            </w:r>
          </w:p>
        </w:tc>
        <w:tc>
          <w:tcPr>
            <w:tcW w:w="1857" w:type="dxa"/>
          </w:tcPr>
          <w:p w14:paraId="0F3BD09E"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04BEEFD4" w14:textId="77777777" w:rsidR="007D7848" w:rsidRPr="000A1A01" w:rsidRDefault="007D7848" w:rsidP="002F2A56">
            <w:pPr>
              <w:jc w:val="center"/>
              <w:rPr>
                <w:rFonts w:cs="Arial"/>
                <w:i/>
                <w:sz w:val="20"/>
                <w:szCs w:val="20"/>
              </w:rPr>
            </w:pPr>
            <w:r w:rsidRPr="000A1A01">
              <w:rPr>
                <w:rFonts w:cs="Arial"/>
                <w:i/>
                <w:sz w:val="20"/>
                <w:szCs w:val="20"/>
              </w:rPr>
              <w:t>0</w:t>
            </w:r>
          </w:p>
        </w:tc>
      </w:tr>
      <w:tr w:rsidR="007D7848" w:rsidRPr="000A1A01" w14:paraId="4AB449C8" w14:textId="77777777" w:rsidTr="002F2A56">
        <w:tc>
          <w:tcPr>
            <w:tcW w:w="1589" w:type="dxa"/>
          </w:tcPr>
          <w:p w14:paraId="16DB4248" w14:textId="77777777" w:rsidR="007D7848" w:rsidRPr="000A1A01" w:rsidRDefault="007D7848" w:rsidP="002F2A56">
            <w:pPr>
              <w:rPr>
                <w:rFonts w:cs="Arial"/>
                <w:sz w:val="20"/>
                <w:szCs w:val="20"/>
              </w:rPr>
            </w:pPr>
            <w:r w:rsidRPr="000A1A01">
              <w:rPr>
                <w:rFonts w:cs="Arial"/>
                <w:sz w:val="20"/>
                <w:szCs w:val="20"/>
              </w:rPr>
              <w:t>HSB0037a</w:t>
            </w:r>
          </w:p>
        </w:tc>
        <w:tc>
          <w:tcPr>
            <w:tcW w:w="2909" w:type="dxa"/>
          </w:tcPr>
          <w:p w14:paraId="748A8D22" w14:textId="77777777" w:rsidR="007D7848" w:rsidRPr="000A1A01" w:rsidRDefault="007D7848" w:rsidP="002F2A56">
            <w:pPr>
              <w:rPr>
                <w:rFonts w:cs="Arial"/>
                <w:sz w:val="20"/>
                <w:szCs w:val="20"/>
              </w:rPr>
            </w:pPr>
            <w:r w:rsidRPr="000A1A01">
              <w:rPr>
                <w:rFonts w:cs="Arial"/>
                <w:sz w:val="20"/>
                <w:szCs w:val="20"/>
              </w:rPr>
              <w:t>Land between Southbourne and Hambrook</w:t>
            </w:r>
          </w:p>
        </w:tc>
        <w:tc>
          <w:tcPr>
            <w:tcW w:w="1362" w:type="dxa"/>
          </w:tcPr>
          <w:p w14:paraId="02554E69" w14:textId="77777777" w:rsidR="007D7848" w:rsidRPr="000A1A01" w:rsidRDefault="007D7848" w:rsidP="002F2A56">
            <w:pPr>
              <w:jc w:val="center"/>
              <w:rPr>
                <w:rFonts w:cs="Arial"/>
                <w:sz w:val="20"/>
                <w:szCs w:val="20"/>
              </w:rPr>
            </w:pPr>
            <w:r w:rsidRPr="000A1A01">
              <w:rPr>
                <w:rFonts w:cs="Arial"/>
                <w:sz w:val="20"/>
                <w:szCs w:val="20"/>
              </w:rPr>
              <w:t>85.1</w:t>
            </w:r>
          </w:p>
        </w:tc>
        <w:tc>
          <w:tcPr>
            <w:tcW w:w="1828" w:type="dxa"/>
          </w:tcPr>
          <w:p w14:paraId="1DADCBC4" w14:textId="77777777" w:rsidR="007D7848" w:rsidRPr="000A1A01" w:rsidRDefault="007D7848" w:rsidP="002F2A56">
            <w:pPr>
              <w:jc w:val="center"/>
              <w:rPr>
                <w:rFonts w:cs="Arial"/>
                <w:sz w:val="20"/>
                <w:szCs w:val="20"/>
              </w:rPr>
            </w:pPr>
            <w:r w:rsidRPr="000A1A01">
              <w:rPr>
                <w:rFonts w:cs="Arial"/>
                <w:sz w:val="20"/>
                <w:szCs w:val="20"/>
              </w:rPr>
              <w:t>2000</w:t>
            </w:r>
          </w:p>
        </w:tc>
        <w:tc>
          <w:tcPr>
            <w:tcW w:w="1856" w:type="dxa"/>
          </w:tcPr>
          <w:p w14:paraId="2F6EEBD5" w14:textId="77777777" w:rsidR="007D7848" w:rsidRPr="000A1A01" w:rsidRDefault="007D7848" w:rsidP="002F2A56">
            <w:pPr>
              <w:jc w:val="center"/>
              <w:rPr>
                <w:rFonts w:cs="Arial"/>
                <w:sz w:val="20"/>
                <w:szCs w:val="20"/>
              </w:rPr>
            </w:pPr>
            <w:r w:rsidRPr="000A1A01">
              <w:rPr>
                <w:rFonts w:cs="Arial"/>
                <w:sz w:val="20"/>
                <w:szCs w:val="20"/>
              </w:rPr>
              <w:t>50</w:t>
            </w:r>
          </w:p>
        </w:tc>
        <w:tc>
          <w:tcPr>
            <w:tcW w:w="1857" w:type="dxa"/>
          </w:tcPr>
          <w:p w14:paraId="4D5A1BC0" w14:textId="77777777" w:rsidR="007D7848" w:rsidRPr="000A1A01" w:rsidRDefault="007D7848" w:rsidP="002F2A56">
            <w:pPr>
              <w:jc w:val="center"/>
              <w:rPr>
                <w:rFonts w:cs="Arial"/>
                <w:sz w:val="20"/>
                <w:szCs w:val="20"/>
              </w:rPr>
            </w:pPr>
            <w:r w:rsidRPr="000A1A01">
              <w:rPr>
                <w:rFonts w:cs="Arial"/>
                <w:sz w:val="20"/>
                <w:szCs w:val="20"/>
              </w:rPr>
              <w:t>450</w:t>
            </w:r>
          </w:p>
        </w:tc>
        <w:tc>
          <w:tcPr>
            <w:tcW w:w="1857" w:type="dxa"/>
          </w:tcPr>
          <w:p w14:paraId="14E778A2" w14:textId="77777777" w:rsidR="007D7848" w:rsidRPr="000A1A01" w:rsidRDefault="007D7848" w:rsidP="002F2A56">
            <w:pPr>
              <w:jc w:val="center"/>
              <w:rPr>
                <w:rFonts w:cs="Arial"/>
                <w:sz w:val="20"/>
                <w:szCs w:val="20"/>
              </w:rPr>
            </w:pPr>
            <w:r w:rsidRPr="000A1A01">
              <w:rPr>
                <w:rFonts w:cs="Arial"/>
                <w:sz w:val="20"/>
                <w:szCs w:val="20"/>
              </w:rPr>
              <w:t>500</w:t>
            </w:r>
          </w:p>
        </w:tc>
        <w:tc>
          <w:tcPr>
            <w:tcW w:w="1857" w:type="dxa"/>
          </w:tcPr>
          <w:p w14:paraId="0F0B9733" w14:textId="77777777" w:rsidR="007D7848" w:rsidRPr="000A1A01" w:rsidRDefault="007D7848" w:rsidP="002F2A56">
            <w:pPr>
              <w:jc w:val="center"/>
              <w:rPr>
                <w:rFonts w:cs="Arial"/>
                <w:sz w:val="20"/>
                <w:szCs w:val="20"/>
              </w:rPr>
            </w:pPr>
            <w:r w:rsidRPr="000A1A01">
              <w:rPr>
                <w:rFonts w:cs="Arial"/>
                <w:sz w:val="20"/>
                <w:szCs w:val="20"/>
              </w:rPr>
              <w:t>1000</w:t>
            </w:r>
          </w:p>
        </w:tc>
      </w:tr>
      <w:tr w:rsidR="007D7848" w:rsidRPr="000A1A01" w14:paraId="112EAAAC" w14:textId="77777777" w:rsidTr="002F2A56">
        <w:tc>
          <w:tcPr>
            <w:tcW w:w="1589" w:type="dxa"/>
          </w:tcPr>
          <w:p w14:paraId="017F57B9" w14:textId="77777777" w:rsidR="007D7848" w:rsidRPr="000A1A01" w:rsidRDefault="007D7848" w:rsidP="002F2A56">
            <w:pPr>
              <w:rPr>
                <w:rFonts w:cs="Arial"/>
                <w:i/>
                <w:sz w:val="20"/>
                <w:szCs w:val="20"/>
              </w:rPr>
            </w:pPr>
            <w:r w:rsidRPr="000A1A01">
              <w:rPr>
                <w:rFonts w:cs="Arial"/>
                <w:i/>
                <w:sz w:val="20"/>
                <w:szCs w:val="20"/>
              </w:rPr>
              <w:t>HSB0039a</w:t>
            </w:r>
          </w:p>
        </w:tc>
        <w:tc>
          <w:tcPr>
            <w:tcW w:w="2909" w:type="dxa"/>
          </w:tcPr>
          <w:p w14:paraId="0D55146D" w14:textId="77777777" w:rsidR="007D7848" w:rsidRPr="000A1A01" w:rsidRDefault="007D7848" w:rsidP="002F2A56">
            <w:pPr>
              <w:rPr>
                <w:rFonts w:cs="Arial"/>
                <w:i/>
                <w:sz w:val="20"/>
                <w:szCs w:val="20"/>
              </w:rPr>
            </w:pPr>
            <w:r w:rsidRPr="000A1A01">
              <w:rPr>
                <w:rFonts w:cs="Arial"/>
                <w:i/>
                <w:sz w:val="20"/>
                <w:szCs w:val="20"/>
              </w:rPr>
              <w:t xml:space="preserve">Land west of Newton </w:t>
            </w:r>
          </w:p>
        </w:tc>
        <w:tc>
          <w:tcPr>
            <w:tcW w:w="1362" w:type="dxa"/>
          </w:tcPr>
          <w:p w14:paraId="13FD4044" w14:textId="77777777" w:rsidR="007D7848" w:rsidRPr="000A1A01" w:rsidRDefault="007D7848" w:rsidP="002F2A56">
            <w:pPr>
              <w:jc w:val="center"/>
              <w:rPr>
                <w:rFonts w:cs="Arial"/>
                <w:i/>
                <w:sz w:val="20"/>
                <w:szCs w:val="20"/>
              </w:rPr>
            </w:pPr>
            <w:r w:rsidRPr="000A1A01">
              <w:rPr>
                <w:rFonts w:cs="Arial"/>
                <w:i/>
                <w:sz w:val="20"/>
                <w:szCs w:val="20"/>
              </w:rPr>
              <w:t>2.4</w:t>
            </w:r>
          </w:p>
        </w:tc>
        <w:tc>
          <w:tcPr>
            <w:tcW w:w="1828" w:type="dxa"/>
          </w:tcPr>
          <w:p w14:paraId="75972530" w14:textId="77777777" w:rsidR="007D7848" w:rsidRPr="000A1A01" w:rsidRDefault="007D7848" w:rsidP="002F2A56">
            <w:pPr>
              <w:jc w:val="center"/>
              <w:rPr>
                <w:rFonts w:cs="Arial"/>
                <w:i/>
                <w:sz w:val="20"/>
                <w:szCs w:val="20"/>
              </w:rPr>
            </w:pPr>
            <w:r w:rsidRPr="000A1A01">
              <w:rPr>
                <w:rFonts w:cs="Arial"/>
                <w:i/>
                <w:sz w:val="20"/>
                <w:szCs w:val="20"/>
              </w:rPr>
              <w:t>65*</w:t>
            </w:r>
          </w:p>
        </w:tc>
        <w:tc>
          <w:tcPr>
            <w:tcW w:w="1856" w:type="dxa"/>
          </w:tcPr>
          <w:p w14:paraId="427A98A3"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743E808D" w14:textId="77777777" w:rsidR="007D7848" w:rsidRPr="000A1A01" w:rsidRDefault="007D7848" w:rsidP="002F2A56">
            <w:pPr>
              <w:jc w:val="center"/>
              <w:rPr>
                <w:rFonts w:cs="Arial"/>
                <w:i/>
                <w:sz w:val="20"/>
                <w:szCs w:val="20"/>
              </w:rPr>
            </w:pPr>
            <w:r w:rsidRPr="000A1A01">
              <w:rPr>
                <w:rFonts w:cs="Arial"/>
                <w:i/>
                <w:sz w:val="20"/>
                <w:szCs w:val="20"/>
              </w:rPr>
              <w:t>65*</w:t>
            </w:r>
          </w:p>
        </w:tc>
        <w:tc>
          <w:tcPr>
            <w:tcW w:w="1857" w:type="dxa"/>
          </w:tcPr>
          <w:p w14:paraId="1CD68B2C"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6DA5EAD4" w14:textId="77777777" w:rsidR="007D7848" w:rsidRPr="000A1A01" w:rsidRDefault="007D7848" w:rsidP="002F2A56">
            <w:pPr>
              <w:jc w:val="center"/>
              <w:rPr>
                <w:rFonts w:cs="Arial"/>
                <w:i/>
                <w:sz w:val="20"/>
                <w:szCs w:val="20"/>
              </w:rPr>
            </w:pPr>
            <w:r w:rsidRPr="000A1A01">
              <w:rPr>
                <w:rFonts w:cs="Arial"/>
                <w:i/>
                <w:sz w:val="20"/>
                <w:szCs w:val="20"/>
              </w:rPr>
              <w:t>0</w:t>
            </w:r>
          </w:p>
        </w:tc>
      </w:tr>
      <w:tr w:rsidR="007D7848" w:rsidRPr="000A1A01" w14:paraId="6B486FE8" w14:textId="77777777" w:rsidTr="002F2A56">
        <w:tc>
          <w:tcPr>
            <w:tcW w:w="1589" w:type="dxa"/>
          </w:tcPr>
          <w:p w14:paraId="46565270" w14:textId="77777777" w:rsidR="007D7848" w:rsidRPr="000A1A01" w:rsidRDefault="007D7848" w:rsidP="002F2A56">
            <w:pPr>
              <w:rPr>
                <w:rFonts w:cs="Arial"/>
                <w:i/>
                <w:sz w:val="20"/>
                <w:szCs w:val="20"/>
              </w:rPr>
            </w:pPr>
            <w:r w:rsidRPr="000A1A01">
              <w:rPr>
                <w:rFonts w:cs="Arial"/>
                <w:i/>
                <w:sz w:val="20"/>
                <w:szCs w:val="20"/>
              </w:rPr>
              <w:t>HSB0039b</w:t>
            </w:r>
          </w:p>
        </w:tc>
        <w:tc>
          <w:tcPr>
            <w:tcW w:w="2909" w:type="dxa"/>
          </w:tcPr>
          <w:p w14:paraId="78A5773D" w14:textId="77777777" w:rsidR="007D7848" w:rsidRPr="000A1A01" w:rsidRDefault="007D7848" w:rsidP="002F2A56">
            <w:pPr>
              <w:rPr>
                <w:rFonts w:cs="Arial"/>
                <w:i/>
                <w:sz w:val="20"/>
                <w:szCs w:val="20"/>
              </w:rPr>
            </w:pPr>
            <w:r w:rsidRPr="000A1A01">
              <w:rPr>
                <w:rFonts w:cs="Arial"/>
                <w:i/>
                <w:sz w:val="20"/>
                <w:szCs w:val="20"/>
              </w:rPr>
              <w:t>Land to the west of Oaks Farm</w:t>
            </w:r>
          </w:p>
        </w:tc>
        <w:tc>
          <w:tcPr>
            <w:tcW w:w="1362" w:type="dxa"/>
          </w:tcPr>
          <w:p w14:paraId="7EDC5638" w14:textId="77777777" w:rsidR="007D7848" w:rsidRPr="000A1A01" w:rsidDel="000C7813" w:rsidRDefault="007D7848" w:rsidP="002F2A56">
            <w:pPr>
              <w:jc w:val="center"/>
              <w:rPr>
                <w:rFonts w:cs="Arial"/>
                <w:i/>
                <w:sz w:val="20"/>
                <w:szCs w:val="20"/>
              </w:rPr>
            </w:pPr>
            <w:r w:rsidRPr="000A1A01">
              <w:rPr>
                <w:rFonts w:cs="Arial"/>
                <w:i/>
                <w:sz w:val="20"/>
                <w:szCs w:val="20"/>
              </w:rPr>
              <w:t>1.3</w:t>
            </w:r>
          </w:p>
        </w:tc>
        <w:tc>
          <w:tcPr>
            <w:tcW w:w="1828" w:type="dxa"/>
          </w:tcPr>
          <w:p w14:paraId="65E4944F" w14:textId="77777777" w:rsidR="007D7848" w:rsidRPr="000A1A01" w:rsidDel="000C7813" w:rsidRDefault="007D7848" w:rsidP="002F2A56">
            <w:pPr>
              <w:jc w:val="center"/>
              <w:rPr>
                <w:rFonts w:cs="Arial"/>
                <w:i/>
                <w:sz w:val="20"/>
                <w:szCs w:val="20"/>
              </w:rPr>
            </w:pPr>
            <w:r w:rsidRPr="000A1A01">
              <w:rPr>
                <w:rFonts w:cs="Arial"/>
                <w:i/>
                <w:sz w:val="20"/>
                <w:szCs w:val="20"/>
              </w:rPr>
              <w:t>33*</w:t>
            </w:r>
          </w:p>
        </w:tc>
        <w:tc>
          <w:tcPr>
            <w:tcW w:w="1856" w:type="dxa"/>
          </w:tcPr>
          <w:p w14:paraId="0D1A7F2E" w14:textId="77777777" w:rsidR="007D7848" w:rsidRPr="000A1A01" w:rsidDel="006C395F" w:rsidRDefault="007D7848" w:rsidP="002F2A56">
            <w:pPr>
              <w:jc w:val="center"/>
              <w:rPr>
                <w:rFonts w:cs="Arial"/>
                <w:i/>
                <w:sz w:val="20"/>
                <w:szCs w:val="20"/>
              </w:rPr>
            </w:pPr>
            <w:r w:rsidRPr="000A1A01">
              <w:rPr>
                <w:rFonts w:cs="Arial"/>
                <w:i/>
                <w:sz w:val="20"/>
                <w:szCs w:val="20"/>
              </w:rPr>
              <w:t>0</w:t>
            </w:r>
          </w:p>
        </w:tc>
        <w:tc>
          <w:tcPr>
            <w:tcW w:w="1857" w:type="dxa"/>
          </w:tcPr>
          <w:p w14:paraId="4C8DD171" w14:textId="77777777" w:rsidR="007D7848" w:rsidRPr="000A1A01" w:rsidRDefault="007D7848" w:rsidP="002F2A56">
            <w:pPr>
              <w:jc w:val="center"/>
              <w:rPr>
                <w:rFonts w:cs="Arial"/>
                <w:i/>
                <w:sz w:val="20"/>
                <w:szCs w:val="20"/>
              </w:rPr>
            </w:pPr>
            <w:r w:rsidRPr="000A1A01">
              <w:rPr>
                <w:rFonts w:cs="Arial"/>
                <w:i/>
                <w:sz w:val="20"/>
                <w:szCs w:val="20"/>
              </w:rPr>
              <w:t>33*</w:t>
            </w:r>
          </w:p>
        </w:tc>
        <w:tc>
          <w:tcPr>
            <w:tcW w:w="1857" w:type="dxa"/>
          </w:tcPr>
          <w:p w14:paraId="77A8ABB2"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1CCFCF17" w14:textId="77777777" w:rsidR="007D7848" w:rsidRPr="000A1A01" w:rsidRDefault="007D7848" w:rsidP="002F2A56">
            <w:pPr>
              <w:jc w:val="center"/>
              <w:rPr>
                <w:rFonts w:cs="Arial"/>
                <w:i/>
                <w:sz w:val="20"/>
                <w:szCs w:val="20"/>
              </w:rPr>
            </w:pPr>
            <w:r w:rsidRPr="000A1A01">
              <w:rPr>
                <w:rFonts w:cs="Arial"/>
                <w:i/>
                <w:sz w:val="20"/>
                <w:szCs w:val="20"/>
              </w:rPr>
              <w:t>0</w:t>
            </w:r>
          </w:p>
        </w:tc>
      </w:tr>
      <w:tr w:rsidR="007D7848" w:rsidRPr="000A1A01" w14:paraId="1DAE48B2" w14:textId="77777777" w:rsidTr="002F2A56">
        <w:tc>
          <w:tcPr>
            <w:tcW w:w="1589" w:type="dxa"/>
          </w:tcPr>
          <w:p w14:paraId="54FA0D38" w14:textId="77777777" w:rsidR="007D7848" w:rsidRPr="000A1A01" w:rsidRDefault="007D7848" w:rsidP="002F2A56">
            <w:pPr>
              <w:rPr>
                <w:rFonts w:cs="Arial"/>
                <w:i/>
                <w:sz w:val="20"/>
                <w:szCs w:val="20"/>
              </w:rPr>
            </w:pPr>
            <w:r w:rsidRPr="000A1A01">
              <w:rPr>
                <w:rFonts w:cs="Arial"/>
                <w:i/>
                <w:sz w:val="20"/>
                <w:szCs w:val="20"/>
              </w:rPr>
              <w:t>HSB0043</w:t>
            </w:r>
          </w:p>
        </w:tc>
        <w:tc>
          <w:tcPr>
            <w:tcW w:w="2909" w:type="dxa"/>
          </w:tcPr>
          <w:p w14:paraId="17D9F397" w14:textId="77777777" w:rsidR="007D7848" w:rsidRPr="000A1A01" w:rsidRDefault="007D7848" w:rsidP="002F2A56">
            <w:pPr>
              <w:rPr>
                <w:rFonts w:cs="Arial"/>
                <w:i/>
                <w:sz w:val="20"/>
                <w:szCs w:val="20"/>
              </w:rPr>
            </w:pPr>
            <w:r w:rsidRPr="000A1A01">
              <w:rPr>
                <w:rFonts w:cs="Arial"/>
                <w:i/>
                <w:sz w:val="20"/>
                <w:szCs w:val="20"/>
              </w:rPr>
              <w:t>Land south of Priors Leaze Lane (Cherry Tree Farm)</w:t>
            </w:r>
          </w:p>
        </w:tc>
        <w:tc>
          <w:tcPr>
            <w:tcW w:w="1362" w:type="dxa"/>
          </w:tcPr>
          <w:p w14:paraId="1F629DF5" w14:textId="77777777" w:rsidR="007D7848" w:rsidRPr="000A1A01" w:rsidRDefault="007D7848" w:rsidP="002F2A56">
            <w:pPr>
              <w:jc w:val="center"/>
              <w:rPr>
                <w:rFonts w:cs="Arial"/>
                <w:i/>
                <w:sz w:val="20"/>
                <w:szCs w:val="20"/>
              </w:rPr>
            </w:pPr>
            <w:r w:rsidRPr="000A1A01">
              <w:rPr>
                <w:rFonts w:cs="Arial"/>
                <w:i/>
                <w:sz w:val="20"/>
                <w:szCs w:val="20"/>
              </w:rPr>
              <w:t>1.2</w:t>
            </w:r>
          </w:p>
        </w:tc>
        <w:tc>
          <w:tcPr>
            <w:tcW w:w="1828" w:type="dxa"/>
          </w:tcPr>
          <w:p w14:paraId="25527907" w14:textId="77777777" w:rsidR="007D7848" w:rsidRPr="000A1A01" w:rsidRDefault="007D7848" w:rsidP="002F2A56">
            <w:pPr>
              <w:jc w:val="center"/>
              <w:rPr>
                <w:rFonts w:cs="Arial"/>
                <w:i/>
                <w:sz w:val="20"/>
                <w:szCs w:val="20"/>
              </w:rPr>
            </w:pPr>
            <w:r w:rsidRPr="000A1A01">
              <w:rPr>
                <w:rFonts w:cs="Arial"/>
                <w:i/>
                <w:sz w:val="20"/>
                <w:szCs w:val="20"/>
              </w:rPr>
              <w:t>38*</w:t>
            </w:r>
          </w:p>
        </w:tc>
        <w:tc>
          <w:tcPr>
            <w:tcW w:w="1856" w:type="dxa"/>
          </w:tcPr>
          <w:p w14:paraId="67F9BDC9"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72F2A35B" w14:textId="77777777" w:rsidR="007D7848" w:rsidRPr="000A1A01" w:rsidRDefault="007D7848" w:rsidP="002F2A56">
            <w:pPr>
              <w:jc w:val="center"/>
              <w:rPr>
                <w:rFonts w:cs="Arial"/>
                <w:i/>
                <w:sz w:val="20"/>
                <w:szCs w:val="20"/>
              </w:rPr>
            </w:pPr>
            <w:r w:rsidRPr="000A1A01">
              <w:rPr>
                <w:rFonts w:cs="Arial"/>
                <w:i/>
                <w:sz w:val="20"/>
                <w:szCs w:val="20"/>
              </w:rPr>
              <w:t>38*</w:t>
            </w:r>
          </w:p>
        </w:tc>
        <w:tc>
          <w:tcPr>
            <w:tcW w:w="1857" w:type="dxa"/>
          </w:tcPr>
          <w:p w14:paraId="6171C401"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64795492" w14:textId="77777777" w:rsidR="007D7848" w:rsidRPr="000A1A01" w:rsidRDefault="007D7848" w:rsidP="002F2A56">
            <w:pPr>
              <w:jc w:val="center"/>
              <w:rPr>
                <w:rFonts w:cs="Arial"/>
                <w:i/>
                <w:sz w:val="20"/>
                <w:szCs w:val="20"/>
              </w:rPr>
            </w:pPr>
            <w:r w:rsidRPr="000A1A01">
              <w:rPr>
                <w:rFonts w:cs="Arial"/>
                <w:i/>
                <w:sz w:val="20"/>
                <w:szCs w:val="20"/>
              </w:rPr>
              <w:t>0</w:t>
            </w:r>
          </w:p>
        </w:tc>
      </w:tr>
      <w:tr w:rsidR="007D7848" w:rsidRPr="000A1A01" w14:paraId="706D42F7" w14:textId="77777777" w:rsidTr="002F2A56">
        <w:tc>
          <w:tcPr>
            <w:tcW w:w="1589" w:type="dxa"/>
          </w:tcPr>
          <w:p w14:paraId="42279E78" w14:textId="77777777" w:rsidR="007D7848" w:rsidRPr="000A1A01" w:rsidRDefault="007D7848" w:rsidP="002F2A56">
            <w:pPr>
              <w:rPr>
                <w:rFonts w:cs="Arial"/>
                <w:i/>
                <w:sz w:val="20"/>
                <w:szCs w:val="20"/>
              </w:rPr>
            </w:pPr>
            <w:r w:rsidRPr="000A1A01">
              <w:rPr>
                <w:rFonts w:cs="Arial"/>
                <w:i/>
                <w:sz w:val="20"/>
                <w:szCs w:val="20"/>
              </w:rPr>
              <w:t>HSB0044</w:t>
            </w:r>
          </w:p>
        </w:tc>
        <w:tc>
          <w:tcPr>
            <w:tcW w:w="2909" w:type="dxa"/>
          </w:tcPr>
          <w:p w14:paraId="04F73837" w14:textId="77777777" w:rsidR="007D7848" w:rsidRPr="000A1A01" w:rsidRDefault="007D7848" w:rsidP="002F2A56">
            <w:pPr>
              <w:rPr>
                <w:rFonts w:cs="Arial"/>
                <w:i/>
                <w:sz w:val="20"/>
                <w:szCs w:val="20"/>
              </w:rPr>
            </w:pPr>
            <w:r w:rsidRPr="000A1A01">
              <w:rPr>
                <w:rFonts w:cs="Arial"/>
                <w:i/>
                <w:sz w:val="20"/>
                <w:szCs w:val="20"/>
              </w:rPr>
              <w:t>East of Inlands Barn</w:t>
            </w:r>
          </w:p>
        </w:tc>
        <w:tc>
          <w:tcPr>
            <w:tcW w:w="1362" w:type="dxa"/>
          </w:tcPr>
          <w:p w14:paraId="1B34488F" w14:textId="77777777" w:rsidR="007D7848" w:rsidRPr="000A1A01" w:rsidRDefault="007D7848" w:rsidP="002F2A56">
            <w:pPr>
              <w:jc w:val="center"/>
              <w:rPr>
                <w:rFonts w:cs="Arial"/>
                <w:i/>
                <w:sz w:val="20"/>
                <w:szCs w:val="20"/>
              </w:rPr>
            </w:pPr>
            <w:r w:rsidRPr="000A1A01">
              <w:rPr>
                <w:rFonts w:cs="Arial"/>
                <w:i/>
                <w:sz w:val="20"/>
                <w:szCs w:val="20"/>
              </w:rPr>
              <w:t>0.5</w:t>
            </w:r>
          </w:p>
        </w:tc>
        <w:tc>
          <w:tcPr>
            <w:tcW w:w="1828" w:type="dxa"/>
          </w:tcPr>
          <w:p w14:paraId="3FD060BA" w14:textId="77777777" w:rsidR="007D7848" w:rsidRPr="000A1A01" w:rsidRDefault="007D7848" w:rsidP="002F2A56">
            <w:pPr>
              <w:jc w:val="center"/>
              <w:rPr>
                <w:rFonts w:cs="Arial"/>
                <w:i/>
                <w:sz w:val="20"/>
                <w:szCs w:val="20"/>
              </w:rPr>
            </w:pPr>
            <w:r w:rsidRPr="000A1A01">
              <w:rPr>
                <w:rFonts w:cs="Arial"/>
                <w:i/>
                <w:sz w:val="20"/>
                <w:szCs w:val="20"/>
              </w:rPr>
              <w:t>14*</w:t>
            </w:r>
          </w:p>
        </w:tc>
        <w:tc>
          <w:tcPr>
            <w:tcW w:w="1856" w:type="dxa"/>
          </w:tcPr>
          <w:p w14:paraId="381BA40D"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17715074" w14:textId="77777777" w:rsidR="007D7848" w:rsidRPr="000A1A01" w:rsidRDefault="007D7848" w:rsidP="002F2A56">
            <w:pPr>
              <w:jc w:val="center"/>
              <w:rPr>
                <w:rFonts w:cs="Arial"/>
                <w:i/>
                <w:sz w:val="20"/>
                <w:szCs w:val="20"/>
              </w:rPr>
            </w:pPr>
            <w:r w:rsidRPr="000A1A01">
              <w:rPr>
                <w:rFonts w:cs="Arial"/>
                <w:i/>
                <w:sz w:val="20"/>
                <w:szCs w:val="20"/>
              </w:rPr>
              <w:t>14*</w:t>
            </w:r>
          </w:p>
        </w:tc>
        <w:tc>
          <w:tcPr>
            <w:tcW w:w="1857" w:type="dxa"/>
          </w:tcPr>
          <w:p w14:paraId="712841C9"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3070BF72" w14:textId="77777777" w:rsidR="007D7848" w:rsidRPr="000A1A01" w:rsidRDefault="007D7848" w:rsidP="002F2A56">
            <w:pPr>
              <w:jc w:val="center"/>
              <w:rPr>
                <w:rFonts w:cs="Arial"/>
                <w:i/>
                <w:sz w:val="20"/>
                <w:szCs w:val="20"/>
              </w:rPr>
            </w:pPr>
            <w:r w:rsidRPr="000A1A01">
              <w:rPr>
                <w:rFonts w:cs="Arial"/>
                <w:i/>
                <w:sz w:val="20"/>
                <w:szCs w:val="20"/>
              </w:rPr>
              <w:t>0</w:t>
            </w:r>
          </w:p>
        </w:tc>
      </w:tr>
      <w:tr w:rsidR="007D7848" w:rsidRPr="000A1A01" w14:paraId="2022C90A" w14:textId="77777777" w:rsidTr="002F2A56">
        <w:tc>
          <w:tcPr>
            <w:tcW w:w="1589" w:type="dxa"/>
          </w:tcPr>
          <w:p w14:paraId="2AAEF3AB" w14:textId="77777777" w:rsidR="007D7848" w:rsidRPr="000A1A01" w:rsidRDefault="007D7848" w:rsidP="002F2A56">
            <w:pPr>
              <w:rPr>
                <w:rFonts w:cs="Arial"/>
                <w:i/>
                <w:sz w:val="20"/>
                <w:szCs w:val="20"/>
              </w:rPr>
            </w:pPr>
            <w:r w:rsidRPr="000A1A01">
              <w:rPr>
                <w:rFonts w:cs="Arial"/>
                <w:i/>
                <w:sz w:val="20"/>
                <w:szCs w:val="20"/>
              </w:rPr>
              <w:t>HSB0045</w:t>
            </w:r>
          </w:p>
        </w:tc>
        <w:tc>
          <w:tcPr>
            <w:tcW w:w="2909" w:type="dxa"/>
          </w:tcPr>
          <w:p w14:paraId="14C6BD5E" w14:textId="77777777" w:rsidR="007D7848" w:rsidRPr="000A1A01" w:rsidRDefault="007D7848" w:rsidP="002F2A56">
            <w:pPr>
              <w:rPr>
                <w:rFonts w:cs="Arial"/>
                <w:i/>
                <w:sz w:val="20"/>
                <w:szCs w:val="20"/>
              </w:rPr>
            </w:pPr>
            <w:r w:rsidRPr="000A1A01">
              <w:rPr>
                <w:rFonts w:cs="Arial"/>
                <w:i/>
                <w:sz w:val="20"/>
                <w:szCs w:val="20"/>
              </w:rPr>
              <w:t>South of Cherry Tree Farm/Priors Leaze Lane</w:t>
            </w:r>
          </w:p>
        </w:tc>
        <w:tc>
          <w:tcPr>
            <w:tcW w:w="1362" w:type="dxa"/>
          </w:tcPr>
          <w:p w14:paraId="275B7540" w14:textId="77777777" w:rsidR="007D7848" w:rsidRPr="000A1A01" w:rsidRDefault="007D7848" w:rsidP="002F2A56">
            <w:pPr>
              <w:jc w:val="center"/>
              <w:rPr>
                <w:rFonts w:cs="Arial"/>
                <w:i/>
                <w:sz w:val="20"/>
                <w:szCs w:val="20"/>
              </w:rPr>
            </w:pPr>
            <w:r w:rsidRPr="000A1A01">
              <w:rPr>
                <w:rFonts w:cs="Arial"/>
                <w:i/>
                <w:sz w:val="20"/>
                <w:szCs w:val="20"/>
              </w:rPr>
              <w:t>0.4</w:t>
            </w:r>
          </w:p>
        </w:tc>
        <w:tc>
          <w:tcPr>
            <w:tcW w:w="1828" w:type="dxa"/>
          </w:tcPr>
          <w:p w14:paraId="7AADD144" w14:textId="77777777" w:rsidR="007D7848" w:rsidRPr="000A1A01" w:rsidRDefault="007D7848" w:rsidP="002F2A56">
            <w:pPr>
              <w:jc w:val="center"/>
              <w:rPr>
                <w:rFonts w:cs="Arial"/>
                <w:i/>
                <w:sz w:val="20"/>
                <w:szCs w:val="20"/>
              </w:rPr>
            </w:pPr>
            <w:r w:rsidRPr="000A1A01">
              <w:rPr>
                <w:rFonts w:cs="Arial"/>
                <w:i/>
                <w:sz w:val="20"/>
                <w:szCs w:val="20"/>
              </w:rPr>
              <w:t>12*</w:t>
            </w:r>
          </w:p>
        </w:tc>
        <w:tc>
          <w:tcPr>
            <w:tcW w:w="1856" w:type="dxa"/>
          </w:tcPr>
          <w:p w14:paraId="794226AB"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79D26FD2" w14:textId="77777777" w:rsidR="007D7848" w:rsidRPr="000A1A01" w:rsidRDefault="007D7848" w:rsidP="002F2A56">
            <w:pPr>
              <w:jc w:val="center"/>
              <w:rPr>
                <w:rFonts w:cs="Arial"/>
                <w:i/>
                <w:sz w:val="20"/>
                <w:szCs w:val="20"/>
              </w:rPr>
            </w:pPr>
            <w:r w:rsidRPr="000A1A01">
              <w:rPr>
                <w:rFonts w:cs="Arial"/>
                <w:i/>
                <w:sz w:val="20"/>
                <w:szCs w:val="20"/>
              </w:rPr>
              <w:t>12*</w:t>
            </w:r>
          </w:p>
        </w:tc>
        <w:tc>
          <w:tcPr>
            <w:tcW w:w="1857" w:type="dxa"/>
          </w:tcPr>
          <w:p w14:paraId="1918B551"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63F098CC" w14:textId="77777777" w:rsidR="007D7848" w:rsidRPr="000A1A01" w:rsidRDefault="007D7848" w:rsidP="002F2A56">
            <w:pPr>
              <w:jc w:val="center"/>
              <w:rPr>
                <w:rFonts w:cs="Arial"/>
                <w:i/>
                <w:sz w:val="20"/>
                <w:szCs w:val="20"/>
              </w:rPr>
            </w:pPr>
            <w:r w:rsidRPr="000A1A01">
              <w:rPr>
                <w:rFonts w:cs="Arial"/>
                <w:i/>
                <w:sz w:val="20"/>
                <w:szCs w:val="20"/>
              </w:rPr>
              <w:t>0</w:t>
            </w:r>
          </w:p>
        </w:tc>
      </w:tr>
      <w:tr w:rsidR="007D7848" w:rsidRPr="000A1A01" w14:paraId="321923EF" w14:textId="77777777" w:rsidTr="002F2A56">
        <w:tc>
          <w:tcPr>
            <w:tcW w:w="1589" w:type="dxa"/>
          </w:tcPr>
          <w:p w14:paraId="718752EE" w14:textId="77777777" w:rsidR="007D7848" w:rsidRPr="000A1A01" w:rsidRDefault="007D7848" w:rsidP="002F2A56">
            <w:pPr>
              <w:rPr>
                <w:rFonts w:cs="Arial"/>
                <w:i/>
                <w:sz w:val="20"/>
                <w:szCs w:val="20"/>
              </w:rPr>
            </w:pPr>
            <w:r w:rsidRPr="000A1A01">
              <w:rPr>
                <w:rFonts w:cs="Arial"/>
                <w:i/>
                <w:sz w:val="20"/>
                <w:szCs w:val="20"/>
              </w:rPr>
              <w:t>HSB0046</w:t>
            </w:r>
          </w:p>
        </w:tc>
        <w:tc>
          <w:tcPr>
            <w:tcW w:w="2909" w:type="dxa"/>
          </w:tcPr>
          <w:p w14:paraId="6F856D8B" w14:textId="77777777" w:rsidR="007D7848" w:rsidRPr="000A1A01" w:rsidRDefault="007D7848" w:rsidP="002F2A56">
            <w:pPr>
              <w:rPr>
                <w:rFonts w:cs="Arial"/>
                <w:i/>
                <w:sz w:val="20"/>
                <w:szCs w:val="20"/>
              </w:rPr>
            </w:pPr>
            <w:r w:rsidRPr="000A1A01">
              <w:rPr>
                <w:rFonts w:cs="Arial"/>
                <w:i/>
                <w:sz w:val="20"/>
                <w:szCs w:val="20"/>
              </w:rPr>
              <w:t>Penn Farm</w:t>
            </w:r>
          </w:p>
        </w:tc>
        <w:tc>
          <w:tcPr>
            <w:tcW w:w="1362" w:type="dxa"/>
          </w:tcPr>
          <w:p w14:paraId="6CC85BB7" w14:textId="77777777" w:rsidR="007D7848" w:rsidRPr="000A1A01" w:rsidRDefault="007D7848" w:rsidP="002F2A56">
            <w:pPr>
              <w:jc w:val="center"/>
              <w:rPr>
                <w:rFonts w:cs="Arial"/>
                <w:i/>
                <w:sz w:val="20"/>
                <w:szCs w:val="20"/>
              </w:rPr>
            </w:pPr>
            <w:r w:rsidRPr="000A1A01">
              <w:rPr>
                <w:rFonts w:cs="Arial"/>
                <w:i/>
                <w:sz w:val="20"/>
                <w:szCs w:val="20"/>
              </w:rPr>
              <w:t>0.8</w:t>
            </w:r>
          </w:p>
        </w:tc>
        <w:tc>
          <w:tcPr>
            <w:tcW w:w="1828" w:type="dxa"/>
          </w:tcPr>
          <w:p w14:paraId="5D735CD0" w14:textId="77777777" w:rsidR="007D7848" w:rsidRPr="000A1A01" w:rsidRDefault="007D7848" w:rsidP="002F2A56">
            <w:pPr>
              <w:jc w:val="center"/>
              <w:rPr>
                <w:rFonts w:cs="Arial"/>
                <w:i/>
                <w:sz w:val="20"/>
                <w:szCs w:val="20"/>
              </w:rPr>
            </w:pPr>
            <w:r w:rsidRPr="000A1A01">
              <w:rPr>
                <w:rFonts w:cs="Arial"/>
                <w:i/>
                <w:sz w:val="20"/>
                <w:szCs w:val="20"/>
              </w:rPr>
              <w:t>19*</w:t>
            </w:r>
          </w:p>
        </w:tc>
        <w:tc>
          <w:tcPr>
            <w:tcW w:w="1856" w:type="dxa"/>
          </w:tcPr>
          <w:p w14:paraId="2DBC6F9B"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31125132" w14:textId="77777777" w:rsidR="007D7848" w:rsidRPr="000A1A01" w:rsidRDefault="007D7848" w:rsidP="002F2A56">
            <w:pPr>
              <w:jc w:val="center"/>
              <w:rPr>
                <w:rFonts w:cs="Arial"/>
                <w:i/>
                <w:sz w:val="20"/>
                <w:szCs w:val="20"/>
              </w:rPr>
            </w:pPr>
            <w:r w:rsidRPr="000A1A01">
              <w:rPr>
                <w:rFonts w:cs="Arial"/>
                <w:i/>
                <w:sz w:val="20"/>
                <w:szCs w:val="20"/>
              </w:rPr>
              <w:t>0</w:t>
            </w:r>
          </w:p>
        </w:tc>
        <w:tc>
          <w:tcPr>
            <w:tcW w:w="1857" w:type="dxa"/>
          </w:tcPr>
          <w:p w14:paraId="26C1B45F" w14:textId="77777777" w:rsidR="007D7848" w:rsidRPr="000A1A01" w:rsidRDefault="007D7848" w:rsidP="002F2A56">
            <w:pPr>
              <w:jc w:val="center"/>
              <w:rPr>
                <w:rFonts w:cs="Arial"/>
                <w:i/>
                <w:sz w:val="20"/>
                <w:szCs w:val="20"/>
              </w:rPr>
            </w:pPr>
            <w:r w:rsidRPr="000A1A01">
              <w:rPr>
                <w:rFonts w:cs="Arial"/>
                <w:i/>
                <w:sz w:val="20"/>
                <w:szCs w:val="20"/>
              </w:rPr>
              <w:t>19*</w:t>
            </w:r>
          </w:p>
        </w:tc>
        <w:tc>
          <w:tcPr>
            <w:tcW w:w="1857" w:type="dxa"/>
          </w:tcPr>
          <w:p w14:paraId="703165BE" w14:textId="77777777" w:rsidR="007D7848" w:rsidRPr="000A1A01" w:rsidRDefault="007D7848" w:rsidP="002F2A56">
            <w:pPr>
              <w:jc w:val="center"/>
              <w:rPr>
                <w:rFonts w:cs="Arial"/>
                <w:i/>
                <w:sz w:val="20"/>
                <w:szCs w:val="20"/>
              </w:rPr>
            </w:pPr>
            <w:r w:rsidRPr="000A1A01">
              <w:rPr>
                <w:rFonts w:cs="Arial"/>
                <w:i/>
                <w:sz w:val="20"/>
                <w:szCs w:val="20"/>
              </w:rPr>
              <w:t>0</w:t>
            </w:r>
          </w:p>
        </w:tc>
      </w:tr>
      <w:tr w:rsidR="007D7848" w:rsidRPr="000A1A01" w14:paraId="2C4304CB" w14:textId="77777777" w:rsidTr="002F2A56">
        <w:tc>
          <w:tcPr>
            <w:tcW w:w="1589" w:type="dxa"/>
          </w:tcPr>
          <w:p w14:paraId="09844FAF" w14:textId="77777777" w:rsidR="007D7848" w:rsidRPr="000A1A01" w:rsidRDefault="007D7848" w:rsidP="002F2A56">
            <w:pPr>
              <w:rPr>
                <w:rFonts w:cs="Arial"/>
                <w:sz w:val="20"/>
                <w:szCs w:val="20"/>
              </w:rPr>
            </w:pPr>
            <w:r w:rsidRPr="000A1A01">
              <w:rPr>
                <w:rFonts w:cs="Arial"/>
                <w:sz w:val="20"/>
                <w:szCs w:val="20"/>
              </w:rPr>
              <w:t>HSB0047</w:t>
            </w:r>
          </w:p>
        </w:tc>
        <w:tc>
          <w:tcPr>
            <w:tcW w:w="2909" w:type="dxa"/>
          </w:tcPr>
          <w:p w14:paraId="33F1A778" w14:textId="77777777" w:rsidR="007D7848" w:rsidRPr="000A1A01" w:rsidRDefault="007D7848" w:rsidP="002F2A56">
            <w:pPr>
              <w:rPr>
                <w:rFonts w:cs="Arial"/>
                <w:sz w:val="20"/>
                <w:szCs w:val="20"/>
              </w:rPr>
            </w:pPr>
            <w:r w:rsidRPr="000A1A01">
              <w:rPr>
                <w:rFonts w:cs="Arial"/>
                <w:sz w:val="20"/>
                <w:szCs w:val="20"/>
              </w:rPr>
              <w:t>Land west of Southbourne</w:t>
            </w:r>
          </w:p>
        </w:tc>
        <w:tc>
          <w:tcPr>
            <w:tcW w:w="1362" w:type="dxa"/>
          </w:tcPr>
          <w:p w14:paraId="58B27797" w14:textId="77777777" w:rsidR="007D7848" w:rsidRPr="000A1A01" w:rsidRDefault="007D7848" w:rsidP="002F2A56">
            <w:pPr>
              <w:jc w:val="center"/>
              <w:rPr>
                <w:rFonts w:cs="Arial"/>
                <w:sz w:val="20"/>
                <w:szCs w:val="20"/>
              </w:rPr>
            </w:pPr>
            <w:r w:rsidRPr="000A1A01">
              <w:rPr>
                <w:rFonts w:cs="Arial"/>
                <w:sz w:val="20"/>
                <w:szCs w:val="20"/>
              </w:rPr>
              <w:t>69.3</w:t>
            </w:r>
          </w:p>
        </w:tc>
        <w:tc>
          <w:tcPr>
            <w:tcW w:w="1828" w:type="dxa"/>
          </w:tcPr>
          <w:p w14:paraId="51A2C341" w14:textId="77777777" w:rsidR="007D7848" w:rsidRPr="000A1A01" w:rsidRDefault="007D7848" w:rsidP="002F2A56">
            <w:pPr>
              <w:jc w:val="center"/>
              <w:rPr>
                <w:rFonts w:cs="Arial"/>
                <w:sz w:val="20"/>
                <w:szCs w:val="20"/>
              </w:rPr>
            </w:pPr>
            <w:r w:rsidRPr="000A1A01">
              <w:rPr>
                <w:rFonts w:cs="Arial"/>
                <w:sz w:val="20"/>
                <w:szCs w:val="20"/>
              </w:rPr>
              <w:t>1250</w:t>
            </w:r>
          </w:p>
        </w:tc>
        <w:tc>
          <w:tcPr>
            <w:tcW w:w="1856" w:type="dxa"/>
          </w:tcPr>
          <w:p w14:paraId="6C2987ED" w14:textId="77777777" w:rsidR="007D7848" w:rsidRPr="000A1A01" w:rsidRDefault="007D7848" w:rsidP="002F2A56">
            <w:pPr>
              <w:jc w:val="center"/>
              <w:rPr>
                <w:rFonts w:cs="Arial"/>
                <w:sz w:val="20"/>
                <w:szCs w:val="20"/>
              </w:rPr>
            </w:pPr>
            <w:r w:rsidRPr="000A1A01">
              <w:rPr>
                <w:rFonts w:cs="Arial"/>
                <w:sz w:val="20"/>
                <w:szCs w:val="20"/>
              </w:rPr>
              <w:t>50</w:t>
            </w:r>
          </w:p>
        </w:tc>
        <w:tc>
          <w:tcPr>
            <w:tcW w:w="1857" w:type="dxa"/>
          </w:tcPr>
          <w:p w14:paraId="10507DD8" w14:textId="77777777" w:rsidR="007D7848" w:rsidRPr="000A1A01" w:rsidRDefault="007D7848" w:rsidP="002F2A56">
            <w:pPr>
              <w:jc w:val="center"/>
              <w:rPr>
                <w:rFonts w:cs="Arial"/>
                <w:sz w:val="20"/>
                <w:szCs w:val="20"/>
              </w:rPr>
            </w:pPr>
            <w:r w:rsidRPr="000A1A01">
              <w:rPr>
                <w:rFonts w:cs="Arial"/>
                <w:sz w:val="20"/>
                <w:szCs w:val="20"/>
              </w:rPr>
              <w:t>300</w:t>
            </w:r>
          </w:p>
        </w:tc>
        <w:tc>
          <w:tcPr>
            <w:tcW w:w="1857" w:type="dxa"/>
          </w:tcPr>
          <w:p w14:paraId="7AF88CED" w14:textId="77777777" w:rsidR="007D7848" w:rsidRPr="000A1A01" w:rsidRDefault="007D7848" w:rsidP="002F2A56">
            <w:pPr>
              <w:jc w:val="center"/>
              <w:rPr>
                <w:rFonts w:cs="Arial"/>
                <w:sz w:val="20"/>
                <w:szCs w:val="20"/>
              </w:rPr>
            </w:pPr>
            <w:r w:rsidRPr="000A1A01">
              <w:rPr>
                <w:rFonts w:cs="Arial"/>
                <w:sz w:val="20"/>
                <w:szCs w:val="20"/>
              </w:rPr>
              <w:t>500</w:t>
            </w:r>
          </w:p>
        </w:tc>
        <w:tc>
          <w:tcPr>
            <w:tcW w:w="1857" w:type="dxa"/>
          </w:tcPr>
          <w:p w14:paraId="2C43488D" w14:textId="77777777" w:rsidR="007D7848" w:rsidRPr="000A1A01" w:rsidRDefault="007D7848" w:rsidP="002F2A56">
            <w:pPr>
              <w:jc w:val="center"/>
              <w:rPr>
                <w:rFonts w:cs="Arial"/>
                <w:sz w:val="20"/>
                <w:szCs w:val="20"/>
              </w:rPr>
            </w:pPr>
            <w:r w:rsidRPr="000A1A01">
              <w:rPr>
                <w:rFonts w:cs="Arial"/>
                <w:sz w:val="20"/>
                <w:szCs w:val="20"/>
              </w:rPr>
              <w:t>400</w:t>
            </w:r>
          </w:p>
        </w:tc>
      </w:tr>
      <w:tr w:rsidR="008927B1" w:rsidRPr="000A1A01" w14:paraId="568718C9" w14:textId="77777777" w:rsidTr="008927B1">
        <w:tc>
          <w:tcPr>
            <w:tcW w:w="5860" w:type="dxa"/>
            <w:gridSpan w:val="3"/>
            <w:shd w:val="clear" w:color="auto" w:fill="D9D9D9" w:themeFill="background1" w:themeFillShade="D9"/>
          </w:tcPr>
          <w:p w14:paraId="221BA2BC" w14:textId="0C3C3BF0" w:rsidR="008927B1" w:rsidRPr="000A1A01" w:rsidRDefault="008927B1" w:rsidP="008927B1">
            <w:pPr>
              <w:jc w:val="right"/>
              <w:rPr>
                <w:rFonts w:cs="Arial"/>
                <w:b/>
                <w:sz w:val="20"/>
                <w:szCs w:val="20"/>
              </w:rPr>
            </w:pPr>
            <w:r w:rsidRPr="000A1A01">
              <w:rPr>
                <w:rFonts w:cs="Arial"/>
                <w:b/>
                <w:sz w:val="20"/>
                <w:szCs w:val="20"/>
              </w:rPr>
              <w:t>Sub Total</w:t>
            </w:r>
          </w:p>
        </w:tc>
        <w:tc>
          <w:tcPr>
            <w:tcW w:w="1828" w:type="dxa"/>
            <w:shd w:val="clear" w:color="auto" w:fill="D9D9D9" w:themeFill="background1" w:themeFillShade="D9"/>
          </w:tcPr>
          <w:p w14:paraId="193EC89C" w14:textId="77777777" w:rsidR="008927B1" w:rsidRPr="000A1A01" w:rsidRDefault="008927B1" w:rsidP="002F2A56">
            <w:pPr>
              <w:jc w:val="center"/>
              <w:rPr>
                <w:rFonts w:cs="Arial"/>
                <w:b/>
                <w:sz w:val="20"/>
                <w:szCs w:val="20"/>
              </w:rPr>
            </w:pPr>
            <w:r w:rsidRPr="000A1A01">
              <w:rPr>
                <w:rFonts w:cs="Arial"/>
                <w:b/>
                <w:sz w:val="20"/>
                <w:szCs w:val="20"/>
              </w:rPr>
              <w:t>4</w:t>
            </w:r>
            <w:r>
              <w:rPr>
                <w:rFonts w:cs="Arial"/>
                <w:b/>
                <w:sz w:val="20"/>
                <w:szCs w:val="20"/>
              </w:rPr>
              <w:t>22</w:t>
            </w:r>
            <w:r w:rsidRPr="000A1A01">
              <w:rPr>
                <w:rFonts w:cs="Arial"/>
                <w:b/>
                <w:sz w:val="20"/>
                <w:szCs w:val="20"/>
              </w:rPr>
              <w:t>7</w:t>
            </w:r>
          </w:p>
        </w:tc>
        <w:tc>
          <w:tcPr>
            <w:tcW w:w="1856" w:type="dxa"/>
            <w:shd w:val="clear" w:color="auto" w:fill="D9D9D9" w:themeFill="background1" w:themeFillShade="D9"/>
          </w:tcPr>
          <w:p w14:paraId="18A2D8FF" w14:textId="77777777" w:rsidR="008927B1" w:rsidRPr="000A1A01" w:rsidRDefault="008927B1" w:rsidP="002F2A56">
            <w:pPr>
              <w:jc w:val="center"/>
              <w:rPr>
                <w:rFonts w:cs="Arial"/>
                <w:b/>
                <w:sz w:val="20"/>
                <w:szCs w:val="20"/>
              </w:rPr>
            </w:pPr>
            <w:r>
              <w:rPr>
                <w:rFonts w:cs="Arial"/>
                <w:b/>
                <w:sz w:val="20"/>
                <w:szCs w:val="20"/>
              </w:rPr>
              <w:t>265</w:t>
            </w:r>
          </w:p>
        </w:tc>
        <w:tc>
          <w:tcPr>
            <w:tcW w:w="1857" w:type="dxa"/>
            <w:shd w:val="clear" w:color="auto" w:fill="D9D9D9" w:themeFill="background1" w:themeFillShade="D9"/>
          </w:tcPr>
          <w:p w14:paraId="3A6B7DB0" w14:textId="77777777" w:rsidR="008927B1" w:rsidRPr="000A1A01" w:rsidRDefault="008927B1" w:rsidP="002F2A56">
            <w:pPr>
              <w:jc w:val="center"/>
              <w:rPr>
                <w:rFonts w:cs="Arial"/>
                <w:b/>
                <w:sz w:val="20"/>
                <w:szCs w:val="20"/>
              </w:rPr>
            </w:pPr>
            <w:r>
              <w:rPr>
                <w:rFonts w:cs="Arial"/>
                <w:b/>
                <w:sz w:val="20"/>
                <w:szCs w:val="20"/>
              </w:rPr>
              <w:t>1342</w:t>
            </w:r>
          </w:p>
        </w:tc>
        <w:tc>
          <w:tcPr>
            <w:tcW w:w="1857" w:type="dxa"/>
            <w:shd w:val="clear" w:color="auto" w:fill="D9D9D9" w:themeFill="background1" w:themeFillShade="D9"/>
          </w:tcPr>
          <w:p w14:paraId="48C1949D" w14:textId="77777777" w:rsidR="008927B1" w:rsidRPr="000A1A01" w:rsidRDefault="008927B1" w:rsidP="002F2A56">
            <w:pPr>
              <w:jc w:val="center"/>
              <w:rPr>
                <w:rFonts w:cs="Arial"/>
                <w:b/>
                <w:sz w:val="20"/>
                <w:szCs w:val="20"/>
              </w:rPr>
            </w:pPr>
            <w:r w:rsidRPr="000A1A01">
              <w:rPr>
                <w:rFonts w:cs="Arial"/>
                <w:b/>
                <w:sz w:val="20"/>
                <w:szCs w:val="20"/>
              </w:rPr>
              <w:t>1220</w:t>
            </w:r>
          </w:p>
        </w:tc>
        <w:tc>
          <w:tcPr>
            <w:tcW w:w="1857" w:type="dxa"/>
            <w:shd w:val="clear" w:color="auto" w:fill="D9D9D9" w:themeFill="background1" w:themeFillShade="D9"/>
          </w:tcPr>
          <w:p w14:paraId="456F3668" w14:textId="77777777" w:rsidR="008927B1" w:rsidRPr="000A1A01" w:rsidRDefault="008927B1" w:rsidP="002F2A56">
            <w:pPr>
              <w:jc w:val="center"/>
              <w:rPr>
                <w:rFonts w:cs="Arial"/>
                <w:b/>
                <w:sz w:val="20"/>
                <w:szCs w:val="20"/>
              </w:rPr>
            </w:pPr>
            <w:r w:rsidRPr="000A1A01">
              <w:rPr>
                <w:rFonts w:cs="Arial"/>
                <w:b/>
                <w:sz w:val="20"/>
                <w:szCs w:val="20"/>
              </w:rPr>
              <w:t>1400</w:t>
            </w:r>
          </w:p>
        </w:tc>
      </w:tr>
      <w:tr w:rsidR="007D7848" w:rsidRPr="000A1A01" w14:paraId="1A245246" w14:textId="77777777" w:rsidTr="002F2A56">
        <w:tc>
          <w:tcPr>
            <w:tcW w:w="5860" w:type="dxa"/>
            <w:gridSpan w:val="3"/>
            <w:shd w:val="clear" w:color="auto" w:fill="D9D9D9" w:themeFill="background1" w:themeFillShade="D9"/>
          </w:tcPr>
          <w:p w14:paraId="17CEAB2B" w14:textId="77777777" w:rsidR="007D7848" w:rsidRPr="000A1A01" w:rsidRDefault="007D7848" w:rsidP="002F2A56">
            <w:pPr>
              <w:jc w:val="right"/>
              <w:rPr>
                <w:rFonts w:cs="Arial"/>
                <w:b/>
                <w:sz w:val="20"/>
                <w:szCs w:val="20"/>
              </w:rPr>
            </w:pPr>
            <w:r w:rsidRPr="000A1A01">
              <w:rPr>
                <w:rFonts w:cs="Arial"/>
                <w:b/>
                <w:sz w:val="20"/>
                <w:szCs w:val="20"/>
              </w:rPr>
              <w:t>Less dwellings submitted both individually and part of HSB0037a (marked by *)</w:t>
            </w:r>
            <w:r w:rsidRPr="000A1A01">
              <w:rPr>
                <w:rStyle w:val="FootnoteReference"/>
                <w:rFonts w:eastAsiaTheme="majorEastAsia" w:cs="Arial"/>
                <w:b/>
              </w:rPr>
              <w:footnoteReference w:id="4"/>
            </w:r>
          </w:p>
        </w:tc>
        <w:tc>
          <w:tcPr>
            <w:tcW w:w="1828" w:type="dxa"/>
            <w:shd w:val="clear" w:color="auto" w:fill="D9D9D9" w:themeFill="background1" w:themeFillShade="D9"/>
          </w:tcPr>
          <w:p w14:paraId="6E89436C" w14:textId="77777777" w:rsidR="007D7848" w:rsidRPr="000A1A01" w:rsidRDefault="007D7848" w:rsidP="002F2A56">
            <w:pPr>
              <w:jc w:val="center"/>
              <w:rPr>
                <w:rFonts w:cs="Arial"/>
                <w:b/>
                <w:sz w:val="20"/>
                <w:szCs w:val="20"/>
              </w:rPr>
            </w:pPr>
            <w:r w:rsidRPr="000A1A01">
              <w:rPr>
                <w:rFonts w:cs="Arial"/>
                <w:b/>
                <w:sz w:val="20"/>
                <w:szCs w:val="20"/>
              </w:rPr>
              <w:t>465</w:t>
            </w:r>
          </w:p>
        </w:tc>
        <w:tc>
          <w:tcPr>
            <w:tcW w:w="1856" w:type="dxa"/>
            <w:shd w:val="clear" w:color="auto" w:fill="D9D9D9" w:themeFill="background1" w:themeFillShade="D9"/>
          </w:tcPr>
          <w:p w14:paraId="22EC65EB" w14:textId="77777777" w:rsidR="007D7848" w:rsidRPr="000A1A01" w:rsidRDefault="007D7848" w:rsidP="002F2A56">
            <w:pPr>
              <w:jc w:val="center"/>
              <w:rPr>
                <w:rFonts w:cs="Arial"/>
                <w:b/>
                <w:sz w:val="20"/>
                <w:szCs w:val="20"/>
              </w:rPr>
            </w:pPr>
            <w:r w:rsidRPr="000A1A01">
              <w:rPr>
                <w:rFonts w:cs="Arial"/>
                <w:b/>
                <w:sz w:val="20"/>
                <w:szCs w:val="20"/>
              </w:rPr>
              <w:t>25</w:t>
            </w:r>
          </w:p>
        </w:tc>
        <w:tc>
          <w:tcPr>
            <w:tcW w:w="1857" w:type="dxa"/>
            <w:shd w:val="clear" w:color="auto" w:fill="D9D9D9" w:themeFill="background1" w:themeFillShade="D9"/>
          </w:tcPr>
          <w:p w14:paraId="620EC08F" w14:textId="77777777" w:rsidR="007D7848" w:rsidRPr="000A1A01" w:rsidRDefault="007D7848" w:rsidP="002F2A56">
            <w:pPr>
              <w:jc w:val="center"/>
              <w:rPr>
                <w:rFonts w:cs="Arial"/>
                <w:b/>
                <w:sz w:val="20"/>
                <w:szCs w:val="20"/>
              </w:rPr>
            </w:pPr>
            <w:r w:rsidRPr="000A1A01">
              <w:rPr>
                <w:rFonts w:cs="Arial"/>
                <w:b/>
                <w:sz w:val="20"/>
                <w:szCs w:val="20"/>
              </w:rPr>
              <w:t>421</w:t>
            </w:r>
          </w:p>
        </w:tc>
        <w:tc>
          <w:tcPr>
            <w:tcW w:w="1857" w:type="dxa"/>
            <w:shd w:val="clear" w:color="auto" w:fill="D9D9D9" w:themeFill="background1" w:themeFillShade="D9"/>
          </w:tcPr>
          <w:p w14:paraId="6AFE2622" w14:textId="77777777" w:rsidR="007D7848" w:rsidRPr="000A1A01" w:rsidRDefault="007D7848" w:rsidP="002F2A56">
            <w:pPr>
              <w:jc w:val="center"/>
              <w:rPr>
                <w:rFonts w:cs="Arial"/>
                <w:b/>
                <w:sz w:val="20"/>
                <w:szCs w:val="20"/>
              </w:rPr>
            </w:pPr>
            <w:r w:rsidRPr="000A1A01">
              <w:rPr>
                <w:rFonts w:cs="Arial"/>
                <w:b/>
                <w:sz w:val="20"/>
                <w:szCs w:val="20"/>
              </w:rPr>
              <w:t>19</w:t>
            </w:r>
          </w:p>
        </w:tc>
        <w:tc>
          <w:tcPr>
            <w:tcW w:w="1857" w:type="dxa"/>
            <w:shd w:val="clear" w:color="auto" w:fill="D9D9D9" w:themeFill="background1" w:themeFillShade="D9"/>
          </w:tcPr>
          <w:p w14:paraId="3309CDAE" w14:textId="77777777" w:rsidR="007D7848" w:rsidRPr="000A1A01" w:rsidRDefault="007D7848" w:rsidP="002F2A56">
            <w:pPr>
              <w:jc w:val="center"/>
              <w:rPr>
                <w:rFonts w:cs="Arial"/>
                <w:b/>
                <w:sz w:val="20"/>
                <w:szCs w:val="20"/>
              </w:rPr>
            </w:pPr>
            <w:r w:rsidRPr="000A1A01">
              <w:rPr>
                <w:rFonts w:cs="Arial"/>
                <w:b/>
                <w:sz w:val="20"/>
                <w:szCs w:val="20"/>
              </w:rPr>
              <w:t>0</w:t>
            </w:r>
          </w:p>
        </w:tc>
      </w:tr>
      <w:tr w:rsidR="007D7848" w:rsidRPr="000A1A01" w14:paraId="74611324" w14:textId="77777777" w:rsidTr="008927B1">
        <w:tc>
          <w:tcPr>
            <w:tcW w:w="5860" w:type="dxa"/>
            <w:gridSpan w:val="3"/>
            <w:shd w:val="clear" w:color="auto" w:fill="D9D9D9" w:themeFill="background1" w:themeFillShade="D9"/>
          </w:tcPr>
          <w:p w14:paraId="7E74F488" w14:textId="77777777" w:rsidR="007D7848" w:rsidRPr="000A1A01" w:rsidRDefault="007D7848" w:rsidP="008927B1">
            <w:pPr>
              <w:tabs>
                <w:tab w:val="left" w:pos="3828"/>
              </w:tabs>
              <w:jc w:val="right"/>
              <w:rPr>
                <w:rFonts w:cs="Arial"/>
                <w:b/>
                <w:sz w:val="20"/>
                <w:szCs w:val="20"/>
              </w:rPr>
            </w:pPr>
            <w:r w:rsidRPr="000A1A01">
              <w:rPr>
                <w:rFonts w:cs="Arial"/>
                <w:b/>
                <w:sz w:val="20"/>
                <w:szCs w:val="20"/>
              </w:rPr>
              <w:tab/>
              <w:t>Settlement Total</w:t>
            </w:r>
          </w:p>
        </w:tc>
        <w:tc>
          <w:tcPr>
            <w:tcW w:w="1828" w:type="dxa"/>
            <w:shd w:val="clear" w:color="auto" w:fill="D9D9D9" w:themeFill="background1" w:themeFillShade="D9"/>
          </w:tcPr>
          <w:p w14:paraId="67D612F2" w14:textId="77777777" w:rsidR="007D7848" w:rsidRPr="000A1A01" w:rsidRDefault="007D7848" w:rsidP="002F2A56">
            <w:pPr>
              <w:jc w:val="center"/>
              <w:rPr>
                <w:rFonts w:cs="Arial"/>
                <w:b/>
                <w:sz w:val="20"/>
                <w:szCs w:val="20"/>
              </w:rPr>
            </w:pPr>
            <w:r>
              <w:rPr>
                <w:rFonts w:cs="Arial"/>
                <w:b/>
                <w:sz w:val="20"/>
                <w:szCs w:val="20"/>
              </w:rPr>
              <w:t>3762</w:t>
            </w:r>
          </w:p>
        </w:tc>
        <w:tc>
          <w:tcPr>
            <w:tcW w:w="1856" w:type="dxa"/>
            <w:shd w:val="clear" w:color="auto" w:fill="D9D9D9" w:themeFill="background1" w:themeFillShade="D9"/>
          </w:tcPr>
          <w:p w14:paraId="1AA1AC67" w14:textId="77777777" w:rsidR="007D7848" w:rsidRPr="000A1A01" w:rsidRDefault="007D7848" w:rsidP="002F2A56">
            <w:pPr>
              <w:jc w:val="center"/>
              <w:rPr>
                <w:rFonts w:cs="Arial"/>
                <w:b/>
                <w:sz w:val="20"/>
                <w:szCs w:val="20"/>
              </w:rPr>
            </w:pPr>
            <w:r>
              <w:rPr>
                <w:rFonts w:cs="Arial"/>
                <w:b/>
                <w:sz w:val="20"/>
                <w:szCs w:val="20"/>
              </w:rPr>
              <w:t>240</w:t>
            </w:r>
          </w:p>
        </w:tc>
        <w:tc>
          <w:tcPr>
            <w:tcW w:w="1857" w:type="dxa"/>
            <w:shd w:val="clear" w:color="auto" w:fill="D9D9D9" w:themeFill="background1" w:themeFillShade="D9"/>
          </w:tcPr>
          <w:p w14:paraId="475FA0C4" w14:textId="77777777" w:rsidR="007D7848" w:rsidRPr="000A1A01" w:rsidRDefault="007D7848" w:rsidP="002F2A56">
            <w:pPr>
              <w:jc w:val="center"/>
              <w:rPr>
                <w:rFonts w:cs="Arial"/>
                <w:b/>
                <w:sz w:val="20"/>
                <w:szCs w:val="20"/>
              </w:rPr>
            </w:pPr>
            <w:r>
              <w:rPr>
                <w:rFonts w:cs="Arial"/>
                <w:b/>
                <w:sz w:val="20"/>
                <w:szCs w:val="20"/>
              </w:rPr>
              <w:t>921</w:t>
            </w:r>
          </w:p>
        </w:tc>
        <w:tc>
          <w:tcPr>
            <w:tcW w:w="1857" w:type="dxa"/>
            <w:shd w:val="clear" w:color="auto" w:fill="D9D9D9" w:themeFill="background1" w:themeFillShade="D9"/>
          </w:tcPr>
          <w:p w14:paraId="3AA765A1" w14:textId="77777777" w:rsidR="007D7848" w:rsidRPr="000A1A01" w:rsidRDefault="007D7848" w:rsidP="002F2A56">
            <w:pPr>
              <w:jc w:val="center"/>
              <w:rPr>
                <w:rFonts w:cs="Arial"/>
                <w:b/>
                <w:sz w:val="20"/>
                <w:szCs w:val="20"/>
              </w:rPr>
            </w:pPr>
            <w:r w:rsidRPr="000A1A01">
              <w:rPr>
                <w:rFonts w:cs="Arial"/>
                <w:b/>
                <w:sz w:val="20"/>
                <w:szCs w:val="20"/>
              </w:rPr>
              <w:t>1201</w:t>
            </w:r>
          </w:p>
        </w:tc>
        <w:tc>
          <w:tcPr>
            <w:tcW w:w="1857" w:type="dxa"/>
            <w:shd w:val="clear" w:color="auto" w:fill="D9D9D9" w:themeFill="background1" w:themeFillShade="D9"/>
          </w:tcPr>
          <w:p w14:paraId="42F2B6F1" w14:textId="77777777" w:rsidR="007D7848" w:rsidRPr="000A1A01" w:rsidRDefault="007D7848" w:rsidP="002F2A56">
            <w:pPr>
              <w:jc w:val="center"/>
              <w:rPr>
                <w:rFonts w:cs="Arial"/>
                <w:b/>
                <w:sz w:val="20"/>
                <w:szCs w:val="20"/>
              </w:rPr>
            </w:pPr>
            <w:r w:rsidRPr="000A1A01">
              <w:rPr>
                <w:rFonts w:cs="Arial"/>
                <w:b/>
                <w:sz w:val="20"/>
                <w:szCs w:val="20"/>
              </w:rPr>
              <w:t>1400</w:t>
            </w:r>
          </w:p>
        </w:tc>
      </w:tr>
    </w:tbl>
    <w:p w14:paraId="4B2832E1" w14:textId="77777777" w:rsidR="007D7848" w:rsidRDefault="007D7848" w:rsidP="007D7848">
      <w:pPr>
        <w:spacing w:after="200" w:line="276" w:lineRule="auto"/>
        <w:jc w:val="left"/>
        <w:rPr>
          <w:rFonts w:cs="Arial"/>
          <w:color w:val="000000" w:themeColor="text1"/>
        </w:rPr>
      </w:pPr>
    </w:p>
    <w:p w14:paraId="6034C3AB" w14:textId="77777777" w:rsidR="007D7848" w:rsidRDefault="007D7848" w:rsidP="007D7848">
      <w:pPr>
        <w:tabs>
          <w:tab w:val="left" w:pos="2880"/>
        </w:tabs>
        <w:spacing w:after="200" w:line="276" w:lineRule="auto"/>
        <w:jc w:val="left"/>
        <w:rPr>
          <w:rFonts w:cs="Arial"/>
          <w:color w:val="000000" w:themeColor="text1"/>
        </w:rPr>
        <w:sectPr w:rsidR="007D7848" w:rsidSect="000A1A01">
          <w:pgSz w:w="16838" w:h="11906" w:orient="landscape"/>
          <w:pgMar w:top="864" w:right="1008" w:bottom="864" w:left="720" w:header="706" w:footer="144" w:gutter="0"/>
          <w:cols w:space="708"/>
          <w:titlePg/>
          <w:docGrid w:linePitch="360"/>
        </w:sectPr>
      </w:pPr>
      <w:r>
        <w:rPr>
          <w:rFonts w:cs="Arial"/>
          <w:color w:val="000000" w:themeColor="text1"/>
        </w:rPr>
        <w:tab/>
      </w:r>
    </w:p>
    <w:p w14:paraId="63436078" w14:textId="4A5C0561" w:rsidR="007D7848" w:rsidRDefault="007D7848" w:rsidP="007D7848">
      <w:pPr>
        <w:pStyle w:val="Heading1"/>
        <w:spacing w:before="0"/>
        <w:rPr>
          <w:rFonts w:ascii="Arial" w:hAnsi="Arial" w:cs="Arial"/>
          <w:b/>
          <w:bCs/>
          <w:color w:val="000000" w:themeColor="text1"/>
          <w:sz w:val="24"/>
          <w:szCs w:val="24"/>
        </w:rPr>
      </w:pPr>
      <w:bookmarkStart w:id="15" w:name="_Toc167896102"/>
      <w:r w:rsidRPr="00D71E75">
        <w:rPr>
          <w:rFonts w:ascii="Arial" w:hAnsi="Arial" w:cs="Arial"/>
          <w:b/>
          <w:bCs/>
          <w:color w:val="000000" w:themeColor="text1"/>
          <w:sz w:val="24"/>
          <w:szCs w:val="24"/>
        </w:rPr>
        <w:lastRenderedPageBreak/>
        <w:t xml:space="preserve">Appendix </w:t>
      </w:r>
      <w:r>
        <w:rPr>
          <w:rFonts w:ascii="Arial" w:hAnsi="Arial" w:cs="Arial"/>
          <w:b/>
          <w:bCs/>
          <w:color w:val="000000" w:themeColor="text1"/>
          <w:sz w:val="24"/>
          <w:szCs w:val="24"/>
        </w:rPr>
        <w:t>4</w:t>
      </w:r>
      <w:r w:rsidRPr="00D71E75">
        <w:rPr>
          <w:rFonts w:ascii="Arial" w:hAnsi="Arial" w:cs="Arial"/>
          <w:b/>
          <w:bCs/>
          <w:color w:val="000000" w:themeColor="text1"/>
          <w:sz w:val="24"/>
          <w:szCs w:val="24"/>
        </w:rPr>
        <w:t xml:space="preserve"> – Southbourne BLD Policy</w:t>
      </w:r>
      <w:r w:rsidR="002E4CAD">
        <w:rPr>
          <w:rFonts w:ascii="Arial" w:hAnsi="Arial" w:cs="Arial"/>
          <w:b/>
          <w:bCs/>
          <w:color w:val="000000" w:themeColor="text1"/>
          <w:sz w:val="24"/>
          <w:szCs w:val="24"/>
        </w:rPr>
        <w:t xml:space="preserve"> A13</w:t>
      </w:r>
      <w:r w:rsidR="00B03D53" w:rsidRPr="00B03D53">
        <w:rPr>
          <w:rStyle w:val="FootnoteReference"/>
          <w:rFonts w:ascii="Arial" w:hAnsi="Arial" w:cs="Arial"/>
          <w:color w:val="000000" w:themeColor="text1"/>
          <w:sz w:val="24"/>
          <w:szCs w:val="24"/>
        </w:rPr>
        <w:footnoteReference w:id="5"/>
      </w:r>
      <w:bookmarkEnd w:id="15"/>
    </w:p>
    <w:p w14:paraId="2AD8C445" w14:textId="77777777" w:rsidR="007D7848" w:rsidRDefault="007D7848" w:rsidP="007D7848"/>
    <w:p w14:paraId="58EE5B63" w14:textId="77777777" w:rsidR="007D7848" w:rsidRPr="00792D2B" w:rsidRDefault="007D7848" w:rsidP="007D7848">
      <w:pPr>
        <w:spacing w:line="276" w:lineRule="auto"/>
        <w:rPr>
          <w:b/>
          <w:bCs/>
        </w:rPr>
      </w:pPr>
      <w:bookmarkStart w:id="16" w:name="_Toc120779212"/>
      <w:r w:rsidRPr="00792D2B">
        <w:rPr>
          <w:b/>
          <w:bCs/>
        </w:rPr>
        <w:t>Southbourne</w:t>
      </w:r>
      <w:bookmarkEnd w:id="16"/>
      <w:r w:rsidRPr="00792D2B">
        <w:rPr>
          <w:b/>
          <w:bCs/>
        </w:rPr>
        <w:t xml:space="preserve"> </w:t>
      </w:r>
    </w:p>
    <w:p w14:paraId="4B34DA61" w14:textId="2C99578F" w:rsidR="007D7848" w:rsidRDefault="007D7848" w:rsidP="007D7848">
      <w:pPr>
        <w:spacing w:line="276" w:lineRule="auto"/>
        <w:rPr>
          <w:rFonts w:cs="Arial"/>
        </w:rPr>
      </w:pPr>
      <w:r w:rsidRPr="00CA2390">
        <w:rPr>
          <w:rFonts w:cs="Arial"/>
        </w:rPr>
        <w:t xml:space="preserve">Southbourne is the largest settlement in the west of the plan area and is defined as a 'settlement hub' within the settlement hierarchy. It lies on the A259 Emsworth to Chichester road and benefits from a station on the West </w:t>
      </w:r>
      <w:proofErr w:type="spellStart"/>
      <w:r w:rsidRPr="00CA2390">
        <w:rPr>
          <w:rFonts w:cs="Arial"/>
        </w:rPr>
        <w:t>Coastway</w:t>
      </w:r>
      <w:proofErr w:type="spellEnd"/>
      <w:r w:rsidRPr="00CA2390">
        <w:rPr>
          <w:rFonts w:cs="Arial"/>
        </w:rPr>
        <w:t xml:space="preserve"> rail line linking Chichester with Portsmouth / Southampton as well as more widely to London. Southbourne acts as a service centre for the surrounding villages, providing a variety of community services and facilities, including shops, a library, doctor's </w:t>
      </w:r>
      <w:proofErr w:type="gramStart"/>
      <w:r w:rsidRPr="00CA2390">
        <w:rPr>
          <w:rFonts w:cs="Arial"/>
        </w:rPr>
        <w:t>surgery</w:t>
      </w:r>
      <w:proofErr w:type="gramEnd"/>
      <w:r w:rsidRPr="00CA2390">
        <w:rPr>
          <w:rFonts w:cs="Arial"/>
        </w:rPr>
        <w:t xml:space="preserve"> and a range of education facilities.</w:t>
      </w:r>
      <w:r w:rsidR="00AF74C1">
        <w:rPr>
          <w:rFonts w:cs="Arial"/>
        </w:rPr>
        <w:t xml:space="preserve"> </w:t>
      </w:r>
      <w:r w:rsidRPr="00CA2390">
        <w:rPr>
          <w:rFonts w:cs="Arial"/>
        </w:rPr>
        <w:t xml:space="preserve">Currently there is good access to employment elsewhere (for example at Chichester City and Havant); </w:t>
      </w:r>
      <w:proofErr w:type="gramStart"/>
      <w:r w:rsidRPr="00CA2390">
        <w:rPr>
          <w:rFonts w:cs="Arial"/>
        </w:rPr>
        <w:t>however</w:t>
      </w:r>
      <w:proofErr w:type="gramEnd"/>
      <w:r w:rsidRPr="00CA2390">
        <w:rPr>
          <w:rFonts w:cs="Arial"/>
        </w:rPr>
        <w:t xml:space="preserve"> opportunities in Southbourne itself are very limited.</w:t>
      </w:r>
    </w:p>
    <w:p w14:paraId="45AA86EA" w14:textId="77777777" w:rsidR="007D7848" w:rsidRPr="00CA2390" w:rsidRDefault="007D7848" w:rsidP="007D7848">
      <w:pPr>
        <w:spacing w:line="276" w:lineRule="auto"/>
        <w:rPr>
          <w:rFonts w:cs="Arial"/>
        </w:rPr>
      </w:pPr>
    </w:p>
    <w:p w14:paraId="3A06AA61" w14:textId="78376ED5" w:rsidR="007D7848" w:rsidRDefault="007D7848" w:rsidP="007D7848">
      <w:pPr>
        <w:spacing w:line="276" w:lineRule="auto"/>
        <w:rPr>
          <w:rFonts w:cs="Arial"/>
        </w:rPr>
      </w:pPr>
      <w:r w:rsidRPr="00CA2390">
        <w:rPr>
          <w:rFonts w:cs="Arial"/>
        </w:rPr>
        <w:t>Southbourne has been identified as a suitable location for strategic development during the later part of the Plan period and a Broad Location for Development, shown on the Key Diagram, has been identified.</w:t>
      </w:r>
      <w:r w:rsidR="00AF74C1">
        <w:rPr>
          <w:rFonts w:cs="Arial"/>
        </w:rPr>
        <w:t xml:space="preserve"> </w:t>
      </w:r>
      <w:r w:rsidRPr="00CA2390">
        <w:rPr>
          <w:rFonts w:cs="Arial"/>
        </w:rPr>
        <w:t>Within this area a mixed use development of 1,050 homes, local employment opportunities and supporting local facilities will be developed.</w:t>
      </w:r>
      <w:r w:rsidR="00AF74C1">
        <w:rPr>
          <w:rFonts w:cs="Arial"/>
        </w:rPr>
        <w:t xml:space="preserve"> </w:t>
      </w:r>
      <w:r w:rsidRPr="00CA2390">
        <w:rPr>
          <w:rFonts w:cs="Arial"/>
        </w:rPr>
        <w:t xml:space="preserve">The site will also provide for the accommodation needs of Gypsies and Travellers and Travelling </w:t>
      </w:r>
      <w:proofErr w:type="spellStart"/>
      <w:r w:rsidRPr="00CA2390">
        <w:rPr>
          <w:rFonts w:cs="Arial"/>
        </w:rPr>
        <w:t>Showpeople</w:t>
      </w:r>
      <w:proofErr w:type="spellEnd"/>
      <w:r w:rsidRPr="00CA2390">
        <w:rPr>
          <w:rFonts w:cs="Arial"/>
        </w:rPr>
        <w:t>.</w:t>
      </w:r>
      <w:r w:rsidR="00AF74C1">
        <w:rPr>
          <w:rFonts w:cs="Arial"/>
        </w:rPr>
        <w:t xml:space="preserve"> </w:t>
      </w:r>
    </w:p>
    <w:p w14:paraId="2CC3303E" w14:textId="77777777" w:rsidR="007D7848" w:rsidRPr="00CA2390" w:rsidRDefault="007D7848" w:rsidP="007D7848">
      <w:pPr>
        <w:spacing w:line="276" w:lineRule="auto"/>
        <w:rPr>
          <w:rFonts w:cs="Arial"/>
        </w:rPr>
      </w:pPr>
    </w:p>
    <w:p w14:paraId="571E8EAB" w14:textId="77777777" w:rsidR="007D7848" w:rsidRDefault="007D7848" w:rsidP="007D7848">
      <w:pPr>
        <w:spacing w:line="276" w:lineRule="auto"/>
        <w:rPr>
          <w:rFonts w:cs="Arial"/>
        </w:rPr>
      </w:pPr>
      <w:r w:rsidRPr="00CA2390">
        <w:rPr>
          <w:rFonts w:cs="Arial"/>
        </w:rPr>
        <w:t>Further consideration of sites and the allocation of land to deliver this development will be made through either a revised Site Allocation DPD or revised Southbourne Neighbourhood Plan.</w:t>
      </w:r>
    </w:p>
    <w:p w14:paraId="4A540F49" w14:textId="77777777" w:rsidR="007D7848" w:rsidRPr="00CA2390" w:rsidRDefault="007D7848" w:rsidP="007D7848">
      <w:pPr>
        <w:spacing w:line="276" w:lineRule="auto"/>
        <w:rPr>
          <w:rFonts w:cs="Arial"/>
        </w:rPr>
      </w:pPr>
    </w:p>
    <w:p w14:paraId="15DB4335" w14:textId="3B37D4E7" w:rsidR="007D7848" w:rsidRDefault="007D7848" w:rsidP="007D7848">
      <w:pPr>
        <w:spacing w:line="276" w:lineRule="auto"/>
        <w:rPr>
          <w:rFonts w:cs="Arial"/>
        </w:rPr>
      </w:pPr>
      <w:r w:rsidRPr="00CA2390">
        <w:rPr>
          <w:rFonts w:cs="Arial"/>
        </w:rPr>
        <w:t xml:space="preserve">Southbourne is located close to Chichester Harbour and any opportunities for development must </w:t>
      </w:r>
      <w:proofErr w:type="gramStart"/>
      <w:r w:rsidRPr="00CA2390">
        <w:rPr>
          <w:rFonts w:cs="Arial"/>
        </w:rPr>
        <w:t>give consideration to</w:t>
      </w:r>
      <w:proofErr w:type="gramEnd"/>
      <w:r w:rsidRPr="00CA2390">
        <w:rPr>
          <w:rFonts w:cs="Arial"/>
        </w:rPr>
        <w:t xml:space="preserve"> potential impact in terms of recreational disturbance on the Chichester Harbour SPA/SAC/Ramsar site, particularly for the area to the south of the A259 which also falls within the </w:t>
      </w:r>
      <w:r w:rsidRPr="00494918">
        <w:rPr>
          <w:rFonts w:cs="Arial"/>
        </w:rPr>
        <w:t>AONB</w:t>
      </w:r>
      <w:r w:rsidRPr="00CA2390">
        <w:rPr>
          <w:rFonts w:cs="Arial"/>
        </w:rPr>
        <w:t xml:space="preserve">. Certain areas outside those designated sites functionally support species for which the sites are </w:t>
      </w:r>
      <w:proofErr w:type="gramStart"/>
      <w:r w:rsidRPr="00CA2390">
        <w:rPr>
          <w:rFonts w:cs="Arial"/>
        </w:rPr>
        <w:t>designated</w:t>
      </w:r>
      <w:proofErr w:type="gramEnd"/>
      <w:r w:rsidRPr="00CA2390">
        <w:rPr>
          <w:rFonts w:cs="Arial"/>
        </w:rPr>
        <w:t xml:space="preserve"> and consideration will need to be given as to whether there are likely to be any significant impacts on the functionally linked sites and the avoidance measures or mitigation that may be required</w:t>
      </w:r>
      <w:r w:rsidRPr="00CA2390">
        <w:rPr>
          <w:rStyle w:val="FootnoteReference"/>
          <w:rFonts w:cs="Arial"/>
        </w:rPr>
        <w:footnoteReference w:id="6"/>
      </w:r>
      <w:r w:rsidRPr="00CA2390">
        <w:rPr>
          <w:rFonts w:cs="Arial"/>
        </w:rPr>
        <w:t>.</w:t>
      </w:r>
    </w:p>
    <w:p w14:paraId="17ADFA02" w14:textId="77777777" w:rsidR="007D7848" w:rsidRPr="00CA2390" w:rsidRDefault="007D7848" w:rsidP="007D7848">
      <w:pPr>
        <w:spacing w:line="276" w:lineRule="auto"/>
        <w:rPr>
          <w:rFonts w:cs="Arial"/>
        </w:rPr>
      </w:pPr>
    </w:p>
    <w:p w14:paraId="085CE995" w14:textId="06D2A5BA" w:rsidR="007D7848" w:rsidRPr="00CA2390" w:rsidRDefault="007D7848" w:rsidP="007D7848">
      <w:pPr>
        <w:spacing w:line="276" w:lineRule="auto"/>
        <w:rPr>
          <w:rFonts w:cs="Arial"/>
        </w:rPr>
      </w:pPr>
      <w:r w:rsidRPr="00CA2390">
        <w:rPr>
          <w:rFonts w:cs="Arial"/>
        </w:rPr>
        <w:t xml:space="preserve">Although the settlement is less affected by other constraints, regard will need to be paid to landscape considerations, particularly the setting of the </w:t>
      </w:r>
      <w:r w:rsidRPr="00494918">
        <w:rPr>
          <w:rFonts w:cs="Arial"/>
        </w:rPr>
        <w:t>AONB</w:t>
      </w:r>
      <w:r w:rsidRPr="00CA2390">
        <w:rPr>
          <w:rFonts w:cs="Arial"/>
        </w:rPr>
        <w:t xml:space="preserve"> and protecting views to the South Downs National Park.</w:t>
      </w:r>
      <w:r w:rsidR="00AF74C1">
        <w:rPr>
          <w:rFonts w:cs="Arial"/>
        </w:rPr>
        <w:t xml:space="preserve"> </w:t>
      </w:r>
      <w:r w:rsidRPr="00CA2390">
        <w:rPr>
          <w:rFonts w:cs="Arial"/>
        </w:rPr>
        <w:t>Development will also need to ensure that the separate identity of neighbouring settlements along the A259 is maintained, with consideration being given to defining the precise boundaries of landscape gaps as required by Policy NE3 (Landscape gaps between settlements).</w:t>
      </w:r>
    </w:p>
    <w:p w14:paraId="6F79BE36" w14:textId="77777777" w:rsidR="007D7848" w:rsidRPr="00CA2390" w:rsidRDefault="007D7848" w:rsidP="007D7848">
      <w:pPr>
        <w:rPr>
          <w:rFonts w:cs="Arial"/>
        </w:rPr>
      </w:pPr>
    </w:p>
    <w:p w14:paraId="2C830997" w14:textId="77777777" w:rsidR="007D7848" w:rsidRPr="00CA2390" w:rsidRDefault="007D7848" w:rsidP="007D7848">
      <w:pPr>
        <w:rPr>
          <w:rFonts w:cs="Arial"/>
        </w:rPr>
      </w:pPr>
      <w:r w:rsidRPr="00CA2390">
        <w:rPr>
          <w:rFonts w:cs="Arial"/>
        </w:rPr>
        <w:t>In addition, development will need to address the following issues:</w:t>
      </w:r>
    </w:p>
    <w:p w14:paraId="3A13B5F4" w14:textId="77777777" w:rsidR="007D7848" w:rsidRPr="00CA2390" w:rsidRDefault="007D7848" w:rsidP="007D7848">
      <w:pPr>
        <w:pStyle w:val="ListParagraph"/>
        <w:numPr>
          <w:ilvl w:val="0"/>
          <w:numId w:val="28"/>
        </w:numPr>
        <w:shd w:val="clear" w:color="auto" w:fill="FFFFFF"/>
        <w:spacing w:before="150" w:after="150"/>
        <w:rPr>
          <w:rFonts w:ascii="Arial" w:hAnsi="Arial" w:cs="Arial"/>
          <w:sz w:val="24"/>
          <w:szCs w:val="24"/>
        </w:rPr>
      </w:pPr>
      <w:r w:rsidRPr="00CA2390">
        <w:rPr>
          <w:rFonts w:ascii="Arial" w:hAnsi="Arial" w:cs="Arial"/>
          <w:sz w:val="24"/>
          <w:szCs w:val="24"/>
        </w:rPr>
        <w:t>Development phasing;</w:t>
      </w:r>
    </w:p>
    <w:p w14:paraId="21383227" w14:textId="76239C70" w:rsidR="007D7848" w:rsidRPr="00CA2390" w:rsidRDefault="007D7848" w:rsidP="007D7848">
      <w:pPr>
        <w:pStyle w:val="ListParagraph"/>
        <w:numPr>
          <w:ilvl w:val="0"/>
          <w:numId w:val="38"/>
        </w:numPr>
        <w:shd w:val="clear" w:color="auto" w:fill="FFFFFF"/>
        <w:spacing w:before="150" w:after="150"/>
        <w:ind w:left="360"/>
        <w:rPr>
          <w:rFonts w:ascii="Arial" w:hAnsi="Arial" w:cs="Arial"/>
          <w:sz w:val="24"/>
          <w:szCs w:val="24"/>
        </w:rPr>
      </w:pPr>
      <w:r w:rsidRPr="00CA2390">
        <w:rPr>
          <w:rFonts w:ascii="Arial" w:hAnsi="Arial" w:cs="Arial"/>
          <w:sz w:val="24"/>
          <w:szCs w:val="24"/>
        </w:rPr>
        <w:t xml:space="preserve">Ensuring adequate provision of supporting infrastructure including additional education capacity, </w:t>
      </w:r>
      <w:proofErr w:type="gramStart"/>
      <w:r w:rsidRPr="00CA2390">
        <w:rPr>
          <w:rFonts w:ascii="Arial" w:hAnsi="Arial" w:cs="Arial"/>
          <w:sz w:val="24"/>
          <w:szCs w:val="24"/>
        </w:rPr>
        <w:t>community</w:t>
      </w:r>
      <w:proofErr w:type="gramEnd"/>
      <w:r w:rsidRPr="00CA2390">
        <w:rPr>
          <w:rFonts w:ascii="Arial" w:hAnsi="Arial" w:cs="Arial"/>
          <w:sz w:val="24"/>
          <w:szCs w:val="24"/>
        </w:rPr>
        <w:t xml:space="preserve"> and health facilities in accordance with the most recently published Infrastructure Delivery Plan.</w:t>
      </w:r>
      <w:r w:rsidR="00AF74C1">
        <w:rPr>
          <w:rFonts w:ascii="Arial" w:hAnsi="Arial" w:cs="Arial"/>
          <w:sz w:val="24"/>
          <w:szCs w:val="24"/>
        </w:rPr>
        <w:t xml:space="preserve"> </w:t>
      </w:r>
      <w:r w:rsidRPr="00CA2390">
        <w:rPr>
          <w:rFonts w:ascii="Arial" w:hAnsi="Arial" w:cs="Arial"/>
          <w:sz w:val="24"/>
          <w:szCs w:val="24"/>
        </w:rPr>
        <w:t xml:space="preserve">This is likely to include a new two form entry primary school with potential for expansion, expansion of secondary school provision, early years’ childcare </w:t>
      </w:r>
      <w:r w:rsidRPr="00CA2390">
        <w:rPr>
          <w:rFonts w:ascii="Arial" w:hAnsi="Arial" w:cs="Arial"/>
          <w:sz w:val="24"/>
          <w:szCs w:val="24"/>
        </w:rPr>
        <w:lastRenderedPageBreak/>
        <w:t>provision, community hall/centre and expansion of doctors’ surgery plus flexible space for employment/small-scale leisure use;</w:t>
      </w:r>
    </w:p>
    <w:p w14:paraId="03E8B3D9" w14:textId="0A083AE6" w:rsidR="007D7848" w:rsidRPr="00CA2390" w:rsidRDefault="007D7848" w:rsidP="007D7848">
      <w:pPr>
        <w:pStyle w:val="ListParagraph"/>
        <w:numPr>
          <w:ilvl w:val="0"/>
          <w:numId w:val="38"/>
        </w:numPr>
        <w:shd w:val="clear" w:color="auto" w:fill="FFFFFF"/>
        <w:spacing w:before="150" w:after="150"/>
        <w:ind w:left="360"/>
        <w:rPr>
          <w:rFonts w:ascii="Arial" w:hAnsi="Arial" w:cs="Arial"/>
          <w:sz w:val="24"/>
          <w:szCs w:val="24"/>
        </w:rPr>
      </w:pPr>
      <w:r w:rsidRPr="00CA2390">
        <w:rPr>
          <w:rFonts w:ascii="Arial" w:hAnsi="Arial" w:cs="Arial"/>
          <w:sz w:val="24"/>
          <w:szCs w:val="24"/>
        </w:rPr>
        <w:t>Maximising the potential for sustainable travel links through improved public transport, including consideration of opportunities to resolve the situation relating to the various existing or planned railway crossings as well as the inclusion of cycling and pedestrian routes</w:t>
      </w:r>
      <w:r w:rsidR="00E40FE0">
        <w:rPr>
          <w:rFonts w:ascii="Arial" w:hAnsi="Arial" w:cs="Arial"/>
          <w:sz w:val="24"/>
          <w:szCs w:val="24"/>
        </w:rPr>
        <w:t xml:space="preserve"> </w:t>
      </w:r>
      <w:r w:rsidR="00E40FE0">
        <w:rPr>
          <w:rFonts w:ascii="Arial" w:hAnsi="Arial" w:cs="Arial"/>
          <w:sz w:val="24"/>
          <w:szCs w:val="24"/>
          <w:u w:val="single"/>
        </w:rPr>
        <w:t>including linking to the National Cycle Network Route 2 along the A259 and proposed enhancements as part of the Chichester to Emsworth Cycle Path (</w:t>
      </w:r>
      <w:proofErr w:type="spellStart"/>
      <w:r w:rsidR="00E40FE0">
        <w:rPr>
          <w:rFonts w:ascii="Arial" w:hAnsi="Arial" w:cs="Arial"/>
          <w:sz w:val="24"/>
          <w:szCs w:val="24"/>
          <w:u w:val="single"/>
        </w:rPr>
        <w:t>ChEm</w:t>
      </w:r>
      <w:proofErr w:type="spellEnd"/>
      <w:r w:rsidR="00E40FE0">
        <w:rPr>
          <w:rFonts w:ascii="Arial" w:hAnsi="Arial" w:cs="Arial"/>
          <w:sz w:val="24"/>
          <w:szCs w:val="24"/>
          <w:u w:val="single"/>
        </w:rPr>
        <w:t xml:space="preserve"> Route)</w:t>
      </w:r>
      <w:r w:rsidRPr="00CA2390">
        <w:rPr>
          <w:rFonts w:ascii="Arial" w:hAnsi="Arial" w:cs="Arial"/>
          <w:sz w:val="24"/>
          <w:szCs w:val="24"/>
        </w:rPr>
        <w:t xml:space="preserve">; </w:t>
      </w:r>
    </w:p>
    <w:p w14:paraId="11484FB8" w14:textId="77777777" w:rsidR="007D7848" w:rsidRPr="00CA2390" w:rsidRDefault="007D7848" w:rsidP="007D7848">
      <w:pPr>
        <w:pStyle w:val="ListParagraph"/>
        <w:numPr>
          <w:ilvl w:val="0"/>
          <w:numId w:val="38"/>
        </w:numPr>
        <w:shd w:val="clear" w:color="auto" w:fill="FFFFFF"/>
        <w:spacing w:before="150" w:after="150"/>
        <w:ind w:left="360"/>
        <w:rPr>
          <w:rFonts w:ascii="Arial" w:hAnsi="Arial" w:cs="Arial"/>
          <w:sz w:val="24"/>
          <w:szCs w:val="24"/>
        </w:rPr>
      </w:pPr>
      <w:r w:rsidRPr="00CA2390">
        <w:rPr>
          <w:rFonts w:ascii="Arial" w:hAnsi="Arial" w:cs="Arial"/>
          <w:sz w:val="24"/>
          <w:szCs w:val="24"/>
        </w:rPr>
        <w:t xml:space="preserve">Protecting residential properties from noise on the A27, through for example the sensitive use of acoustic screening; </w:t>
      </w:r>
    </w:p>
    <w:p w14:paraId="7732E462" w14:textId="51143DAD" w:rsidR="00D437C9" w:rsidRPr="00D437C9" w:rsidRDefault="007D7848" w:rsidP="007D7848">
      <w:pPr>
        <w:pStyle w:val="ListParagraph"/>
        <w:numPr>
          <w:ilvl w:val="0"/>
          <w:numId w:val="38"/>
        </w:numPr>
        <w:shd w:val="clear" w:color="auto" w:fill="FFFFFF"/>
        <w:spacing w:before="150" w:after="150"/>
        <w:ind w:left="360"/>
        <w:rPr>
          <w:rFonts w:ascii="Arial" w:hAnsi="Arial" w:cs="Arial"/>
          <w:sz w:val="24"/>
          <w:szCs w:val="24"/>
        </w:rPr>
      </w:pPr>
      <w:r w:rsidRPr="00CA2390">
        <w:rPr>
          <w:rFonts w:ascii="Arial" w:hAnsi="Arial" w:cs="Arial"/>
          <w:sz w:val="24"/>
          <w:szCs w:val="24"/>
        </w:rPr>
        <w:t>Creating new areas of open space and green infrastructure through planting, including maintenance and enhancement of perimeter landscaping to screen development and reduce noise.</w:t>
      </w:r>
      <w:r w:rsidR="00AF74C1">
        <w:rPr>
          <w:rFonts w:ascii="Arial" w:hAnsi="Arial" w:cs="Arial"/>
          <w:sz w:val="24"/>
          <w:szCs w:val="24"/>
        </w:rPr>
        <w:t xml:space="preserve"> </w:t>
      </w:r>
      <w:r w:rsidRPr="00CA2390">
        <w:rPr>
          <w:rFonts w:ascii="Arial" w:hAnsi="Arial" w:cs="Arial"/>
          <w:sz w:val="24"/>
          <w:szCs w:val="24"/>
        </w:rPr>
        <w:t>There is an ambition in the Neighbourhood Plan to establish a ‘Green Ring’ around Southbourne and appropriately located green infrastructure would contribute to achieving this</w:t>
      </w:r>
      <w:r w:rsidR="00D437C9">
        <w:rPr>
          <w:rFonts w:ascii="Arial" w:hAnsi="Arial" w:cs="Arial"/>
          <w:sz w:val="24"/>
          <w:szCs w:val="24"/>
          <w:u w:val="single"/>
        </w:rPr>
        <w:t>;</w:t>
      </w:r>
    </w:p>
    <w:p w14:paraId="7880A25D" w14:textId="468FDBCC" w:rsidR="00D437C9" w:rsidRPr="0019492E" w:rsidRDefault="0019492E" w:rsidP="007D7848">
      <w:pPr>
        <w:pStyle w:val="ListParagraph"/>
        <w:numPr>
          <w:ilvl w:val="0"/>
          <w:numId w:val="38"/>
        </w:numPr>
        <w:shd w:val="clear" w:color="auto" w:fill="FFFFFF"/>
        <w:spacing w:before="150" w:after="150"/>
        <w:ind w:left="360"/>
        <w:rPr>
          <w:rFonts w:ascii="Arial" w:hAnsi="Arial" w:cs="Arial"/>
          <w:sz w:val="24"/>
          <w:szCs w:val="24"/>
          <w:u w:val="single"/>
        </w:rPr>
      </w:pPr>
      <w:r w:rsidRPr="0019492E">
        <w:rPr>
          <w:rFonts w:ascii="Arial" w:hAnsi="Arial" w:cs="Arial"/>
          <w:sz w:val="24"/>
          <w:szCs w:val="24"/>
          <w:u w:val="single"/>
        </w:rPr>
        <w:t>Account taken of the West Sussex Joint Minerals Local Plan, and associated Minerals and Waste Safeguarding Guidance, in relation to the sites within the parish being within a defined Minerals Safeguarding Area;</w:t>
      </w:r>
    </w:p>
    <w:p w14:paraId="1E270F0D" w14:textId="44E9CEA9" w:rsidR="007D7848" w:rsidRPr="0019492E" w:rsidRDefault="0019492E" w:rsidP="007D7848">
      <w:pPr>
        <w:pStyle w:val="ListParagraph"/>
        <w:numPr>
          <w:ilvl w:val="0"/>
          <w:numId w:val="38"/>
        </w:numPr>
        <w:shd w:val="clear" w:color="auto" w:fill="FFFFFF"/>
        <w:spacing w:before="150" w:after="150"/>
        <w:ind w:left="360"/>
        <w:rPr>
          <w:rFonts w:ascii="Arial" w:hAnsi="Arial" w:cs="Arial"/>
          <w:sz w:val="24"/>
          <w:szCs w:val="24"/>
          <w:u w:val="single"/>
        </w:rPr>
      </w:pPr>
      <w:r w:rsidRPr="0019492E">
        <w:rPr>
          <w:rFonts w:ascii="Arial" w:hAnsi="Arial" w:cs="Arial"/>
          <w:sz w:val="24"/>
          <w:szCs w:val="24"/>
          <w:u w:val="single"/>
        </w:rPr>
        <w:t>Account taken of the West Sussex Waste Local Plan and associated Minerals and Waste Safeguarding Guidance in relation to the safeguarding policy W2</w:t>
      </w:r>
      <w:r w:rsidR="007D7848" w:rsidRPr="0019492E">
        <w:rPr>
          <w:rFonts w:ascii="Arial" w:hAnsi="Arial" w:cs="Arial"/>
          <w:sz w:val="24"/>
          <w:szCs w:val="24"/>
          <w:u w:val="single"/>
        </w:rPr>
        <w:t xml:space="preserve">. </w:t>
      </w:r>
    </w:p>
    <w:p w14:paraId="5B792AF4" w14:textId="55DEAC7F" w:rsidR="007D7848" w:rsidRPr="00CA2390" w:rsidRDefault="007D7848" w:rsidP="007D7848">
      <w:pPr>
        <w:shd w:val="clear" w:color="auto" w:fill="FFFFFF"/>
        <w:spacing w:before="150" w:after="150" w:line="276" w:lineRule="auto"/>
        <w:rPr>
          <w:rFonts w:cs="Arial"/>
        </w:rPr>
      </w:pPr>
      <w:r w:rsidRPr="00CA2390">
        <w:rPr>
          <w:rFonts w:cs="Arial"/>
        </w:rPr>
        <w:t>With a range of ownerships within the Broad Location it is imperative that development should be comprehensively masterplanned to ensure sustainable development can be achieved.</w:t>
      </w:r>
      <w:r w:rsidR="00AF74C1">
        <w:rPr>
          <w:rFonts w:cs="Arial"/>
        </w:rPr>
        <w:t xml:space="preserve"> </w:t>
      </w:r>
      <w:r w:rsidRPr="00CA2390">
        <w:rPr>
          <w:rFonts w:cs="Arial"/>
        </w:rPr>
        <w:t>Piecemeal development that does not take account of the need for wider development in the broad location and prejudices opportunities for cumulative issues, particularly relating to infrastructure, to be addressed will not be supported.</w:t>
      </w:r>
    </w:p>
    <w:p w14:paraId="5271CC8C" w14:textId="77777777" w:rsidR="007D7848" w:rsidRPr="00CA2390" w:rsidRDefault="007D7848" w:rsidP="007D7848">
      <w:pPr>
        <w:spacing w:line="276" w:lineRule="auto"/>
        <w:rPr>
          <w:rFonts w:cs="Arial"/>
        </w:rPr>
      </w:pPr>
      <w:r w:rsidRPr="00CA2390">
        <w:rPr>
          <w:rFonts w:cs="Arial"/>
        </w:rPr>
        <w:t>If there are problems relating to land ownership in bringing forward this strategic development, the Council will consider the use of compulsory purchase powers to secure its delivery.</w:t>
      </w:r>
    </w:p>
    <w:p w14:paraId="72C10500" w14:textId="77777777" w:rsidR="007D7848" w:rsidRPr="00F53012" w:rsidRDefault="007D7848" w:rsidP="007D7848">
      <w:pPr>
        <w:shd w:val="clear" w:color="auto" w:fill="FFFFFF"/>
        <w:spacing w:before="150" w:after="150"/>
        <w:rPr>
          <w:rFonts w:cs="Arial"/>
        </w:rPr>
      </w:pPr>
    </w:p>
    <w:tbl>
      <w:tblPr>
        <w:tblStyle w:val="TableGrid"/>
        <w:tblW w:w="0" w:type="auto"/>
        <w:tblInd w:w="-5" w:type="dxa"/>
        <w:tblLook w:val="04A0" w:firstRow="1" w:lastRow="0" w:firstColumn="1" w:lastColumn="0" w:noHBand="0" w:noVBand="1"/>
      </w:tblPr>
      <w:tblGrid>
        <w:gridCol w:w="10087"/>
      </w:tblGrid>
      <w:tr w:rsidR="007D7848" w:rsidRPr="00030F64" w14:paraId="50DF6913" w14:textId="77777777" w:rsidTr="002F2A56">
        <w:tc>
          <w:tcPr>
            <w:tcW w:w="10170" w:type="dxa"/>
          </w:tcPr>
          <w:p w14:paraId="71E9D1A6" w14:textId="782B5AE0" w:rsidR="007D7848" w:rsidRPr="00030F64" w:rsidRDefault="007D7848" w:rsidP="002F2A56">
            <w:pPr>
              <w:rPr>
                <w:rFonts w:cs="Arial"/>
                <w:b/>
                <w:u w:val="single"/>
              </w:rPr>
            </w:pPr>
            <w:r w:rsidRPr="00030F64">
              <w:rPr>
                <w:rFonts w:cs="Arial"/>
                <w:b/>
                <w:u w:val="single"/>
              </w:rPr>
              <w:t xml:space="preserve">Policy </w:t>
            </w:r>
            <w:r>
              <w:rPr>
                <w:rFonts w:cs="Arial"/>
                <w:b/>
                <w:u w:val="single"/>
              </w:rPr>
              <w:t>A13</w:t>
            </w:r>
            <w:r w:rsidRPr="00030F64">
              <w:rPr>
                <w:rFonts w:cs="Arial"/>
                <w:b/>
                <w:u w:val="single"/>
              </w:rPr>
              <w:t xml:space="preserve"> Southbourne Broad Location for Development</w:t>
            </w:r>
          </w:p>
          <w:p w14:paraId="321CC8DD" w14:textId="77777777" w:rsidR="007D7848" w:rsidRPr="00030F64" w:rsidRDefault="007D7848" w:rsidP="002F2A56">
            <w:pPr>
              <w:rPr>
                <w:rFonts w:cs="Arial"/>
                <w:b/>
                <w:u w:val="single"/>
              </w:rPr>
            </w:pPr>
          </w:p>
          <w:p w14:paraId="15528DFF" w14:textId="591A4DAB" w:rsidR="007D7848" w:rsidRDefault="007D7848" w:rsidP="002F2A56">
            <w:pPr>
              <w:spacing w:line="276" w:lineRule="auto"/>
              <w:rPr>
                <w:rFonts w:cs="Arial"/>
              </w:rPr>
            </w:pPr>
            <w:r w:rsidRPr="00CA2390">
              <w:rPr>
                <w:rFonts w:cs="Arial"/>
              </w:rPr>
              <w:t>Provision will be made for a mixed use development within the Broad Location for Development at Southbourne, as shown on the Key Diagram.</w:t>
            </w:r>
            <w:r w:rsidR="00AF74C1">
              <w:rPr>
                <w:rFonts w:cs="Arial"/>
              </w:rPr>
              <w:t xml:space="preserve"> </w:t>
            </w:r>
            <w:r w:rsidRPr="00CA2390">
              <w:rPr>
                <w:rFonts w:cs="Arial"/>
              </w:rPr>
              <w:t xml:space="preserve">Land within the broad location will be masterplanned and developed </w:t>
            </w:r>
            <w:proofErr w:type="gramStart"/>
            <w:r w:rsidRPr="00CA2390">
              <w:rPr>
                <w:rFonts w:cs="Arial"/>
              </w:rPr>
              <w:t>as a whole to</w:t>
            </w:r>
            <w:proofErr w:type="gramEnd"/>
            <w:r w:rsidRPr="00CA2390">
              <w:rPr>
                <w:rFonts w:cs="Arial"/>
              </w:rPr>
              <w:t xml:space="preserve"> provide </w:t>
            </w:r>
            <w:r w:rsidR="008409A4">
              <w:rPr>
                <w:rFonts w:cs="Arial"/>
                <w:u w:val="single"/>
              </w:rPr>
              <w:t xml:space="preserve">approximately </w:t>
            </w:r>
            <w:r w:rsidRPr="00CA2390">
              <w:rPr>
                <w:rFonts w:cs="Arial"/>
              </w:rPr>
              <w:t>1,050 dwellings, local employment opportunities and supporting community uses and facilities.</w:t>
            </w:r>
          </w:p>
          <w:p w14:paraId="1B1E1C99" w14:textId="77777777" w:rsidR="007D7848" w:rsidRPr="00CA2390" w:rsidRDefault="007D7848" w:rsidP="002F2A56">
            <w:pPr>
              <w:spacing w:line="276" w:lineRule="auto"/>
              <w:rPr>
                <w:rFonts w:cs="Arial"/>
              </w:rPr>
            </w:pPr>
          </w:p>
          <w:p w14:paraId="6D3BCC75" w14:textId="77777777" w:rsidR="007D7848" w:rsidRDefault="007D7848" w:rsidP="002F2A56">
            <w:pPr>
              <w:spacing w:line="276" w:lineRule="auto"/>
              <w:rPr>
                <w:rFonts w:cs="Arial"/>
              </w:rPr>
            </w:pPr>
            <w:r w:rsidRPr="00CA2390">
              <w:rPr>
                <w:rFonts w:cs="Arial"/>
              </w:rPr>
              <w:t>The site extent, definition of the boundary, including any amendments to the Southbourne settlement boundary, and detailed guidance for the development within this broad location will be established through the making of allocation(s) in a future Site Allocation Development Plan Document or revised Southbourne Neighbourhood Plan.</w:t>
            </w:r>
          </w:p>
          <w:p w14:paraId="2A1F8B28" w14:textId="77777777" w:rsidR="007D7848" w:rsidRPr="00CA2390" w:rsidRDefault="007D7848" w:rsidP="002F2A56">
            <w:pPr>
              <w:spacing w:line="276" w:lineRule="auto"/>
              <w:rPr>
                <w:rFonts w:cs="Arial"/>
              </w:rPr>
            </w:pPr>
          </w:p>
          <w:p w14:paraId="172A51AE" w14:textId="77777777" w:rsidR="007D7848" w:rsidRDefault="007D7848" w:rsidP="002F2A56">
            <w:pPr>
              <w:spacing w:line="276" w:lineRule="auto"/>
              <w:rPr>
                <w:rFonts w:cs="Arial"/>
              </w:rPr>
            </w:pPr>
            <w:r w:rsidRPr="00CA2390">
              <w:rPr>
                <w:rFonts w:cs="Arial"/>
              </w:rPr>
              <w:t>Development should be comprehensively masterplanned to achieve a high quality design and layout that integrates well with the surrounding built and natural environments to enable a high degree of connectivity with them, particularly for pedestrians and cyclists, and provides good access to facilities and sustainable forms of transport.</w:t>
            </w:r>
          </w:p>
          <w:p w14:paraId="4D8C3303" w14:textId="77777777" w:rsidR="007D7848" w:rsidRPr="00CA2390" w:rsidRDefault="007D7848" w:rsidP="002F2A56">
            <w:pPr>
              <w:spacing w:line="276" w:lineRule="auto"/>
              <w:rPr>
                <w:rFonts w:cs="Arial"/>
              </w:rPr>
            </w:pPr>
          </w:p>
          <w:p w14:paraId="168DD9C7" w14:textId="77777777" w:rsidR="007D7848" w:rsidRPr="00CA2390" w:rsidRDefault="007D7848" w:rsidP="002F2A56">
            <w:pPr>
              <w:spacing w:line="276" w:lineRule="auto"/>
              <w:rPr>
                <w:rFonts w:cs="Arial"/>
              </w:rPr>
            </w:pPr>
            <w:r w:rsidRPr="00CA2390">
              <w:rPr>
                <w:rFonts w:cs="Arial"/>
              </w:rPr>
              <w:lastRenderedPageBreak/>
              <w:t>Development within the broad location will need to:</w:t>
            </w:r>
          </w:p>
          <w:p w14:paraId="5AE8590B" w14:textId="69E139BB" w:rsidR="007D7848" w:rsidRPr="00E05CBC" w:rsidRDefault="007D7848" w:rsidP="00E05CBC">
            <w:pPr>
              <w:pStyle w:val="ListParagraph"/>
              <w:numPr>
                <w:ilvl w:val="0"/>
                <w:numId w:val="39"/>
              </w:numPr>
              <w:ind w:left="525" w:hanging="540"/>
              <w:rPr>
                <w:rFonts w:ascii="Arial" w:hAnsi="Arial" w:cs="Arial"/>
                <w:sz w:val="24"/>
                <w:szCs w:val="24"/>
              </w:rPr>
            </w:pPr>
            <w:r w:rsidRPr="00E05CBC">
              <w:rPr>
                <w:rFonts w:ascii="Arial" w:hAnsi="Arial" w:cs="Arial"/>
                <w:sz w:val="24"/>
                <w:szCs w:val="24"/>
              </w:rPr>
              <w:t xml:space="preserve">Provide an appropriate mix of housing types, </w:t>
            </w:r>
            <w:proofErr w:type="gramStart"/>
            <w:r w:rsidRPr="00E05CBC">
              <w:rPr>
                <w:rFonts w:ascii="Arial" w:hAnsi="Arial" w:cs="Arial"/>
                <w:sz w:val="24"/>
                <w:szCs w:val="24"/>
              </w:rPr>
              <w:t>sizes</w:t>
            </w:r>
            <w:proofErr w:type="gramEnd"/>
            <w:r w:rsidRPr="00E05CBC">
              <w:rPr>
                <w:rFonts w:ascii="Arial" w:hAnsi="Arial" w:cs="Arial"/>
                <w:sz w:val="24"/>
                <w:szCs w:val="24"/>
              </w:rPr>
              <w:t xml:space="preserve"> and tenures to meet evidenced local need including affordable housing and specific provision to meet specialised housing needs including </w:t>
            </w:r>
            <w:r w:rsidRPr="008409A4">
              <w:rPr>
                <w:rFonts w:ascii="Arial" w:hAnsi="Arial" w:cs="Arial"/>
                <w:strike/>
                <w:sz w:val="24"/>
                <w:szCs w:val="24"/>
              </w:rPr>
              <w:t>16</w:t>
            </w:r>
            <w:r w:rsidR="008409A4" w:rsidRPr="008409A4">
              <w:rPr>
                <w:rFonts w:ascii="Arial" w:hAnsi="Arial" w:cs="Arial"/>
                <w:sz w:val="24"/>
                <w:szCs w:val="24"/>
                <w:u w:val="single"/>
              </w:rPr>
              <w:t>53</w:t>
            </w:r>
            <w:r w:rsidR="008409A4">
              <w:rPr>
                <w:rFonts w:ascii="Arial" w:hAnsi="Arial" w:cs="Arial"/>
                <w:sz w:val="24"/>
                <w:szCs w:val="24"/>
              </w:rPr>
              <w:t xml:space="preserve"> </w:t>
            </w:r>
            <w:r w:rsidRPr="008409A4">
              <w:rPr>
                <w:rFonts w:ascii="Arial" w:hAnsi="Arial" w:cs="Arial"/>
                <w:sz w:val="24"/>
                <w:szCs w:val="24"/>
              </w:rPr>
              <w:t>serviced</w:t>
            </w:r>
            <w:r w:rsidRPr="00E05CBC">
              <w:rPr>
                <w:rFonts w:ascii="Arial" w:hAnsi="Arial" w:cs="Arial"/>
                <w:sz w:val="24"/>
                <w:szCs w:val="24"/>
              </w:rPr>
              <w:t xml:space="preserve"> self/custom build plots, accommodation for older people and accessible and adaptable homes in accordance with relevant Plan policies;</w:t>
            </w:r>
          </w:p>
          <w:p w14:paraId="1EACEC37" w14:textId="6FCEE3C2" w:rsidR="007D7848" w:rsidRPr="00E05CBC" w:rsidRDefault="007D7848" w:rsidP="00E05CBC">
            <w:pPr>
              <w:pStyle w:val="ListParagraph"/>
              <w:numPr>
                <w:ilvl w:val="0"/>
                <w:numId w:val="39"/>
              </w:numPr>
              <w:ind w:left="525" w:hanging="540"/>
              <w:rPr>
                <w:rFonts w:ascii="Arial" w:hAnsi="Arial" w:cs="Arial"/>
                <w:sz w:val="24"/>
                <w:szCs w:val="24"/>
              </w:rPr>
            </w:pPr>
            <w:r w:rsidRPr="00E05CBC">
              <w:rPr>
                <w:rFonts w:ascii="Arial" w:hAnsi="Arial" w:cs="Arial"/>
                <w:sz w:val="24"/>
                <w:szCs w:val="24"/>
              </w:rPr>
              <w:t>Provide 1</w:t>
            </w:r>
            <w:r w:rsidR="003E69ED" w:rsidRPr="00E05CBC">
              <w:rPr>
                <w:rFonts w:ascii="Arial" w:hAnsi="Arial" w:cs="Arial"/>
                <w:sz w:val="24"/>
                <w:szCs w:val="24"/>
              </w:rPr>
              <w:t>2</w:t>
            </w:r>
            <w:r w:rsidRPr="00E05CBC">
              <w:rPr>
                <w:rFonts w:ascii="Arial" w:hAnsi="Arial" w:cs="Arial"/>
                <w:sz w:val="24"/>
                <w:szCs w:val="24"/>
              </w:rPr>
              <w:t xml:space="preserve"> gypsy and traveller pitches in accordance with Policy H11;</w:t>
            </w:r>
          </w:p>
          <w:p w14:paraId="6AEEBF10" w14:textId="77777777" w:rsidR="007D7848" w:rsidRPr="00E05CBC" w:rsidRDefault="007D7848" w:rsidP="00E05CBC">
            <w:pPr>
              <w:pStyle w:val="ListParagraph"/>
              <w:numPr>
                <w:ilvl w:val="0"/>
                <w:numId w:val="39"/>
              </w:numPr>
              <w:ind w:left="525" w:hanging="540"/>
              <w:rPr>
                <w:rFonts w:ascii="Arial" w:hAnsi="Arial" w:cs="Arial"/>
                <w:sz w:val="24"/>
                <w:szCs w:val="24"/>
              </w:rPr>
            </w:pPr>
            <w:r w:rsidRPr="00E05CBC">
              <w:rPr>
                <w:rFonts w:ascii="Arial" w:hAnsi="Arial" w:cs="Arial"/>
                <w:sz w:val="24"/>
                <w:szCs w:val="24"/>
              </w:rPr>
              <w:t>Provide a serviced site(s) for Travelling Showpeople which should deliver 12 plots, each of sufficient size to allow for the provision of accommodation and equipment plus storage/maintenance, in accordance with Policy H11;</w:t>
            </w:r>
          </w:p>
          <w:p w14:paraId="6424B4C8" w14:textId="77777777" w:rsidR="007D7848" w:rsidRPr="00E05CBC" w:rsidRDefault="007D7848" w:rsidP="00E05CBC">
            <w:pPr>
              <w:pStyle w:val="ListParagraph"/>
              <w:numPr>
                <w:ilvl w:val="0"/>
                <w:numId w:val="39"/>
              </w:numPr>
              <w:ind w:left="525" w:hanging="540"/>
              <w:rPr>
                <w:rFonts w:ascii="Arial" w:hAnsi="Arial" w:cs="Arial"/>
                <w:sz w:val="24"/>
                <w:szCs w:val="24"/>
              </w:rPr>
            </w:pPr>
            <w:r w:rsidRPr="00E05CBC">
              <w:rPr>
                <w:rFonts w:ascii="Arial" w:hAnsi="Arial" w:cs="Arial"/>
                <w:sz w:val="24"/>
                <w:szCs w:val="24"/>
              </w:rPr>
              <w:t xml:space="preserve">Provide a suitable means of access to the site(s), securing necessary off-site improvements (including highways) to promote sustainable transport options; </w:t>
            </w:r>
          </w:p>
          <w:p w14:paraId="6F38531E" w14:textId="77777777" w:rsidR="007D7848" w:rsidRPr="00E05CBC" w:rsidRDefault="007D7848" w:rsidP="00E05CBC">
            <w:pPr>
              <w:pStyle w:val="ListParagraph"/>
              <w:numPr>
                <w:ilvl w:val="0"/>
                <w:numId w:val="39"/>
              </w:numPr>
              <w:ind w:left="525" w:hanging="540"/>
              <w:rPr>
                <w:rFonts w:ascii="Arial" w:hAnsi="Arial" w:cs="Arial"/>
                <w:sz w:val="24"/>
                <w:szCs w:val="24"/>
              </w:rPr>
            </w:pPr>
            <w:r w:rsidRPr="00E05CBC">
              <w:rPr>
                <w:rFonts w:ascii="Arial" w:hAnsi="Arial" w:cs="Arial"/>
                <w:sz w:val="24"/>
                <w:szCs w:val="24"/>
              </w:rPr>
              <w:t>Provide any required mitigation to ensure there is no adverse impact on the safety of existing or planned railway crossings;</w:t>
            </w:r>
          </w:p>
          <w:p w14:paraId="5ED98668" w14:textId="739E012D" w:rsidR="007D7848" w:rsidRPr="00E05CBC" w:rsidRDefault="007D7848" w:rsidP="00E05CBC">
            <w:pPr>
              <w:pStyle w:val="ListParagraph"/>
              <w:numPr>
                <w:ilvl w:val="0"/>
                <w:numId w:val="39"/>
              </w:numPr>
              <w:ind w:left="525" w:hanging="540"/>
              <w:rPr>
                <w:rFonts w:ascii="Arial" w:hAnsi="Arial" w:cs="Arial"/>
                <w:sz w:val="24"/>
                <w:szCs w:val="24"/>
              </w:rPr>
            </w:pPr>
            <w:r w:rsidRPr="00E05CBC">
              <w:rPr>
                <w:rFonts w:ascii="Arial" w:hAnsi="Arial" w:cs="Arial"/>
                <w:sz w:val="24"/>
                <w:szCs w:val="24"/>
              </w:rPr>
              <w:t xml:space="preserve">Ensure adequate provision of supporting infrastructure including education provision, community facilities and transport in accordance with the </w:t>
            </w:r>
            <w:r w:rsidRPr="008409A4">
              <w:rPr>
                <w:rFonts w:ascii="Arial" w:hAnsi="Arial" w:cs="Arial"/>
                <w:strike/>
                <w:sz w:val="24"/>
                <w:szCs w:val="24"/>
              </w:rPr>
              <w:t xml:space="preserve">most up to date </w:t>
            </w:r>
            <w:r w:rsidRPr="00E05CBC">
              <w:rPr>
                <w:rFonts w:ascii="Arial" w:hAnsi="Arial" w:cs="Arial"/>
                <w:sz w:val="24"/>
                <w:szCs w:val="24"/>
              </w:rPr>
              <w:t>Infrastructure Delivery Plan</w:t>
            </w:r>
            <w:r w:rsidR="008409A4">
              <w:rPr>
                <w:rFonts w:ascii="Arial" w:hAnsi="Arial" w:cs="Arial"/>
                <w:sz w:val="24"/>
                <w:szCs w:val="24"/>
                <w:u w:val="single"/>
              </w:rPr>
              <w:t xml:space="preserve"> as updated by the Infrastructure Business Plan</w:t>
            </w:r>
            <w:r w:rsidRPr="00E05CBC">
              <w:rPr>
                <w:rFonts w:ascii="Arial" w:hAnsi="Arial" w:cs="Arial"/>
                <w:sz w:val="24"/>
                <w:szCs w:val="24"/>
              </w:rPr>
              <w:t>;</w:t>
            </w:r>
          </w:p>
          <w:p w14:paraId="5A061BD2" w14:textId="02F729A7" w:rsidR="007D7848" w:rsidRPr="00E05CBC" w:rsidRDefault="007D7848" w:rsidP="00E05CBC">
            <w:pPr>
              <w:pStyle w:val="ListParagraph"/>
              <w:numPr>
                <w:ilvl w:val="0"/>
                <w:numId w:val="39"/>
              </w:numPr>
              <w:ind w:left="525" w:hanging="540"/>
              <w:rPr>
                <w:rFonts w:ascii="Arial" w:hAnsi="Arial" w:cs="Arial"/>
                <w:sz w:val="24"/>
                <w:szCs w:val="24"/>
              </w:rPr>
            </w:pPr>
            <w:r w:rsidRPr="00E05CBC">
              <w:rPr>
                <w:rFonts w:ascii="Arial" w:hAnsi="Arial" w:cs="Arial"/>
                <w:sz w:val="24"/>
                <w:szCs w:val="24"/>
              </w:rPr>
              <w:t xml:space="preserve">Give detailed consideration of the impact of development on the surrounding landscape, including the South Downs National Park and Chichester Harbour </w:t>
            </w:r>
            <w:r w:rsidRPr="00494918">
              <w:rPr>
                <w:rFonts w:ascii="Arial" w:hAnsi="Arial" w:cs="Arial"/>
                <w:sz w:val="24"/>
                <w:szCs w:val="24"/>
              </w:rPr>
              <w:t>AONB</w:t>
            </w:r>
            <w:r w:rsidRPr="00E05CBC">
              <w:rPr>
                <w:rFonts w:ascii="Arial" w:hAnsi="Arial" w:cs="Arial"/>
                <w:sz w:val="24"/>
                <w:szCs w:val="24"/>
              </w:rPr>
              <w:t xml:space="preserve"> and their settings.</w:t>
            </w:r>
            <w:r w:rsidR="00AF74C1">
              <w:rPr>
                <w:rFonts w:ascii="Arial" w:hAnsi="Arial" w:cs="Arial"/>
                <w:sz w:val="24"/>
                <w:szCs w:val="24"/>
              </w:rPr>
              <w:t xml:space="preserve"> </w:t>
            </w:r>
            <w:r w:rsidRPr="00E05CBC">
              <w:rPr>
                <w:rFonts w:ascii="Arial" w:hAnsi="Arial" w:cs="Arial"/>
                <w:sz w:val="24"/>
                <w:szCs w:val="24"/>
              </w:rPr>
              <w:t>Development should be designed to protect long-distance views to the South Downs National Park;</w:t>
            </w:r>
          </w:p>
          <w:p w14:paraId="3766318A" w14:textId="2E8C6DEC" w:rsidR="007D7848" w:rsidRPr="00E05CBC" w:rsidRDefault="007D7848" w:rsidP="00E05CBC">
            <w:pPr>
              <w:pStyle w:val="ListParagraph"/>
              <w:numPr>
                <w:ilvl w:val="0"/>
                <w:numId w:val="39"/>
              </w:numPr>
              <w:ind w:left="525" w:hanging="540"/>
              <w:rPr>
                <w:rFonts w:ascii="Arial" w:hAnsi="Arial" w:cs="Arial"/>
                <w:sz w:val="24"/>
                <w:szCs w:val="24"/>
              </w:rPr>
            </w:pPr>
            <w:r w:rsidRPr="00E05CBC">
              <w:rPr>
                <w:rFonts w:ascii="Arial" w:hAnsi="Arial" w:cs="Arial"/>
                <w:sz w:val="24"/>
                <w:szCs w:val="24"/>
              </w:rPr>
              <w:t>Ensure that multifunctional green infrastructure provision is well related to the overall layout and character of the development as well as providing opportunities to extend in to the wider countryside</w:t>
            </w:r>
            <w:r w:rsidRPr="00E05CBC">
              <w:rPr>
                <w:rFonts w:ascii="Arial" w:hAnsi="Arial" w:cs="Arial"/>
                <w:color w:val="FF0000"/>
                <w:sz w:val="24"/>
                <w:szCs w:val="24"/>
              </w:rPr>
              <w:t xml:space="preserve"> </w:t>
            </w:r>
            <w:r w:rsidRPr="00E05CBC">
              <w:rPr>
                <w:rFonts w:ascii="Arial" w:hAnsi="Arial" w:cs="Arial"/>
                <w:sz w:val="24"/>
                <w:szCs w:val="24"/>
              </w:rPr>
              <w:t>and surroundings</w:t>
            </w:r>
            <w:r w:rsidR="00494918">
              <w:rPr>
                <w:rFonts w:ascii="Arial" w:hAnsi="Arial" w:cs="Arial"/>
                <w:sz w:val="24"/>
                <w:szCs w:val="24"/>
              </w:rPr>
              <w:t>;</w:t>
            </w:r>
          </w:p>
          <w:p w14:paraId="66874456" w14:textId="3C36D3ED" w:rsidR="007D7848" w:rsidRPr="00E05CBC" w:rsidRDefault="007D7848" w:rsidP="00E05CBC">
            <w:pPr>
              <w:pStyle w:val="ListParagraph"/>
              <w:numPr>
                <w:ilvl w:val="0"/>
                <w:numId w:val="39"/>
              </w:numPr>
              <w:ind w:left="525" w:hanging="540"/>
              <w:rPr>
                <w:rFonts w:ascii="Arial" w:hAnsi="Arial" w:cs="Arial"/>
                <w:sz w:val="24"/>
                <w:szCs w:val="24"/>
              </w:rPr>
            </w:pPr>
            <w:r w:rsidRPr="00E05CBC">
              <w:rPr>
                <w:rFonts w:ascii="Arial" w:hAnsi="Arial" w:cs="Arial"/>
                <w:sz w:val="24"/>
                <w:szCs w:val="24"/>
              </w:rPr>
              <w:t>Demonstrate that development would not have an adverse impact on the nature conservation interest of identified sites and habitats including the Strategic Wildlife Corridors</w:t>
            </w:r>
            <w:r w:rsidR="00E40FE0">
              <w:rPr>
                <w:rFonts w:ascii="Arial" w:hAnsi="Arial" w:cs="Arial"/>
                <w:sz w:val="24"/>
                <w:szCs w:val="24"/>
              </w:rPr>
              <w:t xml:space="preserve"> </w:t>
            </w:r>
            <w:r w:rsidR="00E40FE0">
              <w:rPr>
                <w:rFonts w:ascii="Arial" w:hAnsi="Arial" w:cs="Arial"/>
                <w:sz w:val="24"/>
                <w:szCs w:val="24"/>
                <w:u w:val="single"/>
              </w:rPr>
              <w:t>and facilitates the achievement of biodiversity net gain and the creation of high levels of habitat connectivity within the site, the wider green infrastructure network and identified strategic wildlife corridors</w:t>
            </w:r>
            <w:r w:rsidRPr="00E05CBC">
              <w:rPr>
                <w:rFonts w:ascii="Arial" w:hAnsi="Arial" w:cs="Arial"/>
                <w:sz w:val="24"/>
                <w:szCs w:val="24"/>
              </w:rPr>
              <w:t>;</w:t>
            </w:r>
          </w:p>
          <w:p w14:paraId="6E5582D6" w14:textId="47EF7F79" w:rsidR="007D7848" w:rsidRPr="00E05CBC" w:rsidRDefault="007D7848" w:rsidP="00E05CBC">
            <w:pPr>
              <w:pStyle w:val="ListParagraph"/>
              <w:numPr>
                <w:ilvl w:val="0"/>
                <w:numId w:val="39"/>
              </w:numPr>
              <w:ind w:left="525" w:hanging="540"/>
              <w:rPr>
                <w:rFonts w:ascii="Arial" w:hAnsi="Arial" w:cs="Arial"/>
                <w:sz w:val="24"/>
                <w:szCs w:val="24"/>
              </w:rPr>
            </w:pPr>
            <w:r w:rsidRPr="00E40FE0">
              <w:rPr>
                <w:rFonts w:ascii="Arial" w:hAnsi="Arial" w:cs="Arial"/>
                <w:iCs/>
                <w:strike/>
                <w:sz w:val="24"/>
                <w:szCs w:val="24"/>
              </w:rPr>
              <w:t>Provide mitigation to ensure the avoidance of</w:t>
            </w:r>
            <w:r w:rsidRPr="00E05CBC">
              <w:rPr>
                <w:rFonts w:ascii="Arial" w:hAnsi="Arial" w:cs="Arial"/>
                <w:iCs/>
                <w:sz w:val="24"/>
                <w:szCs w:val="24"/>
              </w:rPr>
              <w:t xml:space="preserve"> </w:t>
            </w:r>
            <w:r w:rsidR="00E40FE0">
              <w:rPr>
                <w:rFonts w:ascii="Arial" w:hAnsi="Arial" w:cs="Arial"/>
                <w:iCs/>
                <w:sz w:val="24"/>
                <w:szCs w:val="24"/>
                <w:u w:val="single"/>
              </w:rPr>
              <w:t xml:space="preserve">Avoid, and if necessary, mitigate any </w:t>
            </w:r>
            <w:r w:rsidRPr="00E05CBC">
              <w:rPr>
                <w:rFonts w:ascii="Arial" w:hAnsi="Arial" w:cs="Arial"/>
                <w:iCs/>
                <w:sz w:val="24"/>
                <w:szCs w:val="24"/>
              </w:rPr>
              <w:t xml:space="preserve">adverse effects on the SPA, SAC and Ramsar site at Chichester Harbour including contributing to any strategic access management issues, loss of functionally linked supporting habitat and water quality issues relating to runoff into a European designated site; </w:t>
            </w:r>
          </w:p>
          <w:p w14:paraId="618945A6" w14:textId="77777777" w:rsidR="007D7848" w:rsidRPr="00E05CBC" w:rsidRDefault="007D7848" w:rsidP="00E05CBC">
            <w:pPr>
              <w:pStyle w:val="ListParagraph"/>
              <w:numPr>
                <w:ilvl w:val="0"/>
                <w:numId w:val="39"/>
              </w:numPr>
              <w:ind w:left="525" w:hanging="540"/>
              <w:rPr>
                <w:rFonts w:ascii="Arial" w:hAnsi="Arial" w:cs="Arial"/>
                <w:sz w:val="24"/>
                <w:szCs w:val="24"/>
              </w:rPr>
            </w:pPr>
            <w:r w:rsidRPr="00E05CBC">
              <w:rPr>
                <w:rFonts w:ascii="Arial" w:hAnsi="Arial" w:cs="Arial"/>
                <w:sz w:val="24"/>
                <w:szCs w:val="24"/>
              </w:rPr>
              <w:t>Protect any other key views;</w:t>
            </w:r>
          </w:p>
          <w:p w14:paraId="6A41DF86" w14:textId="77777777" w:rsidR="007D7848" w:rsidRPr="00E05CBC" w:rsidRDefault="007D7848" w:rsidP="00E05CBC">
            <w:pPr>
              <w:pStyle w:val="ListParagraph"/>
              <w:numPr>
                <w:ilvl w:val="0"/>
                <w:numId w:val="39"/>
              </w:numPr>
              <w:ind w:left="525" w:hanging="540"/>
              <w:rPr>
                <w:rFonts w:ascii="Arial" w:hAnsi="Arial" w:cs="Arial"/>
                <w:sz w:val="24"/>
                <w:szCs w:val="24"/>
              </w:rPr>
            </w:pPr>
            <w:r w:rsidRPr="00E05CBC">
              <w:rPr>
                <w:rFonts w:ascii="Arial" w:hAnsi="Arial" w:cs="Arial"/>
                <w:sz w:val="24"/>
                <w:szCs w:val="24"/>
              </w:rPr>
              <w:t>Ensure that allocations and policies accord with the sequential approach to flood risk, and that development will be safe for its lifetime, taking account of climate change impacts, as per the requirements set out in national policy and having due regard to the Council’s latest Strategic Flood Risk Assessment;</w:t>
            </w:r>
          </w:p>
          <w:p w14:paraId="7C28F8EF" w14:textId="77777777" w:rsidR="007D7848" w:rsidRPr="00E05CBC" w:rsidRDefault="007D7848" w:rsidP="00E05CBC">
            <w:pPr>
              <w:pStyle w:val="ListParagraph"/>
              <w:numPr>
                <w:ilvl w:val="0"/>
                <w:numId w:val="39"/>
              </w:numPr>
              <w:ind w:left="525" w:hanging="540"/>
              <w:rPr>
                <w:rFonts w:ascii="Arial" w:hAnsi="Arial" w:cs="Arial"/>
                <w:color w:val="000000" w:themeColor="text1"/>
                <w:sz w:val="24"/>
                <w:szCs w:val="24"/>
              </w:rPr>
            </w:pPr>
            <w:r w:rsidRPr="00E05CBC">
              <w:rPr>
                <w:rFonts w:ascii="Arial" w:hAnsi="Arial" w:cs="Arial"/>
                <w:iCs/>
                <w:sz w:val="24"/>
                <w:szCs w:val="24"/>
              </w:rPr>
              <w:t>Ensure sufficient capacity within the relevant wastewater treatment infrastructure before the delivery of development as required;</w:t>
            </w:r>
          </w:p>
          <w:p w14:paraId="4AE2E02F" w14:textId="77777777" w:rsidR="007D7848" w:rsidRPr="00E05CBC" w:rsidRDefault="007D7848" w:rsidP="00E05CBC">
            <w:pPr>
              <w:pStyle w:val="ListParagraph"/>
              <w:numPr>
                <w:ilvl w:val="0"/>
                <w:numId w:val="39"/>
              </w:numPr>
              <w:ind w:left="525" w:hanging="540"/>
              <w:rPr>
                <w:rFonts w:ascii="Arial" w:hAnsi="Arial" w:cs="Arial"/>
                <w:color w:val="000000" w:themeColor="text1"/>
                <w:sz w:val="24"/>
                <w:szCs w:val="24"/>
              </w:rPr>
            </w:pPr>
            <w:r w:rsidRPr="00E05CBC">
              <w:rPr>
                <w:rFonts w:ascii="Arial" w:hAnsi="Arial" w:cs="Arial"/>
                <w:color w:val="000000" w:themeColor="text1"/>
                <w:sz w:val="24"/>
                <w:szCs w:val="24"/>
              </w:rPr>
              <w:t>Demonstrate that development would not have an adverse impact on the significance of heritage assets or their settings;</w:t>
            </w:r>
          </w:p>
          <w:p w14:paraId="7CBF528C" w14:textId="77777777" w:rsidR="007D7848" w:rsidRPr="00E05CBC" w:rsidRDefault="007D7848" w:rsidP="00E05CBC">
            <w:pPr>
              <w:pStyle w:val="ListParagraph"/>
              <w:numPr>
                <w:ilvl w:val="0"/>
                <w:numId w:val="39"/>
              </w:numPr>
              <w:ind w:left="525" w:hanging="540"/>
              <w:rPr>
                <w:rFonts w:ascii="Arial" w:hAnsi="Arial" w:cs="Arial"/>
                <w:sz w:val="24"/>
                <w:szCs w:val="24"/>
              </w:rPr>
            </w:pPr>
            <w:r w:rsidRPr="00E05CBC">
              <w:rPr>
                <w:rFonts w:ascii="Arial" w:hAnsi="Arial" w:cs="Arial"/>
                <w:color w:val="000000" w:themeColor="text1"/>
                <w:sz w:val="24"/>
                <w:szCs w:val="24"/>
              </w:rPr>
              <w:t>Maintain the character and integrity of existing settlements and provide clear separation between new development and neighbouring settlements including through the definition and protection of landscape gaps.</w:t>
            </w:r>
          </w:p>
          <w:p w14:paraId="4541536D" w14:textId="76E4F289" w:rsidR="00D437C9" w:rsidRPr="00D437C9" w:rsidRDefault="0019492E" w:rsidP="00E05CBC">
            <w:pPr>
              <w:pStyle w:val="ListParagraph"/>
              <w:numPr>
                <w:ilvl w:val="0"/>
                <w:numId w:val="39"/>
              </w:numPr>
              <w:ind w:left="525" w:hanging="540"/>
              <w:rPr>
                <w:rFonts w:cs="Arial"/>
              </w:rPr>
            </w:pPr>
            <w:r>
              <w:rPr>
                <w:rFonts w:ascii="Arial" w:hAnsi="Arial" w:cs="Arial"/>
                <w:sz w:val="24"/>
                <w:szCs w:val="24"/>
                <w:u w:val="single"/>
              </w:rPr>
              <w:lastRenderedPageBreak/>
              <w:t xml:space="preserve">If a site is </w:t>
            </w:r>
            <w:r w:rsidR="00C079AD" w:rsidRPr="00C079AD">
              <w:rPr>
                <w:rFonts w:ascii="Arial" w:hAnsi="Arial" w:cs="Arial"/>
                <w:sz w:val="24"/>
                <w:szCs w:val="24"/>
                <w:u w:val="single"/>
              </w:rPr>
              <w:t>within the Minerals Safeguarding Area</w:t>
            </w:r>
            <w:r>
              <w:rPr>
                <w:rFonts w:ascii="Arial" w:hAnsi="Arial" w:cs="Arial"/>
                <w:sz w:val="24"/>
                <w:szCs w:val="24"/>
                <w:u w:val="single"/>
              </w:rPr>
              <w:t xml:space="preserve"> consider</w:t>
            </w:r>
            <w:r w:rsidR="00C079AD" w:rsidRPr="00C079AD">
              <w:rPr>
                <w:rFonts w:ascii="Arial" w:hAnsi="Arial" w:cs="Arial"/>
                <w:sz w:val="24"/>
                <w:szCs w:val="24"/>
                <w:u w:val="single"/>
              </w:rPr>
              <w:t xml:space="preserve"> the implication of development on safeguarded minerals in line with the West Sussex Joint Minerals Local Plan (Policy M9) and the Minerals and Waste Safeguarding Guidance, to assess whether the land contains economically viable minerals that would require extraction prior to development to avoid permanent sterilisation</w:t>
            </w:r>
            <w:r w:rsidR="00C079AD" w:rsidRPr="00A944B2">
              <w:rPr>
                <w:rFonts w:ascii="Arial" w:hAnsi="Arial" w:cs="Arial"/>
                <w:sz w:val="20"/>
                <w:szCs w:val="20"/>
              </w:rPr>
              <w:t>.</w:t>
            </w:r>
            <w:r w:rsidR="00C079AD">
              <w:rPr>
                <w:rFonts w:ascii="Arial" w:hAnsi="Arial" w:cs="Arial"/>
                <w:sz w:val="20"/>
                <w:szCs w:val="20"/>
              </w:rPr>
              <w:t xml:space="preserve"> </w:t>
            </w:r>
            <w:r w:rsidR="007D7848" w:rsidRPr="00C079AD">
              <w:rPr>
                <w:rFonts w:ascii="Arial" w:hAnsi="Arial" w:cs="Arial"/>
                <w:strike/>
                <w:sz w:val="24"/>
                <w:szCs w:val="24"/>
              </w:rPr>
              <w:t xml:space="preserve">Consider the Minerals Safeguarding Area and in line with the West Sussex Joint Minerals Local Plan, a Minerals Resource Assessment may be required to assess if the land </w:t>
            </w:r>
            <w:proofErr w:type="gramStart"/>
            <w:r w:rsidR="007D7848" w:rsidRPr="00C079AD">
              <w:rPr>
                <w:rFonts w:ascii="Arial" w:hAnsi="Arial" w:cs="Arial"/>
                <w:strike/>
                <w:sz w:val="24"/>
                <w:szCs w:val="24"/>
              </w:rPr>
              <w:t>contains</w:t>
            </w:r>
            <w:proofErr w:type="gramEnd"/>
            <w:r w:rsidR="007D7848" w:rsidRPr="00C079AD">
              <w:rPr>
                <w:rFonts w:ascii="Arial" w:hAnsi="Arial" w:cs="Arial"/>
                <w:strike/>
                <w:sz w:val="24"/>
                <w:szCs w:val="24"/>
              </w:rPr>
              <w:t xml:space="preserve"> a mineral resource that would require extraction prior to development</w:t>
            </w:r>
            <w:r w:rsidR="007D7848" w:rsidRPr="00C079AD">
              <w:rPr>
                <w:rStyle w:val="FootnoteReference"/>
                <w:rFonts w:ascii="Arial" w:hAnsi="Arial" w:cs="Arial"/>
                <w:strike/>
                <w:sz w:val="24"/>
                <w:szCs w:val="24"/>
              </w:rPr>
              <w:footnoteReference w:id="7"/>
            </w:r>
            <w:r w:rsidR="007D7848" w:rsidRPr="00C079AD">
              <w:rPr>
                <w:rFonts w:ascii="Arial" w:hAnsi="Arial" w:cs="Arial"/>
                <w:strike/>
                <w:sz w:val="24"/>
                <w:szCs w:val="24"/>
              </w:rPr>
              <w:t>.</w:t>
            </w:r>
            <w:r w:rsidR="00AF74C1">
              <w:rPr>
                <w:rFonts w:ascii="Arial" w:hAnsi="Arial" w:cs="Arial"/>
                <w:strike/>
                <w:sz w:val="24"/>
                <w:szCs w:val="24"/>
              </w:rPr>
              <w:t xml:space="preserve"> </w:t>
            </w:r>
            <w:r w:rsidR="007D7848" w:rsidRPr="00C079AD">
              <w:rPr>
                <w:rFonts w:ascii="Arial" w:hAnsi="Arial" w:cs="Arial"/>
                <w:strike/>
                <w:sz w:val="24"/>
                <w:szCs w:val="24"/>
              </w:rPr>
              <w:t xml:space="preserve">Account should also be taken of the West Sussex Waste Local Plan and associated </w:t>
            </w:r>
            <w:r w:rsidR="00C079AD" w:rsidRPr="00C079AD">
              <w:rPr>
                <w:rFonts w:ascii="Arial" w:hAnsi="Arial" w:cs="Arial"/>
                <w:strike/>
                <w:sz w:val="24"/>
                <w:szCs w:val="24"/>
              </w:rPr>
              <w:t>g</w:t>
            </w:r>
            <w:r w:rsidR="007D7848" w:rsidRPr="00C079AD">
              <w:rPr>
                <w:rFonts w:ascii="Arial" w:hAnsi="Arial" w:cs="Arial"/>
                <w:strike/>
                <w:sz w:val="24"/>
                <w:szCs w:val="24"/>
              </w:rPr>
              <w:t xml:space="preserve">uidance in relation to safeguarding policy </w:t>
            </w:r>
            <w:proofErr w:type="gramStart"/>
            <w:r w:rsidR="007D7848" w:rsidRPr="00C079AD">
              <w:rPr>
                <w:rFonts w:ascii="Arial" w:hAnsi="Arial" w:cs="Arial"/>
                <w:strike/>
                <w:sz w:val="24"/>
                <w:szCs w:val="24"/>
              </w:rPr>
              <w:t>W2</w:t>
            </w:r>
            <w:proofErr w:type="gramEnd"/>
          </w:p>
          <w:p w14:paraId="52CEBF24" w14:textId="50638857" w:rsidR="007D7848" w:rsidRPr="00C079AD" w:rsidRDefault="00C079AD" w:rsidP="00C079AD">
            <w:pPr>
              <w:pStyle w:val="ListParagraph"/>
              <w:numPr>
                <w:ilvl w:val="0"/>
                <w:numId w:val="39"/>
              </w:numPr>
              <w:ind w:left="523" w:hanging="523"/>
              <w:rPr>
                <w:rFonts w:ascii="Arial" w:hAnsi="Arial" w:cs="Arial"/>
                <w:sz w:val="24"/>
                <w:szCs w:val="24"/>
                <w:u w:val="single"/>
              </w:rPr>
            </w:pPr>
            <w:r w:rsidRPr="00C079AD">
              <w:rPr>
                <w:rFonts w:ascii="Arial" w:hAnsi="Arial" w:cs="Arial"/>
                <w:sz w:val="24"/>
                <w:szCs w:val="24"/>
                <w:u w:val="single"/>
              </w:rPr>
              <w:t>Consider the implication of development on safeguarded waste management sites in the vicinity, to ensure development of the site does not prevent or prejudice any waste management uses, as required by Polic</w:t>
            </w:r>
            <w:r w:rsidR="0019492E">
              <w:rPr>
                <w:rFonts w:ascii="Arial" w:hAnsi="Arial" w:cs="Arial"/>
                <w:sz w:val="24"/>
                <w:szCs w:val="24"/>
                <w:u w:val="single"/>
              </w:rPr>
              <w:t>y</w:t>
            </w:r>
            <w:r w:rsidRPr="00C079AD">
              <w:rPr>
                <w:rFonts w:ascii="Arial" w:hAnsi="Arial" w:cs="Arial"/>
                <w:sz w:val="24"/>
                <w:szCs w:val="24"/>
                <w:u w:val="single"/>
              </w:rPr>
              <w:t xml:space="preserve"> W2 of the West Sussex Waste Local Plan’ and the Minerals and Waste Safeguarding Guidance. </w:t>
            </w:r>
          </w:p>
          <w:p w14:paraId="59A8BE56" w14:textId="77777777" w:rsidR="00C079AD" w:rsidRPr="00C079AD" w:rsidRDefault="00C079AD" w:rsidP="00C079AD">
            <w:pPr>
              <w:rPr>
                <w:rFonts w:cs="Arial"/>
                <w:sz w:val="20"/>
                <w:szCs w:val="20"/>
                <w:u w:val="single"/>
              </w:rPr>
            </w:pPr>
          </w:p>
          <w:p w14:paraId="6087B2B3" w14:textId="77777777" w:rsidR="007D7848" w:rsidRPr="00030F64" w:rsidRDefault="007D7848" w:rsidP="002F2A56">
            <w:pPr>
              <w:spacing w:line="276" w:lineRule="auto"/>
              <w:rPr>
                <w:rFonts w:cs="Arial"/>
                <w:color w:val="000000" w:themeColor="text1"/>
              </w:rPr>
            </w:pPr>
            <w:r w:rsidRPr="00CA2390">
              <w:rPr>
                <w:rFonts w:cs="Arial"/>
              </w:rPr>
              <w:t>To enable a comprehensive and coordinated development approach, piecemeal or unplanned development proposals within the area which are likely to prejudice its delivery including the infrastructure required for the area will not be permitted.</w:t>
            </w:r>
          </w:p>
        </w:tc>
      </w:tr>
    </w:tbl>
    <w:p w14:paraId="582F665F" w14:textId="77777777" w:rsidR="00C62552" w:rsidRDefault="00C62552"/>
    <w:sectPr w:rsidR="00C62552" w:rsidSect="00B739FA">
      <w:pgSz w:w="11906" w:h="16838"/>
      <w:pgMar w:top="1021" w:right="907" w:bottom="737" w:left="907"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9A75" w14:textId="77777777" w:rsidR="005A288D" w:rsidRDefault="005A288D" w:rsidP="007D7848">
      <w:r>
        <w:separator/>
      </w:r>
    </w:p>
  </w:endnote>
  <w:endnote w:type="continuationSeparator" w:id="0">
    <w:p w14:paraId="1E2E69A7" w14:textId="77777777" w:rsidR="005A288D" w:rsidRDefault="005A288D" w:rsidP="007D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68F7" w14:textId="77777777" w:rsidR="007D7848" w:rsidRDefault="007D7848" w:rsidP="009F0B62">
    <w:pPr>
      <w:pStyle w:val="Footer"/>
      <w:tabs>
        <w:tab w:val="clear" w:pos="9026"/>
      </w:tabs>
      <w:jc w:val="right"/>
    </w:pPr>
  </w:p>
  <w:p w14:paraId="18DCCCAF" w14:textId="77777777" w:rsidR="007D7848" w:rsidRDefault="007D7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AFC9" w14:textId="77777777" w:rsidR="007D7848" w:rsidRDefault="007D7848">
    <w:pPr>
      <w:pStyle w:val="Footer"/>
      <w:jc w:val="right"/>
    </w:pPr>
  </w:p>
  <w:p w14:paraId="2D9C9992" w14:textId="77777777" w:rsidR="007D7848" w:rsidRDefault="007D7848" w:rsidP="000D5836">
    <w:pPr>
      <w:pStyle w:val="Footer"/>
      <w:tabs>
        <w:tab w:val="clear" w:pos="4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800761351"/>
      <w:docPartObj>
        <w:docPartGallery w:val="Page Numbers (Bottom of Page)"/>
        <w:docPartUnique/>
      </w:docPartObj>
    </w:sdtPr>
    <w:sdtEndPr>
      <w:rPr>
        <w:noProof/>
      </w:rPr>
    </w:sdtEndPr>
    <w:sdtContent>
      <w:p w14:paraId="5A90D45D" w14:textId="6FBB98DA" w:rsidR="007D7848" w:rsidRPr="00E40C15" w:rsidRDefault="007D7848" w:rsidP="00DD3411">
        <w:pPr>
          <w:pStyle w:val="Footer"/>
          <w:tabs>
            <w:tab w:val="clear" w:pos="9026"/>
            <w:tab w:val="right" w:pos="15110"/>
          </w:tabs>
          <w:rPr>
            <w:rFonts w:ascii="Arial" w:hAnsi="Arial" w:cs="Arial"/>
            <w:sz w:val="18"/>
            <w:szCs w:val="18"/>
          </w:rPr>
        </w:pPr>
        <w:r>
          <w:rPr>
            <w:rFonts w:ascii="Arial" w:hAnsi="Arial" w:cs="Arial"/>
            <w:sz w:val="18"/>
            <w:szCs w:val="18"/>
          </w:rPr>
          <w:tab/>
        </w:r>
        <w:r>
          <w:rPr>
            <w:rFonts w:ascii="Arial" w:hAnsi="Arial" w:cs="Arial"/>
            <w:sz w:val="18"/>
            <w:szCs w:val="18"/>
          </w:rPr>
          <w:tab/>
        </w:r>
        <w:r w:rsidRPr="00B24C42">
          <w:rPr>
            <w:rFonts w:ascii="Arial" w:hAnsi="Arial" w:cs="Arial"/>
            <w:sz w:val="20"/>
            <w:szCs w:val="20"/>
          </w:rPr>
          <w:fldChar w:fldCharType="begin"/>
        </w:r>
        <w:r w:rsidRPr="00B24C42">
          <w:rPr>
            <w:rFonts w:ascii="Arial" w:hAnsi="Arial" w:cs="Arial"/>
            <w:sz w:val="20"/>
            <w:szCs w:val="20"/>
          </w:rPr>
          <w:instrText xml:space="preserve"> PAGE   \* MERGEFORMAT </w:instrText>
        </w:r>
        <w:r w:rsidRPr="00B24C42">
          <w:rPr>
            <w:rFonts w:ascii="Arial" w:hAnsi="Arial" w:cs="Arial"/>
            <w:sz w:val="20"/>
            <w:szCs w:val="20"/>
          </w:rPr>
          <w:fldChar w:fldCharType="separate"/>
        </w:r>
        <w:r w:rsidRPr="00B24C42">
          <w:rPr>
            <w:rFonts w:ascii="Arial" w:hAnsi="Arial" w:cs="Arial"/>
            <w:noProof/>
            <w:sz w:val="20"/>
            <w:szCs w:val="20"/>
          </w:rPr>
          <w:t>2</w:t>
        </w:r>
        <w:r w:rsidRPr="00B24C42">
          <w:rPr>
            <w:rFonts w:ascii="Arial" w:hAnsi="Arial" w:cs="Arial"/>
            <w:noProof/>
            <w:sz w:val="20"/>
            <w:szCs w:val="20"/>
          </w:rPr>
          <w:fldChar w:fldCharType="end"/>
        </w:r>
      </w:p>
    </w:sdtContent>
  </w:sdt>
  <w:p w14:paraId="012FE48E" w14:textId="77777777" w:rsidR="007D7848" w:rsidRDefault="007D78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89136044"/>
      <w:docPartObj>
        <w:docPartGallery w:val="Page Numbers (Bottom of Page)"/>
        <w:docPartUnique/>
      </w:docPartObj>
    </w:sdtPr>
    <w:sdtEndPr>
      <w:rPr>
        <w:noProof/>
        <w:sz w:val="20"/>
        <w:szCs w:val="20"/>
      </w:rPr>
    </w:sdtEndPr>
    <w:sdtContent>
      <w:p w14:paraId="169CAE51" w14:textId="71DCB66C" w:rsidR="007D7848" w:rsidRPr="00B24C42" w:rsidRDefault="007D7848" w:rsidP="00DD3411">
        <w:pPr>
          <w:pStyle w:val="Footer"/>
          <w:tabs>
            <w:tab w:val="clear" w:pos="4513"/>
            <w:tab w:val="clear" w:pos="9026"/>
            <w:tab w:val="right" w:pos="15110"/>
          </w:tabs>
          <w:rPr>
            <w:rFonts w:ascii="Arial" w:hAnsi="Arial" w:cs="Arial"/>
            <w:sz w:val="20"/>
            <w:szCs w:val="20"/>
          </w:rPr>
        </w:pPr>
        <w:r>
          <w:rPr>
            <w:rFonts w:ascii="Arial" w:hAnsi="Arial" w:cs="Arial"/>
            <w:sz w:val="18"/>
            <w:szCs w:val="18"/>
          </w:rPr>
          <w:tab/>
        </w:r>
        <w:r w:rsidRPr="00B24C42">
          <w:rPr>
            <w:rFonts w:ascii="Arial" w:hAnsi="Arial" w:cs="Arial"/>
            <w:sz w:val="20"/>
            <w:szCs w:val="20"/>
          </w:rPr>
          <w:fldChar w:fldCharType="begin"/>
        </w:r>
        <w:r w:rsidRPr="00B24C42">
          <w:rPr>
            <w:rFonts w:ascii="Arial" w:hAnsi="Arial" w:cs="Arial"/>
            <w:sz w:val="20"/>
            <w:szCs w:val="20"/>
          </w:rPr>
          <w:instrText xml:space="preserve"> PAGE   \* MERGEFORMAT </w:instrText>
        </w:r>
        <w:r w:rsidRPr="00B24C42">
          <w:rPr>
            <w:rFonts w:ascii="Arial" w:hAnsi="Arial" w:cs="Arial"/>
            <w:sz w:val="20"/>
            <w:szCs w:val="20"/>
          </w:rPr>
          <w:fldChar w:fldCharType="separate"/>
        </w:r>
        <w:r w:rsidRPr="00B24C42">
          <w:rPr>
            <w:rFonts w:ascii="Arial" w:hAnsi="Arial" w:cs="Arial"/>
            <w:noProof/>
            <w:sz w:val="20"/>
            <w:szCs w:val="20"/>
          </w:rPr>
          <w:t>2</w:t>
        </w:r>
        <w:r w:rsidRPr="00B24C42">
          <w:rPr>
            <w:rFonts w:ascii="Arial" w:hAnsi="Arial" w:cs="Arial"/>
            <w:noProof/>
            <w:sz w:val="20"/>
            <w:szCs w:val="20"/>
          </w:rPr>
          <w:fldChar w:fldCharType="end"/>
        </w:r>
      </w:p>
    </w:sdtContent>
  </w:sdt>
  <w:p w14:paraId="13D8190B" w14:textId="77777777" w:rsidR="007D7848" w:rsidRDefault="007D7848" w:rsidP="00E40C15">
    <w:pPr>
      <w:pStyle w:val="Footer"/>
      <w:tabs>
        <w:tab w:val="clear" w:pos="4513"/>
        <w:tab w:val="clear" w:pos="9026"/>
        <w:tab w:val="right" w:pos="101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E18D" w14:textId="77777777" w:rsidR="005A288D" w:rsidRDefault="005A288D" w:rsidP="007D7848">
      <w:r>
        <w:separator/>
      </w:r>
    </w:p>
  </w:footnote>
  <w:footnote w:type="continuationSeparator" w:id="0">
    <w:p w14:paraId="5BCF4CB2" w14:textId="77777777" w:rsidR="005A288D" w:rsidRDefault="005A288D" w:rsidP="007D7848">
      <w:r>
        <w:continuationSeparator/>
      </w:r>
    </w:p>
  </w:footnote>
  <w:footnote w:id="1">
    <w:p w14:paraId="7127D6E9" w14:textId="2DE1718B" w:rsidR="007D7848" w:rsidRDefault="007D7848" w:rsidP="007D7848">
      <w:pPr>
        <w:pStyle w:val="FootnoteText"/>
      </w:pPr>
      <w:r>
        <w:rPr>
          <w:rStyle w:val="FootnoteReference"/>
        </w:rPr>
        <w:footnoteRef/>
      </w:r>
      <w:r>
        <w:t xml:space="preserve"> Further detail on how the spatial strategy and distribution of development has evolved as preparation of the Local Plan 2021 – 2039 has progressed is set out in the </w:t>
      </w:r>
      <w:r w:rsidRPr="002831EA">
        <w:t xml:space="preserve">Housing </w:t>
      </w:r>
      <w:r w:rsidR="00621D6E">
        <w:t xml:space="preserve">Distribution </w:t>
      </w:r>
      <w:r w:rsidRPr="002831EA">
        <w:t>Background Paper</w:t>
      </w:r>
    </w:p>
  </w:footnote>
  <w:footnote w:id="2">
    <w:p w14:paraId="206CA69A" w14:textId="77777777" w:rsidR="007D7848" w:rsidRPr="00E52178" w:rsidRDefault="007D7848" w:rsidP="007D7848">
      <w:pPr>
        <w:pStyle w:val="FootnoteText"/>
        <w:rPr>
          <w:sz w:val="18"/>
          <w:szCs w:val="18"/>
        </w:rPr>
      </w:pPr>
      <w:r w:rsidRPr="00E52178">
        <w:rPr>
          <w:rStyle w:val="FootnoteReference"/>
          <w:sz w:val="18"/>
          <w:szCs w:val="18"/>
        </w:rPr>
        <w:footnoteRef/>
      </w:r>
      <w:r w:rsidRPr="00E52178">
        <w:rPr>
          <w:sz w:val="18"/>
          <w:szCs w:val="18"/>
        </w:rPr>
        <w:t xml:space="preserve"> The </w:t>
      </w:r>
      <w:r>
        <w:rPr>
          <w:sz w:val="18"/>
          <w:szCs w:val="18"/>
        </w:rPr>
        <w:t xml:space="preserve">detailed </w:t>
      </w:r>
      <w:r w:rsidRPr="00E52178">
        <w:rPr>
          <w:sz w:val="18"/>
          <w:szCs w:val="18"/>
        </w:rPr>
        <w:t xml:space="preserve">HELAA assessment of </w:t>
      </w:r>
      <w:r>
        <w:rPr>
          <w:sz w:val="18"/>
          <w:szCs w:val="18"/>
        </w:rPr>
        <w:t>‘green’</w:t>
      </w:r>
      <w:r w:rsidRPr="00E52178">
        <w:rPr>
          <w:sz w:val="18"/>
          <w:szCs w:val="18"/>
        </w:rPr>
        <w:t xml:space="preserve"> sites can be found at </w:t>
      </w:r>
      <w:hyperlink r:id="rId1" w:history="1">
        <w:r w:rsidRPr="00E52178">
          <w:rPr>
            <w:rStyle w:val="Hyperlink"/>
            <w:sz w:val="18"/>
            <w:szCs w:val="18"/>
          </w:rPr>
          <w:t>https://www.chichester.gov.uk/media/34935/Appendix-3-Detailed-site-assessment-forms-2021-update/doc/Appendix_3_Detailed_site_assessment_forms_2021_update.docx</w:t>
        </w:r>
      </w:hyperlink>
    </w:p>
  </w:footnote>
  <w:footnote w:id="3">
    <w:p w14:paraId="4C643D28" w14:textId="4DFEF5D0" w:rsidR="007B5CFC" w:rsidRPr="007B5CFC" w:rsidRDefault="007B5CFC">
      <w:pPr>
        <w:pStyle w:val="FootnoteText"/>
        <w:rPr>
          <w:sz w:val="18"/>
          <w:szCs w:val="18"/>
        </w:rPr>
      </w:pPr>
      <w:r w:rsidRPr="00F733F1">
        <w:rPr>
          <w:rStyle w:val="FootnoteReference"/>
        </w:rPr>
        <w:footnoteRef/>
      </w:r>
      <w:r w:rsidRPr="00F733F1">
        <w:t xml:space="preserve"> Set out in the </w:t>
      </w:r>
      <w:r w:rsidR="00621838" w:rsidRPr="00F733F1">
        <w:t>c</w:t>
      </w:r>
      <w:r w:rsidR="00621D6E" w:rsidRPr="00F733F1">
        <w:t>ouncil’s suggested modification</w:t>
      </w:r>
      <w:r w:rsidR="00621838" w:rsidRPr="00F733F1">
        <w:t>s</w:t>
      </w:r>
      <w:r w:rsidR="00621D6E" w:rsidRPr="00F733F1">
        <w:t xml:space="preserve"> </w:t>
      </w:r>
      <w:r w:rsidR="00621D6E" w:rsidRPr="00F733F1">
        <w:t>schedule</w:t>
      </w:r>
    </w:p>
  </w:footnote>
  <w:footnote w:id="4">
    <w:p w14:paraId="03402276" w14:textId="77777777" w:rsidR="007D7848" w:rsidRPr="00E52178" w:rsidRDefault="007D7848" w:rsidP="007D7848">
      <w:pPr>
        <w:pStyle w:val="FootnoteText"/>
        <w:rPr>
          <w:rFonts w:cs="Arial"/>
          <w:sz w:val="18"/>
          <w:szCs w:val="18"/>
        </w:rPr>
      </w:pPr>
      <w:r w:rsidRPr="00E52178">
        <w:rPr>
          <w:rStyle w:val="FootnoteReference"/>
          <w:rFonts w:eastAsiaTheme="majorEastAsia" w:cs="Arial"/>
          <w:sz w:val="18"/>
          <w:szCs w:val="18"/>
        </w:rPr>
        <w:footnoteRef/>
      </w:r>
      <w:r w:rsidRPr="00E52178">
        <w:rPr>
          <w:rFonts w:cs="Arial"/>
          <w:sz w:val="18"/>
          <w:szCs w:val="18"/>
        </w:rPr>
        <w:t xml:space="preserve"> To avoid double counting</w:t>
      </w:r>
    </w:p>
  </w:footnote>
  <w:footnote w:id="5">
    <w:p w14:paraId="474732CE" w14:textId="0DB9FF36" w:rsidR="00B03D53" w:rsidRPr="00B03D53" w:rsidRDefault="00B03D53">
      <w:pPr>
        <w:pStyle w:val="FootnoteText"/>
        <w:rPr>
          <w:sz w:val="16"/>
          <w:szCs w:val="16"/>
        </w:rPr>
      </w:pPr>
      <w:r w:rsidRPr="00B03D53">
        <w:rPr>
          <w:rStyle w:val="FootnoteReference"/>
          <w:sz w:val="18"/>
          <w:szCs w:val="18"/>
        </w:rPr>
        <w:footnoteRef/>
      </w:r>
      <w:r w:rsidRPr="00B03D53">
        <w:rPr>
          <w:sz w:val="18"/>
          <w:szCs w:val="18"/>
        </w:rPr>
        <w:t xml:space="preserve"> Includes proposed changes in response to Regulation 19 representations.</w:t>
      </w:r>
      <w:r w:rsidR="00AF74C1">
        <w:rPr>
          <w:sz w:val="18"/>
          <w:szCs w:val="18"/>
        </w:rPr>
        <w:t xml:space="preserve"> </w:t>
      </w:r>
      <w:r w:rsidRPr="00B03D53">
        <w:rPr>
          <w:sz w:val="18"/>
          <w:szCs w:val="18"/>
        </w:rPr>
        <w:t>New text underlined, text to be deleted crossed through.</w:t>
      </w:r>
    </w:p>
  </w:footnote>
  <w:footnote w:id="6">
    <w:p w14:paraId="4E76CB67" w14:textId="77777777" w:rsidR="007D7848" w:rsidRDefault="007D7848" w:rsidP="007D7848">
      <w:pPr>
        <w:pStyle w:val="FootnoteText"/>
      </w:pPr>
      <w:r w:rsidRPr="00B03D53">
        <w:rPr>
          <w:rStyle w:val="FootnoteReference"/>
          <w:sz w:val="18"/>
          <w:szCs w:val="18"/>
        </w:rPr>
        <w:footnoteRef/>
      </w:r>
      <w:r w:rsidRPr="00B03D53">
        <w:rPr>
          <w:sz w:val="18"/>
          <w:szCs w:val="18"/>
        </w:rPr>
        <w:t xml:space="preserve"> </w:t>
      </w:r>
      <w:hyperlink r:id="rId2" w:history="1">
        <w:r w:rsidRPr="00B03D53">
          <w:rPr>
            <w:rStyle w:val="Hyperlink"/>
            <w:sz w:val="18"/>
            <w:szCs w:val="18"/>
          </w:rPr>
          <w:t>Solent Waders and Brent Goose Strategy: Guidance on Mitigation and Off-setting Requirements, October 2018</w:t>
        </w:r>
      </w:hyperlink>
    </w:p>
  </w:footnote>
  <w:footnote w:id="7">
    <w:p w14:paraId="3E6613A6" w14:textId="77777777" w:rsidR="007D7848" w:rsidRPr="008409A4" w:rsidRDefault="007D7848" w:rsidP="007D7848">
      <w:pPr>
        <w:pStyle w:val="FootnoteText"/>
        <w:rPr>
          <w:strike/>
        </w:rPr>
      </w:pPr>
      <w:r w:rsidRPr="008409A4">
        <w:rPr>
          <w:rStyle w:val="FootnoteReference"/>
          <w:strike/>
        </w:rPr>
        <w:footnoteRef/>
      </w:r>
      <w:r w:rsidRPr="008409A4">
        <w:rPr>
          <w:strike/>
        </w:rPr>
        <w:t xml:space="preserve"> Guidance on the application of the Joint Minerals Local Plan and Waste Local Plan safeguarding policies is available in the </w:t>
      </w:r>
      <w:hyperlink r:id="rId3" w:history="1">
        <w:r w:rsidRPr="008409A4">
          <w:rPr>
            <w:rStyle w:val="Hyperlink"/>
            <w:rFonts w:cs="Arial"/>
            <w:strike/>
          </w:rPr>
          <w:t>West Sussex County Council Minerals and Waste Safeguarding Guidance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122A" w14:textId="77777777" w:rsidR="007D7848" w:rsidRDefault="007D7848" w:rsidP="002D3B19">
    <w:pPr>
      <w:pStyle w:val="Header"/>
      <w:tabs>
        <w:tab w:val="clear" w:pos="4513"/>
        <w:tab w:val="clear" w:pos="902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214D" w14:textId="77777777" w:rsidR="007D7848" w:rsidRDefault="007D7848" w:rsidP="000D5836">
    <w:pPr>
      <w:pStyle w:val="Header"/>
      <w:tabs>
        <w:tab w:val="clear" w:pos="45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A203" w14:textId="77777777" w:rsidR="007D7848" w:rsidRDefault="007D78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0DE7" w14:textId="77777777" w:rsidR="007D7848" w:rsidRDefault="007D7848" w:rsidP="002D3B19">
    <w:pPr>
      <w:pStyle w:val="Header"/>
      <w:tabs>
        <w:tab w:val="clear" w:pos="4513"/>
        <w:tab w:val="clear" w:pos="9026"/>
        <w:tab w:val="right" w:pos="10170"/>
      </w:tabs>
      <w:jc w:val="right"/>
      <w:rPr>
        <w:rFonts w:ascii="Arial" w:hAnsi="Arial" w:cs="Arial"/>
      </w:rPr>
    </w:pPr>
    <w:r w:rsidRPr="009F0B62">
      <w:rPr>
        <w:rFonts w:ascii="Arial" w:hAnsi="Arial" w:cs="Arial"/>
      </w:rPr>
      <w:t xml:space="preserve">Chichester Local Plan </w:t>
    </w:r>
    <w:r>
      <w:rPr>
        <w:rFonts w:ascii="Arial" w:hAnsi="Arial" w:cs="Arial"/>
      </w:rPr>
      <w:t>2021 – 2039</w:t>
    </w:r>
  </w:p>
  <w:p w14:paraId="23BD1509" w14:textId="77777777" w:rsidR="007D7848" w:rsidRDefault="007D7848" w:rsidP="002D3B19">
    <w:pPr>
      <w:pStyle w:val="Header"/>
      <w:pBdr>
        <w:bottom w:val="single" w:sz="6" w:space="1" w:color="auto"/>
      </w:pBdr>
      <w:tabs>
        <w:tab w:val="clear" w:pos="4513"/>
        <w:tab w:val="clear" w:pos="9026"/>
      </w:tabs>
      <w:jc w:val="right"/>
    </w:pPr>
    <w:r w:rsidRPr="009F0B62">
      <w:rPr>
        <w:rFonts w:ascii="Arial" w:hAnsi="Arial" w:cs="Arial"/>
      </w:rPr>
      <w:tab/>
      <w:t>Southbourne Broad Location for Development Background Paper</w:t>
    </w:r>
  </w:p>
  <w:p w14:paraId="27DCC400" w14:textId="4E8AE9AF" w:rsidR="007D7848" w:rsidRDefault="007D7848" w:rsidP="002D3B19">
    <w:pPr>
      <w:pStyle w:val="Header"/>
      <w:tabs>
        <w:tab w:val="clear" w:pos="4513"/>
        <w:tab w:val="clear" w:pos="9026"/>
      </w:tabs>
      <w:jc w:val="right"/>
    </w:pPr>
    <w:r>
      <w:rPr>
        <w:noProof/>
      </w:rPr>
      <mc:AlternateContent>
        <mc:Choice Requires="wps">
          <w:drawing>
            <wp:anchor distT="0" distB="0" distL="114300" distR="114300" simplePos="0" relativeHeight="251659264" behindDoc="1" locked="0" layoutInCell="0" allowOverlap="1" wp14:anchorId="18891A60" wp14:editId="0401A7B1">
              <wp:simplePos x="0" y="0"/>
              <wp:positionH relativeFrom="margin">
                <wp:align>center</wp:align>
              </wp:positionH>
              <wp:positionV relativeFrom="margin">
                <wp:align>center</wp:align>
              </wp:positionV>
              <wp:extent cx="5772150" cy="2308860"/>
              <wp:effectExtent l="0" t="1562100" r="0" b="12630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5AA282" w14:textId="77777777" w:rsidR="007D7848" w:rsidRDefault="007D7848" w:rsidP="007D7848">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891A60" id="_x0000_t202" coordsize="21600,21600" o:spt="202" path="m,l,21600r21600,l21600,xe">
              <v:stroke joinstyle="miter"/>
              <v:path gradientshapeok="t" o:connecttype="rect"/>
            </v:shapetype>
            <v:shape id="Text Box 3" o:spid="_x0000_s1026" type="#_x0000_t202" style="position:absolute;left:0;text-align:left;margin-left:0;margin-top:0;width:454.5pt;height:181.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015AA282" w14:textId="77777777" w:rsidR="007D7848" w:rsidRDefault="007D7848" w:rsidP="007D7848">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B20A" w14:textId="77777777" w:rsidR="007D7848" w:rsidRPr="00B24C42" w:rsidRDefault="007D7848" w:rsidP="000A1A01">
    <w:pPr>
      <w:pStyle w:val="Header"/>
      <w:tabs>
        <w:tab w:val="clear" w:pos="4513"/>
        <w:tab w:val="clear" w:pos="9026"/>
        <w:tab w:val="right" w:pos="10170"/>
      </w:tabs>
      <w:jc w:val="right"/>
      <w:rPr>
        <w:rFonts w:ascii="Arial" w:hAnsi="Arial" w:cs="Arial"/>
        <w:sz w:val="20"/>
        <w:szCs w:val="20"/>
      </w:rPr>
    </w:pPr>
    <w:r>
      <w:tab/>
    </w:r>
    <w:r w:rsidRPr="00B24C42">
      <w:rPr>
        <w:rFonts w:ascii="Arial" w:hAnsi="Arial" w:cs="Arial"/>
        <w:sz w:val="20"/>
        <w:szCs w:val="20"/>
      </w:rPr>
      <w:t>Chichester Local Plan 2021 – 2039</w:t>
    </w:r>
  </w:p>
  <w:p w14:paraId="20D92946" w14:textId="77777777" w:rsidR="007D7848" w:rsidRPr="00B24C42" w:rsidRDefault="007D7848" w:rsidP="00D71E75">
    <w:pPr>
      <w:pStyle w:val="Header"/>
      <w:pBdr>
        <w:bottom w:val="single" w:sz="6" w:space="1" w:color="auto"/>
      </w:pBdr>
      <w:tabs>
        <w:tab w:val="clear" w:pos="4513"/>
        <w:tab w:val="clear" w:pos="9026"/>
      </w:tabs>
      <w:jc w:val="right"/>
      <w:rPr>
        <w:sz w:val="20"/>
        <w:szCs w:val="20"/>
      </w:rPr>
    </w:pPr>
    <w:r w:rsidRPr="00B24C42">
      <w:rPr>
        <w:rFonts w:ascii="Arial" w:hAnsi="Arial" w:cs="Arial"/>
        <w:sz w:val="20"/>
        <w:szCs w:val="20"/>
      </w:rPr>
      <w:tab/>
      <w:t>Southbourne Broad Location for Development Background Paper</w:t>
    </w:r>
  </w:p>
  <w:p w14:paraId="46113959" w14:textId="77777777" w:rsidR="007D7848" w:rsidRPr="00B24C42" w:rsidRDefault="007D7848">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46E"/>
    <w:multiLevelType w:val="hybridMultilevel"/>
    <w:tmpl w:val="2CE60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127306"/>
    <w:multiLevelType w:val="multilevel"/>
    <w:tmpl w:val="082495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241857"/>
    <w:multiLevelType w:val="hybridMultilevel"/>
    <w:tmpl w:val="0E948ED0"/>
    <w:lvl w:ilvl="0" w:tplc="0D6E8B66">
      <w:start w:val="1"/>
      <w:numFmt w:val="decimal"/>
      <w:lvlText w:val="%1."/>
      <w:lvlJc w:val="left"/>
      <w:pPr>
        <w:ind w:left="720" w:hanging="360"/>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190559"/>
    <w:multiLevelType w:val="hybridMultilevel"/>
    <w:tmpl w:val="8C74B030"/>
    <w:lvl w:ilvl="0" w:tplc="D6A40DC2">
      <w:start w:val="1"/>
      <w:numFmt w:val="decimal"/>
      <w:lvlText w:val="%1."/>
      <w:lvlJc w:val="left"/>
      <w:pPr>
        <w:ind w:left="720" w:hanging="360"/>
      </w:pPr>
      <w:rPr>
        <w:color w:val="0073C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4491E"/>
    <w:multiLevelType w:val="hybridMultilevel"/>
    <w:tmpl w:val="8BD855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5D60AA"/>
    <w:multiLevelType w:val="hybridMultilevel"/>
    <w:tmpl w:val="4490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757AED"/>
    <w:multiLevelType w:val="multilevel"/>
    <w:tmpl w:val="34B674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D66869"/>
    <w:multiLevelType w:val="multilevel"/>
    <w:tmpl w:val="94169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004E3A"/>
    <w:multiLevelType w:val="hybridMultilevel"/>
    <w:tmpl w:val="8326AD66"/>
    <w:lvl w:ilvl="0" w:tplc="D6A40DC2">
      <w:start w:val="1"/>
      <w:numFmt w:val="decimal"/>
      <w:lvlText w:val="%1."/>
      <w:lvlJc w:val="left"/>
      <w:pPr>
        <w:ind w:left="720" w:hanging="360"/>
      </w:pPr>
      <w:rPr>
        <w:color w:val="0073C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EB1904"/>
    <w:multiLevelType w:val="hybridMultilevel"/>
    <w:tmpl w:val="9294C806"/>
    <w:lvl w:ilvl="0" w:tplc="00643452">
      <w:start w:val="1"/>
      <w:numFmt w:val="decimal"/>
      <w:lvlText w:val="%1."/>
      <w:lvlJc w:val="left"/>
      <w:pPr>
        <w:ind w:left="720" w:hanging="360"/>
      </w:pPr>
      <w:rPr>
        <w:color w:val="0073C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5121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931688"/>
    <w:multiLevelType w:val="multilevel"/>
    <w:tmpl w:val="3F0073B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3B45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E0A2CB9"/>
    <w:multiLevelType w:val="hybridMultilevel"/>
    <w:tmpl w:val="F8E85F5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4" w15:restartNumberingAfterBreak="0">
    <w:nsid w:val="2083097F"/>
    <w:multiLevelType w:val="multilevel"/>
    <w:tmpl w:val="E744CDF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0C501F"/>
    <w:multiLevelType w:val="multilevel"/>
    <w:tmpl w:val="0EAC31C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522077"/>
    <w:multiLevelType w:val="multilevel"/>
    <w:tmpl w:val="43047C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B11550"/>
    <w:multiLevelType w:val="hybridMultilevel"/>
    <w:tmpl w:val="A8EE444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8" w15:restartNumberingAfterBreak="0">
    <w:nsid w:val="2AE31183"/>
    <w:multiLevelType w:val="multilevel"/>
    <w:tmpl w:val="E86E60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EC79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03201B"/>
    <w:multiLevelType w:val="hybridMultilevel"/>
    <w:tmpl w:val="BBA08304"/>
    <w:lvl w:ilvl="0" w:tplc="D6A40DC2">
      <w:start w:val="1"/>
      <w:numFmt w:val="decimal"/>
      <w:lvlText w:val="%1."/>
      <w:lvlJc w:val="left"/>
      <w:pPr>
        <w:ind w:left="720" w:hanging="360"/>
      </w:pPr>
      <w:rPr>
        <w:color w:val="0073C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3764BC"/>
    <w:multiLevelType w:val="multilevel"/>
    <w:tmpl w:val="A37C36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1B2719"/>
    <w:multiLevelType w:val="hybridMultilevel"/>
    <w:tmpl w:val="44026D62"/>
    <w:lvl w:ilvl="0" w:tplc="BA42F11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D57711"/>
    <w:multiLevelType w:val="hybridMultilevel"/>
    <w:tmpl w:val="41724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1E0657"/>
    <w:multiLevelType w:val="multilevel"/>
    <w:tmpl w:val="F3F0F9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D85D48"/>
    <w:multiLevelType w:val="multilevel"/>
    <w:tmpl w:val="BCC8F83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C20B78"/>
    <w:multiLevelType w:val="multilevel"/>
    <w:tmpl w:val="99E8D73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09D1B54"/>
    <w:multiLevelType w:val="multilevel"/>
    <w:tmpl w:val="5E204D6E"/>
    <w:lvl w:ilvl="0">
      <w:start w:val="1"/>
      <w:numFmt w:val="decimal"/>
      <w:lvlText w:val="%1."/>
      <w:lvlJc w:val="left"/>
      <w:pPr>
        <w:ind w:left="720" w:hanging="720"/>
      </w:pPr>
      <w:rPr>
        <w:rFonts w:ascii="Arial" w:eastAsiaTheme="minorHAnsi" w:hAnsi="Arial" w:cs="Arial"/>
        <w:b/>
        <w:sz w:val="28"/>
      </w:rPr>
    </w:lvl>
    <w:lvl w:ilvl="1">
      <w:start w:val="1"/>
      <w:numFmt w:val="decimal"/>
      <w:lvlText w:val="%1.%2."/>
      <w:lvlJc w:val="left"/>
      <w:pPr>
        <w:ind w:left="1440" w:hanging="720"/>
      </w:pPr>
      <w:rPr>
        <w:rFonts w:hint="default"/>
        <w:b/>
        <w:sz w:val="28"/>
      </w:rPr>
    </w:lvl>
    <w:lvl w:ilvl="2">
      <w:start w:val="1"/>
      <w:numFmt w:val="decimal"/>
      <w:lvlText w:val="%1.%2.%3."/>
      <w:lvlJc w:val="left"/>
      <w:pPr>
        <w:ind w:left="2160" w:hanging="720"/>
      </w:pPr>
      <w:rPr>
        <w:rFonts w:hint="default"/>
        <w:b/>
        <w:sz w:val="28"/>
      </w:rPr>
    </w:lvl>
    <w:lvl w:ilvl="3">
      <w:start w:val="1"/>
      <w:numFmt w:val="decimal"/>
      <w:lvlText w:val="%1.%2.%3.%4."/>
      <w:lvlJc w:val="left"/>
      <w:pPr>
        <w:ind w:left="3240" w:hanging="1080"/>
      </w:pPr>
      <w:rPr>
        <w:rFonts w:hint="default"/>
        <w:b/>
        <w:sz w:val="28"/>
      </w:rPr>
    </w:lvl>
    <w:lvl w:ilvl="4">
      <w:start w:val="1"/>
      <w:numFmt w:val="decimal"/>
      <w:lvlText w:val="%1.%2.%3.%4.%5."/>
      <w:lvlJc w:val="left"/>
      <w:pPr>
        <w:ind w:left="3960" w:hanging="1080"/>
      </w:pPr>
      <w:rPr>
        <w:rFonts w:hint="default"/>
        <w:b/>
        <w:sz w:val="28"/>
      </w:rPr>
    </w:lvl>
    <w:lvl w:ilvl="5">
      <w:start w:val="1"/>
      <w:numFmt w:val="decimal"/>
      <w:lvlText w:val="%1.%2.%3.%4.%5.%6."/>
      <w:lvlJc w:val="left"/>
      <w:pPr>
        <w:ind w:left="5040" w:hanging="1440"/>
      </w:pPr>
      <w:rPr>
        <w:rFonts w:hint="default"/>
        <w:b/>
        <w:sz w:val="28"/>
      </w:rPr>
    </w:lvl>
    <w:lvl w:ilvl="6">
      <w:start w:val="1"/>
      <w:numFmt w:val="decimal"/>
      <w:lvlText w:val="%1.%2.%3.%4.%5.%6.%7."/>
      <w:lvlJc w:val="left"/>
      <w:pPr>
        <w:ind w:left="5760" w:hanging="1440"/>
      </w:pPr>
      <w:rPr>
        <w:rFonts w:hint="default"/>
        <w:b/>
        <w:sz w:val="28"/>
      </w:rPr>
    </w:lvl>
    <w:lvl w:ilvl="7">
      <w:start w:val="1"/>
      <w:numFmt w:val="decimal"/>
      <w:lvlText w:val="%1.%2.%3.%4.%5.%6.%7.%8."/>
      <w:lvlJc w:val="left"/>
      <w:pPr>
        <w:ind w:left="6840" w:hanging="1800"/>
      </w:pPr>
      <w:rPr>
        <w:rFonts w:hint="default"/>
        <w:b/>
        <w:sz w:val="28"/>
      </w:rPr>
    </w:lvl>
    <w:lvl w:ilvl="8">
      <w:start w:val="1"/>
      <w:numFmt w:val="decimal"/>
      <w:lvlText w:val="%1.%2.%3.%4.%5.%6.%7.%8.%9."/>
      <w:lvlJc w:val="left"/>
      <w:pPr>
        <w:ind w:left="7920" w:hanging="2160"/>
      </w:pPr>
      <w:rPr>
        <w:rFonts w:hint="default"/>
        <w:b/>
        <w:sz w:val="28"/>
      </w:rPr>
    </w:lvl>
  </w:abstractNum>
  <w:abstractNum w:abstractNumId="28" w15:restartNumberingAfterBreak="0">
    <w:nsid w:val="40B51D86"/>
    <w:multiLevelType w:val="hybridMultilevel"/>
    <w:tmpl w:val="C6C2AD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1B44915"/>
    <w:multiLevelType w:val="hybridMultilevel"/>
    <w:tmpl w:val="3B7A2938"/>
    <w:lvl w:ilvl="0" w:tplc="08090001">
      <w:start w:val="1"/>
      <w:numFmt w:val="bullet"/>
      <w:lvlText w:val=""/>
      <w:lvlJc w:val="left"/>
      <w:pPr>
        <w:ind w:left="360" w:hanging="360"/>
      </w:pPr>
      <w:rPr>
        <w:rFonts w:ascii="Symbol" w:hAnsi="Symbol"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2B31AC2"/>
    <w:multiLevelType w:val="hybridMultilevel"/>
    <w:tmpl w:val="6BFAE536"/>
    <w:lvl w:ilvl="0" w:tplc="D6A40DC2">
      <w:start w:val="1"/>
      <w:numFmt w:val="decimal"/>
      <w:lvlText w:val="%1."/>
      <w:lvlJc w:val="left"/>
      <w:pPr>
        <w:ind w:left="720" w:hanging="360"/>
      </w:pPr>
      <w:rPr>
        <w:color w:val="0073C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2F8616F"/>
    <w:multiLevelType w:val="multilevel"/>
    <w:tmpl w:val="89A6102C"/>
    <w:lvl w:ilvl="0">
      <w:start w:val="1"/>
      <w:numFmt w:val="decimal"/>
      <w:lvlText w:val="%1."/>
      <w:lvlJc w:val="left"/>
      <w:pPr>
        <w:ind w:left="360" w:hanging="360"/>
      </w:pPr>
      <w:rPr>
        <w:color w:val="0073C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40B1711"/>
    <w:multiLevelType w:val="multilevel"/>
    <w:tmpl w:val="199014B6"/>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606282E"/>
    <w:multiLevelType w:val="hybridMultilevel"/>
    <w:tmpl w:val="6C4401F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4" w15:restartNumberingAfterBreak="0">
    <w:nsid w:val="47204B00"/>
    <w:multiLevelType w:val="hybridMultilevel"/>
    <w:tmpl w:val="F19EB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520008EF"/>
    <w:multiLevelType w:val="hybridMultilevel"/>
    <w:tmpl w:val="C522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66963"/>
    <w:multiLevelType w:val="multilevel"/>
    <w:tmpl w:val="8DD6B6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6608CF"/>
    <w:multiLevelType w:val="hybridMultilevel"/>
    <w:tmpl w:val="51DCF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0903F31"/>
    <w:multiLevelType w:val="multilevel"/>
    <w:tmpl w:val="EB06CFC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AF2B03"/>
    <w:multiLevelType w:val="hybridMultilevel"/>
    <w:tmpl w:val="B13E49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35E6356"/>
    <w:multiLevelType w:val="hybridMultilevel"/>
    <w:tmpl w:val="47F00E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36447AA"/>
    <w:multiLevelType w:val="hybridMultilevel"/>
    <w:tmpl w:val="2F9E2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2F66F4"/>
    <w:multiLevelType w:val="hybridMultilevel"/>
    <w:tmpl w:val="DAC414E0"/>
    <w:lvl w:ilvl="0" w:tplc="D6A40DC2">
      <w:start w:val="1"/>
      <w:numFmt w:val="decimal"/>
      <w:lvlText w:val="%1."/>
      <w:lvlJc w:val="left"/>
      <w:pPr>
        <w:ind w:left="720" w:hanging="360"/>
      </w:pPr>
      <w:rPr>
        <w:color w:val="0073C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0564D4"/>
    <w:multiLevelType w:val="multilevel"/>
    <w:tmpl w:val="B70CBE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7777E3C"/>
    <w:multiLevelType w:val="multilevel"/>
    <w:tmpl w:val="2BCA61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D324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1D1EA3"/>
    <w:multiLevelType w:val="multilevel"/>
    <w:tmpl w:val="06DEC8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FA0EBE"/>
    <w:multiLevelType w:val="hybridMultilevel"/>
    <w:tmpl w:val="6EE60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F3E4D12"/>
    <w:multiLevelType w:val="hybridMultilevel"/>
    <w:tmpl w:val="E370F020"/>
    <w:lvl w:ilvl="0" w:tplc="D6A40DC2">
      <w:start w:val="1"/>
      <w:numFmt w:val="decimal"/>
      <w:lvlText w:val="%1."/>
      <w:lvlJc w:val="left"/>
      <w:pPr>
        <w:ind w:left="720" w:hanging="360"/>
      </w:pPr>
      <w:rPr>
        <w:color w:val="0073C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4279202">
    <w:abstractNumId w:val="27"/>
  </w:num>
  <w:num w:numId="2" w16cid:durableId="442269033">
    <w:abstractNumId w:val="1"/>
  </w:num>
  <w:num w:numId="3" w16cid:durableId="1934430663">
    <w:abstractNumId w:val="38"/>
  </w:num>
  <w:num w:numId="4" w16cid:durableId="672104445">
    <w:abstractNumId w:val="44"/>
  </w:num>
  <w:num w:numId="5" w16cid:durableId="1856378089">
    <w:abstractNumId w:val="36"/>
  </w:num>
  <w:num w:numId="6" w16cid:durableId="141891359">
    <w:abstractNumId w:val="35"/>
  </w:num>
  <w:num w:numId="7" w16cid:durableId="1806392254">
    <w:abstractNumId w:val="23"/>
  </w:num>
  <w:num w:numId="8" w16cid:durableId="814223598">
    <w:abstractNumId w:val="11"/>
  </w:num>
  <w:num w:numId="9" w16cid:durableId="1490902538">
    <w:abstractNumId w:val="7"/>
  </w:num>
  <w:num w:numId="10" w16cid:durableId="540409946">
    <w:abstractNumId w:val="15"/>
  </w:num>
  <w:num w:numId="11" w16cid:durableId="712078737">
    <w:abstractNumId w:val="14"/>
  </w:num>
  <w:num w:numId="12" w16cid:durableId="916522516">
    <w:abstractNumId w:val="16"/>
  </w:num>
  <w:num w:numId="13" w16cid:durableId="1248075846">
    <w:abstractNumId w:val="24"/>
  </w:num>
  <w:num w:numId="14" w16cid:durableId="1828741794">
    <w:abstractNumId w:val="21"/>
  </w:num>
  <w:num w:numId="15" w16cid:durableId="1572155386">
    <w:abstractNumId w:val="18"/>
  </w:num>
  <w:num w:numId="16" w16cid:durableId="1189686900">
    <w:abstractNumId w:val="6"/>
  </w:num>
  <w:num w:numId="17" w16cid:durableId="1322392716">
    <w:abstractNumId w:val="43"/>
  </w:num>
  <w:num w:numId="18" w16cid:durableId="2057925344">
    <w:abstractNumId w:val="46"/>
  </w:num>
  <w:num w:numId="19" w16cid:durableId="1467745236">
    <w:abstractNumId w:val="32"/>
  </w:num>
  <w:num w:numId="20" w16cid:durableId="247007149">
    <w:abstractNumId w:val="25"/>
  </w:num>
  <w:num w:numId="21" w16cid:durableId="192502723">
    <w:abstractNumId w:val="12"/>
  </w:num>
  <w:num w:numId="22" w16cid:durableId="278225004">
    <w:abstractNumId w:val="10"/>
  </w:num>
  <w:num w:numId="23" w16cid:durableId="180894719">
    <w:abstractNumId w:val="13"/>
  </w:num>
  <w:num w:numId="24" w16cid:durableId="1145701997">
    <w:abstractNumId w:val="19"/>
  </w:num>
  <w:num w:numId="25" w16cid:durableId="931163952">
    <w:abstractNumId w:val="33"/>
  </w:num>
  <w:num w:numId="26" w16cid:durableId="1002513836">
    <w:abstractNumId w:val="45"/>
  </w:num>
  <w:num w:numId="27" w16cid:durableId="510148901">
    <w:abstractNumId w:val="4"/>
  </w:num>
  <w:num w:numId="28" w16cid:durableId="251856783">
    <w:abstractNumId w:val="29"/>
  </w:num>
  <w:num w:numId="29" w16cid:durableId="1450514201">
    <w:abstractNumId w:val="40"/>
  </w:num>
  <w:num w:numId="30" w16cid:durableId="1878931010">
    <w:abstractNumId w:val="31"/>
  </w:num>
  <w:num w:numId="31" w16cid:durableId="2124423637">
    <w:abstractNumId w:val="17"/>
  </w:num>
  <w:num w:numId="32" w16cid:durableId="2042320808">
    <w:abstractNumId w:val="47"/>
  </w:num>
  <w:num w:numId="33" w16cid:durableId="1688561582">
    <w:abstractNumId w:val="0"/>
  </w:num>
  <w:num w:numId="34" w16cid:durableId="1869178309">
    <w:abstractNumId w:val="41"/>
  </w:num>
  <w:num w:numId="35" w16cid:durableId="471679027">
    <w:abstractNumId w:val="34"/>
  </w:num>
  <w:num w:numId="36" w16cid:durableId="1431202086">
    <w:abstractNumId w:val="37"/>
  </w:num>
  <w:num w:numId="37" w16cid:durableId="1607228915">
    <w:abstractNumId w:val="26"/>
  </w:num>
  <w:num w:numId="38" w16cid:durableId="2052413524">
    <w:abstractNumId w:val="5"/>
  </w:num>
  <w:num w:numId="39" w16cid:durableId="1550678314">
    <w:abstractNumId w:val="2"/>
  </w:num>
  <w:num w:numId="40" w16cid:durableId="1875458410">
    <w:abstractNumId w:val="39"/>
  </w:num>
  <w:num w:numId="41" w16cid:durableId="403332423">
    <w:abstractNumId w:val="28"/>
  </w:num>
  <w:num w:numId="42" w16cid:durableId="419982903">
    <w:abstractNumId w:val="9"/>
  </w:num>
  <w:num w:numId="43" w16cid:durableId="1608273235">
    <w:abstractNumId w:val="22"/>
  </w:num>
  <w:num w:numId="44" w16cid:durableId="915630001">
    <w:abstractNumId w:val="20"/>
  </w:num>
  <w:num w:numId="45" w16cid:durableId="740564393">
    <w:abstractNumId w:val="3"/>
  </w:num>
  <w:num w:numId="46" w16cid:durableId="769541749">
    <w:abstractNumId w:val="30"/>
  </w:num>
  <w:num w:numId="47" w16cid:durableId="2095202083">
    <w:abstractNumId w:val="42"/>
  </w:num>
  <w:num w:numId="48" w16cid:durableId="1385444158">
    <w:abstractNumId w:val="48"/>
  </w:num>
  <w:num w:numId="49" w16cid:durableId="2075202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48"/>
    <w:rsid w:val="00004E10"/>
    <w:rsid w:val="0007471A"/>
    <w:rsid w:val="00083C02"/>
    <w:rsid w:val="00094044"/>
    <w:rsid w:val="000B562B"/>
    <w:rsid w:val="0013154E"/>
    <w:rsid w:val="001342C8"/>
    <w:rsid w:val="0019492E"/>
    <w:rsid w:val="00246ECD"/>
    <w:rsid w:val="0024750D"/>
    <w:rsid w:val="00283AA8"/>
    <w:rsid w:val="00294613"/>
    <w:rsid w:val="002A5BC7"/>
    <w:rsid w:val="002E4CAD"/>
    <w:rsid w:val="00346A94"/>
    <w:rsid w:val="0039252B"/>
    <w:rsid w:val="00395467"/>
    <w:rsid w:val="003B2E14"/>
    <w:rsid w:val="003E5E5A"/>
    <w:rsid w:val="003E69ED"/>
    <w:rsid w:val="004711DC"/>
    <w:rsid w:val="00486374"/>
    <w:rsid w:val="00494918"/>
    <w:rsid w:val="005359C4"/>
    <w:rsid w:val="00543326"/>
    <w:rsid w:val="005A288D"/>
    <w:rsid w:val="00621027"/>
    <w:rsid w:val="00621838"/>
    <w:rsid w:val="00621D6E"/>
    <w:rsid w:val="00641768"/>
    <w:rsid w:val="006455B9"/>
    <w:rsid w:val="00742323"/>
    <w:rsid w:val="007554B6"/>
    <w:rsid w:val="007B5CFC"/>
    <w:rsid w:val="007D7848"/>
    <w:rsid w:val="008409A4"/>
    <w:rsid w:val="00847015"/>
    <w:rsid w:val="008927B1"/>
    <w:rsid w:val="008A4E91"/>
    <w:rsid w:val="008C1C05"/>
    <w:rsid w:val="008F3E98"/>
    <w:rsid w:val="00907A36"/>
    <w:rsid w:val="009B055C"/>
    <w:rsid w:val="00A97D28"/>
    <w:rsid w:val="00AD22F1"/>
    <w:rsid w:val="00AF74C1"/>
    <w:rsid w:val="00B03D53"/>
    <w:rsid w:val="00B23005"/>
    <w:rsid w:val="00B24C42"/>
    <w:rsid w:val="00B739FA"/>
    <w:rsid w:val="00C079AD"/>
    <w:rsid w:val="00C16397"/>
    <w:rsid w:val="00C25455"/>
    <w:rsid w:val="00C34123"/>
    <w:rsid w:val="00C62552"/>
    <w:rsid w:val="00CE77DE"/>
    <w:rsid w:val="00D05859"/>
    <w:rsid w:val="00D10A55"/>
    <w:rsid w:val="00D437C9"/>
    <w:rsid w:val="00DA08C3"/>
    <w:rsid w:val="00DA11FD"/>
    <w:rsid w:val="00DB6E9A"/>
    <w:rsid w:val="00DB775C"/>
    <w:rsid w:val="00DD3F4C"/>
    <w:rsid w:val="00E05CBC"/>
    <w:rsid w:val="00E40FE0"/>
    <w:rsid w:val="00E66129"/>
    <w:rsid w:val="00EA61D9"/>
    <w:rsid w:val="00EE19DF"/>
    <w:rsid w:val="00EE27B4"/>
    <w:rsid w:val="00F23F60"/>
    <w:rsid w:val="00F26674"/>
    <w:rsid w:val="00F329F4"/>
    <w:rsid w:val="00F6570B"/>
    <w:rsid w:val="00F733F1"/>
    <w:rsid w:val="00F91297"/>
    <w:rsid w:val="00FB3CFA"/>
    <w:rsid w:val="00FB5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0C9FF"/>
  <w15:chartTrackingRefBased/>
  <w15:docId w15:val="{E77600BD-276D-4F5C-AE47-405A5DE4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48"/>
    <w:pPr>
      <w:spacing w:after="0" w:line="240" w:lineRule="auto"/>
      <w:jc w:val="both"/>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7D78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D784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7D7848"/>
    <w:pPr>
      <w:keepNext/>
      <w:keepLines/>
      <w:spacing w:before="200" w:line="276" w:lineRule="auto"/>
      <w:outlineLvl w:val="3"/>
    </w:pPr>
    <w:rPr>
      <w:rFonts w:asciiTheme="majorHAnsi" w:eastAsiaTheme="majorEastAsia" w:hAnsiTheme="majorHAnsi" w:cstheme="majorBidi"/>
      <w:b/>
      <w:bCs/>
      <w:i/>
      <w:iCs/>
      <w:color w:val="4472C4" w:themeColor="accent1"/>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848"/>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semiHidden/>
    <w:rsid w:val="007D7848"/>
    <w:rPr>
      <w:rFonts w:asciiTheme="majorHAnsi" w:eastAsiaTheme="majorEastAsia" w:hAnsiTheme="majorHAnsi" w:cstheme="majorBidi"/>
      <w:color w:val="2F5496" w:themeColor="accent1" w:themeShade="BF"/>
      <w:sz w:val="26"/>
      <w:szCs w:val="26"/>
      <w:lang w:eastAsia="en-GB"/>
    </w:rPr>
  </w:style>
  <w:style w:type="character" w:customStyle="1" w:styleId="Heading4Char">
    <w:name w:val="Heading 4 Char"/>
    <w:basedOn w:val="DefaultParagraphFont"/>
    <w:link w:val="Heading4"/>
    <w:uiPriority w:val="9"/>
    <w:rsid w:val="007D7848"/>
    <w:rPr>
      <w:rFonts w:asciiTheme="majorHAnsi" w:eastAsiaTheme="majorEastAsia" w:hAnsiTheme="majorHAnsi" w:cstheme="majorBidi"/>
      <w:b/>
      <w:bCs/>
      <w:i/>
      <w:iCs/>
      <w:color w:val="4472C4" w:themeColor="accent1"/>
      <w:sz w:val="24"/>
    </w:rPr>
  </w:style>
  <w:style w:type="character" w:customStyle="1" w:styleId="fontstyle01">
    <w:name w:val="fontstyle01"/>
    <w:basedOn w:val="DefaultParagraphFont"/>
    <w:rsid w:val="007D7848"/>
    <w:rPr>
      <w:rFonts w:ascii="Arial" w:hAnsi="Arial" w:cs="Arial" w:hint="default"/>
      <w:b/>
      <w:bCs/>
      <w:i w:val="0"/>
      <w:iCs w:val="0"/>
      <w:color w:val="00B050"/>
      <w:sz w:val="72"/>
      <w:szCs w:val="72"/>
    </w:rPr>
  </w:style>
  <w:style w:type="character" w:customStyle="1" w:styleId="fontstyle21">
    <w:name w:val="fontstyle21"/>
    <w:basedOn w:val="DefaultParagraphFont"/>
    <w:rsid w:val="007D7848"/>
    <w:rPr>
      <w:rFonts w:ascii="Arial" w:hAnsi="Arial" w:cs="Arial" w:hint="default"/>
      <w:b w:val="0"/>
      <w:bCs w:val="0"/>
      <w:i w:val="0"/>
      <w:iCs w:val="0"/>
      <w:color w:val="000000"/>
      <w:sz w:val="28"/>
      <w:szCs w:val="28"/>
    </w:rPr>
  </w:style>
  <w:style w:type="character" w:customStyle="1" w:styleId="fontstyle31">
    <w:name w:val="fontstyle31"/>
    <w:basedOn w:val="DefaultParagraphFont"/>
    <w:rsid w:val="007D7848"/>
    <w:rPr>
      <w:rFonts w:ascii="Symbol" w:hAnsi="Symbol" w:hint="default"/>
      <w:b w:val="0"/>
      <w:bCs w:val="0"/>
      <w:i w:val="0"/>
      <w:iCs w:val="0"/>
      <w:color w:val="000000"/>
      <w:sz w:val="24"/>
      <w:szCs w:val="24"/>
    </w:rPr>
  </w:style>
  <w:style w:type="paragraph" w:styleId="ListParagraph">
    <w:name w:val="List Paragraph"/>
    <w:basedOn w:val="Normal"/>
    <w:link w:val="ListParagraphChar"/>
    <w:uiPriority w:val="34"/>
    <w:qFormat/>
    <w:rsid w:val="007D7848"/>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7D784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D7848"/>
  </w:style>
  <w:style w:type="paragraph" w:styleId="Footer">
    <w:name w:val="footer"/>
    <w:basedOn w:val="Normal"/>
    <w:link w:val="FooterChar"/>
    <w:uiPriority w:val="99"/>
    <w:unhideWhenUsed/>
    <w:rsid w:val="007D784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D7848"/>
  </w:style>
  <w:style w:type="character" w:customStyle="1" w:styleId="fontstyle41">
    <w:name w:val="fontstyle41"/>
    <w:basedOn w:val="DefaultParagraphFont"/>
    <w:rsid w:val="007D7848"/>
    <w:rPr>
      <w:rFonts w:ascii="Symbol" w:hAnsi="Symbol" w:hint="default"/>
      <w:b w:val="0"/>
      <w:bCs w:val="0"/>
      <w:i w:val="0"/>
      <w:iCs w:val="0"/>
      <w:color w:val="000000"/>
      <w:sz w:val="24"/>
      <w:szCs w:val="24"/>
    </w:rPr>
  </w:style>
  <w:style w:type="paragraph" w:styleId="CommentText">
    <w:name w:val="annotation text"/>
    <w:basedOn w:val="Normal"/>
    <w:link w:val="CommentTextChar"/>
    <w:uiPriority w:val="99"/>
    <w:unhideWhenUsed/>
    <w:rsid w:val="007D7848"/>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7D7848"/>
    <w:rPr>
      <w:sz w:val="20"/>
      <w:szCs w:val="20"/>
    </w:rPr>
  </w:style>
  <w:style w:type="character" w:styleId="CommentReference">
    <w:name w:val="annotation reference"/>
    <w:basedOn w:val="DefaultParagraphFont"/>
    <w:uiPriority w:val="99"/>
    <w:semiHidden/>
    <w:unhideWhenUsed/>
    <w:rsid w:val="007D7848"/>
    <w:rPr>
      <w:sz w:val="16"/>
      <w:szCs w:val="16"/>
    </w:rPr>
  </w:style>
  <w:style w:type="paragraph" w:styleId="TableofFigures">
    <w:name w:val="table of figures"/>
    <w:basedOn w:val="Normal"/>
    <w:next w:val="Normal"/>
    <w:uiPriority w:val="99"/>
    <w:unhideWhenUsed/>
    <w:rsid w:val="007D7848"/>
    <w:pPr>
      <w:spacing w:line="276" w:lineRule="auto"/>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7D784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D7848"/>
    <w:rPr>
      <w:rFonts w:ascii="Tahoma" w:hAnsi="Tahoma" w:cs="Tahoma"/>
      <w:sz w:val="16"/>
      <w:szCs w:val="16"/>
    </w:rPr>
  </w:style>
  <w:style w:type="table" w:styleId="TableGrid">
    <w:name w:val="Table Grid"/>
    <w:basedOn w:val="TableNormal"/>
    <w:uiPriority w:val="59"/>
    <w:rsid w:val="007D7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D7848"/>
    <w:pPr>
      <w:spacing w:line="259" w:lineRule="auto"/>
      <w:outlineLvl w:val="9"/>
    </w:pPr>
    <w:rPr>
      <w:lang w:val="en-US" w:eastAsia="en-US"/>
    </w:rPr>
  </w:style>
  <w:style w:type="paragraph" w:styleId="TOC1">
    <w:name w:val="toc 1"/>
    <w:basedOn w:val="Normal"/>
    <w:next w:val="Normal"/>
    <w:autoRedefine/>
    <w:uiPriority w:val="39"/>
    <w:unhideWhenUsed/>
    <w:rsid w:val="007D7848"/>
    <w:pPr>
      <w:spacing w:after="100"/>
    </w:pPr>
  </w:style>
  <w:style w:type="character" w:styleId="Hyperlink">
    <w:name w:val="Hyperlink"/>
    <w:basedOn w:val="DefaultParagraphFont"/>
    <w:uiPriority w:val="99"/>
    <w:unhideWhenUsed/>
    <w:rsid w:val="007D7848"/>
    <w:rPr>
      <w:color w:val="0563C1" w:themeColor="hyperlink"/>
      <w:u w:val="single"/>
    </w:rPr>
  </w:style>
  <w:style w:type="paragraph" w:styleId="TOC2">
    <w:name w:val="toc 2"/>
    <w:basedOn w:val="Normal"/>
    <w:next w:val="Normal"/>
    <w:autoRedefine/>
    <w:uiPriority w:val="39"/>
    <w:unhideWhenUsed/>
    <w:rsid w:val="007D7848"/>
    <w:pPr>
      <w:spacing w:after="100"/>
      <w:ind w:left="240"/>
    </w:pPr>
  </w:style>
  <w:style w:type="character" w:styleId="UnresolvedMention">
    <w:name w:val="Unresolved Mention"/>
    <w:basedOn w:val="DefaultParagraphFont"/>
    <w:uiPriority w:val="99"/>
    <w:semiHidden/>
    <w:unhideWhenUsed/>
    <w:rsid w:val="007D7848"/>
    <w:rPr>
      <w:color w:val="605E5C"/>
      <w:shd w:val="clear" w:color="auto" w:fill="E1DFDD"/>
    </w:rPr>
  </w:style>
  <w:style w:type="paragraph" w:styleId="FootnoteText">
    <w:name w:val="footnote text"/>
    <w:basedOn w:val="Normal"/>
    <w:link w:val="FootnoteTextChar"/>
    <w:uiPriority w:val="99"/>
    <w:semiHidden/>
    <w:unhideWhenUsed/>
    <w:rsid w:val="007D7848"/>
    <w:rPr>
      <w:sz w:val="20"/>
      <w:szCs w:val="20"/>
    </w:rPr>
  </w:style>
  <w:style w:type="character" w:customStyle="1" w:styleId="FootnoteTextChar">
    <w:name w:val="Footnote Text Char"/>
    <w:basedOn w:val="DefaultParagraphFont"/>
    <w:link w:val="FootnoteText"/>
    <w:uiPriority w:val="99"/>
    <w:semiHidden/>
    <w:rsid w:val="007D7848"/>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7D7848"/>
    <w:rPr>
      <w:vertAlign w:val="superscript"/>
    </w:rPr>
  </w:style>
  <w:style w:type="character" w:customStyle="1" w:styleId="ListParagraphChar">
    <w:name w:val="List Paragraph Char"/>
    <w:basedOn w:val="DefaultParagraphFont"/>
    <w:link w:val="ListParagraph"/>
    <w:uiPriority w:val="34"/>
    <w:rsid w:val="007D7848"/>
  </w:style>
  <w:style w:type="paragraph" w:styleId="BodyText">
    <w:name w:val="Body Text"/>
    <w:basedOn w:val="Normal"/>
    <w:link w:val="BodyTextChar"/>
    <w:semiHidden/>
    <w:unhideWhenUsed/>
    <w:qFormat/>
    <w:rsid w:val="007D7848"/>
    <w:pPr>
      <w:tabs>
        <w:tab w:val="left" w:pos="0"/>
      </w:tabs>
      <w:spacing w:before="120" w:after="120" w:line="240" w:lineRule="exact"/>
      <w:outlineLvl w:val="4"/>
    </w:pPr>
    <w:rPr>
      <w:rFonts w:asciiTheme="minorHAnsi" w:eastAsiaTheme="minorHAnsi" w:hAnsiTheme="minorHAnsi" w:cstheme="minorHAnsi"/>
      <w:sz w:val="18"/>
      <w:szCs w:val="18"/>
      <w:lang w:eastAsia="en-US"/>
    </w:rPr>
  </w:style>
  <w:style w:type="character" w:customStyle="1" w:styleId="BodyTextChar">
    <w:name w:val="Body Text Char"/>
    <w:basedOn w:val="DefaultParagraphFont"/>
    <w:link w:val="BodyText"/>
    <w:semiHidden/>
    <w:rsid w:val="007D7848"/>
    <w:rPr>
      <w:rFonts w:cstheme="minorHAnsi"/>
      <w:sz w:val="18"/>
      <w:szCs w:val="18"/>
    </w:rPr>
  </w:style>
  <w:style w:type="paragraph" w:styleId="CommentSubject">
    <w:name w:val="annotation subject"/>
    <w:basedOn w:val="CommentText"/>
    <w:next w:val="CommentText"/>
    <w:link w:val="CommentSubjectChar"/>
    <w:uiPriority w:val="99"/>
    <w:semiHidden/>
    <w:unhideWhenUsed/>
    <w:rsid w:val="00DB775C"/>
    <w:pPr>
      <w:spacing w:after="0"/>
    </w:pPr>
    <w:rPr>
      <w:rFonts w:ascii="Arial" w:eastAsia="Times New Roman" w:hAnsi="Arial" w:cs="Times New Roman"/>
      <w:b/>
      <w:bCs/>
      <w:lang w:eastAsia="en-GB"/>
    </w:rPr>
  </w:style>
  <w:style w:type="character" w:customStyle="1" w:styleId="CommentSubjectChar">
    <w:name w:val="Comment Subject Char"/>
    <w:basedOn w:val="CommentTextChar"/>
    <w:link w:val="CommentSubject"/>
    <w:uiPriority w:val="99"/>
    <w:semiHidden/>
    <w:rsid w:val="00DB775C"/>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195254">
      <w:bodyDiv w:val="1"/>
      <w:marLeft w:val="0"/>
      <w:marRight w:val="0"/>
      <w:marTop w:val="0"/>
      <w:marBottom w:val="0"/>
      <w:divBdr>
        <w:top w:val="none" w:sz="0" w:space="0" w:color="auto"/>
        <w:left w:val="none" w:sz="0" w:space="0" w:color="auto"/>
        <w:bottom w:val="none" w:sz="0" w:space="0" w:color="auto"/>
        <w:right w:val="none" w:sz="0" w:space="0" w:color="auto"/>
      </w:divBdr>
    </w:div>
    <w:div w:id="1618872358">
      <w:bodyDiv w:val="1"/>
      <w:marLeft w:val="0"/>
      <w:marRight w:val="0"/>
      <w:marTop w:val="0"/>
      <w:marBottom w:val="0"/>
      <w:divBdr>
        <w:top w:val="none" w:sz="0" w:space="0" w:color="auto"/>
        <w:left w:val="none" w:sz="0" w:space="0" w:color="auto"/>
        <w:bottom w:val="none" w:sz="0" w:space="0" w:color="auto"/>
        <w:right w:val="none" w:sz="0" w:space="0" w:color="auto"/>
      </w:divBdr>
    </w:div>
    <w:div w:id="203164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hichester.gov.uk" TargetMode="External"/><Relationship Id="rId18" Type="http://schemas.openxmlformats.org/officeDocument/2006/relationships/hyperlink" Target="https://www.chichester.gov.uk/article/29759/Housing-and-Economic-Land-Availability-Assessment"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hichester.gov.uk/media/36806/Southbourne-Neighbourhood-Plan---Examiners-Report---CLM-QC---March-2022/pdf/Southbourne_Neighbourhood_Plan_-_Examiners_Report_-_CLM_QC_-_March_2022.pdf"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chichester.gov.uk/media/35039/Southbourne-NP-Review---Neighbourhood-Plan-Submission-Version/pdf/SPNP_Review_-_Submission_Plan_February_2021.pdf"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chichester.gov.uk/article/30923/Preferred-approach---consultation-December-2018"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chichester.gov.uk/media/32147/Landscape-Gap-Assessment-May-2019/pdf/1983_CDC_Gap_Report_May_2019.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hichester.gov.uk/article/30930/Issues-and-Options---consultation-June-2017" TargetMode="External"/><Relationship Id="rId22" Type="http://schemas.openxmlformats.org/officeDocument/2006/relationships/footer" Target="foot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estsussex.gov.uk/about-the-council/policies-and-reports/environment-planning-and-waste-policy-and-reports/minerals-and-waste-policy/joint-minerals-local-plan/" TargetMode="External"/><Relationship Id="rId2" Type="http://schemas.openxmlformats.org/officeDocument/2006/relationships/hyperlink" Target="https://solentwbgs.files.wordpress.com/2021/03/swbgs-mitigation-guidance-oct-2018.pdf" TargetMode="External"/><Relationship Id="rId1" Type="http://schemas.openxmlformats.org/officeDocument/2006/relationships/hyperlink" Target="https://www.chichester.gov.uk/media/34935/Appendix-3-Detailed-site-assessment-forms-2021-update/doc/Appendix_3_Detailed_site_assessment_forms_2021_upd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C9707-932C-4E41-9D41-12C8C143C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19</Pages>
  <Words>5741</Words>
  <Characters>32729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Sinclair</dc:creator>
  <cp:keywords/>
  <dc:description/>
  <cp:lastModifiedBy>Gillian Stevens</cp:lastModifiedBy>
  <cp:revision>39</cp:revision>
  <cp:lastPrinted>2023-02-08T08:53:00Z</cp:lastPrinted>
  <dcterms:created xsi:type="dcterms:W3CDTF">2023-02-07T11:58:00Z</dcterms:created>
  <dcterms:modified xsi:type="dcterms:W3CDTF">2024-05-31T08:27:00Z</dcterms:modified>
</cp:coreProperties>
</file>